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352" w:rsidRDefault="00766585" w:rsidP="000424FE">
      <w:pPr>
        <w:spacing w:before="63" w:after="0" w:line="417" w:lineRule="exact"/>
        <w:ind w:left="142" w:right="-20"/>
        <w:rPr>
          <w:rFonts w:cs="Arial"/>
          <w:sz w:val="37"/>
          <w:szCs w:val="37"/>
        </w:rPr>
      </w:pPr>
      <w:r>
        <w:rPr>
          <w:noProof/>
          <w:lang w:eastAsia="en-GB"/>
        </w:rPr>
        <w:drawing>
          <wp:anchor distT="0" distB="0" distL="114300" distR="114300" simplePos="0" relativeHeight="251658240" behindDoc="0" locked="0" layoutInCell="1" allowOverlap="1">
            <wp:simplePos x="0" y="0"/>
            <wp:positionH relativeFrom="column">
              <wp:posOffset>4568190</wp:posOffset>
            </wp:positionH>
            <wp:positionV relativeFrom="paragraph">
              <wp:posOffset>66040</wp:posOffset>
            </wp:positionV>
            <wp:extent cx="2424430" cy="1329055"/>
            <wp:effectExtent l="1905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t="7614" b="4555"/>
                    <a:stretch>
                      <a:fillRect/>
                    </a:stretch>
                  </pic:blipFill>
                  <pic:spPr bwMode="auto">
                    <a:xfrm>
                      <a:off x="0" y="0"/>
                      <a:ext cx="2424430" cy="1329055"/>
                    </a:xfrm>
                    <a:prstGeom prst="rect">
                      <a:avLst/>
                    </a:prstGeom>
                    <a:noFill/>
                  </pic:spPr>
                </pic:pic>
              </a:graphicData>
            </a:graphic>
          </wp:anchor>
        </w:drawing>
      </w:r>
      <w:r w:rsidR="00B80352">
        <w:rPr>
          <w:rFonts w:cs="Arial"/>
          <w:color w:val="0061A1"/>
          <w:position w:val="-1"/>
          <w:sz w:val="37"/>
          <w:szCs w:val="37"/>
        </w:rPr>
        <w:t>T</w:t>
      </w:r>
      <w:r w:rsidR="00B80352">
        <w:rPr>
          <w:rFonts w:cs="Arial"/>
          <w:color w:val="0061A1"/>
          <w:spacing w:val="-1"/>
          <w:position w:val="-1"/>
          <w:sz w:val="37"/>
          <w:szCs w:val="37"/>
        </w:rPr>
        <w:t>h</w:t>
      </w:r>
      <w:r w:rsidR="00B80352">
        <w:rPr>
          <w:rFonts w:cs="Arial"/>
          <w:color w:val="0061A1"/>
          <w:position w:val="-1"/>
          <w:sz w:val="37"/>
          <w:szCs w:val="37"/>
        </w:rPr>
        <w:t>e</w:t>
      </w:r>
      <w:r w:rsidR="00B80352">
        <w:rPr>
          <w:rFonts w:cs="Arial"/>
          <w:color w:val="0061A1"/>
          <w:spacing w:val="-9"/>
          <w:position w:val="-1"/>
          <w:sz w:val="37"/>
          <w:szCs w:val="37"/>
        </w:rPr>
        <w:t xml:space="preserve"> </w:t>
      </w:r>
      <w:r w:rsidR="00B80352">
        <w:rPr>
          <w:rFonts w:cs="Arial"/>
          <w:color w:val="0061A1"/>
          <w:spacing w:val="-16"/>
          <w:position w:val="-1"/>
          <w:sz w:val="37"/>
          <w:szCs w:val="37"/>
        </w:rPr>
        <w:t>V</w:t>
      </w:r>
      <w:r w:rsidR="00B80352">
        <w:rPr>
          <w:rFonts w:cs="Arial"/>
          <w:color w:val="0061A1"/>
          <w:spacing w:val="-1"/>
          <w:position w:val="-1"/>
          <w:sz w:val="37"/>
          <w:szCs w:val="37"/>
        </w:rPr>
        <w:t>o</w:t>
      </w:r>
      <w:r w:rsidR="00B80352">
        <w:rPr>
          <w:rFonts w:cs="Arial"/>
          <w:color w:val="0061A1"/>
          <w:spacing w:val="-2"/>
          <w:position w:val="-1"/>
          <w:sz w:val="37"/>
          <w:szCs w:val="37"/>
        </w:rPr>
        <w:t>i</w:t>
      </w:r>
      <w:r w:rsidR="00B80352">
        <w:rPr>
          <w:rFonts w:cs="Arial"/>
          <w:color w:val="0061A1"/>
          <w:spacing w:val="-1"/>
          <w:position w:val="-1"/>
          <w:sz w:val="37"/>
          <w:szCs w:val="37"/>
        </w:rPr>
        <w:t>c</w:t>
      </w:r>
      <w:r w:rsidR="00B80352">
        <w:rPr>
          <w:rFonts w:cs="Arial"/>
          <w:color w:val="0061A1"/>
          <w:position w:val="-1"/>
          <w:sz w:val="37"/>
          <w:szCs w:val="37"/>
        </w:rPr>
        <w:t>e</w:t>
      </w:r>
      <w:r w:rsidR="00B80352">
        <w:rPr>
          <w:rFonts w:cs="Arial"/>
          <w:color w:val="0061A1"/>
          <w:spacing w:val="14"/>
          <w:position w:val="-1"/>
          <w:sz w:val="37"/>
          <w:szCs w:val="37"/>
        </w:rPr>
        <w:t xml:space="preserve"> </w:t>
      </w:r>
      <w:r w:rsidR="00B80352">
        <w:rPr>
          <w:rFonts w:cs="Arial"/>
          <w:color w:val="0061A1"/>
          <w:spacing w:val="-3"/>
          <w:position w:val="-1"/>
          <w:sz w:val="37"/>
          <w:szCs w:val="37"/>
        </w:rPr>
        <w:t>o</w:t>
      </w:r>
      <w:r w:rsidR="00B80352">
        <w:rPr>
          <w:rFonts w:cs="Arial"/>
          <w:color w:val="0061A1"/>
          <w:position w:val="-1"/>
          <w:sz w:val="37"/>
          <w:szCs w:val="37"/>
        </w:rPr>
        <w:t>f</w:t>
      </w:r>
      <w:r w:rsidR="00B80352">
        <w:rPr>
          <w:rFonts w:cs="Arial"/>
          <w:color w:val="0061A1"/>
          <w:spacing w:val="19"/>
          <w:position w:val="-1"/>
          <w:sz w:val="37"/>
          <w:szCs w:val="37"/>
        </w:rPr>
        <w:t xml:space="preserve"> </w:t>
      </w:r>
      <w:r w:rsidR="00B80352">
        <w:rPr>
          <w:rFonts w:cs="Arial"/>
          <w:color w:val="0061A1"/>
          <w:spacing w:val="-1"/>
          <w:position w:val="-1"/>
          <w:sz w:val="37"/>
          <w:szCs w:val="37"/>
        </w:rPr>
        <w:t>th</w:t>
      </w:r>
      <w:r w:rsidR="00B80352">
        <w:rPr>
          <w:rFonts w:cs="Arial"/>
          <w:color w:val="0061A1"/>
          <w:position w:val="-1"/>
          <w:sz w:val="37"/>
          <w:szCs w:val="37"/>
        </w:rPr>
        <w:t>e</w:t>
      </w:r>
      <w:r w:rsidR="00B80352">
        <w:rPr>
          <w:rFonts w:cs="Arial"/>
          <w:color w:val="0061A1"/>
          <w:spacing w:val="19"/>
          <w:position w:val="-1"/>
          <w:sz w:val="37"/>
          <w:szCs w:val="37"/>
        </w:rPr>
        <w:t xml:space="preserve"> </w:t>
      </w:r>
      <w:r w:rsidR="00B80352">
        <w:rPr>
          <w:rFonts w:cs="Arial"/>
          <w:color w:val="0061A1"/>
          <w:position w:val="-1"/>
          <w:sz w:val="37"/>
          <w:szCs w:val="37"/>
        </w:rPr>
        <w:t>N</w:t>
      </w:r>
      <w:r w:rsidR="00B80352">
        <w:rPr>
          <w:rFonts w:cs="Arial"/>
          <w:color w:val="0061A1"/>
          <w:spacing w:val="-1"/>
          <w:position w:val="-1"/>
          <w:sz w:val="37"/>
          <w:szCs w:val="37"/>
        </w:rPr>
        <w:t>e</w:t>
      </w:r>
      <w:r w:rsidR="00B80352">
        <w:rPr>
          <w:rFonts w:cs="Arial"/>
          <w:color w:val="0061A1"/>
          <w:spacing w:val="6"/>
          <w:w w:val="120"/>
          <w:position w:val="-1"/>
          <w:sz w:val="37"/>
          <w:szCs w:val="37"/>
        </w:rPr>
        <w:t>t</w:t>
      </w:r>
      <w:r w:rsidR="00B80352">
        <w:rPr>
          <w:rFonts w:cs="Arial"/>
          <w:color w:val="0061A1"/>
          <w:spacing w:val="-7"/>
          <w:w w:val="108"/>
          <w:position w:val="-1"/>
          <w:sz w:val="37"/>
          <w:szCs w:val="37"/>
        </w:rPr>
        <w:t>w</w:t>
      </w:r>
      <w:r w:rsidR="00B80352">
        <w:rPr>
          <w:rFonts w:cs="Arial"/>
          <w:color w:val="0061A1"/>
          <w:spacing w:val="-1"/>
          <w:w w:val="107"/>
          <w:position w:val="-1"/>
          <w:sz w:val="37"/>
          <w:szCs w:val="37"/>
        </w:rPr>
        <w:t>o</w:t>
      </w:r>
      <w:r w:rsidR="00B80352">
        <w:rPr>
          <w:rFonts w:cs="Arial"/>
          <w:color w:val="0061A1"/>
          <w:spacing w:val="3"/>
          <w:w w:val="106"/>
          <w:position w:val="-1"/>
          <w:sz w:val="37"/>
          <w:szCs w:val="37"/>
        </w:rPr>
        <w:t>r</w:t>
      </w:r>
      <w:r w:rsidR="00B80352">
        <w:rPr>
          <w:rFonts w:cs="Arial"/>
          <w:color w:val="0061A1"/>
          <w:spacing w:val="-4"/>
          <w:w w:val="108"/>
          <w:position w:val="-1"/>
          <w:sz w:val="37"/>
          <w:szCs w:val="37"/>
        </w:rPr>
        <w:t>k</w:t>
      </w:r>
      <w:r w:rsidR="00B80352">
        <w:rPr>
          <w:rFonts w:cs="Arial"/>
          <w:color w:val="0061A1"/>
          <w:w w:val="104"/>
          <w:position w:val="-1"/>
          <w:sz w:val="37"/>
          <w:szCs w:val="37"/>
        </w:rPr>
        <w:t>s</w:t>
      </w:r>
    </w:p>
    <w:p w:rsidR="00B80352" w:rsidRDefault="00B80352" w:rsidP="000424FE">
      <w:pPr>
        <w:spacing w:before="7" w:after="0" w:line="110" w:lineRule="exact"/>
        <w:rPr>
          <w:sz w:val="11"/>
          <w:szCs w:val="11"/>
        </w:rPr>
      </w:pPr>
    </w:p>
    <w:p w:rsidR="00B80352" w:rsidRDefault="00B80352" w:rsidP="000424FE">
      <w:pPr>
        <w:spacing w:after="0" w:line="200" w:lineRule="exact"/>
        <w:rPr>
          <w:sz w:val="20"/>
          <w:szCs w:val="20"/>
        </w:rPr>
      </w:pPr>
    </w:p>
    <w:p w:rsidR="00B80352" w:rsidRDefault="00B80352" w:rsidP="000424FE">
      <w:pPr>
        <w:spacing w:after="0" w:line="200" w:lineRule="exact"/>
        <w:jc w:val="right"/>
        <w:rPr>
          <w:sz w:val="20"/>
          <w:szCs w:val="20"/>
        </w:rPr>
      </w:pPr>
    </w:p>
    <w:p w:rsidR="00B80352" w:rsidRDefault="00B80352" w:rsidP="000424FE">
      <w:pPr>
        <w:spacing w:after="0" w:line="200" w:lineRule="exact"/>
        <w:rPr>
          <w:sz w:val="20"/>
          <w:szCs w:val="20"/>
        </w:rPr>
      </w:pPr>
    </w:p>
    <w:p w:rsidR="00B80352" w:rsidRDefault="00B80352" w:rsidP="000424FE">
      <w:pPr>
        <w:spacing w:after="0" w:line="200" w:lineRule="exact"/>
        <w:rPr>
          <w:sz w:val="20"/>
          <w:szCs w:val="20"/>
        </w:rPr>
      </w:pPr>
    </w:p>
    <w:p w:rsidR="00B80352" w:rsidRDefault="00B80352" w:rsidP="000424FE">
      <w:pPr>
        <w:spacing w:after="0" w:line="200" w:lineRule="exact"/>
        <w:rPr>
          <w:sz w:val="20"/>
          <w:szCs w:val="20"/>
        </w:rPr>
      </w:pPr>
    </w:p>
    <w:p w:rsidR="00B80352" w:rsidRDefault="00B80352" w:rsidP="000424FE">
      <w:pPr>
        <w:spacing w:after="0" w:line="200" w:lineRule="exact"/>
        <w:rPr>
          <w:sz w:val="20"/>
          <w:szCs w:val="20"/>
        </w:rPr>
      </w:pPr>
    </w:p>
    <w:p w:rsidR="00B80352" w:rsidRDefault="00B80352" w:rsidP="000424FE">
      <w:pPr>
        <w:widowControl/>
        <w:spacing w:after="0"/>
        <w:ind w:left="142"/>
        <w:rPr>
          <w:rFonts w:cs="Arial"/>
          <w:sz w:val="20"/>
          <w:szCs w:val="20"/>
        </w:rPr>
      </w:pPr>
    </w:p>
    <w:p w:rsidR="00B80352" w:rsidRPr="006403B0" w:rsidRDefault="00B80352" w:rsidP="000424FE">
      <w:pPr>
        <w:widowControl/>
        <w:spacing w:after="0"/>
        <w:ind w:left="142"/>
        <w:rPr>
          <w:rFonts w:cs="Arial"/>
          <w:sz w:val="20"/>
          <w:szCs w:val="20"/>
        </w:rPr>
      </w:pPr>
    </w:p>
    <w:p w:rsidR="00B80352" w:rsidRDefault="00B80352" w:rsidP="000424FE">
      <w:pPr>
        <w:spacing w:after="0" w:line="240" w:lineRule="auto"/>
        <w:ind w:left="142"/>
        <w:jc w:val="center"/>
        <w:rPr>
          <w:rFonts w:cs="Arial"/>
          <w:b/>
          <w:color w:val="00598E"/>
          <w:u w:val="single"/>
          <w:lang w:val="en-US"/>
        </w:rPr>
      </w:pPr>
    </w:p>
    <w:p w:rsidR="00B80352" w:rsidRPr="00DE25A6" w:rsidRDefault="00B80352" w:rsidP="000424FE">
      <w:pPr>
        <w:spacing w:after="120" w:line="240" w:lineRule="auto"/>
        <w:ind w:left="142"/>
        <w:jc w:val="center"/>
        <w:rPr>
          <w:rFonts w:cs="Arial"/>
          <w:b/>
          <w:color w:val="00598E"/>
          <w:u w:val="single"/>
          <w:lang w:val="en-US"/>
        </w:rPr>
      </w:pPr>
      <w:r w:rsidRPr="00DE25A6">
        <w:rPr>
          <w:rFonts w:cs="Arial"/>
          <w:b/>
          <w:color w:val="00598E"/>
          <w:u w:val="single"/>
          <w:lang w:val="en-US"/>
        </w:rPr>
        <w:t xml:space="preserve">ENERGY NETWORKS ASSOCIATION RESPONSE TO ACER GREEN PAPER: </w:t>
      </w:r>
      <w:r w:rsidR="007B249A">
        <w:rPr>
          <w:rFonts w:cs="Arial"/>
          <w:b/>
          <w:color w:val="00598E"/>
          <w:u w:val="single"/>
          <w:lang w:val="en-US"/>
        </w:rPr>
        <w:t>“</w:t>
      </w:r>
      <w:r w:rsidRPr="00DE25A6">
        <w:rPr>
          <w:rFonts w:cs="Arial"/>
          <w:b/>
          <w:color w:val="00598E"/>
          <w:u w:val="single"/>
          <w:lang w:val="en-US"/>
        </w:rPr>
        <w:t>EUROPEAN ENERGY REGULATION: A BRIDGE TO 2025</w:t>
      </w:r>
      <w:r w:rsidR="007B249A">
        <w:rPr>
          <w:rFonts w:cs="Arial"/>
          <w:b/>
          <w:color w:val="00598E"/>
          <w:u w:val="single"/>
          <w:lang w:val="en-US"/>
        </w:rPr>
        <w:t>”</w:t>
      </w:r>
    </w:p>
    <w:p w:rsidR="00B80352" w:rsidRDefault="00B80352" w:rsidP="000424FE">
      <w:pPr>
        <w:spacing w:after="0" w:line="240" w:lineRule="auto"/>
        <w:rPr>
          <w:rFonts w:cs="Arial"/>
          <w:b/>
          <w:u w:val="single"/>
        </w:rPr>
      </w:pPr>
    </w:p>
    <w:p w:rsidR="00B80352" w:rsidRDefault="00B80352" w:rsidP="000424FE">
      <w:pPr>
        <w:spacing w:after="0" w:line="240" w:lineRule="auto"/>
        <w:ind w:left="142"/>
        <w:rPr>
          <w:rFonts w:cs="Arial"/>
          <w:b/>
          <w:u w:val="single"/>
        </w:rPr>
      </w:pPr>
    </w:p>
    <w:p w:rsidR="00B80352" w:rsidRPr="009F7543" w:rsidRDefault="00B80352" w:rsidP="007F15F6">
      <w:pPr>
        <w:spacing w:after="0" w:line="240" w:lineRule="auto"/>
        <w:rPr>
          <w:rFonts w:cs="Arial"/>
          <w:b/>
          <w:color w:val="00598E"/>
          <w:u w:val="single"/>
          <w:lang w:val="en-US"/>
        </w:rPr>
      </w:pPr>
      <w:r w:rsidRPr="009F7543">
        <w:rPr>
          <w:rFonts w:cs="Arial"/>
          <w:b/>
          <w:color w:val="00598E"/>
          <w:u w:val="single"/>
          <w:lang w:val="en-US"/>
        </w:rPr>
        <w:t>ENERGY NETWORKS ASSOCIATION</w:t>
      </w:r>
    </w:p>
    <w:p w:rsidR="00B80352" w:rsidRPr="002E76BA" w:rsidRDefault="00B80352" w:rsidP="007F15F6">
      <w:pPr>
        <w:spacing w:after="0" w:line="240" w:lineRule="auto"/>
        <w:rPr>
          <w:rFonts w:cs="Arial"/>
          <w:b/>
          <w:u w:val="single"/>
        </w:rPr>
      </w:pPr>
    </w:p>
    <w:p w:rsidR="00B80352" w:rsidRPr="002E76BA" w:rsidRDefault="00B80352" w:rsidP="007F15F6">
      <w:pPr>
        <w:autoSpaceDE w:val="0"/>
        <w:autoSpaceDN w:val="0"/>
        <w:spacing w:after="0" w:line="240" w:lineRule="auto"/>
        <w:rPr>
          <w:rFonts w:cs="Arial"/>
          <w:lang w:val="en-US"/>
        </w:rPr>
      </w:pPr>
      <w:r w:rsidRPr="002E76BA">
        <w:rPr>
          <w:rFonts w:cs="Arial"/>
          <w:lang w:val="en-US"/>
        </w:rPr>
        <w:t>Energy Networks Association (ENA) represents the ‘wires and pipes’ transmission and distribution network operators for gas and electricity in the UK and Ireland. Our members control and maintain the critical national infrastructure that delivers these vital services into our homes and businesses.</w:t>
      </w:r>
    </w:p>
    <w:p w:rsidR="00B80352" w:rsidRPr="002E76BA" w:rsidRDefault="00B80352" w:rsidP="007F15F6">
      <w:pPr>
        <w:spacing w:after="0" w:line="240" w:lineRule="auto"/>
        <w:rPr>
          <w:rFonts w:cs="Arial"/>
          <w:lang w:val="en-US"/>
        </w:rPr>
      </w:pPr>
    </w:p>
    <w:p w:rsidR="00B80352" w:rsidRPr="002E76BA" w:rsidRDefault="00B80352" w:rsidP="007F15F6">
      <w:pPr>
        <w:autoSpaceDE w:val="0"/>
        <w:autoSpaceDN w:val="0"/>
        <w:spacing w:after="0" w:line="240" w:lineRule="auto"/>
        <w:rPr>
          <w:rFonts w:cs="Arial"/>
          <w:lang w:val="en-US"/>
        </w:rPr>
      </w:pPr>
      <w:r w:rsidRPr="002E76BA">
        <w:rPr>
          <w:rFonts w:cs="Arial"/>
          <w:lang w:val="en-US"/>
        </w:rPr>
        <w:t>ENA's overriding goals are to promote the UK and Ireland energy networks ensuring our networks are the safest, most reliable, most efficient and sustainable in the world. We influence decision-makers on issues that are important to our members. These include:</w:t>
      </w:r>
    </w:p>
    <w:p w:rsidR="00B80352" w:rsidRPr="002E76BA" w:rsidRDefault="00B80352" w:rsidP="007F15F6">
      <w:pPr>
        <w:spacing w:after="0" w:line="240" w:lineRule="auto"/>
        <w:rPr>
          <w:rFonts w:cs="Arial"/>
          <w:lang w:val="en-US"/>
        </w:rPr>
      </w:pPr>
    </w:p>
    <w:p w:rsidR="00B80352" w:rsidRDefault="00B80352" w:rsidP="007F15F6">
      <w:pPr>
        <w:numPr>
          <w:ilvl w:val="0"/>
          <w:numId w:val="1"/>
        </w:numPr>
        <w:spacing w:after="0" w:line="240" w:lineRule="auto"/>
        <w:ind w:left="0" w:firstLine="0"/>
        <w:rPr>
          <w:rFonts w:cs="Arial"/>
          <w:lang w:val="en-US"/>
        </w:rPr>
      </w:pPr>
      <w:r w:rsidRPr="00127790">
        <w:rPr>
          <w:rFonts w:cs="Arial"/>
          <w:lang w:val="en-US"/>
        </w:rPr>
        <w:t>Regulation and the wider representation in UK, Ireland and the rest of Europe.</w:t>
      </w:r>
    </w:p>
    <w:p w:rsidR="00B80352" w:rsidRPr="00153B75" w:rsidRDefault="00B80352" w:rsidP="00153B75">
      <w:pPr>
        <w:numPr>
          <w:ilvl w:val="0"/>
          <w:numId w:val="1"/>
        </w:numPr>
        <w:spacing w:after="0" w:line="240" w:lineRule="auto"/>
        <w:ind w:left="0" w:firstLine="0"/>
        <w:rPr>
          <w:rFonts w:cs="Arial"/>
          <w:lang w:val="en-US"/>
        </w:rPr>
      </w:pPr>
      <w:r w:rsidRPr="00153B75">
        <w:rPr>
          <w:rFonts w:cs="Arial"/>
          <w:lang w:val="en-US"/>
        </w:rPr>
        <w:t xml:space="preserve">Cost-efficient engineering services and related businesses for the benefit </w:t>
      </w:r>
      <w:r w:rsidR="00037385" w:rsidRPr="00153B75">
        <w:rPr>
          <w:rFonts w:cs="Arial"/>
          <w:lang w:val="en-US"/>
        </w:rPr>
        <w:t xml:space="preserve">of </w:t>
      </w:r>
      <w:r w:rsidR="00037385">
        <w:rPr>
          <w:rFonts w:cs="Arial"/>
          <w:lang w:val="en-US"/>
        </w:rPr>
        <w:t>members</w:t>
      </w:r>
      <w:r w:rsidRPr="00153B75">
        <w:rPr>
          <w:rFonts w:cs="Arial"/>
          <w:lang w:val="en-US"/>
        </w:rPr>
        <w:t>.</w:t>
      </w:r>
    </w:p>
    <w:p w:rsidR="00B80352" w:rsidRPr="002E76BA" w:rsidRDefault="00B80352" w:rsidP="007F15F6">
      <w:pPr>
        <w:numPr>
          <w:ilvl w:val="0"/>
          <w:numId w:val="1"/>
        </w:numPr>
        <w:spacing w:after="0" w:line="240" w:lineRule="auto"/>
        <w:ind w:left="0" w:firstLine="0"/>
        <w:rPr>
          <w:rFonts w:cs="Arial"/>
          <w:lang w:val="en-US"/>
        </w:rPr>
      </w:pPr>
      <w:r w:rsidRPr="002E76BA">
        <w:rPr>
          <w:rFonts w:cs="Arial"/>
          <w:lang w:val="en-US"/>
        </w:rPr>
        <w:t>Safety, health and environment across the gas and electricity industries.</w:t>
      </w:r>
    </w:p>
    <w:p w:rsidR="00B80352" w:rsidRPr="002E76BA" w:rsidRDefault="00B80352" w:rsidP="007F15F6">
      <w:pPr>
        <w:numPr>
          <w:ilvl w:val="0"/>
          <w:numId w:val="1"/>
        </w:numPr>
        <w:spacing w:after="0" w:line="240" w:lineRule="auto"/>
        <w:ind w:left="0" w:firstLine="0"/>
        <w:rPr>
          <w:rFonts w:cs="Arial"/>
          <w:lang w:val="en-US"/>
        </w:rPr>
      </w:pPr>
      <w:r w:rsidRPr="002E76BA">
        <w:rPr>
          <w:rFonts w:cs="Arial"/>
          <w:lang w:val="en-US"/>
        </w:rPr>
        <w:t>The development and deployment of smart technology.</w:t>
      </w:r>
    </w:p>
    <w:p w:rsidR="00B80352" w:rsidRPr="002E76BA" w:rsidRDefault="00B80352" w:rsidP="007F15F6">
      <w:pPr>
        <w:spacing w:after="0" w:line="240" w:lineRule="auto"/>
        <w:rPr>
          <w:rFonts w:cs="Arial"/>
          <w:lang w:val="en-US"/>
        </w:rPr>
      </w:pPr>
    </w:p>
    <w:p w:rsidR="00B80352" w:rsidRPr="002E76BA" w:rsidRDefault="00B80352" w:rsidP="007F15F6">
      <w:pPr>
        <w:autoSpaceDE w:val="0"/>
        <w:autoSpaceDN w:val="0"/>
        <w:spacing w:after="0" w:line="240" w:lineRule="auto"/>
        <w:rPr>
          <w:rFonts w:cs="Arial"/>
          <w:lang w:val="en-US"/>
        </w:rPr>
      </w:pPr>
      <w:r w:rsidRPr="002E76BA">
        <w:rPr>
          <w:rFonts w:cs="Arial"/>
          <w:lang w:val="en-US"/>
        </w:rPr>
        <w:t>As the voice of the energy networks sector ENA acts as a strategic focus and channel of communication for the industry. We promote the interests and good standing of the industry, and provide a forum of discussion among company members.</w:t>
      </w:r>
    </w:p>
    <w:p w:rsidR="00B80352" w:rsidRPr="002E76BA" w:rsidRDefault="00B80352" w:rsidP="007F15F6">
      <w:pPr>
        <w:spacing w:after="0" w:line="240" w:lineRule="auto"/>
        <w:rPr>
          <w:rFonts w:cs="Arial"/>
          <w:lang w:val="en-US"/>
        </w:rPr>
      </w:pPr>
    </w:p>
    <w:p w:rsidR="00B80352" w:rsidRDefault="00336369" w:rsidP="007F15F6">
      <w:pPr>
        <w:spacing w:after="0" w:line="240" w:lineRule="auto"/>
        <w:rPr>
          <w:rFonts w:cs="Arial"/>
          <w:b/>
          <w:color w:val="00598E"/>
          <w:u w:val="single"/>
          <w:lang w:val="en-US"/>
        </w:rPr>
      </w:pPr>
      <w:r w:rsidRPr="009F7543">
        <w:rPr>
          <w:rFonts w:cs="Arial"/>
          <w:b/>
          <w:color w:val="00598E"/>
          <w:u w:val="single"/>
          <w:lang w:val="en-US"/>
        </w:rPr>
        <w:t>C</w:t>
      </w:r>
      <w:r>
        <w:rPr>
          <w:rFonts w:cs="Arial"/>
          <w:b/>
          <w:color w:val="00598E"/>
          <w:u w:val="single"/>
          <w:lang w:val="en-US"/>
        </w:rPr>
        <w:t>ONSUMERS, RETAIL MARKETS AND THE ROLE OF THE DSOS</w:t>
      </w:r>
    </w:p>
    <w:p w:rsidR="00B80352" w:rsidRDefault="00B80352" w:rsidP="007F15F6">
      <w:pPr>
        <w:pStyle w:val="ListParagraph"/>
        <w:ind w:left="0"/>
        <w:rPr>
          <w:rFonts w:ascii="Arial" w:hAnsi="Arial" w:cs="Arial"/>
        </w:rPr>
      </w:pPr>
    </w:p>
    <w:p w:rsidR="00B80352" w:rsidRDefault="00B80352" w:rsidP="00E247C3">
      <w:pPr>
        <w:pStyle w:val="ListParagraph"/>
        <w:ind w:left="0"/>
        <w:rPr>
          <w:rFonts w:ascii="Arial" w:hAnsi="Arial" w:cs="Arial"/>
        </w:rPr>
      </w:pPr>
      <w:r>
        <w:rPr>
          <w:rFonts w:ascii="Arial" w:hAnsi="Arial" w:cs="Arial"/>
        </w:rPr>
        <w:t xml:space="preserve">It is clear </w:t>
      </w:r>
      <w:r w:rsidRPr="00580B51">
        <w:rPr>
          <w:rFonts w:ascii="Arial" w:hAnsi="Arial" w:cs="Arial"/>
        </w:rPr>
        <w:t xml:space="preserve">that </w:t>
      </w:r>
      <w:r>
        <w:rPr>
          <w:rFonts w:ascii="Arial" w:hAnsi="Arial" w:cs="Arial"/>
        </w:rPr>
        <w:t>significant</w:t>
      </w:r>
      <w:r w:rsidRPr="00580B51">
        <w:rPr>
          <w:rFonts w:ascii="Arial" w:hAnsi="Arial" w:cs="Arial"/>
        </w:rPr>
        <w:t xml:space="preserve"> changes are coming in at the </w:t>
      </w:r>
      <w:r>
        <w:rPr>
          <w:rFonts w:ascii="Arial" w:hAnsi="Arial" w:cs="Arial"/>
        </w:rPr>
        <w:t>distribution</w:t>
      </w:r>
      <w:r w:rsidRPr="00580B51">
        <w:rPr>
          <w:rFonts w:ascii="Arial" w:hAnsi="Arial" w:cs="Arial"/>
        </w:rPr>
        <w:t xml:space="preserve"> level, </w:t>
      </w:r>
      <w:r>
        <w:rPr>
          <w:rFonts w:ascii="Arial" w:hAnsi="Arial" w:cs="Arial"/>
        </w:rPr>
        <w:t xml:space="preserve">particularly for electricity, </w:t>
      </w:r>
      <w:r w:rsidRPr="00580B51">
        <w:rPr>
          <w:rFonts w:ascii="Arial" w:hAnsi="Arial" w:cs="Arial"/>
        </w:rPr>
        <w:t xml:space="preserve">as </w:t>
      </w:r>
      <w:r w:rsidR="007B249A">
        <w:rPr>
          <w:rFonts w:ascii="Arial" w:hAnsi="Arial" w:cs="Arial"/>
        </w:rPr>
        <w:t xml:space="preserve">Distribution System Operators (DSOs) </w:t>
      </w:r>
      <w:r w:rsidRPr="00580B51">
        <w:rPr>
          <w:rFonts w:ascii="Arial" w:hAnsi="Arial" w:cs="Arial"/>
        </w:rPr>
        <w:t xml:space="preserve">become more </w:t>
      </w:r>
      <w:r>
        <w:rPr>
          <w:rFonts w:ascii="Arial" w:hAnsi="Arial" w:cs="Arial"/>
        </w:rPr>
        <w:t xml:space="preserve">dynamic, manage smarter networks, and facilitate the more active participation of consumers in energy markets through demand response as active system managers. </w:t>
      </w:r>
    </w:p>
    <w:p w:rsidR="00B80352" w:rsidRDefault="00B80352" w:rsidP="00E247C3">
      <w:pPr>
        <w:pStyle w:val="ListParagraph"/>
        <w:ind w:left="0"/>
        <w:rPr>
          <w:rFonts w:ascii="Arial" w:hAnsi="Arial" w:cs="Arial"/>
        </w:rPr>
      </w:pPr>
    </w:p>
    <w:p w:rsidR="00B80352" w:rsidRDefault="00B80352" w:rsidP="00E247C3">
      <w:pPr>
        <w:pStyle w:val="ListParagraph"/>
        <w:ind w:left="0"/>
        <w:rPr>
          <w:rFonts w:ascii="Arial" w:hAnsi="Arial" w:cs="Arial"/>
        </w:rPr>
      </w:pPr>
      <w:r>
        <w:rPr>
          <w:rFonts w:ascii="Arial" w:hAnsi="Arial" w:cs="Arial"/>
        </w:rPr>
        <w:t>ENA is keen to be part of the ongoing dialogue with the regulators and the European Commission on the resulting changes to DSO r</w:t>
      </w:r>
      <w:r w:rsidRPr="00580B51">
        <w:rPr>
          <w:rFonts w:ascii="Arial" w:hAnsi="Arial" w:cs="Arial"/>
        </w:rPr>
        <w:t>o</w:t>
      </w:r>
      <w:r>
        <w:rPr>
          <w:rFonts w:ascii="Arial" w:hAnsi="Arial" w:cs="Arial"/>
        </w:rPr>
        <w:t xml:space="preserve">les and responsibilities, moving from network operators to system operators. </w:t>
      </w:r>
    </w:p>
    <w:p w:rsidR="00B80352" w:rsidRDefault="00B80352" w:rsidP="00E247C3">
      <w:pPr>
        <w:pStyle w:val="ListParagraph"/>
        <w:ind w:left="0"/>
        <w:rPr>
          <w:rFonts w:ascii="Arial" w:hAnsi="Arial" w:cs="Arial"/>
        </w:rPr>
      </w:pPr>
    </w:p>
    <w:p w:rsidR="00B80352" w:rsidRDefault="00B80352" w:rsidP="00E247C3">
      <w:pPr>
        <w:pStyle w:val="ListParagraph"/>
        <w:ind w:left="0"/>
        <w:rPr>
          <w:rFonts w:ascii="Arial" w:hAnsi="Arial" w:cs="Arial"/>
          <w:sz w:val="24"/>
          <w:szCs w:val="24"/>
        </w:rPr>
      </w:pPr>
      <w:r>
        <w:rPr>
          <w:rFonts w:ascii="Arial" w:hAnsi="Arial" w:cs="Arial"/>
        </w:rPr>
        <w:t xml:space="preserve">Developing a European overview of the key elements of demand response, providing some clarification of the roles of DSOs and the interface with </w:t>
      </w:r>
      <w:r w:rsidR="007B249A">
        <w:rPr>
          <w:rFonts w:ascii="Arial" w:hAnsi="Arial" w:cs="Arial"/>
        </w:rPr>
        <w:t>Transmission System Operators (</w:t>
      </w:r>
      <w:r>
        <w:rPr>
          <w:rFonts w:ascii="Arial" w:hAnsi="Arial" w:cs="Arial"/>
        </w:rPr>
        <w:t>TSOs</w:t>
      </w:r>
      <w:r w:rsidR="007B249A">
        <w:rPr>
          <w:rFonts w:ascii="Arial" w:hAnsi="Arial" w:cs="Arial"/>
        </w:rPr>
        <w:t>)</w:t>
      </w:r>
      <w:r>
        <w:rPr>
          <w:rFonts w:ascii="Arial" w:hAnsi="Arial" w:cs="Arial"/>
        </w:rPr>
        <w:t xml:space="preserve">, and considering the appropriate regulatory framework to underpin these changes, are all potentially useful areas of work for the regulators.  </w:t>
      </w:r>
    </w:p>
    <w:p w:rsidR="00B80352" w:rsidRDefault="00336369" w:rsidP="00171796">
      <w:pPr>
        <w:spacing w:after="120" w:line="240" w:lineRule="auto"/>
        <w:rPr>
          <w:rFonts w:cs="Arial"/>
          <w:b/>
          <w:color w:val="365F91"/>
          <w:u w:val="single"/>
        </w:rPr>
      </w:pPr>
      <w:r w:rsidRPr="00171796">
        <w:rPr>
          <w:rFonts w:cs="Arial"/>
          <w:b/>
          <w:color w:val="365F91"/>
          <w:u w:val="single"/>
        </w:rPr>
        <w:lastRenderedPageBreak/>
        <w:t>GUARANTEED STANDARDS OF SERVICE</w:t>
      </w:r>
    </w:p>
    <w:p w:rsidR="00B80352" w:rsidRDefault="007B249A" w:rsidP="00D35B52">
      <w:pPr>
        <w:pStyle w:val="ListParagraph"/>
        <w:ind w:left="0"/>
        <w:rPr>
          <w:rFonts w:ascii="Arial" w:hAnsi="Arial" w:cs="Arial"/>
        </w:rPr>
      </w:pPr>
      <w:r>
        <w:rPr>
          <w:rFonts w:ascii="Arial" w:hAnsi="Arial" w:cs="Arial"/>
        </w:rPr>
        <w:t>The Council of European Energy Regulators (</w:t>
      </w:r>
      <w:r w:rsidR="00B80352" w:rsidRPr="00D35B52">
        <w:rPr>
          <w:rFonts w:ascii="Arial" w:hAnsi="Arial" w:cs="Arial"/>
        </w:rPr>
        <w:t>CEER</w:t>
      </w:r>
      <w:r>
        <w:rPr>
          <w:rFonts w:ascii="Arial" w:hAnsi="Arial" w:cs="Arial"/>
        </w:rPr>
        <w:t>)</w:t>
      </w:r>
      <w:r w:rsidR="00B80352" w:rsidRPr="00D35B52">
        <w:rPr>
          <w:rFonts w:ascii="Arial" w:hAnsi="Arial" w:cs="Arial"/>
        </w:rPr>
        <w:t xml:space="preserve"> Customers and Retail Market WG </w:t>
      </w:r>
      <w:r w:rsidR="00B80352">
        <w:rPr>
          <w:rFonts w:ascii="Arial" w:hAnsi="Arial" w:cs="Arial"/>
        </w:rPr>
        <w:t xml:space="preserve">is developing </w:t>
      </w:r>
      <w:r w:rsidR="00B80352" w:rsidRPr="00D35B52">
        <w:rPr>
          <w:rFonts w:ascii="Arial" w:hAnsi="Arial" w:cs="Arial"/>
        </w:rPr>
        <w:t xml:space="preserve">draft advice </w:t>
      </w:r>
      <w:r w:rsidR="00B80352">
        <w:rPr>
          <w:rFonts w:ascii="Arial" w:hAnsi="Arial" w:cs="Arial"/>
        </w:rPr>
        <w:t xml:space="preserve">for Member States </w:t>
      </w:r>
      <w:r w:rsidR="00B80352" w:rsidRPr="00D35B52">
        <w:rPr>
          <w:rFonts w:ascii="Arial" w:hAnsi="Arial" w:cs="Arial"/>
        </w:rPr>
        <w:t>wi</w:t>
      </w:r>
      <w:r w:rsidR="00B80352">
        <w:rPr>
          <w:rFonts w:ascii="Arial" w:hAnsi="Arial" w:cs="Arial"/>
        </w:rPr>
        <w:t>t</w:t>
      </w:r>
      <w:r w:rsidR="00B80352" w:rsidRPr="00D35B52">
        <w:rPr>
          <w:rFonts w:ascii="Arial" w:hAnsi="Arial" w:cs="Arial"/>
        </w:rPr>
        <w:t xml:space="preserve">h recommendations for EU level guaranteed standards of </w:t>
      </w:r>
      <w:r w:rsidR="00B80352">
        <w:rPr>
          <w:rFonts w:ascii="Arial" w:hAnsi="Arial" w:cs="Arial"/>
        </w:rPr>
        <w:t xml:space="preserve">DSO </w:t>
      </w:r>
      <w:r w:rsidR="00B80352" w:rsidRPr="00D35B52">
        <w:rPr>
          <w:rFonts w:ascii="Arial" w:hAnsi="Arial" w:cs="Arial"/>
        </w:rPr>
        <w:t>service</w:t>
      </w:r>
      <w:r w:rsidR="00B80352">
        <w:rPr>
          <w:rFonts w:ascii="Arial" w:hAnsi="Arial" w:cs="Arial"/>
        </w:rPr>
        <w:t>,</w:t>
      </w:r>
      <w:r w:rsidR="00B80352" w:rsidRPr="00D35B52">
        <w:rPr>
          <w:rFonts w:ascii="Arial" w:hAnsi="Arial" w:cs="Arial"/>
        </w:rPr>
        <w:t xml:space="preserve"> focusing on connection, disconnection and maintenance. </w:t>
      </w:r>
    </w:p>
    <w:p w:rsidR="00B80352" w:rsidRDefault="00B80352" w:rsidP="00D35B52">
      <w:pPr>
        <w:pStyle w:val="ListParagraph"/>
        <w:ind w:left="0"/>
        <w:rPr>
          <w:rFonts w:ascii="Arial" w:hAnsi="Arial" w:cs="Arial"/>
        </w:rPr>
      </w:pPr>
    </w:p>
    <w:p w:rsidR="00B80352" w:rsidRPr="00F621C1" w:rsidRDefault="00B80352" w:rsidP="00D35B52">
      <w:pPr>
        <w:pStyle w:val="ListParagraph"/>
        <w:ind w:left="0"/>
        <w:rPr>
          <w:rFonts w:ascii="Arial" w:hAnsi="Arial" w:cs="Arial"/>
        </w:rPr>
      </w:pPr>
      <w:r>
        <w:rPr>
          <w:rFonts w:ascii="Arial" w:hAnsi="Arial" w:cs="Arial"/>
        </w:rPr>
        <w:t xml:space="preserve">It is a fact that </w:t>
      </w:r>
      <w:r w:rsidRPr="00F621C1">
        <w:rPr>
          <w:rFonts w:ascii="Arial" w:hAnsi="Arial" w:cs="Arial"/>
        </w:rPr>
        <w:t xml:space="preserve">UK DSOs already work to rigorous levels of </w:t>
      </w:r>
      <w:r w:rsidR="007F15F6">
        <w:rPr>
          <w:rFonts w:ascii="Arial" w:hAnsi="Arial" w:cs="Arial"/>
        </w:rPr>
        <w:t>Gu</w:t>
      </w:r>
      <w:r w:rsidRPr="00F621C1">
        <w:rPr>
          <w:rFonts w:ascii="Arial" w:hAnsi="Arial" w:cs="Arial"/>
        </w:rPr>
        <w:t xml:space="preserve">aranteed </w:t>
      </w:r>
      <w:r w:rsidR="007F15F6">
        <w:rPr>
          <w:rFonts w:ascii="Arial" w:hAnsi="Arial" w:cs="Arial"/>
        </w:rPr>
        <w:t>S</w:t>
      </w:r>
      <w:r w:rsidRPr="00F621C1">
        <w:rPr>
          <w:rFonts w:ascii="Arial" w:hAnsi="Arial" w:cs="Arial"/>
        </w:rPr>
        <w:t xml:space="preserve">tandards of </w:t>
      </w:r>
      <w:r w:rsidR="007F15F6">
        <w:rPr>
          <w:rFonts w:ascii="Arial" w:hAnsi="Arial" w:cs="Arial"/>
        </w:rPr>
        <w:t>S</w:t>
      </w:r>
      <w:r w:rsidRPr="00F621C1">
        <w:rPr>
          <w:rFonts w:ascii="Arial" w:hAnsi="Arial" w:cs="Arial"/>
        </w:rPr>
        <w:t xml:space="preserve">ervice set by </w:t>
      </w:r>
      <w:r w:rsidR="007F15F6">
        <w:rPr>
          <w:rFonts w:ascii="Arial" w:hAnsi="Arial" w:cs="Arial"/>
        </w:rPr>
        <w:t xml:space="preserve">our </w:t>
      </w:r>
      <w:r w:rsidRPr="00F621C1">
        <w:rPr>
          <w:rFonts w:ascii="Arial" w:hAnsi="Arial" w:cs="Arial"/>
        </w:rPr>
        <w:t>regulator Ofgem</w:t>
      </w:r>
      <w:r w:rsidR="007F15F6">
        <w:rPr>
          <w:rFonts w:ascii="Arial" w:hAnsi="Arial" w:cs="Arial"/>
        </w:rPr>
        <w:t>, s</w:t>
      </w:r>
      <w:r>
        <w:rPr>
          <w:rFonts w:ascii="Arial" w:hAnsi="Arial" w:cs="Arial"/>
        </w:rPr>
        <w:t xml:space="preserve">o </w:t>
      </w:r>
      <w:r w:rsidRPr="00F621C1">
        <w:rPr>
          <w:rFonts w:ascii="Arial" w:hAnsi="Arial" w:cs="Arial"/>
        </w:rPr>
        <w:t xml:space="preserve">we question whether it is appropriate to </w:t>
      </w:r>
      <w:r>
        <w:rPr>
          <w:rFonts w:ascii="Arial" w:hAnsi="Arial" w:cs="Arial"/>
        </w:rPr>
        <w:t xml:space="preserve">establish another </w:t>
      </w:r>
      <w:r w:rsidRPr="00F621C1">
        <w:rPr>
          <w:rFonts w:ascii="Arial" w:hAnsi="Arial" w:cs="Arial"/>
        </w:rPr>
        <w:t xml:space="preserve">set </w:t>
      </w:r>
      <w:r>
        <w:rPr>
          <w:rFonts w:ascii="Arial" w:hAnsi="Arial" w:cs="Arial"/>
        </w:rPr>
        <w:t>of</w:t>
      </w:r>
      <w:r w:rsidRPr="00F621C1">
        <w:rPr>
          <w:rFonts w:ascii="Arial" w:hAnsi="Arial" w:cs="Arial"/>
        </w:rPr>
        <w:t xml:space="preserve"> standards at the European level when so many differences </w:t>
      </w:r>
      <w:r>
        <w:rPr>
          <w:rFonts w:ascii="Arial" w:hAnsi="Arial" w:cs="Arial"/>
        </w:rPr>
        <w:t xml:space="preserve">exist </w:t>
      </w:r>
      <w:r w:rsidRPr="00F621C1">
        <w:rPr>
          <w:rFonts w:ascii="Arial" w:hAnsi="Arial" w:cs="Arial"/>
        </w:rPr>
        <w:t xml:space="preserve">in terms of market models and legal frameworks. Particularly when the key is to get </w:t>
      </w:r>
      <w:r>
        <w:rPr>
          <w:rFonts w:ascii="Arial" w:hAnsi="Arial" w:cs="Arial"/>
        </w:rPr>
        <w:t xml:space="preserve">the right </w:t>
      </w:r>
      <w:r w:rsidRPr="00F621C1">
        <w:rPr>
          <w:rFonts w:ascii="Arial" w:hAnsi="Arial" w:cs="Arial"/>
        </w:rPr>
        <w:t xml:space="preserve">balance between the standards and </w:t>
      </w:r>
      <w:r>
        <w:rPr>
          <w:rFonts w:ascii="Arial" w:hAnsi="Arial" w:cs="Arial"/>
        </w:rPr>
        <w:t xml:space="preserve">their </w:t>
      </w:r>
      <w:r w:rsidRPr="00F621C1">
        <w:rPr>
          <w:rFonts w:ascii="Arial" w:hAnsi="Arial" w:cs="Arial"/>
        </w:rPr>
        <w:t>associated costs to the consumer.</w:t>
      </w:r>
    </w:p>
    <w:p w:rsidR="00B80352" w:rsidRPr="00F621C1" w:rsidRDefault="00B80352" w:rsidP="00F621C1">
      <w:r>
        <w:t xml:space="preserve">ENA’s members </w:t>
      </w:r>
      <w:r w:rsidRPr="00F621C1">
        <w:t xml:space="preserve">are </w:t>
      </w:r>
      <w:r>
        <w:t xml:space="preserve">very </w:t>
      </w:r>
      <w:r w:rsidRPr="00F621C1">
        <w:t>keen to work with the regulators and the European DSO Associations on this</w:t>
      </w:r>
      <w:r>
        <w:t xml:space="preserve"> important topic</w:t>
      </w:r>
      <w:r w:rsidRPr="00F621C1">
        <w:t>.</w:t>
      </w:r>
    </w:p>
    <w:p w:rsidR="00B80352" w:rsidRPr="00A728CD" w:rsidRDefault="00B80352" w:rsidP="00171796">
      <w:pPr>
        <w:spacing w:after="120" w:line="240" w:lineRule="auto"/>
        <w:rPr>
          <w:rFonts w:cs="Arial"/>
          <w:b/>
          <w:color w:val="365F91"/>
          <w:u w:val="single"/>
        </w:rPr>
      </w:pPr>
      <w:r w:rsidRPr="00A728CD">
        <w:rPr>
          <w:rFonts w:cs="Arial"/>
          <w:b/>
          <w:color w:val="365F91"/>
          <w:u w:val="single"/>
        </w:rPr>
        <w:t>ENERGY SECTOR TRENDS – ELECTRICITY WHOLESALE MARKETS</w:t>
      </w:r>
    </w:p>
    <w:p w:rsidR="00B80352" w:rsidRDefault="00B80352" w:rsidP="00152B58">
      <w:pPr>
        <w:pStyle w:val="ListParagraph"/>
        <w:ind w:left="0"/>
        <w:rPr>
          <w:sz w:val="24"/>
          <w:szCs w:val="24"/>
        </w:rPr>
      </w:pPr>
      <w:r w:rsidRPr="00BE65EB">
        <w:rPr>
          <w:rFonts w:ascii="Arial" w:hAnsi="Arial" w:cs="Arial"/>
        </w:rPr>
        <w:t>Th</w:t>
      </w:r>
      <w:r>
        <w:rPr>
          <w:rFonts w:ascii="Arial" w:hAnsi="Arial" w:cs="Arial"/>
        </w:rPr>
        <w:t xml:space="preserve">e Green Paper </w:t>
      </w:r>
      <w:r w:rsidRPr="00BE65EB">
        <w:rPr>
          <w:rFonts w:ascii="Arial" w:hAnsi="Arial" w:cs="Arial"/>
        </w:rPr>
        <w:t>highlights concerns around generation flexibility and adequacy and the requirement for flexible back up generation such as gas CCGT</w:t>
      </w:r>
      <w:r>
        <w:rPr>
          <w:rFonts w:ascii="Arial" w:hAnsi="Arial" w:cs="Arial"/>
        </w:rPr>
        <w:t>s.</w:t>
      </w:r>
    </w:p>
    <w:p w:rsidR="00B80352" w:rsidRDefault="00B80352" w:rsidP="00152B58">
      <w:pPr>
        <w:pStyle w:val="ListParagraph"/>
        <w:ind w:left="0"/>
        <w:rPr>
          <w:rFonts w:ascii="Arial" w:hAnsi="Arial" w:cs="Arial"/>
        </w:rPr>
      </w:pPr>
    </w:p>
    <w:p w:rsidR="00B80352" w:rsidRPr="00152B58" w:rsidRDefault="00B80352" w:rsidP="00152B58">
      <w:pPr>
        <w:pStyle w:val="ListParagraph"/>
        <w:ind w:left="0"/>
        <w:rPr>
          <w:rFonts w:ascii="Arial" w:hAnsi="Arial" w:cs="Arial"/>
        </w:rPr>
      </w:pPr>
      <w:r w:rsidRPr="00152B58">
        <w:rPr>
          <w:rFonts w:ascii="Arial" w:hAnsi="Arial" w:cs="Arial"/>
        </w:rPr>
        <w:t xml:space="preserve">ENA’s </w:t>
      </w:r>
      <w:hyperlink r:id="rId9" w:history="1">
        <w:r w:rsidRPr="00152B58">
          <w:rPr>
            <w:rStyle w:val="Hyperlink"/>
            <w:rFonts w:ascii="Arial" w:hAnsi="Arial" w:cs="Arial"/>
          </w:rPr>
          <w:t>Redpoint</w:t>
        </w:r>
      </w:hyperlink>
      <w:r w:rsidRPr="00152B58">
        <w:rPr>
          <w:rFonts w:ascii="Arial" w:hAnsi="Arial" w:cs="Arial"/>
        </w:rPr>
        <w:t xml:space="preserve"> report commissioned in 2010</w:t>
      </w:r>
      <w:r>
        <w:rPr>
          <w:rFonts w:ascii="Arial" w:hAnsi="Arial" w:cs="Arial"/>
        </w:rPr>
        <w:t xml:space="preserve">, </w:t>
      </w:r>
      <w:r w:rsidRPr="00152B58">
        <w:rPr>
          <w:rFonts w:ascii="Arial" w:hAnsi="Arial" w:cs="Arial"/>
        </w:rPr>
        <w:t>highlighted that future scenarios that feature greater use of gas in the energy mix could offer a more cost-effective solution for a low-carbon transition</w:t>
      </w:r>
      <w:r>
        <w:rPr>
          <w:rFonts w:ascii="Arial" w:hAnsi="Arial" w:cs="Arial"/>
        </w:rPr>
        <w:t xml:space="preserve">, </w:t>
      </w:r>
      <w:r w:rsidRPr="00152B58">
        <w:rPr>
          <w:rFonts w:ascii="Arial" w:hAnsi="Arial" w:cs="Arial"/>
        </w:rPr>
        <w:t>compared to those that require very high levels of electrification. In future</w:t>
      </w:r>
      <w:r>
        <w:rPr>
          <w:rFonts w:ascii="Arial" w:hAnsi="Arial" w:cs="Arial"/>
        </w:rPr>
        <w:t xml:space="preserve"> scenarios </w:t>
      </w:r>
      <w:r w:rsidRPr="00152B58">
        <w:rPr>
          <w:rFonts w:ascii="Arial" w:hAnsi="Arial" w:cs="Arial"/>
        </w:rPr>
        <w:t xml:space="preserve">where gas is plentiful and relatively cheap, for example where there are further breakthroughs in unconventional gas extraction, the analysis indicates potential savings of up to almost £700bn to be made between 2010 and 2050, which equates to £20,000 per household or £10,000 per person. </w:t>
      </w:r>
    </w:p>
    <w:p w:rsidR="00B80352" w:rsidRDefault="00B80352" w:rsidP="00152B58">
      <w:pPr>
        <w:pStyle w:val="ListParagraph"/>
        <w:ind w:left="0"/>
        <w:rPr>
          <w:rFonts w:ascii="Arial" w:hAnsi="Arial" w:cs="Arial"/>
        </w:rPr>
      </w:pPr>
    </w:p>
    <w:p w:rsidR="00B80352" w:rsidRPr="00152B58" w:rsidRDefault="00B80352" w:rsidP="00152B58">
      <w:pPr>
        <w:pStyle w:val="ListParagraph"/>
        <w:ind w:left="0"/>
        <w:rPr>
          <w:rFonts w:ascii="Arial" w:hAnsi="Arial" w:cs="Arial"/>
        </w:rPr>
      </w:pPr>
      <w:r w:rsidRPr="00152B58">
        <w:rPr>
          <w:rFonts w:ascii="Arial" w:hAnsi="Arial" w:cs="Arial"/>
        </w:rPr>
        <w:t xml:space="preserve">Aside from possible cost benefits, there are </w:t>
      </w:r>
      <w:r>
        <w:rPr>
          <w:rFonts w:ascii="Arial" w:hAnsi="Arial" w:cs="Arial"/>
        </w:rPr>
        <w:t xml:space="preserve">also </w:t>
      </w:r>
      <w:r w:rsidRPr="00152B58">
        <w:rPr>
          <w:rFonts w:ascii="Arial" w:hAnsi="Arial" w:cs="Arial"/>
        </w:rPr>
        <w:t>other advantages in retaining gas within the energy mix. The presence of gas will enhance the diversity of energy supply and will provide additional flexibility when it comes to energy balancing, particularly at times when the output from renewable sources is low</w:t>
      </w:r>
      <w:r>
        <w:rPr>
          <w:rFonts w:ascii="Arial" w:hAnsi="Arial" w:cs="Arial"/>
        </w:rPr>
        <w:t>.</w:t>
      </w:r>
    </w:p>
    <w:p w:rsidR="00B80352" w:rsidRDefault="00B80352" w:rsidP="001D360C">
      <w:pPr>
        <w:pStyle w:val="ListParagraph"/>
        <w:ind w:left="0"/>
        <w:rPr>
          <w:rFonts w:ascii="Arial" w:hAnsi="Arial" w:cs="Arial"/>
        </w:rPr>
      </w:pPr>
    </w:p>
    <w:p w:rsidR="00B80352" w:rsidRPr="00A728CD" w:rsidRDefault="00B80352" w:rsidP="001D360C">
      <w:pPr>
        <w:pStyle w:val="ListParagraph"/>
        <w:ind w:left="0"/>
        <w:rPr>
          <w:rFonts w:ascii="Arial" w:hAnsi="Arial" w:cs="Arial"/>
          <w:b/>
          <w:color w:val="365F91"/>
          <w:u w:val="single"/>
        </w:rPr>
      </w:pPr>
      <w:r w:rsidRPr="00A728CD">
        <w:rPr>
          <w:rFonts w:ascii="Arial" w:hAnsi="Arial" w:cs="Arial"/>
          <w:b/>
          <w:color w:val="365F91"/>
          <w:u w:val="single"/>
        </w:rPr>
        <w:t>ENERGY SECTOR TRENDS – GAS WHOLESALE MARKETS</w:t>
      </w:r>
    </w:p>
    <w:p w:rsidR="00B80352" w:rsidRDefault="00B80352" w:rsidP="001D360C">
      <w:pPr>
        <w:pStyle w:val="ListParagraph"/>
        <w:ind w:left="0"/>
        <w:rPr>
          <w:rFonts w:ascii="Arial" w:hAnsi="Arial" w:cs="Arial"/>
        </w:rPr>
      </w:pPr>
    </w:p>
    <w:p w:rsidR="00B80352" w:rsidRPr="00F94A87" w:rsidRDefault="00B80352" w:rsidP="006C120B">
      <w:pPr>
        <w:pStyle w:val="ListParagraph"/>
        <w:numPr>
          <w:ilvl w:val="0"/>
          <w:numId w:val="12"/>
        </w:numPr>
        <w:rPr>
          <w:rFonts w:ascii="Arial" w:hAnsi="Arial" w:cs="Arial"/>
          <w:color w:val="365F91"/>
          <w:u w:val="single"/>
        </w:rPr>
      </w:pPr>
      <w:r w:rsidRPr="00F94A87">
        <w:rPr>
          <w:rFonts w:ascii="Arial" w:hAnsi="Arial" w:cs="Arial"/>
          <w:color w:val="365F91"/>
          <w:u w:val="single"/>
        </w:rPr>
        <w:t>Uncertain gas demand</w:t>
      </w:r>
    </w:p>
    <w:p w:rsidR="00B80352" w:rsidRDefault="00B80352" w:rsidP="001D360C">
      <w:pPr>
        <w:pStyle w:val="ListParagraph"/>
        <w:ind w:left="0"/>
        <w:rPr>
          <w:rFonts w:ascii="Arial" w:hAnsi="Arial" w:cs="Arial"/>
        </w:rPr>
      </w:pPr>
    </w:p>
    <w:p w:rsidR="00B80352" w:rsidRDefault="00B80352" w:rsidP="001D360C">
      <w:pPr>
        <w:pStyle w:val="ListParagraph"/>
        <w:ind w:left="0"/>
        <w:rPr>
          <w:rFonts w:ascii="Arial" w:hAnsi="Arial" w:cs="Arial"/>
        </w:rPr>
      </w:pPr>
      <w:r>
        <w:rPr>
          <w:rFonts w:ascii="Arial" w:hAnsi="Arial" w:cs="Arial"/>
        </w:rPr>
        <w:t>The Green Paper suggests that there will be a reduction</w:t>
      </w:r>
      <w:r w:rsidRPr="00BE65EB">
        <w:rPr>
          <w:rFonts w:ascii="Arial" w:hAnsi="Arial" w:cs="Arial"/>
        </w:rPr>
        <w:t xml:space="preserve"> </w:t>
      </w:r>
      <w:r>
        <w:rPr>
          <w:rFonts w:ascii="Arial" w:hAnsi="Arial" w:cs="Arial"/>
        </w:rPr>
        <w:t>in</w:t>
      </w:r>
      <w:r w:rsidRPr="00BE65EB">
        <w:rPr>
          <w:rFonts w:ascii="Arial" w:hAnsi="Arial" w:cs="Arial"/>
        </w:rPr>
        <w:t xml:space="preserve"> gas demand as a result of changes to gas used in the heating sector </w:t>
      </w:r>
      <w:r>
        <w:rPr>
          <w:rFonts w:ascii="Arial" w:hAnsi="Arial" w:cs="Arial"/>
        </w:rPr>
        <w:t xml:space="preserve">which </w:t>
      </w:r>
      <w:r w:rsidRPr="00BE65EB">
        <w:rPr>
          <w:rFonts w:ascii="Arial" w:hAnsi="Arial" w:cs="Arial"/>
        </w:rPr>
        <w:t xml:space="preserve">will be influenced by improvements in energy efficiency, development of electric heating and </w:t>
      </w:r>
      <w:r>
        <w:rPr>
          <w:rFonts w:ascii="Arial" w:hAnsi="Arial" w:cs="Arial"/>
        </w:rPr>
        <w:t xml:space="preserve">the </w:t>
      </w:r>
      <w:r w:rsidRPr="00BE65EB">
        <w:rPr>
          <w:rFonts w:ascii="Arial" w:hAnsi="Arial" w:cs="Arial"/>
        </w:rPr>
        <w:t xml:space="preserve">application of gas fired combined heat and power systems (CHP).  </w:t>
      </w:r>
    </w:p>
    <w:p w:rsidR="00B80352" w:rsidRDefault="00B80352" w:rsidP="001D360C">
      <w:pPr>
        <w:pStyle w:val="ListParagraph"/>
        <w:ind w:left="0"/>
        <w:rPr>
          <w:rFonts w:ascii="Arial" w:hAnsi="Arial" w:cs="Arial"/>
        </w:rPr>
      </w:pPr>
    </w:p>
    <w:p w:rsidR="00B80352" w:rsidRPr="001D360C" w:rsidRDefault="00B80352" w:rsidP="001D360C">
      <w:pPr>
        <w:pStyle w:val="ListParagraph"/>
        <w:ind w:left="0"/>
        <w:rPr>
          <w:rFonts w:ascii="Arial" w:hAnsi="Arial" w:cs="Arial"/>
        </w:rPr>
      </w:pPr>
      <w:r>
        <w:rPr>
          <w:rFonts w:ascii="Arial" w:hAnsi="Arial" w:cs="Arial"/>
        </w:rPr>
        <w:t xml:space="preserve">ENA Gas members do not believe that there will be any marked reduction in gas demand in the period covered by this consultation. In the </w:t>
      </w:r>
      <w:r w:rsidRPr="001D360C">
        <w:rPr>
          <w:rFonts w:ascii="Arial" w:hAnsi="Arial" w:cs="Arial"/>
        </w:rPr>
        <w:t xml:space="preserve">UK’s Department of Energy and Climate Change (DECC) 2013 report – </w:t>
      </w:r>
      <w:hyperlink r:id="rId10" w:history="1">
        <w:r w:rsidRPr="001D360C">
          <w:rPr>
            <w:rStyle w:val="Hyperlink"/>
            <w:rFonts w:ascii="Arial" w:hAnsi="Arial" w:cs="Arial"/>
          </w:rPr>
          <w:t>The Future of Heating: Meeting the Challenge</w:t>
        </w:r>
      </w:hyperlink>
      <w:r w:rsidRPr="001D360C">
        <w:rPr>
          <w:rFonts w:ascii="Arial" w:hAnsi="Arial" w:cs="Arial"/>
        </w:rPr>
        <w:t xml:space="preserve"> </w:t>
      </w:r>
      <w:r>
        <w:rPr>
          <w:rFonts w:ascii="Arial" w:hAnsi="Arial" w:cs="Arial"/>
        </w:rPr>
        <w:t xml:space="preserve">their analysis </w:t>
      </w:r>
      <w:r w:rsidRPr="001D360C">
        <w:rPr>
          <w:rFonts w:ascii="Arial" w:hAnsi="Arial" w:cs="Arial"/>
        </w:rPr>
        <w:t>indicated that although natural gas use for heat will have to reduce over time if the UK’s carbon targets a</w:t>
      </w:r>
      <w:r>
        <w:rPr>
          <w:rFonts w:ascii="Arial" w:hAnsi="Arial" w:cs="Arial"/>
        </w:rPr>
        <w:t>re</w:t>
      </w:r>
      <w:r w:rsidRPr="001D360C">
        <w:rPr>
          <w:rFonts w:ascii="Arial" w:hAnsi="Arial" w:cs="Arial"/>
        </w:rPr>
        <w:t xml:space="preserve"> to be reached, it will </w:t>
      </w:r>
      <w:r>
        <w:rPr>
          <w:rFonts w:ascii="Arial" w:hAnsi="Arial" w:cs="Arial"/>
        </w:rPr>
        <w:t xml:space="preserve">still </w:t>
      </w:r>
      <w:r w:rsidRPr="001D360C">
        <w:rPr>
          <w:rFonts w:ascii="Arial" w:hAnsi="Arial" w:cs="Arial"/>
        </w:rPr>
        <w:t>play an essential part in the trans</w:t>
      </w:r>
      <w:r>
        <w:rPr>
          <w:rFonts w:ascii="Arial" w:hAnsi="Arial" w:cs="Arial"/>
        </w:rPr>
        <w:t>i</w:t>
      </w:r>
      <w:r w:rsidRPr="001D360C">
        <w:rPr>
          <w:rFonts w:ascii="Arial" w:hAnsi="Arial" w:cs="Arial"/>
        </w:rPr>
        <w:t xml:space="preserve">tion to </w:t>
      </w:r>
      <w:r>
        <w:rPr>
          <w:rFonts w:ascii="Arial" w:hAnsi="Arial" w:cs="Arial"/>
        </w:rPr>
        <w:t xml:space="preserve">a </w:t>
      </w:r>
      <w:r w:rsidRPr="001D360C">
        <w:rPr>
          <w:rFonts w:ascii="Arial" w:hAnsi="Arial" w:cs="Arial"/>
        </w:rPr>
        <w:t>low carbon future</w:t>
      </w:r>
      <w:r>
        <w:rPr>
          <w:rFonts w:ascii="Arial" w:hAnsi="Arial" w:cs="Arial"/>
        </w:rPr>
        <w:t>.</w:t>
      </w:r>
      <w:r w:rsidRPr="001D360C">
        <w:rPr>
          <w:rFonts w:ascii="Arial" w:hAnsi="Arial" w:cs="Arial"/>
        </w:rPr>
        <w:t xml:space="preserve"> </w:t>
      </w:r>
    </w:p>
    <w:p w:rsidR="00B80352" w:rsidRDefault="00B80352" w:rsidP="001D360C">
      <w:pPr>
        <w:rPr>
          <w:rFonts w:cs="Arial"/>
        </w:rPr>
      </w:pPr>
      <w:r w:rsidRPr="001D360C">
        <w:rPr>
          <w:rFonts w:cs="Arial"/>
        </w:rPr>
        <w:lastRenderedPageBreak/>
        <w:t xml:space="preserve">DECC’s “RESOM” modelling shows that there would be little or no change to the current levels of natural gas used for domestic heating until at least the middle of the next decade with a steady decline over the longer term out to 2050.  Furthermore the modelling suggests that there could still be a role for natural gas in 2050 to help to meet peaks in heat demand on the coldest days of the year. </w:t>
      </w:r>
    </w:p>
    <w:p w:rsidR="00B80352" w:rsidRDefault="00B80352" w:rsidP="001D360C">
      <w:pPr>
        <w:rPr>
          <w:rFonts w:cs="Arial"/>
        </w:rPr>
      </w:pPr>
      <w:r w:rsidRPr="001D360C">
        <w:rPr>
          <w:rFonts w:cs="Arial"/>
        </w:rPr>
        <w:t xml:space="preserve">The </w:t>
      </w:r>
      <w:r>
        <w:rPr>
          <w:rFonts w:cs="Arial"/>
        </w:rPr>
        <w:t xml:space="preserve">DECC </w:t>
      </w:r>
      <w:r w:rsidRPr="001D360C">
        <w:rPr>
          <w:rFonts w:cs="Arial"/>
        </w:rPr>
        <w:t>modelling also suggests th</w:t>
      </w:r>
      <w:r>
        <w:rPr>
          <w:rFonts w:cs="Arial"/>
        </w:rPr>
        <w:t xml:space="preserve">at continued use of gas </w:t>
      </w:r>
      <w:r w:rsidRPr="001D360C">
        <w:rPr>
          <w:rFonts w:cs="Arial"/>
        </w:rPr>
        <w:t>could be more cost effective than the alternative of full electrification of the peak seasonal heat demand, with the consequent need for large amounts of additional generation capacity to meet only occasional use</w:t>
      </w:r>
      <w:r>
        <w:rPr>
          <w:rFonts w:cs="Arial"/>
        </w:rPr>
        <w:t>. I</w:t>
      </w:r>
      <w:r w:rsidRPr="001D360C">
        <w:rPr>
          <w:rFonts w:cs="Arial"/>
        </w:rPr>
        <w:t>t suggests a more cost-effective solution could be to maintain some gas in buildings for use by gas absorption heat pumps, or in hybrid systems where gas appliances operate alongside an electric heat pump, for example</w:t>
      </w:r>
      <w:r>
        <w:rPr>
          <w:rFonts w:cs="Arial"/>
        </w:rPr>
        <w:t>.</w:t>
      </w:r>
    </w:p>
    <w:p w:rsidR="00B80352" w:rsidRPr="00A728CD" w:rsidRDefault="00B80352" w:rsidP="00086DFD">
      <w:pPr>
        <w:pStyle w:val="ListParagraph"/>
        <w:numPr>
          <w:ilvl w:val="0"/>
          <w:numId w:val="12"/>
        </w:numPr>
        <w:rPr>
          <w:rFonts w:ascii="Arial" w:hAnsi="Arial" w:cs="Arial"/>
          <w:color w:val="365F91"/>
          <w:u w:val="single"/>
        </w:rPr>
      </w:pPr>
      <w:r w:rsidRPr="00A728CD">
        <w:rPr>
          <w:rFonts w:ascii="Arial" w:hAnsi="Arial" w:cs="Arial"/>
          <w:color w:val="365F91"/>
          <w:u w:val="single"/>
        </w:rPr>
        <w:t>Gas grid charges</w:t>
      </w:r>
    </w:p>
    <w:p w:rsidR="00B80352" w:rsidRDefault="00B80352" w:rsidP="009B6802">
      <w:pPr>
        <w:pStyle w:val="ListParagraph"/>
        <w:ind w:left="0"/>
        <w:rPr>
          <w:rFonts w:ascii="Arial" w:hAnsi="Arial" w:cs="Arial"/>
        </w:rPr>
      </w:pPr>
    </w:p>
    <w:p w:rsidR="00B80352" w:rsidRDefault="00B80352" w:rsidP="009B6802">
      <w:pPr>
        <w:pStyle w:val="ListParagraph"/>
        <w:ind w:left="0"/>
        <w:rPr>
          <w:rFonts w:ascii="Arial" w:hAnsi="Arial" w:cs="Arial"/>
        </w:rPr>
      </w:pPr>
      <w:r>
        <w:rPr>
          <w:rFonts w:ascii="Arial" w:hAnsi="Arial" w:cs="Arial"/>
        </w:rPr>
        <w:t>The Green Paper asserts that, a</w:t>
      </w:r>
      <w:r w:rsidRPr="00BE65EB">
        <w:rPr>
          <w:rFonts w:ascii="Arial" w:hAnsi="Arial" w:cs="Arial"/>
        </w:rPr>
        <w:t>s gas usage declines</w:t>
      </w:r>
      <w:r>
        <w:rPr>
          <w:rFonts w:ascii="Arial" w:hAnsi="Arial" w:cs="Arial"/>
        </w:rPr>
        <w:t>,</w:t>
      </w:r>
      <w:r w:rsidRPr="00BE65EB">
        <w:rPr>
          <w:rFonts w:ascii="Arial" w:hAnsi="Arial" w:cs="Arial"/>
        </w:rPr>
        <w:t xml:space="preserve"> there is a likelihood that grid charges </w:t>
      </w:r>
      <w:r>
        <w:rPr>
          <w:rFonts w:ascii="Arial" w:hAnsi="Arial" w:cs="Arial"/>
        </w:rPr>
        <w:t>will i</w:t>
      </w:r>
      <w:r w:rsidRPr="00BE65EB">
        <w:rPr>
          <w:rFonts w:ascii="Arial" w:hAnsi="Arial" w:cs="Arial"/>
        </w:rPr>
        <w:t xml:space="preserve">ncrease as there will be less end users from which to recover the infrastructure and operating costs of the networks.  </w:t>
      </w:r>
    </w:p>
    <w:p w:rsidR="00B80352" w:rsidRDefault="00B80352" w:rsidP="009B6802">
      <w:pPr>
        <w:pStyle w:val="ListParagraph"/>
        <w:ind w:left="0"/>
        <w:rPr>
          <w:rFonts w:ascii="Arial" w:hAnsi="Arial" w:cs="Arial"/>
        </w:rPr>
      </w:pPr>
    </w:p>
    <w:p w:rsidR="00B80352" w:rsidRPr="009B6802" w:rsidRDefault="00B80352" w:rsidP="009B6802">
      <w:pPr>
        <w:pStyle w:val="ListParagraph"/>
        <w:ind w:left="0"/>
        <w:rPr>
          <w:rFonts w:ascii="Arial" w:hAnsi="Arial" w:cs="Arial"/>
        </w:rPr>
      </w:pPr>
      <w:r>
        <w:rPr>
          <w:rFonts w:ascii="Arial" w:hAnsi="Arial" w:cs="Arial"/>
        </w:rPr>
        <w:t>In fact</w:t>
      </w:r>
      <w:r w:rsidR="007F15F6">
        <w:rPr>
          <w:rFonts w:ascii="Arial" w:hAnsi="Arial" w:cs="Arial"/>
        </w:rPr>
        <w:t>,</w:t>
      </w:r>
      <w:r>
        <w:rPr>
          <w:rFonts w:ascii="Arial" w:hAnsi="Arial" w:cs="Arial"/>
        </w:rPr>
        <w:t xml:space="preserve"> t</w:t>
      </w:r>
      <w:r w:rsidRPr="009B6802">
        <w:rPr>
          <w:rFonts w:ascii="Arial" w:hAnsi="Arial" w:cs="Arial"/>
        </w:rPr>
        <w:t xml:space="preserve">he UK’s </w:t>
      </w:r>
      <w:r>
        <w:rPr>
          <w:rFonts w:ascii="Arial" w:hAnsi="Arial" w:cs="Arial"/>
        </w:rPr>
        <w:t>g</w:t>
      </w:r>
      <w:r w:rsidRPr="009B6802">
        <w:rPr>
          <w:rFonts w:ascii="Arial" w:hAnsi="Arial" w:cs="Arial"/>
        </w:rPr>
        <w:t xml:space="preserve">as </w:t>
      </w:r>
      <w:r>
        <w:rPr>
          <w:rFonts w:ascii="Arial" w:hAnsi="Arial" w:cs="Arial"/>
        </w:rPr>
        <w:t>n</w:t>
      </w:r>
      <w:r w:rsidRPr="009B6802">
        <w:rPr>
          <w:rFonts w:ascii="Arial" w:hAnsi="Arial" w:cs="Arial"/>
        </w:rPr>
        <w:t xml:space="preserve">etwork charges are likely to remain broadly flat in real terms until at least 2021, and this is likely to continue in to the next regulatory price control (RIIO GD2) which will be set in 2021 until 2029. </w:t>
      </w:r>
      <w:r>
        <w:rPr>
          <w:rFonts w:ascii="Arial" w:hAnsi="Arial" w:cs="Arial"/>
        </w:rPr>
        <w:t xml:space="preserve">Also, </w:t>
      </w:r>
      <w:r w:rsidR="009E4E9A">
        <w:rPr>
          <w:rFonts w:ascii="Arial" w:hAnsi="Arial" w:cs="Arial"/>
        </w:rPr>
        <w:t>u</w:t>
      </w:r>
      <w:r w:rsidRPr="009B6802">
        <w:rPr>
          <w:rFonts w:ascii="Arial" w:hAnsi="Arial" w:cs="Arial"/>
        </w:rPr>
        <w:t xml:space="preserve">nder the RIIO price control there is an annual sharing mechanism that ensures any cost outperformance is shared with consumers through the gas shippers’ bills. </w:t>
      </w:r>
    </w:p>
    <w:p w:rsidR="00B80352" w:rsidRDefault="00B80352" w:rsidP="009B6802">
      <w:pPr>
        <w:pStyle w:val="ListParagraph"/>
        <w:ind w:left="0"/>
        <w:rPr>
          <w:rFonts w:ascii="Arial" w:hAnsi="Arial" w:cs="Arial"/>
        </w:rPr>
      </w:pPr>
    </w:p>
    <w:p w:rsidR="00B80352" w:rsidRPr="009B6802" w:rsidRDefault="00B80352" w:rsidP="009B6802">
      <w:pPr>
        <w:pStyle w:val="ListParagraph"/>
        <w:ind w:left="0"/>
        <w:rPr>
          <w:rFonts w:ascii="Arial" w:hAnsi="Arial" w:cs="Arial"/>
        </w:rPr>
      </w:pPr>
      <w:r>
        <w:rPr>
          <w:rFonts w:ascii="Arial" w:hAnsi="Arial" w:cs="Arial"/>
        </w:rPr>
        <w:t>ENA</w:t>
      </w:r>
      <w:r w:rsidRPr="009B6802">
        <w:rPr>
          <w:rFonts w:ascii="Arial" w:hAnsi="Arial" w:cs="Arial"/>
        </w:rPr>
        <w:t xml:space="preserve"> Gas distribution members are also connecting up to 100,000 new gas c</w:t>
      </w:r>
      <w:r>
        <w:rPr>
          <w:rFonts w:ascii="Arial" w:hAnsi="Arial" w:cs="Arial"/>
        </w:rPr>
        <w:t>ustomers</w:t>
      </w:r>
      <w:r w:rsidRPr="009B6802">
        <w:rPr>
          <w:rFonts w:ascii="Arial" w:hAnsi="Arial" w:cs="Arial"/>
        </w:rPr>
        <w:t xml:space="preserve"> a year with gas particularly being used to address domestic fuel poverty, and</w:t>
      </w:r>
      <w:r>
        <w:rPr>
          <w:rFonts w:ascii="Arial" w:hAnsi="Arial" w:cs="Arial"/>
        </w:rPr>
        <w:t>,</w:t>
      </w:r>
      <w:r w:rsidRPr="009B6802">
        <w:rPr>
          <w:rFonts w:ascii="Arial" w:hAnsi="Arial" w:cs="Arial"/>
        </w:rPr>
        <w:t xml:space="preserve"> as previously stated</w:t>
      </w:r>
      <w:r>
        <w:rPr>
          <w:rFonts w:ascii="Arial" w:hAnsi="Arial" w:cs="Arial"/>
        </w:rPr>
        <w:t>,</w:t>
      </w:r>
      <w:r w:rsidRPr="009B6802">
        <w:rPr>
          <w:rFonts w:ascii="Arial" w:hAnsi="Arial" w:cs="Arial"/>
        </w:rPr>
        <w:t xml:space="preserve"> the UK </w:t>
      </w:r>
      <w:r>
        <w:rPr>
          <w:rFonts w:ascii="Arial" w:hAnsi="Arial" w:cs="Arial"/>
        </w:rPr>
        <w:t>G</w:t>
      </w:r>
      <w:r w:rsidRPr="009B6802">
        <w:rPr>
          <w:rFonts w:ascii="Arial" w:hAnsi="Arial" w:cs="Arial"/>
        </w:rPr>
        <w:t>overnment see a consistent role for gas used for domestic heating continuing well in to the next decade and beyond.</w:t>
      </w:r>
    </w:p>
    <w:p w:rsidR="00B80352" w:rsidRDefault="00B80352" w:rsidP="00F3020F">
      <w:pPr>
        <w:pStyle w:val="ListParagraph"/>
        <w:ind w:left="0"/>
        <w:rPr>
          <w:rFonts w:ascii="Arial" w:hAnsi="Arial" w:cs="Arial"/>
        </w:rPr>
      </w:pPr>
    </w:p>
    <w:p w:rsidR="00B80352" w:rsidRPr="00A728CD" w:rsidRDefault="00B80352" w:rsidP="00086DFD">
      <w:pPr>
        <w:pStyle w:val="ListParagraph"/>
        <w:numPr>
          <w:ilvl w:val="0"/>
          <w:numId w:val="12"/>
        </w:numPr>
        <w:rPr>
          <w:rFonts w:ascii="Arial" w:hAnsi="Arial" w:cs="Arial"/>
          <w:color w:val="365F91"/>
          <w:u w:val="single"/>
        </w:rPr>
      </w:pPr>
      <w:r w:rsidRPr="00A728CD">
        <w:rPr>
          <w:rFonts w:ascii="Arial" w:hAnsi="Arial" w:cs="Arial"/>
          <w:color w:val="365F91"/>
          <w:u w:val="single"/>
        </w:rPr>
        <w:t>Indigenous Gas Production</w:t>
      </w:r>
    </w:p>
    <w:p w:rsidR="00B80352" w:rsidRDefault="00B80352" w:rsidP="00F3020F">
      <w:pPr>
        <w:pStyle w:val="ListParagraph"/>
        <w:ind w:left="0"/>
        <w:rPr>
          <w:rFonts w:ascii="Arial" w:hAnsi="Arial" w:cs="Arial"/>
        </w:rPr>
      </w:pPr>
    </w:p>
    <w:p w:rsidR="00B80352" w:rsidRDefault="00B80352" w:rsidP="00F3020F">
      <w:pPr>
        <w:pStyle w:val="ListParagraph"/>
        <w:ind w:left="0"/>
        <w:rPr>
          <w:rFonts w:ascii="Arial" w:hAnsi="Arial" w:cs="Arial"/>
        </w:rPr>
      </w:pPr>
      <w:r w:rsidRPr="00BE65EB">
        <w:rPr>
          <w:rFonts w:ascii="Arial" w:hAnsi="Arial" w:cs="Arial"/>
        </w:rPr>
        <w:t>Th</w:t>
      </w:r>
      <w:r>
        <w:rPr>
          <w:rFonts w:ascii="Arial" w:hAnsi="Arial" w:cs="Arial"/>
        </w:rPr>
        <w:t xml:space="preserve">e Green Paper </w:t>
      </w:r>
      <w:r w:rsidRPr="00BE65EB">
        <w:rPr>
          <w:rFonts w:ascii="Arial" w:hAnsi="Arial" w:cs="Arial"/>
        </w:rPr>
        <w:t xml:space="preserve">focuses on the decline in indigenous production in many </w:t>
      </w:r>
      <w:r>
        <w:rPr>
          <w:rFonts w:ascii="Arial" w:hAnsi="Arial" w:cs="Arial"/>
        </w:rPr>
        <w:t>M</w:t>
      </w:r>
      <w:r w:rsidRPr="00BE65EB">
        <w:rPr>
          <w:rFonts w:ascii="Arial" w:hAnsi="Arial" w:cs="Arial"/>
        </w:rPr>
        <w:t xml:space="preserve">ember </w:t>
      </w:r>
      <w:r>
        <w:rPr>
          <w:rFonts w:ascii="Arial" w:hAnsi="Arial" w:cs="Arial"/>
        </w:rPr>
        <w:t>S</w:t>
      </w:r>
      <w:r w:rsidRPr="00BE65EB">
        <w:rPr>
          <w:rFonts w:ascii="Arial" w:hAnsi="Arial" w:cs="Arial"/>
        </w:rPr>
        <w:t>tates and therefore the need for further reliance on imports</w:t>
      </w:r>
      <w:r w:rsidR="007F15F6">
        <w:rPr>
          <w:rFonts w:ascii="Arial" w:hAnsi="Arial" w:cs="Arial"/>
        </w:rPr>
        <w:t xml:space="preserve"> which brings risks of </w:t>
      </w:r>
      <w:r w:rsidRPr="00BE65EB">
        <w:rPr>
          <w:rFonts w:ascii="Arial" w:hAnsi="Arial" w:cs="Arial"/>
        </w:rPr>
        <w:t>greater political uncertainty</w:t>
      </w:r>
      <w:r w:rsidR="007F15F6">
        <w:rPr>
          <w:rFonts w:ascii="Arial" w:hAnsi="Arial" w:cs="Arial"/>
        </w:rPr>
        <w:t xml:space="preserve"> especially</w:t>
      </w:r>
      <w:r w:rsidRPr="00BE65EB">
        <w:rPr>
          <w:rFonts w:ascii="Arial" w:hAnsi="Arial" w:cs="Arial"/>
        </w:rPr>
        <w:t>, given recent geopolitical events</w:t>
      </w:r>
      <w:r w:rsidR="007F15F6">
        <w:rPr>
          <w:rFonts w:ascii="Arial" w:hAnsi="Arial" w:cs="Arial"/>
        </w:rPr>
        <w:t xml:space="preserve">.  In order to mitigate some of this risk, </w:t>
      </w:r>
      <w:r w:rsidRPr="00BE65EB">
        <w:rPr>
          <w:rFonts w:ascii="Arial" w:hAnsi="Arial" w:cs="Arial"/>
        </w:rPr>
        <w:t>it is important that new and unconventional sources of domestic EU gas production, such as biomethane injection to the g</w:t>
      </w:r>
      <w:r>
        <w:rPr>
          <w:rFonts w:ascii="Arial" w:hAnsi="Arial" w:cs="Arial"/>
        </w:rPr>
        <w:t>rid and shale g</w:t>
      </w:r>
      <w:r w:rsidRPr="00BE65EB">
        <w:rPr>
          <w:rFonts w:ascii="Arial" w:hAnsi="Arial" w:cs="Arial"/>
        </w:rPr>
        <w:t xml:space="preserve">as are supported </w:t>
      </w:r>
      <w:r>
        <w:rPr>
          <w:rFonts w:ascii="Arial" w:hAnsi="Arial" w:cs="Arial"/>
        </w:rPr>
        <w:t>in</w:t>
      </w:r>
      <w:r w:rsidRPr="00BE65EB">
        <w:rPr>
          <w:rFonts w:ascii="Arial" w:hAnsi="Arial" w:cs="Arial"/>
        </w:rPr>
        <w:t xml:space="preserve"> any changes to regulation.  By 2020 it is expected that there will be well over 100 biomethane plants connected to the GB Gas Networks and it is envisaged that</w:t>
      </w:r>
      <w:r>
        <w:rPr>
          <w:rFonts w:ascii="Arial" w:hAnsi="Arial" w:cs="Arial"/>
        </w:rPr>
        <w:t>,</w:t>
      </w:r>
      <w:r w:rsidRPr="00BE65EB">
        <w:rPr>
          <w:rFonts w:ascii="Arial" w:hAnsi="Arial" w:cs="Arial"/>
        </w:rPr>
        <w:t xml:space="preserve"> further into the future, biomethane could provide around 20% of the UK’s domestic gas demand</w:t>
      </w:r>
      <w:r>
        <w:rPr>
          <w:rFonts w:ascii="Arial" w:hAnsi="Arial" w:cs="Arial"/>
        </w:rPr>
        <w:t>.</w:t>
      </w:r>
    </w:p>
    <w:p w:rsidR="00B80352" w:rsidRPr="00BE65EB" w:rsidRDefault="00B80352" w:rsidP="00F3020F">
      <w:pPr>
        <w:pStyle w:val="ListParagraph"/>
        <w:ind w:left="0"/>
        <w:rPr>
          <w:rFonts w:ascii="Arial" w:hAnsi="Arial" w:cs="Arial"/>
        </w:rPr>
      </w:pPr>
    </w:p>
    <w:p w:rsidR="00B80352" w:rsidRPr="00086DFD" w:rsidRDefault="00B80352" w:rsidP="00086DFD">
      <w:pPr>
        <w:pStyle w:val="ListParagraph"/>
        <w:numPr>
          <w:ilvl w:val="0"/>
          <w:numId w:val="12"/>
        </w:numPr>
        <w:rPr>
          <w:rFonts w:ascii="Arial" w:hAnsi="Arial" w:cs="Arial"/>
          <w:color w:val="365F91"/>
          <w:u w:val="single"/>
        </w:rPr>
      </w:pPr>
      <w:r w:rsidRPr="00086DFD">
        <w:rPr>
          <w:rFonts w:ascii="Arial" w:hAnsi="Arial" w:cs="Arial"/>
          <w:color w:val="365F91"/>
          <w:u w:val="single"/>
        </w:rPr>
        <w:t>Uncertainty impacts on investment decisions</w:t>
      </w:r>
    </w:p>
    <w:p w:rsidR="00B80352" w:rsidRDefault="00B80352" w:rsidP="001D360C">
      <w:pPr>
        <w:rPr>
          <w:rFonts w:cs="Arial"/>
        </w:rPr>
      </w:pPr>
      <w:r w:rsidRPr="00BE65EB">
        <w:rPr>
          <w:rFonts w:cs="Arial"/>
        </w:rPr>
        <w:t>Th</w:t>
      </w:r>
      <w:r>
        <w:rPr>
          <w:rFonts w:cs="Arial"/>
        </w:rPr>
        <w:t>e Pa</w:t>
      </w:r>
      <w:r w:rsidRPr="00BE65EB">
        <w:rPr>
          <w:rFonts w:cs="Arial"/>
        </w:rPr>
        <w:t>p</w:t>
      </w:r>
      <w:r>
        <w:rPr>
          <w:rFonts w:cs="Arial"/>
        </w:rPr>
        <w:t>e</w:t>
      </w:r>
      <w:r w:rsidRPr="00BE65EB">
        <w:rPr>
          <w:rFonts w:cs="Arial"/>
        </w:rPr>
        <w:t xml:space="preserve">r looks at uncertainty impacts on investment decisions hampering the development of market integration.  </w:t>
      </w:r>
      <w:r>
        <w:rPr>
          <w:rFonts w:cs="Arial"/>
        </w:rPr>
        <w:t xml:space="preserve">We agree. The networks, for both gas and for electricity, </w:t>
      </w:r>
      <w:r w:rsidRPr="00BE65EB">
        <w:rPr>
          <w:rFonts w:cs="Arial"/>
        </w:rPr>
        <w:t>need regulatory stability and a clear “direction of travel” to reduce these levels of uncertainty</w:t>
      </w:r>
      <w:r>
        <w:rPr>
          <w:rFonts w:cs="Arial"/>
        </w:rPr>
        <w:t>.</w:t>
      </w:r>
    </w:p>
    <w:p w:rsidR="00B80352" w:rsidRDefault="00B80352" w:rsidP="001D360C">
      <w:pPr>
        <w:rPr>
          <w:rFonts w:cs="Arial"/>
          <w:color w:val="365F91"/>
          <w:u w:val="single"/>
        </w:rPr>
      </w:pPr>
    </w:p>
    <w:p w:rsidR="00B80352" w:rsidRPr="00086DFD" w:rsidRDefault="00B80352" w:rsidP="00086DFD">
      <w:pPr>
        <w:pStyle w:val="ListParagraph"/>
        <w:numPr>
          <w:ilvl w:val="0"/>
          <w:numId w:val="12"/>
        </w:numPr>
        <w:rPr>
          <w:rFonts w:ascii="Arial" w:hAnsi="Arial" w:cs="Arial"/>
          <w:color w:val="2E74B5"/>
          <w:sz w:val="24"/>
          <w:szCs w:val="24"/>
        </w:rPr>
      </w:pPr>
      <w:r w:rsidRPr="00086DFD">
        <w:rPr>
          <w:rFonts w:ascii="Arial" w:hAnsi="Arial" w:cs="Arial"/>
          <w:color w:val="2E74B5"/>
          <w:u w:val="single"/>
        </w:rPr>
        <w:lastRenderedPageBreak/>
        <w:t>Injection of gas in to the distribution system</w:t>
      </w:r>
      <w:r w:rsidRPr="00086DFD">
        <w:rPr>
          <w:rFonts w:ascii="Arial" w:hAnsi="Arial" w:cs="Arial"/>
          <w:color w:val="2E74B5"/>
          <w:sz w:val="24"/>
          <w:szCs w:val="24"/>
        </w:rPr>
        <w:t xml:space="preserve"> </w:t>
      </w:r>
    </w:p>
    <w:p w:rsidR="00B80352" w:rsidRDefault="00B80352" w:rsidP="00F36C3C">
      <w:pPr>
        <w:pStyle w:val="ListParagraph"/>
        <w:ind w:left="0"/>
        <w:rPr>
          <w:rFonts w:ascii="Arial" w:hAnsi="Arial" w:cs="Arial"/>
        </w:rPr>
      </w:pPr>
    </w:p>
    <w:p w:rsidR="00B80352" w:rsidRPr="00F36C3C" w:rsidRDefault="00B80352" w:rsidP="00F36C3C">
      <w:pPr>
        <w:pStyle w:val="ListParagraph"/>
        <w:ind w:left="0"/>
        <w:rPr>
          <w:rFonts w:ascii="Arial" w:hAnsi="Arial" w:cs="Arial"/>
        </w:rPr>
      </w:pPr>
      <w:r w:rsidRPr="00F36C3C">
        <w:rPr>
          <w:rFonts w:ascii="Arial" w:hAnsi="Arial" w:cs="Arial"/>
        </w:rPr>
        <w:t xml:space="preserve">The </w:t>
      </w:r>
      <w:r w:rsidR="00A857A9">
        <w:rPr>
          <w:rFonts w:ascii="Arial" w:hAnsi="Arial" w:cs="Arial"/>
        </w:rPr>
        <w:t>Agency f</w:t>
      </w:r>
      <w:r w:rsidR="00A31B96">
        <w:rPr>
          <w:rFonts w:ascii="Arial" w:hAnsi="Arial" w:cs="Arial"/>
        </w:rPr>
        <w:t>or Cooperation of</w:t>
      </w:r>
      <w:r w:rsidR="00A857A9">
        <w:rPr>
          <w:rFonts w:ascii="Arial" w:hAnsi="Arial" w:cs="Arial"/>
        </w:rPr>
        <w:t xml:space="preserve"> Energy Regulators (</w:t>
      </w:r>
      <w:r>
        <w:rPr>
          <w:rFonts w:ascii="Arial" w:hAnsi="Arial" w:cs="Arial"/>
        </w:rPr>
        <w:t>ACER</w:t>
      </w:r>
      <w:r w:rsidR="00A857A9">
        <w:rPr>
          <w:rFonts w:ascii="Arial" w:hAnsi="Arial" w:cs="Arial"/>
        </w:rPr>
        <w:t>)</w:t>
      </w:r>
      <w:r>
        <w:rPr>
          <w:rFonts w:ascii="Arial" w:hAnsi="Arial" w:cs="Arial"/>
        </w:rPr>
        <w:t xml:space="preserve"> Paper </w:t>
      </w:r>
      <w:r w:rsidRPr="00F36C3C">
        <w:rPr>
          <w:rFonts w:ascii="Arial" w:hAnsi="Arial" w:cs="Arial"/>
        </w:rPr>
        <w:t>implies that the injection of biogas in to the distribution system may have impacts on gas quality and the normal operation of the grid and consumer safety.  This is not the case, at least not in the UK.  Under UK regulatory rules, all gas entered in to the system must meet Gas Safety Management Regulation (GS(M)R) standards</w:t>
      </w:r>
      <w:r>
        <w:rPr>
          <w:rFonts w:ascii="Arial" w:hAnsi="Arial" w:cs="Arial"/>
        </w:rPr>
        <w:t>,</w:t>
      </w:r>
      <w:r w:rsidRPr="00F36C3C">
        <w:rPr>
          <w:rFonts w:ascii="Arial" w:hAnsi="Arial" w:cs="Arial"/>
        </w:rPr>
        <w:t xml:space="preserve"> and producers and network companies have worked together to </w:t>
      </w:r>
      <w:r>
        <w:rPr>
          <w:rFonts w:ascii="Arial" w:hAnsi="Arial" w:cs="Arial"/>
        </w:rPr>
        <w:t>e</w:t>
      </w:r>
      <w:r w:rsidRPr="00F36C3C">
        <w:rPr>
          <w:rFonts w:ascii="Arial" w:hAnsi="Arial" w:cs="Arial"/>
        </w:rPr>
        <w:t>nsure the upgrading facilities and measurement equipment used at biomethane plants mitigates any risk of failure to meet those standards.</w:t>
      </w:r>
    </w:p>
    <w:p w:rsidR="00B80352" w:rsidRDefault="00B80352" w:rsidP="00F36C3C">
      <w:pPr>
        <w:pStyle w:val="ListParagraph"/>
        <w:ind w:left="0"/>
        <w:rPr>
          <w:rFonts w:ascii="Arial" w:hAnsi="Arial" w:cs="Arial"/>
        </w:rPr>
      </w:pPr>
    </w:p>
    <w:p w:rsidR="00B80352" w:rsidRDefault="00B80352" w:rsidP="00F36C3C">
      <w:pPr>
        <w:pStyle w:val="ListParagraph"/>
        <w:ind w:left="0"/>
        <w:rPr>
          <w:rFonts w:ascii="Arial" w:hAnsi="Arial" w:cs="Arial"/>
        </w:rPr>
      </w:pPr>
      <w:r w:rsidRPr="00F36C3C">
        <w:rPr>
          <w:rFonts w:ascii="Arial" w:hAnsi="Arial" w:cs="Arial"/>
        </w:rPr>
        <w:t>It is also important to note that these strict requirements on producers have not resulted in a</w:t>
      </w:r>
      <w:r>
        <w:rPr>
          <w:rFonts w:ascii="Arial" w:hAnsi="Arial" w:cs="Arial"/>
        </w:rPr>
        <w:t>ny</w:t>
      </w:r>
      <w:r w:rsidRPr="00F36C3C">
        <w:rPr>
          <w:rFonts w:ascii="Arial" w:hAnsi="Arial" w:cs="Arial"/>
        </w:rPr>
        <w:t xml:space="preserve"> reticence to ent</w:t>
      </w:r>
      <w:r w:rsidR="00213FAC">
        <w:rPr>
          <w:rFonts w:ascii="Arial" w:hAnsi="Arial" w:cs="Arial"/>
        </w:rPr>
        <w:t xml:space="preserve">er this </w:t>
      </w:r>
      <w:r w:rsidR="00037385">
        <w:rPr>
          <w:rFonts w:ascii="Arial" w:hAnsi="Arial" w:cs="Arial"/>
        </w:rPr>
        <w:t>market;</w:t>
      </w:r>
      <w:r w:rsidR="00213FAC">
        <w:rPr>
          <w:rFonts w:ascii="Arial" w:hAnsi="Arial" w:cs="Arial"/>
        </w:rPr>
        <w:t xml:space="preserve"> in fact the UK b</w:t>
      </w:r>
      <w:r w:rsidRPr="00F36C3C">
        <w:rPr>
          <w:rFonts w:ascii="Arial" w:hAnsi="Arial" w:cs="Arial"/>
        </w:rPr>
        <w:t xml:space="preserve">iomethane industry continues to grow at </w:t>
      </w:r>
      <w:r w:rsidR="00153B75">
        <w:rPr>
          <w:rFonts w:ascii="Arial" w:hAnsi="Arial" w:cs="Arial"/>
        </w:rPr>
        <w:t xml:space="preserve">a </w:t>
      </w:r>
      <w:r w:rsidRPr="00F36C3C">
        <w:rPr>
          <w:rFonts w:ascii="Arial" w:hAnsi="Arial" w:cs="Arial"/>
        </w:rPr>
        <w:t xml:space="preserve">pace with 20 or more new biomethane projects expected to be completed in the next year.  Indeed </w:t>
      </w:r>
      <w:r>
        <w:rPr>
          <w:rFonts w:ascii="Arial" w:hAnsi="Arial" w:cs="Arial"/>
        </w:rPr>
        <w:t xml:space="preserve">it </w:t>
      </w:r>
      <w:r w:rsidRPr="00F36C3C">
        <w:rPr>
          <w:rFonts w:ascii="Arial" w:hAnsi="Arial" w:cs="Arial"/>
        </w:rPr>
        <w:t xml:space="preserve">is expected that by 2020 there will be well over 100 biomethane sites connected to the GB gas distribution network, </w:t>
      </w:r>
      <w:r>
        <w:rPr>
          <w:rFonts w:ascii="Arial" w:hAnsi="Arial" w:cs="Arial"/>
        </w:rPr>
        <w:t>and further into the future</w:t>
      </w:r>
      <w:r w:rsidRPr="00F36C3C">
        <w:rPr>
          <w:rFonts w:ascii="Arial" w:hAnsi="Arial" w:cs="Arial"/>
        </w:rPr>
        <w:t xml:space="preserve"> could provide around 20% of the UK’s domestic gas demand</w:t>
      </w:r>
      <w:r>
        <w:rPr>
          <w:rFonts w:ascii="Arial" w:hAnsi="Arial" w:cs="Arial"/>
        </w:rPr>
        <w:t>.</w:t>
      </w:r>
    </w:p>
    <w:p w:rsidR="00B80352" w:rsidRDefault="00B80352" w:rsidP="006535BB">
      <w:pPr>
        <w:pStyle w:val="ListParagraph"/>
        <w:ind w:left="0"/>
        <w:rPr>
          <w:rFonts w:ascii="Arial" w:hAnsi="Arial" w:cs="Arial"/>
        </w:rPr>
      </w:pPr>
    </w:p>
    <w:p w:rsidR="00B80352" w:rsidRPr="00BE65EB" w:rsidRDefault="00B80352" w:rsidP="006535BB">
      <w:pPr>
        <w:pStyle w:val="ListParagraph"/>
        <w:ind w:left="0"/>
        <w:rPr>
          <w:rFonts w:ascii="Arial" w:hAnsi="Arial" w:cs="Arial"/>
        </w:rPr>
      </w:pPr>
      <w:r w:rsidRPr="00BE65EB">
        <w:rPr>
          <w:rFonts w:ascii="Arial" w:hAnsi="Arial" w:cs="Arial"/>
        </w:rPr>
        <w:t>In the UK, the DSOs facilitate the injection of biomethane in</w:t>
      </w:r>
      <w:r>
        <w:rPr>
          <w:rFonts w:ascii="Arial" w:hAnsi="Arial" w:cs="Arial"/>
        </w:rPr>
        <w:t xml:space="preserve">to </w:t>
      </w:r>
      <w:r w:rsidRPr="00BE65EB">
        <w:rPr>
          <w:rFonts w:ascii="Arial" w:hAnsi="Arial" w:cs="Arial"/>
        </w:rPr>
        <w:t xml:space="preserve">the system, but remain commercially neutral to it – indeed there are no incentives under the RIIO </w:t>
      </w:r>
      <w:r w:rsidR="00213FAC">
        <w:rPr>
          <w:rFonts w:ascii="Arial" w:hAnsi="Arial" w:cs="Arial"/>
        </w:rPr>
        <w:t xml:space="preserve">GD1 </w:t>
      </w:r>
      <w:r w:rsidRPr="00BE65EB">
        <w:rPr>
          <w:rFonts w:ascii="Arial" w:hAnsi="Arial" w:cs="Arial"/>
        </w:rPr>
        <w:t>price control to increase the num</w:t>
      </w:r>
      <w:r w:rsidR="00213FAC">
        <w:rPr>
          <w:rFonts w:ascii="Arial" w:hAnsi="Arial" w:cs="Arial"/>
        </w:rPr>
        <w:t>ber of biomethane i</w:t>
      </w:r>
      <w:r w:rsidRPr="00BE65EB">
        <w:rPr>
          <w:rFonts w:ascii="Arial" w:hAnsi="Arial" w:cs="Arial"/>
        </w:rPr>
        <w:t>njection plants, and yet</w:t>
      </w:r>
      <w:r w:rsidR="00213FAC">
        <w:rPr>
          <w:rFonts w:ascii="Arial" w:hAnsi="Arial" w:cs="Arial"/>
        </w:rPr>
        <w:t>,</w:t>
      </w:r>
      <w:r w:rsidRPr="00BE65EB">
        <w:rPr>
          <w:rFonts w:ascii="Arial" w:hAnsi="Arial" w:cs="Arial"/>
        </w:rPr>
        <w:t xml:space="preserve"> the GDNs are actively working with the producers to connect plants to the system</w:t>
      </w:r>
      <w:r>
        <w:rPr>
          <w:rFonts w:ascii="Arial" w:hAnsi="Arial" w:cs="Arial"/>
        </w:rPr>
        <w:t xml:space="preserve"> as neutral market facilitators</w:t>
      </w:r>
      <w:r w:rsidRPr="00BE65EB">
        <w:rPr>
          <w:rFonts w:ascii="Arial" w:hAnsi="Arial" w:cs="Arial"/>
        </w:rPr>
        <w:t>.</w:t>
      </w:r>
    </w:p>
    <w:p w:rsidR="00B80352" w:rsidRPr="00464EDE" w:rsidRDefault="00B80352" w:rsidP="00086DFD">
      <w:pPr>
        <w:jc w:val="center"/>
        <w:rPr>
          <w:rFonts w:cs="Arial"/>
          <w:b/>
          <w:color w:val="365F91"/>
          <w:u w:val="single"/>
        </w:rPr>
      </w:pPr>
      <w:r>
        <w:rPr>
          <w:sz w:val="24"/>
          <w:szCs w:val="24"/>
        </w:rPr>
        <w:br w:type="page"/>
      </w:r>
      <w:r w:rsidRPr="00464EDE">
        <w:rPr>
          <w:rFonts w:cs="Arial"/>
          <w:b/>
          <w:color w:val="365F91"/>
          <w:u w:val="single"/>
        </w:rPr>
        <w:lastRenderedPageBreak/>
        <w:t>ENA VIEWS ON PRIORITY AREAS FOR FUTURE REGULATORY ACTION</w:t>
      </w:r>
    </w:p>
    <w:p w:rsidR="00B80352" w:rsidRPr="008C3D07" w:rsidRDefault="00B80352" w:rsidP="00993DB0">
      <w:pPr>
        <w:numPr>
          <w:ilvl w:val="0"/>
          <w:numId w:val="7"/>
        </w:numPr>
        <w:spacing w:after="0" w:line="240" w:lineRule="auto"/>
        <w:rPr>
          <w:rFonts w:cs="Arial"/>
          <w:b/>
          <w:color w:val="365F91"/>
          <w:u w:val="single"/>
        </w:rPr>
      </w:pPr>
      <w:r>
        <w:rPr>
          <w:rFonts w:cs="Arial"/>
          <w:b/>
          <w:color w:val="365F91"/>
          <w:u w:val="single"/>
        </w:rPr>
        <w:t>Future role of DSOs including appropriate degree of unbundling</w:t>
      </w:r>
    </w:p>
    <w:p w:rsidR="00B80352" w:rsidRPr="008C3D07" w:rsidRDefault="00B80352" w:rsidP="00993DB0">
      <w:pPr>
        <w:pStyle w:val="ListParagraph"/>
        <w:rPr>
          <w:rFonts w:ascii="Arial" w:hAnsi="Arial" w:cs="Arial"/>
          <w:color w:val="244061"/>
        </w:rPr>
      </w:pPr>
    </w:p>
    <w:p w:rsidR="00B80352" w:rsidRPr="0010218F" w:rsidRDefault="00B80352" w:rsidP="0010218F">
      <w:pPr>
        <w:pStyle w:val="ListParagraph"/>
        <w:ind w:left="0"/>
        <w:rPr>
          <w:rFonts w:ascii="Arial" w:hAnsi="Arial" w:cs="Arial"/>
          <w:iCs/>
        </w:rPr>
      </w:pPr>
      <w:r w:rsidRPr="0010218F">
        <w:rPr>
          <w:rFonts w:ascii="Arial" w:hAnsi="Arial" w:cs="Arial"/>
        </w:rPr>
        <w:t>ENA fully support</w:t>
      </w:r>
      <w:r w:rsidR="00153B75">
        <w:rPr>
          <w:rFonts w:ascii="Arial" w:hAnsi="Arial" w:cs="Arial"/>
        </w:rPr>
        <w:t>s</w:t>
      </w:r>
      <w:r w:rsidRPr="0010218F">
        <w:rPr>
          <w:rFonts w:ascii="Arial" w:hAnsi="Arial" w:cs="Arial"/>
        </w:rPr>
        <w:t xml:space="preserve"> the </w:t>
      </w:r>
      <w:r>
        <w:rPr>
          <w:rFonts w:ascii="Arial" w:hAnsi="Arial" w:cs="Arial"/>
        </w:rPr>
        <w:t xml:space="preserve">Green Paper </w:t>
      </w:r>
      <w:r w:rsidRPr="0010218F">
        <w:rPr>
          <w:rFonts w:ascii="Arial" w:hAnsi="Arial" w:cs="Arial"/>
        </w:rPr>
        <w:t>statement that the DSOs role should be a</w:t>
      </w:r>
      <w:r>
        <w:rPr>
          <w:rFonts w:ascii="Arial" w:hAnsi="Arial" w:cs="Arial"/>
        </w:rPr>
        <w:t>s</w:t>
      </w:r>
      <w:r w:rsidRPr="0010218F">
        <w:rPr>
          <w:rFonts w:ascii="Arial" w:hAnsi="Arial" w:cs="Arial"/>
        </w:rPr>
        <w:t xml:space="preserve"> “neutral market facilitator</w:t>
      </w:r>
      <w:r>
        <w:rPr>
          <w:rFonts w:ascii="Arial" w:hAnsi="Arial" w:cs="Arial"/>
        </w:rPr>
        <w:t>s</w:t>
      </w:r>
      <w:r w:rsidRPr="0010218F">
        <w:rPr>
          <w:rFonts w:ascii="Arial" w:hAnsi="Arial" w:cs="Arial"/>
        </w:rPr>
        <w:t>”</w:t>
      </w:r>
      <w:r w:rsidR="00213FAC">
        <w:rPr>
          <w:rFonts w:ascii="Arial" w:hAnsi="Arial" w:cs="Arial"/>
        </w:rPr>
        <w:t>,</w:t>
      </w:r>
      <w:r w:rsidRPr="0010218F">
        <w:rPr>
          <w:rFonts w:ascii="Arial" w:hAnsi="Arial" w:cs="Arial"/>
        </w:rPr>
        <w:t xml:space="preserve"> responsible for distribution network systems and</w:t>
      </w:r>
      <w:r w:rsidR="00153B75">
        <w:rPr>
          <w:rFonts w:ascii="Arial" w:hAnsi="Arial" w:cs="Arial"/>
        </w:rPr>
        <w:t>,</w:t>
      </w:r>
      <w:r w:rsidRPr="0010218F">
        <w:rPr>
          <w:rFonts w:ascii="Arial" w:hAnsi="Arial" w:cs="Arial"/>
        </w:rPr>
        <w:t xml:space="preserve"> </w:t>
      </w:r>
      <w:r>
        <w:rPr>
          <w:rFonts w:ascii="Arial" w:hAnsi="Arial" w:cs="Arial"/>
        </w:rPr>
        <w:t>in most Member States</w:t>
      </w:r>
      <w:r w:rsidR="00153B75">
        <w:rPr>
          <w:rFonts w:ascii="Arial" w:hAnsi="Arial" w:cs="Arial"/>
        </w:rPr>
        <w:t>,</w:t>
      </w:r>
      <w:r>
        <w:rPr>
          <w:rFonts w:ascii="Arial" w:hAnsi="Arial" w:cs="Arial"/>
        </w:rPr>
        <w:t xml:space="preserve"> for</w:t>
      </w:r>
      <w:r w:rsidRPr="0010218F">
        <w:rPr>
          <w:rFonts w:ascii="Arial" w:hAnsi="Arial" w:cs="Arial"/>
        </w:rPr>
        <w:t xml:space="preserve"> data management.  We feel that the full implementation of the unbundling </w:t>
      </w:r>
      <w:r>
        <w:rPr>
          <w:rFonts w:ascii="Arial" w:hAnsi="Arial" w:cs="Arial"/>
        </w:rPr>
        <w:t xml:space="preserve">rules </w:t>
      </w:r>
      <w:r w:rsidRPr="0010218F">
        <w:rPr>
          <w:rFonts w:ascii="Arial" w:hAnsi="Arial" w:cs="Arial"/>
        </w:rPr>
        <w:t xml:space="preserve">as required under the Third Package should be pursued across all </w:t>
      </w:r>
      <w:r>
        <w:rPr>
          <w:rFonts w:ascii="Arial" w:hAnsi="Arial" w:cs="Arial"/>
        </w:rPr>
        <w:t>M</w:t>
      </w:r>
      <w:r w:rsidRPr="0010218F">
        <w:rPr>
          <w:rFonts w:ascii="Arial" w:hAnsi="Arial" w:cs="Arial"/>
        </w:rPr>
        <w:t xml:space="preserve">ember </w:t>
      </w:r>
      <w:r>
        <w:rPr>
          <w:rFonts w:ascii="Arial" w:hAnsi="Arial" w:cs="Arial"/>
        </w:rPr>
        <w:t>S</w:t>
      </w:r>
      <w:r w:rsidRPr="0010218F">
        <w:rPr>
          <w:rFonts w:ascii="Arial" w:hAnsi="Arial" w:cs="Arial"/>
        </w:rPr>
        <w:t xml:space="preserve">tates and the </w:t>
      </w:r>
      <w:r w:rsidRPr="0010218F">
        <w:rPr>
          <w:rFonts w:ascii="Arial" w:hAnsi="Arial" w:cs="Arial"/>
          <w:iCs/>
        </w:rPr>
        <w:t xml:space="preserve">relationships between DSOs, other service providers and consumers should be </w:t>
      </w:r>
      <w:r>
        <w:rPr>
          <w:rFonts w:ascii="Arial" w:hAnsi="Arial" w:cs="Arial"/>
          <w:iCs/>
        </w:rPr>
        <w:t>clarif</w:t>
      </w:r>
      <w:r w:rsidRPr="0010218F">
        <w:rPr>
          <w:rFonts w:ascii="Arial" w:hAnsi="Arial" w:cs="Arial"/>
          <w:iCs/>
        </w:rPr>
        <w:t>ied.</w:t>
      </w:r>
    </w:p>
    <w:p w:rsidR="00B80352" w:rsidRDefault="00B80352" w:rsidP="00993DB0">
      <w:pPr>
        <w:pStyle w:val="ListParagraph"/>
        <w:ind w:left="0"/>
        <w:rPr>
          <w:rFonts w:ascii="Arial" w:hAnsi="Arial" w:cs="Arial"/>
        </w:rPr>
      </w:pPr>
    </w:p>
    <w:p w:rsidR="00B80352" w:rsidRDefault="00B80352" w:rsidP="00993DB0">
      <w:pPr>
        <w:pStyle w:val="ListParagraph"/>
        <w:ind w:left="0"/>
        <w:rPr>
          <w:rFonts w:ascii="Arial" w:hAnsi="Arial" w:cs="Arial"/>
        </w:rPr>
      </w:pPr>
      <w:r>
        <w:rPr>
          <w:rFonts w:ascii="Arial" w:hAnsi="Arial" w:cs="Arial"/>
        </w:rPr>
        <w:t xml:space="preserve">However we do not see the proposed review of DSO unbundling as a priority area of work for the regulators. Responses to the European Commission’s recent consultation on retail market design confirmed that EU stakeholders across the board do not see the current DSO unbundling arrangements as unsatisfactory or a barrier to the operation of the internal energy market. </w:t>
      </w:r>
    </w:p>
    <w:p w:rsidR="00B80352" w:rsidRDefault="00B80352" w:rsidP="00993DB0">
      <w:pPr>
        <w:pStyle w:val="ListParagraph"/>
        <w:ind w:left="0"/>
        <w:rPr>
          <w:rFonts w:ascii="Arial" w:hAnsi="Arial" w:cs="Arial"/>
        </w:rPr>
      </w:pPr>
    </w:p>
    <w:p w:rsidR="00B80352" w:rsidRPr="00A6614B" w:rsidRDefault="00B80352" w:rsidP="00993DB0">
      <w:pPr>
        <w:pStyle w:val="ListParagraph"/>
        <w:ind w:left="0"/>
        <w:rPr>
          <w:rFonts w:ascii="Arial" w:hAnsi="Arial" w:cs="Arial"/>
        </w:rPr>
      </w:pPr>
      <w:r>
        <w:rPr>
          <w:rFonts w:ascii="Arial" w:hAnsi="Arial" w:cs="Arial"/>
        </w:rPr>
        <w:t xml:space="preserve">ENA’s </w:t>
      </w:r>
      <w:r w:rsidRPr="00A6614B">
        <w:rPr>
          <w:rFonts w:ascii="Arial" w:hAnsi="Arial" w:cs="Arial"/>
        </w:rPr>
        <w:t xml:space="preserve">view is that the </w:t>
      </w:r>
      <w:r>
        <w:rPr>
          <w:rFonts w:ascii="Arial" w:hAnsi="Arial" w:cs="Arial"/>
        </w:rPr>
        <w:t xml:space="preserve">existing </w:t>
      </w:r>
      <w:r w:rsidRPr="00A6614B">
        <w:rPr>
          <w:rFonts w:ascii="Arial" w:hAnsi="Arial" w:cs="Arial"/>
        </w:rPr>
        <w:t>unbundling rules from the 2</w:t>
      </w:r>
      <w:r w:rsidRPr="00A6614B">
        <w:rPr>
          <w:rFonts w:ascii="Arial" w:hAnsi="Arial" w:cs="Arial"/>
          <w:vertAlign w:val="superscript"/>
        </w:rPr>
        <w:t>nd</w:t>
      </w:r>
      <w:r w:rsidRPr="00A6614B">
        <w:rPr>
          <w:rFonts w:ascii="Arial" w:hAnsi="Arial" w:cs="Arial"/>
        </w:rPr>
        <w:t xml:space="preserve"> and 3</w:t>
      </w:r>
      <w:r w:rsidRPr="00A6614B">
        <w:rPr>
          <w:rFonts w:ascii="Arial" w:hAnsi="Arial" w:cs="Arial"/>
          <w:vertAlign w:val="superscript"/>
        </w:rPr>
        <w:t>rd</w:t>
      </w:r>
      <w:r w:rsidRPr="00A6614B">
        <w:rPr>
          <w:rFonts w:ascii="Arial" w:hAnsi="Arial" w:cs="Arial"/>
        </w:rPr>
        <w:t xml:space="preserve"> energy packages are comprehensive, in force, and being actively monitored by national regulators to ensure the non discriminatory behaviour of the DSOs as neutral market facilitators. The main focus </w:t>
      </w:r>
      <w:r>
        <w:rPr>
          <w:rFonts w:ascii="Arial" w:hAnsi="Arial" w:cs="Arial"/>
        </w:rPr>
        <w:t xml:space="preserve">for regulators and the Commission </w:t>
      </w:r>
      <w:r w:rsidRPr="00A6614B">
        <w:rPr>
          <w:rFonts w:ascii="Arial" w:hAnsi="Arial" w:cs="Arial"/>
        </w:rPr>
        <w:t>should therefore be on the full implementation of these rules</w:t>
      </w:r>
      <w:r>
        <w:rPr>
          <w:rFonts w:ascii="Arial" w:hAnsi="Arial" w:cs="Arial"/>
        </w:rPr>
        <w:t xml:space="preserve">, across Europe, </w:t>
      </w:r>
      <w:r w:rsidRPr="00A6614B">
        <w:rPr>
          <w:rFonts w:ascii="Arial" w:hAnsi="Arial" w:cs="Arial"/>
        </w:rPr>
        <w:t xml:space="preserve">before any decisions are taken to introduce new </w:t>
      </w:r>
      <w:r>
        <w:rPr>
          <w:rFonts w:ascii="Arial" w:hAnsi="Arial" w:cs="Arial"/>
        </w:rPr>
        <w:t xml:space="preserve">business separation </w:t>
      </w:r>
      <w:r w:rsidRPr="00A6614B">
        <w:rPr>
          <w:rFonts w:ascii="Arial" w:hAnsi="Arial" w:cs="Arial"/>
        </w:rPr>
        <w:t>requirements, with the risk of ‘unintended consequences’.</w:t>
      </w:r>
    </w:p>
    <w:p w:rsidR="00B80352" w:rsidRPr="00A6614B" w:rsidRDefault="00B80352" w:rsidP="00993DB0">
      <w:pPr>
        <w:pStyle w:val="ListParagraph"/>
        <w:autoSpaceDE w:val="0"/>
        <w:autoSpaceDN w:val="0"/>
        <w:adjustRightInd w:val="0"/>
        <w:spacing w:after="0" w:line="240" w:lineRule="auto"/>
        <w:rPr>
          <w:rFonts w:ascii="Helvetica" w:hAnsi="Helvetica" w:cs="Helvetica"/>
        </w:rPr>
      </w:pPr>
    </w:p>
    <w:p w:rsidR="009E4E9A" w:rsidRDefault="00B80352" w:rsidP="00993DB0">
      <w:pPr>
        <w:pStyle w:val="ListParagraph"/>
        <w:ind w:left="0"/>
        <w:rPr>
          <w:rFonts w:ascii="Arial" w:hAnsi="Arial" w:cs="Arial"/>
        </w:rPr>
      </w:pPr>
      <w:r w:rsidRPr="00625009">
        <w:rPr>
          <w:rFonts w:ascii="Arial" w:hAnsi="Arial" w:cs="Arial"/>
        </w:rPr>
        <w:t xml:space="preserve">We note that ACER considers ‘ownership unbundling’ as the preferred solution for DSOs in the future. We are strongly opposed to this suggestion and would caution against developing a “one size fits all” approach. In the UK, comprehensive business separation provisions - as part of an open and transparent energy sector overseen by a strong independent national regulator - ensure effective separation and actively promote competition. These are long standing arrangements which work well for customers. </w:t>
      </w:r>
    </w:p>
    <w:p w:rsidR="009E4E9A" w:rsidRDefault="009E4E9A" w:rsidP="00993DB0">
      <w:pPr>
        <w:pStyle w:val="ListParagraph"/>
        <w:ind w:left="0"/>
        <w:rPr>
          <w:rFonts w:ascii="Arial" w:hAnsi="Arial" w:cs="Arial"/>
        </w:rPr>
      </w:pPr>
    </w:p>
    <w:p w:rsidR="00B80352" w:rsidRDefault="00B80352" w:rsidP="00993DB0">
      <w:pPr>
        <w:pStyle w:val="ListParagraph"/>
        <w:ind w:left="0"/>
        <w:rPr>
          <w:rFonts w:ascii="Arial" w:hAnsi="Arial" w:cs="Arial"/>
        </w:rPr>
      </w:pPr>
      <w:r w:rsidRPr="00625009">
        <w:rPr>
          <w:rFonts w:ascii="Arial" w:hAnsi="Arial" w:cs="Arial"/>
        </w:rPr>
        <w:t xml:space="preserve">Fundamental changes to the ownership structures of DSOs, when there is no evidence that current structures are acting to the detriment of customers, </w:t>
      </w:r>
      <w:r>
        <w:rPr>
          <w:rFonts w:ascii="Arial" w:hAnsi="Arial" w:cs="Arial"/>
        </w:rPr>
        <w:t>c</w:t>
      </w:r>
      <w:r w:rsidRPr="00625009">
        <w:rPr>
          <w:rFonts w:ascii="Arial" w:hAnsi="Arial" w:cs="Arial"/>
        </w:rPr>
        <w:t>ould be an unnecessary distraction. Where DSOs are in private ownership, as in the UK, this would raise significant issues around property rights and the value of deployed equity. In particular, this could put at risk important investments</w:t>
      </w:r>
      <w:r>
        <w:rPr>
          <w:rFonts w:ascii="Arial" w:hAnsi="Arial" w:cs="Arial"/>
        </w:rPr>
        <w:t>,</w:t>
      </w:r>
      <w:r w:rsidRPr="00625009">
        <w:rPr>
          <w:rFonts w:ascii="Arial" w:hAnsi="Arial" w:cs="Arial"/>
        </w:rPr>
        <w:t xml:space="preserve"> and also constrain the future development of the DSO role. Furthermore we note that nothing in the existing structure restricts DSOs from carrying out the roles proposed in the consultation, indeed many of the roles are already carried out by DSOs </w:t>
      </w:r>
      <w:r>
        <w:rPr>
          <w:rFonts w:ascii="Arial" w:hAnsi="Arial" w:cs="Arial"/>
        </w:rPr>
        <w:t xml:space="preserve">in the UK </w:t>
      </w:r>
      <w:r w:rsidRPr="00625009">
        <w:rPr>
          <w:rFonts w:ascii="Arial" w:hAnsi="Arial" w:cs="Arial"/>
        </w:rPr>
        <w:t>and we expect DSOs to expand further into these areas in the future.</w:t>
      </w:r>
    </w:p>
    <w:p w:rsidR="00B80352" w:rsidRDefault="00B80352" w:rsidP="0010218F">
      <w:pPr>
        <w:pStyle w:val="ListParagraph"/>
        <w:rPr>
          <w:rFonts w:ascii="Arial" w:hAnsi="Arial" w:cs="Arial"/>
          <w:b/>
          <w:color w:val="365F91"/>
        </w:rPr>
      </w:pPr>
    </w:p>
    <w:p w:rsidR="00B80352" w:rsidRPr="008C3D07" w:rsidRDefault="00B80352" w:rsidP="00345EE1">
      <w:pPr>
        <w:pStyle w:val="ListParagraph"/>
        <w:numPr>
          <w:ilvl w:val="0"/>
          <w:numId w:val="7"/>
        </w:numPr>
        <w:rPr>
          <w:rFonts w:ascii="Arial" w:hAnsi="Arial" w:cs="Arial"/>
          <w:b/>
          <w:color w:val="365F91"/>
        </w:rPr>
      </w:pPr>
      <w:r w:rsidRPr="008C3D07">
        <w:rPr>
          <w:rFonts w:ascii="Arial" w:hAnsi="Arial" w:cs="Arial"/>
          <w:b/>
          <w:color w:val="365F91"/>
          <w:u w:val="single"/>
        </w:rPr>
        <w:t>Demand Response</w:t>
      </w:r>
    </w:p>
    <w:p w:rsidR="00B80352" w:rsidRDefault="00B80352" w:rsidP="00345EE1">
      <w:pPr>
        <w:pStyle w:val="ListParagraph"/>
        <w:ind w:left="0"/>
        <w:rPr>
          <w:rFonts w:ascii="Arial" w:hAnsi="Arial" w:cs="Arial"/>
          <w:sz w:val="24"/>
          <w:szCs w:val="24"/>
        </w:rPr>
      </w:pPr>
    </w:p>
    <w:p w:rsidR="00B80352" w:rsidRDefault="00B80352" w:rsidP="00370D3D">
      <w:pPr>
        <w:pStyle w:val="ListParagraph"/>
        <w:ind w:left="0"/>
        <w:rPr>
          <w:rFonts w:ascii="Arial" w:hAnsi="Arial" w:cs="Arial"/>
          <w:bCs/>
          <w:iCs/>
        </w:rPr>
      </w:pPr>
      <w:r w:rsidRPr="00B97DAB">
        <w:rPr>
          <w:rFonts w:ascii="Arial" w:hAnsi="Arial" w:cs="Arial"/>
          <w:bCs/>
          <w:iCs/>
        </w:rPr>
        <w:t xml:space="preserve">Flexibility mechanisms, including smarter demand side and the development of smart grids, </w:t>
      </w:r>
      <w:r>
        <w:rPr>
          <w:rFonts w:ascii="Arial" w:hAnsi="Arial" w:cs="Arial"/>
          <w:bCs/>
          <w:iCs/>
        </w:rPr>
        <w:t xml:space="preserve">clearly </w:t>
      </w:r>
      <w:r w:rsidRPr="00B97DAB">
        <w:rPr>
          <w:rFonts w:ascii="Arial" w:hAnsi="Arial" w:cs="Arial"/>
          <w:bCs/>
          <w:iCs/>
        </w:rPr>
        <w:t>have great potential to reduce, but not eliminate, the costs associated with network reinforcement – also providing benefits to the market as a whole with the avoided costs of generation.</w:t>
      </w:r>
      <w:r>
        <w:rPr>
          <w:rFonts w:ascii="Arial" w:hAnsi="Arial" w:cs="Arial"/>
          <w:bCs/>
          <w:iCs/>
        </w:rPr>
        <w:t xml:space="preserve"> However, there will always be a need for some traditional reinforcement and replacement of ageing networks infrastructure.</w:t>
      </w:r>
    </w:p>
    <w:p w:rsidR="00B80352" w:rsidRDefault="00B80352" w:rsidP="00370D3D">
      <w:pPr>
        <w:pStyle w:val="ListParagraph"/>
        <w:ind w:left="0"/>
        <w:rPr>
          <w:rFonts w:ascii="Arial" w:hAnsi="Arial" w:cs="Arial"/>
          <w:bCs/>
          <w:iCs/>
        </w:rPr>
      </w:pPr>
    </w:p>
    <w:p w:rsidR="00B80352" w:rsidRPr="00B97DAB" w:rsidRDefault="00B80352" w:rsidP="00345EE1">
      <w:pPr>
        <w:pStyle w:val="ListParagraph"/>
        <w:ind w:left="0"/>
        <w:rPr>
          <w:rFonts w:ascii="Arial" w:hAnsi="Arial" w:cs="Arial"/>
          <w:iCs/>
        </w:rPr>
      </w:pPr>
      <w:r w:rsidRPr="00B97DAB">
        <w:rPr>
          <w:rFonts w:ascii="Arial" w:hAnsi="Arial" w:cs="Arial"/>
        </w:rPr>
        <w:lastRenderedPageBreak/>
        <w:t xml:space="preserve">We </w:t>
      </w:r>
      <w:r>
        <w:rPr>
          <w:rFonts w:ascii="Arial" w:hAnsi="Arial" w:cs="Arial"/>
        </w:rPr>
        <w:t xml:space="preserve">therefore agree with ACER that the mapping out of </w:t>
      </w:r>
      <w:r w:rsidRPr="00B97DAB">
        <w:rPr>
          <w:rFonts w:ascii="Arial" w:hAnsi="Arial" w:cs="Arial"/>
        </w:rPr>
        <w:t>a</w:t>
      </w:r>
      <w:r>
        <w:rPr>
          <w:rFonts w:ascii="Arial" w:hAnsi="Arial" w:cs="Arial"/>
        </w:rPr>
        <w:t>n EU</w:t>
      </w:r>
      <w:r w:rsidRPr="00B97DAB">
        <w:rPr>
          <w:rFonts w:ascii="Arial" w:hAnsi="Arial" w:cs="Arial"/>
        </w:rPr>
        <w:t xml:space="preserve"> framework for demand response</w:t>
      </w:r>
      <w:r>
        <w:rPr>
          <w:rFonts w:ascii="Arial" w:hAnsi="Arial" w:cs="Arial"/>
        </w:rPr>
        <w:t xml:space="preserve"> covering commercial, regulatory and standardisation aspects could be helpful</w:t>
      </w:r>
      <w:r w:rsidRPr="00B97DAB">
        <w:rPr>
          <w:rFonts w:ascii="Arial" w:hAnsi="Arial" w:cs="Arial"/>
        </w:rPr>
        <w:t>.</w:t>
      </w:r>
      <w:r>
        <w:rPr>
          <w:rFonts w:ascii="Arial" w:hAnsi="Arial" w:cs="Arial"/>
        </w:rPr>
        <w:t xml:space="preserve"> </w:t>
      </w:r>
      <w:r w:rsidR="00213FAC">
        <w:rPr>
          <w:rFonts w:ascii="Arial" w:hAnsi="Arial" w:cs="Arial"/>
        </w:rPr>
        <w:t xml:space="preserve">However, </w:t>
      </w:r>
      <w:r w:rsidRPr="00B97DAB">
        <w:rPr>
          <w:rFonts w:ascii="Arial" w:hAnsi="Arial" w:cs="Arial"/>
          <w:iCs/>
        </w:rPr>
        <w:t>it is essential that steps</w:t>
      </w:r>
      <w:r w:rsidR="00213FAC">
        <w:rPr>
          <w:rFonts w:ascii="Arial" w:hAnsi="Arial" w:cs="Arial"/>
          <w:iCs/>
        </w:rPr>
        <w:t xml:space="preserve"> </w:t>
      </w:r>
      <w:r w:rsidRPr="00B97DAB">
        <w:rPr>
          <w:rFonts w:ascii="Arial" w:hAnsi="Arial" w:cs="Arial"/>
          <w:iCs/>
        </w:rPr>
        <w:t>taken to support smart grid developments are suitable for individual Member State</w:t>
      </w:r>
      <w:r>
        <w:rPr>
          <w:rFonts w:ascii="Arial" w:hAnsi="Arial" w:cs="Arial"/>
          <w:iCs/>
        </w:rPr>
        <w:t>s</w:t>
      </w:r>
      <w:r w:rsidRPr="00B97DAB">
        <w:rPr>
          <w:rFonts w:ascii="Arial" w:hAnsi="Arial" w:cs="Arial"/>
          <w:iCs/>
        </w:rPr>
        <w:t>. There are risks that a ‘pan European’ approach could be over prescriptive, and, rather than supporting and invigorating progress could have the opposite effect, inhibit</w:t>
      </w:r>
      <w:r>
        <w:rPr>
          <w:rFonts w:ascii="Arial" w:hAnsi="Arial" w:cs="Arial"/>
          <w:iCs/>
        </w:rPr>
        <w:t>ing</w:t>
      </w:r>
      <w:r w:rsidRPr="00B97DAB">
        <w:rPr>
          <w:rFonts w:ascii="Arial" w:hAnsi="Arial" w:cs="Arial"/>
          <w:iCs/>
        </w:rPr>
        <w:t xml:space="preserve"> national solutions and impos</w:t>
      </w:r>
      <w:r>
        <w:rPr>
          <w:rFonts w:ascii="Arial" w:hAnsi="Arial" w:cs="Arial"/>
          <w:iCs/>
        </w:rPr>
        <w:t>ing</w:t>
      </w:r>
      <w:r w:rsidRPr="00B97DAB">
        <w:rPr>
          <w:rFonts w:ascii="Arial" w:hAnsi="Arial" w:cs="Arial"/>
          <w:iCs/>
        </w:rPr>
        <w:t xml:space="preserve"> higher costs than are necessary.</w:t>
      </w:r>
      <w:r>
        <w:rPr>
          <w:rFonts w:ascii="Arial" w:hAnsi="Arial" w:cs="Arial"/>
          <w:iCs/>
        </w:rPr>
        <w:t xml:space="preserve"> Given the very different nature and functions of DSOs in the UK, compared to some other European DSOs, ENA would fully support the proposal for an EU ‘menu’ of (consistent) options for the regulation of DSOs based on some high level principles.</w:t>
      </w:r>
    </w:p>
    <w:p w:rsidR="00B80352" w:rsidRPr="00B97DAB" w:rsidRDefault="00B80352" w:rsidP="00345EE1">
      <w:pPr>
        <w:pStyle w:val="ListParagraph"/>
        <w:ind w:left="0"/>
        <w:rPr>
          <w:rFonts w:ascii="Arial" w:hAnsi="Arial" w:cs="Arial"/>
          <w:iCs/>
        </w:rPr>
      </w:pPr>
    </w:p>
    <w:p w:rsidR="00B80352" w:rsidRPr="00B97DAB" w:rsidRDefault="00B80352" w:rsidP="00345EE1">
      <w:pPr>
        <w:pStyle w:val="ListParagraph"/>
        <w:ind w:left="0"/>
        <w:rPr>
          <w:rFonts w:ascii="Arial" w:hAnsi="Arial" w:cs="Arial"/>
          <w:bCs/>
          <w:iCs/>
        </w:rPr>
      </w:pPr>
      <w:r>
        <w:rPr>
          <w:rFonts w:ascii="Arial" w:hAnsi="Arial" w:cs="Arial"/>
          <w:iCs/>
        </w:rPr>
        <w:t>F</w:t>
      </w:r>
      <w:r w:rsidRPr="00B97DAB">
        <w:rPr>
          <w:rFonts w:ascii="Arial" w:hAnsi="Arial" w:cs="Arial"/>
          <w:iCs/>
        </w:rPr>
        <w:t>acilitating the wider use of demand response will be an</w:t>
      </w:r>
      <w:r w:rsidR="00213FAC">
        <w:rPr>
          <w:rFonts w:ascii="Arial" w:hAnsi="Arial" w:cs="Arial"/>
          <w:bCs/>
          <w:iCs/>
        </w:rPr>
        <w:t xml:space="preserve"> evolutionary process. T</w:t>
      </w:r>
      <w:r w:rsidRPr="00B97DAB">
        <w:rPr>
          <w:rFonts w:ascii="Arial" w:hAnsi="Arial" w:cs="Arial"/>
          <w:bCs/>
          <w:iCs/>
        </w:rPr>
        <w:t xml:space="preserve">he solutions themselves will also often be sufficiently complex that putting them in place could mean </w:t>
      </w:r>
      <w:r w:rsidR="00213FAC">
        <w:rPr>
          <w:rFonts w:ascii="Arial" w:hAnsi="Arial" w:cs="Arial"/>
          <w:bCs/>
          <w:iCs/>
        </w:rPr>
        <w:t xml:space="preserve">significant lead times, </w:t>
      </w:r>
      <w:r w:rsidRPr="00B97DAB">
        <w:rPr>
          <w:rFonts w:ascii="Arial" w:hAnsi="Arial" w:cs="Arial"/>
          <w:bCs/>
          <w:iCs/>
        </w:rPr>
        <w:t xml:space="preserve">significant costs associated with </w:t>
      </w:r>
      <w:r>
        <w:rPr>
          <w:rFonts w:ascii="Arial" w:hAnsi="Arial" w:cs="Arial"/>
          <w:bCs/>
          <w:iCs/>
        </w:rPr>
        <w:t xml:space="preserve">their </w:t>
      </w:r>
      <w:r w:rsidRPr="00B97DAB">
        <w:rPr>
          <w:rFonts w:ascii="Arial" w:hAnsi="Arial" w:cs="Arial"/>
          <w:bCs/>
          <w:iCs/>
        </w:rPr>
        <w:t>regulatory development</w:t>
      </w:r>
      <w:r w:rsidR="00213FAC">
        <w:rPr>
          <w:rFonts w:ascii="Arial" w:hAnsi="Arial" w:cs="Arial"/>
          <w:bCs/>
          <w:iCs/>
        </w:rPr>
        <w:t xml:space="preserve"> and </w:t>
      </w:r>
      <w:r w:rsidRPr="00B97DAB">
        <w:rPr>
          <w:rFonts w:ascii="Arial" w:hAnsi="Arial" w:cs="Arial"/>
          <w:bCs/>
          <w:iCs/>
        </w:rPr>
        <w:t xml:space="preserve">system and process changes for industry participants. </w:t>
      </w:r>
      <w:r>
        <w:rPr>
          <w:rFonts w:ascii="Arial" w:hAnsi="Arial" w:cs="Arial"/>
          <w:bCs/>
          <w:iCs/>
        </w:rPr>
        <w:t>T</w:t>
      </w:r>
      <w:r w:rsidRPr="00B97DAB">
        <w:rPr>
          <w:rFonts w:ascii="Arial" w:hAnsi="Arial" w:cs="Arial"/>
          <w:bCs/>
          <w:iCs/>
        </w:rPr>
        <w:t xml:space="preserve">hese </w:t>
      </w:r>
      <w:r>
        <w:rPr>
          <w:rFonts w:ascii="Arial" w:hAnsi="Arial" w:cs="Arial"/>
          <w:bCs/>
          <w:iCs/>
        </w:rPr>
        <w:t xml:space="preserve">changes and their </w:t>
      </w:r>
      <w:r w:rsidRPr="00B97DAB">
        <w:rPr>
          <w:rFonts w:ascii="Arial" w:hAnsi="Arial" w:cs="Arial"/>
          <w:bCs/>
          <w:iCs/>
        </w:rPr>
        <w:t>costs are likely to increase substantially with increased levels of intervention.</w:t>
      </w:r>
    </w:p>
    <w:p w:rsidR="00B80352" w:rsidRDefault="00B80352" w:rsidP="00345EE1">
      <w:pPr>
        <w:pStyle w:val="ListParagraph"/>
        <w:ind w:left="0"/>
        <w:rPr>
          <w:rFonts w:ascii="Arial" w:hAnsi="Arial" w:cs="Arial"/>
          <w:b/>
        </w:rPr>
      </w:pPr>
    </w:p>
    <w:p w:rsidR="00B80352" w:rsidRDefault="00B80352" w:rsidP="0046573A">
      <w:pPr>
        <w:pStyle w:val="ListParagraph"/>
        <w:numPr>
          <w:ilvl w:val="0"/>
          <w:numId w:val="7"/>
        </w:numPr>
        <w:rPr>
          <w:rFonts w:ascii="Arial" w:hAnsi="Arial" w:cs="Arial"/>
          <w:b/>
          <w:color w:val="365F91"/>
          <w:u w:val="single"/>
        </w:rPr>
      </w:pPr>
      <w:r w:rsidRPr="0046573A">
        <w:rPr>
          <w:rFonts w:ascii="Arial" w:hAnsi="Arial" w:cs="Arial"/>
          <w:b/>
          <w:color w:val="365F91"/>
          <w:u w:val="single"/>
        </w:rPr>
        <w:t xml:space="preserve"> </w:t>
      </w:r>
      <w:r w:rsidRPr="00DF05FA">
        <w:rPr>
          <w:rFonts w:ascii="Arial" w:hAnsi="Arial" w:cs="Arial"/>
          <w:b/>
          <w:color w:val="365F91"/>
          <w:u w:val="single"/>
        </w:rPr>
        <w:t>DSO- TSO co-operation</w:t>
      </w:r>
    </w:p>
    <w:p w:rsidR="00B80352" w:rsidRPr="00103F97" w:rsidRDefault="00B80352" w:rsidP="00103F97">
      <w:r w:rsidRPr="00103F97">
        <w:t xml:space="preserve">We support the recognition that the remit of DSOs is perhaps changing faster than any other single actor in the energy sector and </w:t>
      </w:r>
      <w:r>
        <w:t>ENA is</w:t>
      </w:r>
      <w:r w:rsidRPr="00103F97">
        <w:t xml:space="preserve"> committed as an organisation, that counts amongst its members all UK DSOs and TSOs, to ensure that the interface between sectors and across fuels is carefully managed and that provision is made for efficient information exchange, co-ordinated congestion management and integrated planning.</w:t>
      </w:r>
    </w:p>
    <w:p w:rsidR="00B80352" w:rsidRPr="008D3023" w:rsidRDefault="00B80352" w:rsidP="00103F97">
      <w:r>
        <w:t xml:space="preserve">It is very </w:t>
      </w:r>
      <w:r w:rsidRPr="008D3023">
        <w:t>importan</w:t>
      </w:r>
      <w:r>
        <w:t>t</w:t>
      </w:r>
      <w:r w:rsidRPr="008D3023">
        <w:t xml:space="preserve"> </w:t>
      </w:r>
      <w:r>
        <w:t xml:space="preserve">for the </w:t>
      </w:r>
      <w:r w:rsidRPr="008D3023">
        <w:t xml:space="preserve">NRAs and ACER </w:t>
      </w:r>
      <w:r>
        <w:t xml:space="preserve">to </w:t>
      </w:r>
      <w:r w:rsidRPr="008D3023">
        <w:t xml:space="preserve">work with DSOs and TSOs across all </w:t>
      </w:r>
      <w:r>
        <w:t>M</w:t>
      </w:r>
      <w:r w:rsidRPr="008D3023">
        <w:t xml:space="preserve">ember </w:t>
      </w:r>
      <w:r>
        <w:t>S</w:t>
      </w:r>
      <w:r w:rsidRPr="008D3023">
        <w:t>tates to help clearly define the respective roles as the industry changes over the next decade.  This should ensure that the DSOs are able to managing their evolving networks in a transparent and reliable way, whilst still providing excellent service to customers and supplying system services to the TSOs</w:t>
      </w:r>
      <w:r>
        <w:t>.</w:t>
      </w:r>
    </w:p>
    <w:p w:rsidR="00B80352" w:rsidRPr="00DF05FA" w:rsidRDefault="00E754F5" w:rsidP="008E3812">
      <w:pPr>
        <w:rPr>
          <w:rFonts w:cs="Arial"/>
          <w:iCs/>
        </w:rPr>
      </w:pPr>
      <w:r>
        <w:rPr>
          <w:rFonts w:cs="Arial"/>
          <w:iCs/>
        </w:rPr>
        <w:t xml:space="preserve">In the UK, </w:t>
      </w:r>
      <w:r w:rsidR="00B80352" w:rsidRPr="00DF05FA">
        <w:rPr>
          <w:rFonts w:cs="Arial"/>
          <w:iCs/>
        </w:rPr>
        <w:t xml:space="preserve">ENA’s </w:t>
      </w:r>
      <w:r w:rsidR="00B80352">
        <w:rPr>
          <w:rFonts w:cs="Arial"/>
          <w:iCs/>
        </w:rPr>
        <w:t xml:space="preserve">electricity </w:t>
      </w:r>
      <w:r w:rsidR="00B80352" w:rsidRPr="00DF05FA">
        <w:rPr>
          <w:rFonts w:cs="Arial"/>
          <w:iCs/>
        </w:rPr>
        <w:t xml:space="preserve">DSO </w:t>
      </w:r>
      <w:r w:rsidR="00B80352">
        <w:rPr>
          <w:rFonts w:cs="Arial"/>
          <w:iCs/>
        </w:rPr>
        <w:t xml:space="preserve">and TSO </w:t>
      </w:r>
      <w:r w:rsidR="00B80352" w:rsidRPr="00DF05FA">
        <w:rPr>
          <w:rFonts w:cs="Arial"/>
          <w:iCs/>
        </w:rPr>
        <w:t xml:space="preserve">members are </w:t>
      </w:r>
      <w:r w:rsidR="00B80352">
        <w:rPr>
          <w:rFonts w:cs="Arial"/>
          <w:iCs/>
        </w:rPr>
        <w:t xml:space="preserve">in </w:t>
      </w:r>
      <w:r w:rsidR="00B80352" w:rsidRPr="00DF05FA">
        <w:rPr>
          <w:rFonts w:cs="Arial"/>
          <w:iCs/>
        </w:rPr>
        <w:t xml:space="preserve">the early stages of developing a </w:t>
      </w:r>
      <w:r w:rsidR="00B80352">
        <w:rPr>
          <w:rFonts w:cs="Arial"/>
          <w:iCs/>
        </w:rPr>
        <w:t>f</w:t>
      </w:r>
      <w:r w:rsidR="00B80352" w:rsidRPr="00DF05FA">
        <w:rPr>
          <w:rFonts w:cs="Arial"/>
          <w:iCs/>
        </w:rPr>
        <w:t xml:space="preserve">ramework </w:t>
      </w:r>
      <w:r w:rsidR="00B80352">
        <w:rPr>
          <w:rFonts w:cs="Arial"/>
          <w:iCs/>
        </w:rPr>
        <w:t>for</w:t>
      </w:r>
      <w:r>
        <w:rPr>
          <w:rFonts w:cs="Arial"/>
          <w:iCs/>
        </w:rPr>
        <w:t xml:space="preserve"> a TSO-DSO Demand Side R</w:t>
      </w:r>
      <w:r w:rsidR="00B80352" w:rsidRPr="00DF05FA">
        <w:rPr>
          <w:rFonts w:cs="Arial"/>
          <w:iCs/>
        </w:rPr>
        <w:t xml:space="preserve">esponse </w:t>
      </w:r>
      <w:r>
        <w:rPr>
          <w:rFonts w:cs="Arial"/>
          <w:iCs/>
        </w:rPr>
        <w:t>(DSR) S</w:t>
      </w:r>
      <w:r w:rsidR="00B80352" w:rsidRPr="00DF05FA">
        <w:rPr>
          <w:rFonts w:cs="Arial"/>
          <w:iCs/>
        </w:rPr>
        <w:t xml:space="preserve">ervice </w:t>
      </w:r>
      <w:r>
        <w:rPr>
          <w:rFonts w:cs="Arial"/>
          <w:iCs/>
        </w:rPr>
        <w:t>Sharing M</w:t>
      </w:r>
      <w:r w:rsidR="00B80352" w:rsidRPr="00DF05FA">
        <w:rPr>
          <w:rFonts w:cs="Arial"/>
          <w:iCs/>
        </w:rPr>
        <w:t xml:space="preserve">odel, </w:t>
      </w:r>
      <w:r w:rsidR="00B80352">
        <w:rPr>
          <w:rFonts w:cs="Arial"/>
          <w:iCs/>
        </w:rPr>
        <w:t xml:space="preserve">where both </w:t>
      </w:r>
      <w:r w:rsidR="00B80352" w:rsidRPr="00DF05FA">
        <w:rPr>
          <w:rFonts w:cs="Arial"/>
          <w:iCs/>
        </w:rPr>
        <w:t xml:space="preserve">the costs and </w:t>
      </w:r>
      <w:r w:rsidR="00B80352">
        <w:rPr>
          <w:rFonts w:cs="Arial"/>
          <w:iCs/>
        </w:rPr>
        <w:t xml:space="preserve">the </w:t>
      </w:r>
      <w:r w:rsidR="00B80352" w:rsidRPr="00DF05FA">
        <w:rPr>
          <w:rFonts w:cs="Arial"/>
          <w:iCs/>
        </w:rPr>
        <w:t>operational benefits of a common demand response service</w:t>
      </w:r>
      <w:r w:rsidR="00B80352">
        <w:rPr>
          <w:rFonts w:cs="Arial"/>
          <w:iCs/>
        </w:rPr>
        <w:t xml:space="preserve"> can be shared</w:t>
      </w:r>
      <w:r w:rsidR="00B80352" w:rsidRPr="00DF05FA">
        <w:rPr>
          <w:rFonts w:cs="Arial"/>
          <w:iCs/>
        </w:rPr>
        <w:t xml:space="preserve">. </w:t>
      </w:r>
    </w:p>
    <w:p w:rsidR="00B80352" w:rsidRDefault="00B80352" w:rsidP="00BE0714">
      <w:pPr>
        <w:rPr>
          <w:rFonts w:cs="Arial"/>
          <w:iCs/>
        </w:rPr>
      </w:pPr>
      <w:r>
        <w:rPr>
          <w:rFonts w:cs="Arial"/>
          <w:iCs/>
        </w:rPr>
        <w:t xml:space="preserve">There are a range of issues to be addressed if </w:t>
      </w:r>
      <w:r w:rsidRPr="00DF05FA">
        <w:rPr>
          <w:rFonts w:cs="Arial"/>
          <w:iCs/>
        </w:rPr>
        <w:t>D</w:t>
      </w:r>
      <w:r>
        <w:rPr>
          <w:rFonts w:cs="Arial"/>
          <w:iCs/>
        </w:rPr>
        <w:t>S</w:t>
      </w:r>
      <w:r w:rsidRPr="00DF05FA">
        <w:rPr>
          <w:rFonts w:cs="Arial"/>
          <w:iCs/>
        </w:rPr>
        <w:t xml:space="preserve">Os </w:t>
      </w:r>
      <w:r>
        <w:rPr>
          <w:rFonts w:cs="Arial"/>
          <w:iCs/>
        </w:rPr>
        <w:t xml:space="preserve">are to share </w:t>
      </w:r>
      <w:r w:rsidRPr="00DF05FA">
        <w:rPr>
          <w:rFonts w:cs="Arial"/>
          <w:iCs/>
        </w:rPr>
        <w:t>services with other market participants.</w:t>
      </w:r>
      <w:r>
        <w:rPr>
          <w:rFonts w:cs="Arial"/>
          <w:iCs/>
        </w:rPr>
        <w:t xml:space="preserve"> </w:t>
      </w:r>
    </w:p>
    <w:p w:rsidR="00B80352" w:rsidRPr="00DF05FA" w:rsidRDefault="00B80352" w:rsidP="0046573A">
      <w:pPr>
        <w:pStyle w:val="ListParagraph"/>
        <w:autoSpaceDE w:val="0"/>
        <w:autoSpaceDN w:val="0"/>
        <w:spacing w:after="0" w:line="240" w:lineRule="auto"/>
        <w:ind w:left="0"/>
        <w:rPr>
          <w:rFonts w:ascii="Arial" w:hAnsi="Arial" w:cs="Arial"/>
          <w:iCs/>
        </w:rPr>
      </w:pPr>
      <w:r>
        <w:rPr>
          <w:rFonts w:ascii="Arial" w:hAnsi="Arial" w:cs="Arial"/>
          <w:iCs/>
        </w:rPr>
        <w:t>For example:</w:t>
      </w:r>
      <w:r w:rsidRPr="00DF05FA">
        <w:rPr>
          <w:rFonts w:ascii="Arial" w:hAnsi="Arial" w:cs="Arial"/>
          <w:iCs/>
        </w:rPr>
        <w:t xml:space="preserve"> </w:t>
      </w:r>
    </w:p>
    <w:p w:rsidR="00B80352" w:rsidRPr="00DF05FA" w:rsidRDefault="00B80352" w:rsidP="0046573A">
      <w:pPr>
        <w:pStyle w:val="ListParagraph"/>
        <w:autoSpaceDE w:val="0"/>
        <w:autoSpaceDN w:val="0"/>
        <w:spacing w:after="0" w:line="240" w:lineRule="auto"/>
        <w:rPr>
          <w:rFonts w:ascii="Arial" w:hAnsi="Arial" w:cs="Arial"/>
          <w:iCs/>
        </w:rPr>
      </w:pPr>
    </w:p>
    <w:p w:rsidR="00B80352" w:rsidRDefault="00B80352" w:rsidP="00153B75">
      <w:pPr>
        <w:pStyle w:val="ListParagraph"/>
        <w:numPr>
          <w:ilvl w:val="1"/>
          <w:numId w:val="8"/>
        </w:numPr>
        <w:autoSpaceDE w:val="0"/>
        <w:autoSpaceDN w:val="0"/>
        <w:spacing w:after="0"/>
        <w:rPr>
          <w:rFonts w:ascii="Arial" w:hAnsi="Arial" w:cs="Arial"/>
          <w:iCs/>
        </w:rPr>
      </w:pPr>
      <w:r>
        <w:rPr>
          <w:rFonts w:ascii="Arial" w:hAnsi="Arial" w:cs="Arial"/>
          <w:iCs/>
        </w:rPr>
        <w:t>C</w:t>
      </w:r>
      <w:r w:rsidRPr="00DF05FA">
        <w:rPr>
          <w:rFonts w:ascii="Arial" w:hAnsi="Arial" w:cs="Arial"/>
          <w:iCs/>
        </w:rPr>
        <w:t>ustomer awareness of the potential to sell DSR is currently quite low, although this is starting to change.</w:t>
      </w:r>
    </w:p>
    <w:p w:rsidR="00B80352" w:rsidRPr="00DF05FA" w:rsidRDefault="00B80352" w:rsidP="00153B75">
      <w:pPr>
        <w:pStyle w:val="ListParagraph"/>
        <w:numPr>
          <w:ilvl w:val="1"/>
          <w:numId w:val="8"/>
        </w:numPr>
        <w:autoSpaceDE w:val="0"/>
        <w:autoSpaceDN w:val="0"/>
        <w:spacing w:after="0"/>
        <w:rPr>
          <w:rFonts w:ascii="Arial" w:hAnsi="Arial" w:cs="Arial"/>
          <w:iCs/>
        </w:rPr>
      </w:pPr>
      <w:r>
        <w:rPr>
          <w:rFonts w:ascii="Arial" w:hAnsi="Arial" w:cs="Arial"/>
          <w:iCs/>
        </w:rPr>
        <w:t>A</w:t>
      </w:r>
      <w:r w:rsidRPr="00DF05FA">
        <w:rPr>
          <w:rFonts w:ascii="Arial" w:hAnsi="Arial" w:cs="Arial"/>
          <w:iCs/>
        </w:rPr>
        <w:t xml:space="preserve"> significant amount of flexibility is often unavailable to DSOs</w:t>
      </w:r>
      <w:r>
        <w:rPr>
          <w:rFonts w:ascii="Arial" w:hAnsi="Arial" w:cs="Arial"/>
          <w:iCs/>
        </w:rPr>
        <w:t>,</w:t>
      </w:r>
      <w:r w:rsidRPr="00DF05FA">
        <w:rPr>
          <w:rFonts w:ascii="Arial" w:hAnsi="Arial" w:cs="Arial"/>
          <w:iCs/>
        </w:rPr>
        <w:t xml:space="preserve"> as it has already been contracted to other market participants.  </w:t>
      </w:r>
    </w:p>
    <w:p w:rsidR="00B80352" w:rsidRPr="00DF05FA" w:rsidRDefault="00B80352" w:rsidP="00153B75">
      <w:pPr>
        <w:pStyle w:val="ListParagraph"/>
        <w:numPr>
          <w:ilvl w:val="1"/>
          <w:numId w:val="8"/>
        </w:numPr>
        <w:autoSpaceDE w:val="0"/>
        <w:autoSpaceDN w:val="0"/>
        <w:spacing w:after="0"/>
        <w:rPr>
          <w:rFonts w:ascii="Arial" w:hAnsi="Arial" w:cs="Arial"/>
          <w:iCs/>
        </w:rPr>
      </w:pPr>
      <w:r w:rsidRPr="00DF05FA">
        <w:rPr>
          <w:rFonts w:ascii="Arial" w:hAnsi="Arial" w:cs="Arial"/>
          <w:iCs/>
        </w:rPr>
        <w:t xml:space="preserve">Typically a DSOs’ requirement is for relatively short total hours of usage, likely to be concentrated around a network’s peak annual loads - potentially less expensive alternatives would </w:t>
      </w:r>
      <w:r>
        <w:rPr>
          <w:rFonts w:ascii="Arial" w:hAnsi="Arial" w:cs="Arial"/>
          <w:iCs/>
        </w:rPr>
        <w:t xml:space="preserve">often </w:t>
      </w:r>
      <w:r w:rsidRPr="00DF05FA">
        <w:rPr>
          <w:rFonts w:ascii="Arial" w:hAnsi="Arial" w:cs="Arial"/>
          <w:iCs/>
        </w:rPr>
        <w:t xml:space="preserve">be other smart grid service options, or </w:t>
      </w:r>
      <w:r>
        <w:rPr>
          <w:rFonts w:ascii="Arial" w:hAnsi="Arial" w:cs="Arial"/>
          <w:iCs/>
        </w:rPr>
        <w:t xml:space="preserve">even </w:t>
      </w:r>
      <w:r w:rsidRPr="00DF05FA">
        <w:rPr>
          <w:rFonts w:ascii="Arial" w:hAnsi="Arial" w:cs="Arial"/>
          <w:iCs/>
        </w:rPr>
        <w:t xml:space="preserve">traditional network reinforcement. </w:t>
      </w:r>
    </w:p>
    <w:p w:rsidR="00B80352" w:rsidRPr="00DF05FA" w:rsidRDefault="00B80352" w:rsidP="00153B75">
      <w:pPr>
        <w:pStyle w:val="ListParagraph"/>
        <w:numPr>
          <w:ilvl w:val="1"/>
          <w:numId w:val="8"/>
        </w:numPr>
        <w:autoSpaceDE w:val="0"/>
        <w:autoSpaceDN w:val="0"/>
        <w:spacing w:after="0"/>
        <w:rPr>
          <w:rFonts w:ascii="Arial" w:hAnsi="Arial" w:cs="Arial"/>
          <w:iCs/>
        </w:rPr>
      </w:pPr>
      <w:r w:rsidRPr="00DF05FA">
        <w:rPr>
          <w:rFonts w:ascii="Arial" w:hAnsi="Arial" w:cs="Arial"/>
          <w:iCs/>
        </w:rPr>
        <w:t xml:space="preserve">Bilateral contracts can attract significant transaction costs. </w:t>
      </w:r>
    </w:p>
    <w:p w:rsidR="00B80352" w:rsidRPr="00153B75" w:rsidRDefault="006C3446" w:rsidP="00153B75">
      <w:pPr>
        <w:pStyle w:val="ListParagraph"/>
        <w:numPr>
          <w:ilvl w:val="0"/>
          <w:numId w:val="16"/>
        </w:numPr>
        <w:rPr>
          <w:rFonts w:ascii="Arial" w:hAnsi="Arial" w:cs="Arial"/>
          <w:color w:val="1F497D"/>
          <w:u w:val="single"/>
        </w:rPr>
      </w:pPr>
      <w:r w:rsidRPr="00153B75">
        <w:rPr>
          <w:rFonts w:ascii="Arial" w:hAnsi="Arial" w:cs="Arial"/>
          <w:color w:val="1F497D"/>
          <w:u w:val="single"/>
        </w:rPr>
        <w:lastRenderedPageBreak/>
        <w:t xml:space="preserve">TSO-DSO cooperation </w:t>
      </w:r>
      <w:r w:rsidR="00B80352" w:rsidRPr="00153B75">
        <w:rPr>
          <w:rFonts w:ascii="Arial" w:hAnsi="Arial" w:cs="Arial"/>
          <w:color w:val="1F497D"/>
          <w:u w:val="single"/>
        </w:rPr>
        <w:t>–</w:t>
      </w:r>
      <w:r w:rsidRPr="00153B75">
        <w:rPr>
          <w:rFonts w:ascii="Arial" w:hAnsi="Arial" w:cs="Arial"/>
          <w:color w:val="1F497D"/>
          <w:u w:val="single"/>
        </w:rPr>
        <w:t xml:space="preserve"> network code</w:t>
      </w:r>
      <w:r w:rsidR="00B80352" w:rsidRPr="00153B75">
        <w:rPr>
          <w:rFonts w:ascii="Arial" w:hAnsi="Arial" w:cs="Arial"/>
          <w:color w:val="1F497D"/>
          <w:u w:val="single"/>
        </w:rPr>
        <w:t>s</w:t>
      </w:r>
    </w:p>
    <w:p w:rsidR="00B80352" w:rsidRPr="00B80352" w:rsidRDefault="00B80352" w:rsidP="00A6614B">
      <w:pPr>
        <w:pStyle w:val="ListParagraph"/>
        <w:autoSpaceDE w:val="0"/>
        <w:autoSpaceDN w:val="0"/>
        <w:adjustRightInd w:val="0"/>
        <w:spacing w:after="0"/>
        <w:rPr>
          <w:rFonts w:ascii="Arial" w:hAnsi="Arial" w:cs="Arial"/>
          <w:color w:val="1F497D"/>
        </w:rPr>
      </w:pPr>
    </w:p>
    <w:p w:rsidR="00B80352" w:rsidRPr="005332B0" w:rsidRDefault="00B80352" w:rsidP="005332B0">
      <w:pPr>
        <w:pStyle w:val="ListParagraph"/>
        <w:ind w:left="0"/>
        <w:rPr>
          <w:rFonts w:ascii="Arial" w:hAnsi="Arial" w:cs="Arial"/>
        </w:rPr>
      </w:pPr>
      <w:r w:rsidRPr="005332B0">
        <w:rPr>
          <w:rFonts w:ascii="Arial" w:hAnsi="Arial" w:cs="Arial"/>
        </w:rPr>
        <w:t>Network c</w:t>
      </w:r>
      <w:r w:rsidR="006C3446" w:rsidRPr="005332B0">
        <w:rPr>
          <w:rFonts w:ascii="Arial" w:hAnsi="Arial" w:cs="Arial"/>
        </w:rPr>
        <w:t>ode development should be considered carefully in terms of unintended consequences</w:t>
      </w:r>
      <w:r w:rsidRPr="005332B0">
        <w:rPr>
          <w:rFonts w:ascii="Arial" w:hAnsi="Arial" w:cs="Arial"/>
        </w:rPr>
        <w:t>. </w:t>
      </w:r>
      <w:r w:rsidR="006C3446" w:rsidRPr="005332B0">
        <w:rPr>
          <w:rFonts w:ascii="Arial" w:hAnsi="Arial" w:cs="Arial"/>
        </w:rPr>
        <w:t xml:space="preserve"> </w:t>
      </w:r>
      <w:r w:rsidRPr="005332B0">
        <w:rPr>
          <w:rFonts w:ascii="Arial" w:hAnsi="Arial" w:cs="Arial"/>
        </w:rPr>
        <w:t>For example,</w:t>
      </w:r>
      <w:r w:rsidR="00E754F5">
        <w:rPr>
          <w:rFonts w:ascii="Arial" w:hAnsi="Arial" w:cs="Arial"/>
        </w:rPr>
        <w:t xml:space="preserve"> with </w:t>
      </w:r>
      <w:r w:rsidR="006C3446" w:rsidRPr="005332B0">
        <w:rPr>
          <w:rFonts w:ascii="Arial" w:hAnsi="Arial" w:cs="Arial"/>
        </w:rPr>
        <w:t xml:space="preserve">the gas day changes </w:t>
      </w:r>
      <w:r w:rsidRPr="005332B0">
        <w:rPr>
          <w:rFonts w:ascii="Arial" w:hAnsi="Arial" w:cs="Arial"/>
        </w:rPr>
        <w:t xml:space="preserve">proposed </w:t>
      </w:r>
      <w:r w:rsidR="006C3446" w:rsidRPr="005332B0">
        <w:rPr>
          <w:rFonts w:ascii="Arial" w:hAnsi="Arial" w:cs="Arial"/>
        </w:rPr>
        <w:t>in the C</w:t>
      </w:r>
      <w:r w:rsidRPr="005332B0">
        <w:rPr>
          <w:rFonts w:ascii="Arial" w:hAnsi="Arial" w:cs="Arial"/>
        </w:rPr>
        <w:t xml:space="preserve">apacity </w:t>
      </w:r>
      <w:r w:rsidR="006C3446" w:rsidRPr="005332B0">
        <w:rPr>
          <w:rFonts w:ascii="Arial" w:hAnsi="Arial" w:cs="Arial"/>
        </w:rPr>
        <w:t>A</w:t>
      </w:r>
      <w:r w:rsidRPr="005332B0">
        <w:rPr>
          <w:rFonts w:ascii="Arial" w:hAnsi="Arial" w:cs="Arial"/>
        </w:rPr>
        <w:t>llocation Mechanisms code (CAM)</w:t>
      </w:r>
      <w:r w:rsidR="00E754F5">
        <w:rPr>
          <w:rFonts w:ascii="Arial" w:hAnsi="Arial" w:cs="Arial"/>
        </w:rPr>
        <w:t>.  Gas DSO were explicitly from the CAM Code developments, however, the changes to the Gas Day were repeated in the Balancing code</w:t>
      </w:r>
      <w:r w:rsidR="006C3446" w:rsidRPr="005332B0">
        <w:rPr>
          <w:rFonts w:ascii="Arial" w:hAnsi="Arial" w:cs="Arial"/>
        </w:rPr>
        <w:t xml:space="preserve">, thereby </w:t>
      </w:r>
      <w:r w:rsidR="007B249A">
        <w:rPr>
          <w:rFonts w:ascii="Arial" w:hAnsi="Arial" w:cs="Arial"/>
        </w:rPr>
        <w:t xml:space="preserve">potentially </w:t>
      </w:r>
      <w:r w:rsidR="006C3446" w:rsidRPr="005332B0">
        <w:rPr>
          <w:rFonts w:ascii="Arial" w:hAnsi="Arial" w:cs="Arial"/>
        </w:rPr>
        <w:t xml:space="preserve">imposing significant costs on </w:t>
      </w:r>
      <w:r w:rsidRPr="005332B0">
        <w:rPr>
          <w:rFonts w:ascii="Arial" w:hAnsi="Arial" w:cs="Arial"/>
        </w:rPr>
        <w:t xml:space="preserve">the </w:t>
      </w:r>
      <w:r w:rsidR="006C3446" w:rsidRPr="005332B0">
        <w:rPr>
          <w:rFonts w:ascii="Arial" w:hAnsi="Arial" w:cs="Arial"/>
        </w:rPr>
        <w:t>G</w:t>
      </w:r>
      <w:r w:rsidRPr="005332B0">
        <w:rPr>
          <w:rFonts w:ascii="Arial" w:hAnsi="Arial" w:cs="Arial"/>
        </w:rPr>
        <w:t xml:space="preserve">as DSOs </w:t>
      </w:r>
      <w:r w:rsidR="006C3446" w:rsidRPr="005332B0">
        <w:rPr>
          <w:rFonts w:ascii="Arial" w:hAnsi="Arial" w:cs="Arial"/>
        </w:rPr>
        <w:t xml:space="preserve">and </w:t>
      </w:r>
      <w:r w:rsidRPr="005332B0">
        <w:rPr>
          <w:rFonts w:ascii="Arial" w:hAnsi="Arial" w:cs="Arial"/>
        </w:rPr>
        <w:t xml:space="preserve">on </w:t>
      </w:r>
      <w:r w:rsidR="006C3446" w:rsidRPr="005332B0">
        <w:rPr>
          <w:rFonts w:ascii="Arial" w:hAnsi="Arial" w:cs="Arial"/>
        </w:rPr>
        <w:t>upstream parties</w:t>
      </w:r>
      <w:r w:rsidRPr="005332B0">
        <w:rPr>
          <w:rFonts w:ascii="Arial" w:hAnsi="Arial" w:cs="Arial"/>
        </w:rPr>
        <w:t>, with</w:t>
      </w:r>
      <w:r w:rsidR="006C3446" w:rsidRPr="005332B0">
        <w:rPr>
          <w:rFonts w:ascii="Arial" w:hAnsi="Arial" w:cs="Arial"/>
        </w:rPr>
        <w:t xml:space="preserve"> no obvious benefit for UK consumers or </w:t>
      </w:r>
      <w:r w:rsidRPr="005332B0">
        <w:rPr>
          <w:rFonts w:ascii="Arial" w:hAnsi="Arial" w:cs="Arial"/>
        </w:rPr>
        <w:t xml:space="preserve">the UK </w:t>
      </w:r>
      <w:r w:rsidR="006C3446" w:rsidRPr="005332B0">
        <w:rPr>
          <w:rFonts w:ascii="Arial" w:hAnsi="Arial" w:cs="Arial"/>
        </w:rPr>
        <w:t>economy.</w:t>
      </w:r>
    </w:p>
    <w:p w:rsidR="00B80352" w:rsidRPr="00F22FD9" w:rsidRDefault="00B80352" w:rsidP="00A6614B">
      <w:pPr>
        <w:pStyle w:val="ListParagraph"/>
        <w:autoSpaceDE w:val="0"/>
        <w:autoSpaceDN w:val="0"/>
        <w:adjustRightInd w:val="0"/>
        <w:spacing w:after="0"/>
        <w:rPr>
          <w:rFonts w:ascii="Arial" w:hAnsi="Arial" w:cs="Arial"/>
        </w:rPr>
      </w:pPr>
    </w:p>
    <w:p w:rsidR="00B80352" w:rsidRPr="00242CFE" w:rsidRDefault="00B80352" w:rsidP="00C0424D">
      <w:pPr>
        <w:pStyle w:val="ListParagraph"/>
        <w:numPr>
          <w:ilvl w:val="0"/>
          <w:numId w:val="7"/>
        </w:numPr>
        <w:rPr>
          <w:rFonts w:ascii="Arial" w:hAnsi="Arial" w:cs="Arial"/>
          <w:b/>
          <w:color w:val="365F91"/>
          <w:u w:val="single"/>
        </w:rPr>
      </w:pPr>
      <w:r w:rsidRPr="00242CFE">
        <w:rPr>
          <w:rFonts w:ascii="Arial" w:hAnsi="Arial" w:cs="Arial"/>
          <w:b/>
          <w:color w:val="365F91"/>
          <w:u w:val="single"/>
        </w:rPr>
        <w:t>Regulatory Framework</w:t>
      </w:r>
    </w:p>
    <w:p w:rsidR="00B80352" w:rsidRDefault="00B80352" w:rsidP="00C0424D">
      <w:pPr>
        <w:pStyle w:val="ListParagraph"/>
        <w:rPr>
          <w:rFonts w:ascii="Arial" w:hAnsi="Arial" w:cs="Arial"/>
        </w:rPr>
      </w:pPr>
    </w:p>
    <w:p w:rsidR="00B80352" w:rsidRDefault="00B80352" w:rsidP="0059295F">
      <w:pPr>
        <w:pStyle w:val="ListParagraph"/>
        <w:ind w:left="0"/>
        <w:rPr>
          <w:rFonts w:ascii="Arial" w:hAnsi="Arial" w:cs="Arial"/>
        </w:rPr>
      </w:pPr>
      <w:r>
        <w:rPr>
          <w:rFonts w:ascii="Arial" w:hAnsi="Arial" w:cs="Arial"/>
        </w:rPr>
        <w:t>A</w:t>
      </w:r>
      <w:r w:rsidRPr="0059295F">
        <w:rPr>
          <w:rFonts w:ascii="Arial" w:hAnsi="Arial" w:cs="Arial"/>
        </w:rPr>
        <w:t xml:space="preserve"> stable, predictable and appropriate regulatory regime, supported by sufficient incentives for investors to fund the </w:t>
      </w:r>
      <w:r>
        <w:rPr>
          <w:rFonts w:ascii="Arial" w:hAnsi="Arial" w:cs="Arial"/>
        </w:rPr>
        <w:t xml:space="preserve">necessary networks </w:t>
      </w:r>
      <w:r w:rsidRPr="0059295F">
        <w:rPr>
          <w:rFonts w:ascii="Arial" w:hAnsi="Arial" w:cs="Arial"/>
        </w:rPr>
        <w:t>updating</w:t>
      </w:r>
      <w:r>
        <w:rPr>
          <w:rFonts w:ascii="Arial" w:hAnsi="Arial" w:cs="Arial"/>
        </w:rPr>
        <w:t>,</w:t>
      </w:r>
      <w:r w:rsidRPr="0059295F">
        <w:rPr>
          <w:rFonts w:ascii="Arial" w:hAnsi="Arial" w:cs="Arial"/>
        </w:rPr>
        <w:t xml:space="preserve"> </w:t>
      </w:r>
      <w:r>
        <w:rPr>
          <w:rFonts w:ascii="Arial" w:hAnsi="Arial" w:cs="Arial"/>
        </w:rPr>
        <w:t>is essential</w:t>
      </w:r>
      <w:r w:rsidRPr="0059295F">
        <w:rPr>
          <w:rFonts w:ascii="Arial" w:hAnsi="Arial" w:cs="Arial"/>
        </w:rPr>
        <w:t xml:space="preserve">. </w:t>
      </w:r>
    </w:p>
    <w:p w:rsidR="00B80352" w:rsidRDefault="00B80352" w:rsidP="0059295F">
      <w:pPr>
        <w:pStyle w:val="ListParagraph"/>
        <w:ind w:left="0"/>
        <w:rPr>
          <w:rFonts w:ascii="Arial" w:hAnsi="Arial" w:cs="Arial"/>
        </w:rPr>
      </w:pPr>
    </w:p>
    <w:p w:rsidR="00B80352" w:rsidRPr="0059295F" w:rsidRDefault="00B80352" w:rsidP="0059295F">
      <w:pPr>
        <w:pStyle w:val="ListParagraph"/>
        <w:ind w:left="0"/>
        <w:rPr>
          <w:rFonts w:ascii="Arial" w:hAnsi="Arial" w:cs="Arial"/>
          <w:u w:val="single"/>
        </w:rPr>
      </w:pPr>
      <w:r w:rsidRPr="0059295F">
        <w:rPr>
          <w:rFonts w:ascii="Arial" w:hAnsi="Arial" w:cs="Arial"/>
        </w:rPr>
        <w:t>Properly designed tariff schemes, based on a</w:t>
      </w:r>
      <w:r>
        <w:rPr>
          <w:rFonts w:ascii="Arial" w:hAnsi="Arial" w:cs="Arial"/>
        </w:rPr>
        <w:t>dequate</w:t>
      </w:r>
      <w:r w:rsidRPr="0059295F">
        <w:rPr>
          <w:rFonts w:ascii="Arial" w:hAnsi="Arial" w:cs="Arial"/>
        </w:rPr>
        <w:t xml:space="preserve"> rates of return, should ensure </w:t>
      </w:r>
      <w:r>
        <w:rPr>
          <w:rFonts w:ascii="Arial" w:hAnsi="Arial" w:cs="Arial"/>
        </w:rPr>
        <w:t xml:space="preserve">that </w:t>
      </w:r>
      <w:r w:rsidRPr="0059295F">
        <w:rPr>
          <w:rFonts w:ascii="Arial" w:hAnsi="Arial" w:cs="Arial"/>
        </w:rPr>
        <w:t>both DSOs and TSOs have sufficient resources to maintain, update and replace their assets when needed</w:t>
      </w:r>
      <w:r w:rsidR="00E754F5">
        <w:rPr>
          <w:rFonts w:ascii="Arial" w:hAnsi="Arial" w:cs="Arial"/>
        </w:rPr>
        <w:t xml:space="preserve"> and a</w:t>
      </w:r>
      <w:r>
        <w:rPr>
          <w:rFonts w:ascii="Arial" w:hAnsi="Arial" w:cs="Arial"/>
        </w:rPr>
        <w:t xml:space="preserve">lso manage </w:t>
      </w:r>
      <w:r w:rsidRPr="0059295F">
        <w:rPr>
          <w:rFonts w:ascii="Arial" w:hAnsi="Arial" w:cs="Arial"/>
        </w:rPr>
        <w:t xml:space="preserve">the additional risks associated with the newer </w:t>
      </w:r>
      <w:r>
        <w:rPr>
          <w:rFonts w:ascii="Arial" w:hAnsi="Arial" w:cs="Arial"/>
        </w:rPr>
        <w:t xml:space="preserve">‘smart’ </w:t>
      </w:r>
      <w:r w:rsidRPr="0059295F">
        <w:rPr>
          <w:rFonts w:ascii="Arial" w:hAnsi="Arial" w:cs="Arial"/>
        </w:rPr>
        <w:t>technologies.</w:t>
      </w:r>
      <w:r>
        <w:rPr>
          <w:rFonts w:ascii="Arial" w:hAnsi="Arial" w:cs="Arial"/>
        </w:rPr>
        <w:t xml:space="preserve"> </w:t>
      </w:r>
      <w:r w:rsidRPr="0059295F">
        <w:rPr>
          <w:rFonts w:ascii="Arial" w:hAnsi="Arial" w:cs="Arial"/>
        </w:rPr>
        <w:t>The benefits from these investments will accrue throughout the entire supply chain from generators, suppliers and customers to society as a whole.</w:t>
      </w:r>
    </w:p>
    <w:p w:rsidR="00B80352" w:rsidRDefault="00B80352" w:rsidP="0059295F">
      <w:pPr>
        <w:pStyle w:val="ListParagraph"/>
        <w:rPr>
          <w:rFonts w:ascii="Arial" w:hAnsi="Arial" w:cs="Arial"/>
          <w:u w:val="single"/>
        </w:rPr>
      </w:pPr>
    </w:p>
    <w:p w:rsidR="00B80352" w:rsidRPr="0059295F" w:rsidRDefault="00B80352" w:rsidP="00242CFE">
      <w:pPr>
        <w:pStyle w:val="ListParagraph"/>
        <w:shd w:val="clear" w:color="auto" w:fill="FFFFFF"/>
        <w:ind w:left="0"/>
        <w:jc w:val="both"/>
        <w:rPr>
          <w:rFonts w:ascii="Arial" w:hAnsi="Arial" w:cs="Arial"/>
        </w:rPr>
      </w:pPr>
      <w:r>
        <w:rPr>
          <w:rFonts w:ascii="Arial" w:hAnsi="Arial" w:cs="Arial"/>
        </w:rPr>
        <w:t xml:space="preserve">Innovation will be the key. In </w:t>
      </w:r>
      <w:r w:rsidRPr="0059295F">
        <w:rPr>
          <w:rFonts w:ascii="Arial" w:hAnsi="Arial" w:cs="Arial"/>
        </w:rPr>
        <w:t>G</w:t>
      </w:r>
      <w:r>
        <w:rPr>
          <w:rFonts w:ascii="Arial" w:hAnsi="Arial" w:cs="Arial"/>
        </w:rPr>
        <w:t xml:space="preserve">reat </w:t>
      </w:r>
      <w:r w:rsidRPr="0059295F">
        <w:rPr>
          <w:rFonts w:ascii="Arial" w:hAnsi="Arial" w:cs="Arial"/>
        </w:rPr>
        <w:t>B</w:t>
      </w:r>
      <w:r>
        <w:rPr>
          <w:rFonts w:ascii="Arial" w:hAnsi="Arial" w:cs="Arial"/>
        </w:rPr>
        <w:t xml:space="preserve">ritain, </w:t>
      </w:r>
      <w:r w:rsidRPr="0059295F">
        <w:rPr>
          <w:rFonts w:ascii="Arial" w:hAnsi="Arial" w:cs="Arial"/>
        </w:rPr>
        <w:t>regulator Ofgem was an early mover with its £500m Low Carbon Network Fund</w:t>
      </w:r>
      <w:r>
        <w:rPr>
          <w:rFonts w:ascii="Arial" w:hAnsi="Arial" w:cs="Arial"/>
        </w:rPr>
        <w:t xml:space="preserve"> for electricity DSOs</w:t>
      </w:r>
      <w:r w:rsidRPr="0059295F">
        <w:rPr>
          <w:rFonts w:ascii="Arial" w:hAnsi="Arial" w:cs="Arial"/>
        </w:rPr>
        <w:t xml:space="preserve">, </w:t>
      </w:r>
      <w:r>
        <w:rPr>
          <w:rFonts w:ascii="Arial" w:hAnsi="Arial" w:cs="Arial"/>
        </w:rPr>
        <w:t xml:space="preserve">and now with the Network Innovation Allowance (NIA) </w:t>
      </w:r>
      <w:r w:rsidR="00E754F5">
        <w:rPr>
          <w:rFonts w:ascii="Arial" w:hAnsi="Arial" w:cs="Arial"/>
        </w:rPr>
        <w:t xml:space="preserve">and </w:t>
      </w:r>
      <w:r>
        <w:rPr>
          <w:rFonts w:ascii="Arial" w:hAnsi="Arial" w:cs="Arial"/>
        </w:rPr>
        <w:t>Network Innovation Competition (NIC) which are incentivising increased levels of innovation in electricity and gas distribution and transmission.</w:t>
      </w:r>
      <w:r w:rsidRPr="0059295F">
        <w:rPr>
          <w:rFonts w:ascii="Arial" w:hAnsi="Arial" w:cs="Arial"/>
        </w:rPr>
        <w:t xml:space="preserve"> </w:t>
      </w:r>
      <w:r>
        <w:rPr>
          <w:rFonts w:ascii="Arial" w:hAnsi="Arial" w:cs="Arial"/>
        </w:rPr>
        <w:t>We know that our networks colleagues in other parts of Europe are urgently seeking similar funding support from their regulators, but appropriate to their own market needs, which will to a</w:t>
      </w:r>
      <w:r w:rsidRPr="0059295F">
        <w:rPr>
          <w:rFonts w:ascii="Arial" w:hAnsi="Arial" w:cs="Arial"/>
        </w:rPr>
        <w:t xml:space="preserve">llow </w:t>
      </w:r>
      <w:r>
        <w:rPr>
          <w:rFonts w:ascii="Arial" w:hAnsi="Arial" w:cs="Arial"/>
        </w:rPr>
        <w:t xml:space="preserve">them </w:t>
      </w:r>
      <w:r w:rsidRPr="0059295F">
        <w:rPr>
          <w:rFonts w:ascii="Arial" w:hAnsi="Arial" w:cs="Arial"/>
        </w:rPr>
        <w:t>to strongly commit to innovation and RD</w:t>
      </w:r>
      <w:r w:rsidR="007B249A">
        <w:rPr>
          <w:rFonts w:ascii="Arial" w:hAnsi="Arial" w:cs="Arial"/>
        </w:rPr>
        <w:t>&amp;</w:t>
      </w:r>
      <w:r w:rsidRPr="0059295F">
        <w:rPr>
          <w:rFonts w:ascii="Arial" w:hAnsi="Arial" w:cs="Arial"/>
        </w:rPr>
        <w:t>D</w:t>
      </w:r>
      <w:r>
        <w:rPr>
          <w:rFonts w:ascii="Arial" w:hAnsi="Arial" w:cs="Arial"/>
        </w:rPr>
        <w:t>, as ENA members have.</w:t>
      </w:r>
    </w:p>
    <w:p w:rsidR="00B80352" w:rsidRDefault="00B80352" w:rsidP="00C0424D">
      <w:pPr>
        <w:pStyle w:val="ListParagraph"/>
        <w:ind w:left="0"/>
        <w:rPr>
          <w:rFonts w:ascii="Arial" w:hAnsi="Arial" w:cs="Arial"/>
        </w:rPr>
      </w:pPr>
    </w:p>
    <w:p w:rsidR="00B80352" w:rsidRDefault="00B80352" w:rsidP="00C0424D">
      <w:pPr>
        <w:pStyle w:val="ListParagraph"/>
        <w:ind w:left="0"/>
        <w:rPr>
          <w:rFonts w:ascii="Arial" w:hAnsi="Arial" w:cs="Arial"/>
        </w:rPr>
      </w:pPr>
      <w:r>
        <w:rPr>
          <w:rFonts w:ascii="Arial" w:hAnsi="Arial" w:cs="Arial"/>
        </w:rPr>
        <w:t xml:space="preserve">The Green Paper positively references dynamic network pricing, and in particular </w:t>
      </w:r>
      <w:r w:rsidRPr="00B97DAB">
        <w:rPr>
          <w:rFonts w:ascii="Arial" w:hAnsi="Arial" w:cs="Arial"/>
        </w:rPr>
        <w:t>time of use tariffs</w:t>
      </w:r>
      <w:r>
        <w:rPr>
          <w:rFonts w:ascii="Arial" w:hAnsi="Arial" w:cs="Arial"/>
        </w:rPr>
        <w:t xml:space="preserve"> or locational distribution network tariffs as potentially being v</w:t>
      </w:r>
      <w:r w:rsidRPr="00B97DAB">
        <w:rPr>
          <w:rFonts w:ascii="Arial" w:hAnsi="Arial" w:cs="Arial"/>
        </w:rPr>
        <w:t>ery helpful in managing load</w:t>
      </w:r>
      <w:r>
        <w:rPr>
          <w:rFonts w:ascii="Arial" w:hAnsi="Arial" w:cs="Arial"/>
        </w:rPr>
        <w:t>.</w:t>
      </w:r>
      <w:r w:rsidRPr="00B97DAB">
        <w:rPr>
          <w:rFonts w:ascii="Arial" w:hAnsi="Arial" w:cs="Arial"/>
        </w:rPr>
        <w:t xml:space="preserve"> </w:t>
      </w:r>
      <w:r w:rsidR="009A7300">
        <w:rPr>
          <w:rFonts w:ascii="Arial" w:hAnsi="Arial" w:cs="Arial"/>
        </w:rPr>
        <w:t xml:space="preserve"> ENA agree</w:t>
      </w:r>
      <w:r w:rsidR="00153B75">
        <w:rPr>
          <w:rFonts w:ascii="Arial" w:hAnsi="Arial" w:cs="Arial"/>
        </w:rPr>
        <w:t>s</w:t>
      </w:r>
      <w:r w:rsidR="009A7300">
        <w:rPr>
          <w:rFonts w:ascii="Arial" w:hAnsi="Arial" w:cs="Arial"/>
        </w:rPr>
        <w:t xml:space="preserve">, </w:t>
      </w:r>
      <w:r>
        <w:rPr>
          <w:rFonts w:ascii="Arial" w:hAnsi="Arial" w:cs="Arial"/>
        </w:rPr>
        <w:t xml:space="preserve">but this is a complex area which will require more work to determine the costs associated with the different changes in consumption patterns. </w:t>
      </w:r>
    </w:p>
    <w:p w:rsidR="00B80352" w:rsidRDefault="00B80352" w:rsidP="00C0424D">
      <w:pPr>
        <w:pStyle w:val="ListParagraph"/>
        <w:ind w:left="0"/>
        <w:rPr>
          <w:rFonts w:ascii="Arial" w:hAnsi="Arial" w:cs="Arial"/>
        </w:rPr>
      </w:pPr>
    </w:p>
    <w:p w:rsidR="00B80352" w:rsidRDefault="00B80352" w:rsidP="00171796">
      <w:pPr>
        <w:pStyle w:val="ListParagraph"/>
        <w:numPr>
          <w:ilvl w:val="0"/>
          <w:numId w:val="7"/>
        </w:numPr>
        <w:rPr>
          <w:rFonts w:ascii="Arial" w:hAnsi="Arial" w:cs="Arial"/>
          <w:b/>
          <w:color w:val="365F91"/>
          <w:u w:val="single"/>
        </w:rPr>
      </w:pPr>
      <w:r>
        <w:rPr>
          <w:rFonts w:ascii="Arial" w:hAnsi="Arial" w:cs="Arial"/>
          <w:b/>
          <w:color w:val="365F91"/>
          <w:u w:val="single"/>
        </w:rPr>
        <w:t>G</w:t>
      </w:r>
      <w:r w:rsidRPr="00171796">
        <w:rPr>
          <w:rFonts w:ascii="Arial" w:hAnsi="Arial" w:cs="Arial"/>
          <w:b/>
          <w:color w:val="365F91"/>
          <w:u w:val="single"/>
        </w:rPr>
        <w:t>overnance</w:t>
      </w:r>
      <w:r>
        <w:rPr>
          <w:rFonts w:ascii="Arial" w:hAnsi="Arial" w:cs="Arial"/>
          <w:b/>
          <w:color w:val="365F91"/>
          <w:u w:val="single"/>
        </w:rPr>
        <w:t xml:space="preserve"> issues</w:t>
      </w:r>
      <w:r w:rsidRPr="00171796">
        <w:rPr>
          <w:rFonts w:ascii="Arial" w:hAnsi="Arial" w:cs="Arial"/>
          <w:b/>
          <w:color w:val="365F91"/>
          <w:u w:val="single"/>
        </w:rPr>
        <w:t xml:space="preserve"> </w:t>
      </w:r>
    </w:p>
    <w:p w:rsidR="00E70D44" w:rsidRPr="00171796" w:rsidRDefault="00E70D44" w:rsidP="00E70D44">
      <w:pPr>
        <w:pStyle w:val="ListParagraph"/>
        <w:rPr>
          <w:rFonts w:ascii="Arial" w:hAnsi="Arial" w:cs="Arial"/>
          <w:b/>
          <w:color w:val="365F91"/>
          <w:u w:val="single"/>
        </w:rPr>
      </w:pPr>
    </w:p>
    <w:p w:rsidR="00B80352" w:rsidRPr="00E70D44" w:rsidRDefault="00E70D44" w:rsidP="00E70D44">
      <w:pPr>
        <w:pStyle w:val="ListParagraph"/>
        <w:numPr>
          <w:ilvl w:val="0"/>
          <w:numId w:val="13"/>
        </w:numPr>
        <w:autoSpaceDE w:val="0"/>
        <w:autoSpaceDN w:val="0"/>
        <w:adjustRightInd w:val="0"/>
        <w:spacing w:after="120"/>
        <w:jc w:val="both"/>
        <w:rPr>
          <w:rFonts w:ascii="Arial" w:hAnsi="Arial" w:cs="Arial"/>
          <w:iCs/>
          <w:color w:val="365F91"/>
          <w:u w:val="single"/>
        </w:rPr>
      </w:pPr>
      <w:r w:rsidRPr="00E70D44">
        <w:rPr>
          <w:rFonts w:ascii="Arial" w:hAnsi="Arial" w:cs="Arial"/>
          <w:iCs/>
          <w:color w:val="365F91"/>
          <w:u w:val="single"/>
        </w:rPr>
        <w:t xml:space="preserve"> </w:t>
      </w:r>
      <w:r w:rsidR="00B80352" w:rsidRPr="00E70D44">
        <w:rPr>
          <w:rFonts w:ascii="Arial" w:hAnsi="Arial" w:cs="Arial"/>
          <w:iCs/>
          <w:color w:val="365F91"/>
          <w:u w:val="single"/>
        </w:rPr>
        <w:t>EU network codes</w:t>
      </w:r>
    </w:p>
    <w:p w:rsidR="00B80352" w:rsidRPr="00BE65EB" w:rsidRDefault="00B80352" w:rsidP="006C25E0">
      <w:pPr>
        <w:autoSpaceDE w:val="0"/>
        <w:autoSpaceDN w:val="0"/>
        <w:adjustRightInd w:val="0"/>
        <w:spacing w:after="120"/>
        <w:jc w:val="both"/>
        <w:rPr>
          <w:rFonts w:cs="Arial"/>
          <w:iCs/>
        </w:rPr>
      </w:pPr>
      <w:r w:rsidRPr="00BE65EB">
        <w:rPr>
          <w:rFonts w:cs="Arial"/>
          <w:iCs/>
        </w:rPr>
        <w:t xml:space="preserve">ENA believes that robust, fit for purpose and transparent governance is key to achieving the single energy market, to assist in the decision making process and to achieve a consistent approach across </w:t>
      </w:r>
      <w:r>
        <w:rPr>
          <w:rFonts w:cs="Arial"/>
          <w:iCs/>
        </w:rPr>
        <w:t>Europe</w:t>
      </w:r>
      <w:r w:rsidRPr="00BE65EB">
        <w:rPr>
          <w:rFonts w:cs="Arial"/>
          <w:iCs/>
        </w:rPr>
        <w:t xml:space="preserve"> given the growing integration of markets.</w:t>
      </w:r>
    </w:p>
    <w:p w:rsidR="00B80352" w:rsidRPr="00BE65EB" w:rsidRDefault="00B80352" w:rsidP="006C25E0">
      <w:pPr>
        <w:autoSpaceDE w:val="0"/>
        <w:autoSpaceDN w:val="0"/>
        <w:adjustRightInd w:val="0"/>
        <w:spacing w:after="120"/>
        <w:jc w:val="both"/>
        <w:rPr>
          <w:rFonts w:cs="Arial"/>
          <w:iCs/>
        </w:rPr>
      </w:pPr>
      <w:r w:rsidRPr="00BE65EB">
        <w:rPr>
          <w:rFonts w:cs="Arial"/>
          <w:iCs/>
        </w:rPr>
        <w:t>The gas and electricity networks codes, as brought about by the Third Energy package</w:t>
      </w:r>
      <w:r>
        <w:rPr>
          <w:rFonts w:cs="Arial"/>
          <w:iCs/>
        </w:rPr>
        <w:t>,</w:t>
      </w:r>
      <w:r w:rsidRPr="00BE65EB">
        <w:rPr>
          <w:rFonts w:cs="Arial"/>
          <w:iCs/>
        </w:rPr>
        <w:t xml:space="preserve">  provide the cornerstone of the future of European energy markets and</w:t>
      </w:r>
      <w:r>
        <w:rPr>
          <w:rFonts w:cs="Arial"/>
          <w:iCs/>
        </w:rPr>
        <w:t>,</w:t>
      </w:r>
      <w:r w:rsidRPr="00BE65EB">
        <w:rPr>
          <w:rFonts w:cs="Arial"/>
          <w:iCs/>
        </w:rPr>
        <w:t xml:space="preserve"> as such</w:t>
      </w:r>
      <w:r>
        <w:rPr>
          <w:rFonts w:cs="Arial"/>
          <w:iCs/>
        </w:rPr>
        <w:t>,</w:t>
      </w:r>
      <w:r w:rsidRPr="00BE65EB">
        <w:rPr>
          <w:rFonts w:cs="Arial"/>
          <w:iCs/>
        </w:rPr>
        <w:t xml:space="preserve"> speedy, robust and fit for purpose processes towards their implementation need to be ensured and where necessary improved. We fully support ACER’s push for the terms, conditions and methodology of these codes to be elaborated in a co-ordinated manner by the TSOs under the umbrella of both </w:t>
      </w:r>
      <w:r w:rsidR="00A857A9">
        <w:rPr>
          <w:rFonts w:cs="Arial"/>
          <w:iCs/>
        </w:rPr>
        <w:t xml:space="preserve">European Network of </w:t>
      </w:r>
      <w:r w:rsidR="009E6CD6">
        <w:rPr>
          <w:rFonts w:cs="Arial"/>
          <w:iCs/>
        </w:rPr>
        <w:t>Transmission System Operators (</w:t>
      </w:r>
      <w:r w:rsidRPr="00BE65EB">
        <w:rPr>
          <w:rFonts w:cs="Arial"/>
          <w:iCs/>
        </w:rPr>
        <w:t>ENTSOs</w:t>
      </w:r>
      <w:r w:rsidR="009E6CD6">
        <w:rPr>
          <w:rFonts w:cs="Arial"/>
          <w:iCs/>
        </w:rPr>
        <w:t>)</w:t>
      </w:r>
      <w:r>
        <w:rPr>
          <w:rFonts w:cs="Arial"/>
          <w:iCs/>
        </w:rPr>
        <w:t>.</w:t>
      </w:r>
    </w:p>
    <w:p w:rsidR="00B80352" w:rsidRPr="00BE65EB" w:rsidRDefault="00B80352" w:rsidP="006C25E0">
      <w:pPr>
        <w:autoSpaceDE w:val="0"/>
        <w:autoSpaceDN w:val="0"/>
        <w:adjustRightInd w:val="0"/>
        <w:spacing w:after="120"/>
        <w:rPr>
          <w:rFonts w:cs="Arial"/>
          <w:iCs/>
        </w:rPr>
      </w:pPr>
      <w:r w:rsidRPr="00BE65EB">
        <w:rPr>
          <w:rFonts w:cs="Arial"/>
          <w:iCs/>
        </w:rPr>
        <w:t xml:space="preserve">The assessment of change to these networks codes going forward </w:t>
      </w:r>
      <w:r>
        <w:rPr>
          <w:rFonts w:cs="Arial"/>
          <w:iCs/>
        </w:rPr>
        <w:t xml:space="preserve">also </w:t>
      </w:r>
      <w:r w:rsidRPr="00BE65EB">
        <w:rPr>
          <w:rFonts w:cs="Arial"/>
          <w:iCs/>
        </w:rPr>
        <w:t xml:space="preserve">needs to be carefully </w:t>
      </w:r>
      <w:r w:rsidRPr="00BE65EB">
        <w:rPr>
          <w:rFonts w:cs="Arial"/>
          <w:iCs/>
        </w:rPr>
        <w:lastRenderedPageBreak/>
        <w:t xml:space="preserve">managed and a clear </w:t>
      </w:r>
      <w:r>
        <w:rPr>
          <w:rFonts w:cs="Arial"/>
          <w:iCs/>
        </w:rPr>
        <w:t>baseline</w:t>
      </w:r>
      <w:r w:rsidRPr="00BE65EB">
        <w:rPr>
          <w:rFonts w:cs="Arial"/>
          <w:iCs/>
        </w:rPr>
        <w:t xml:space="preserve"> for the need for change </w:t>
      </w:r>
      <w:r w:rsidR="009A7300">
        <w:rPr>
          <w:rFonts w:cs="Arial"/>
          <w:iCs/>
        </w:rPr>
        <w:t xml:space="preserve">should </w:t>
      </w:r>
      <w:r w:rsidRPr="00BE65EB">
        <w:rPr>
          <w:rFonts w:cs="Arial"/>
          <w:iCs/>
        </w:rPr>
        <w:t>be established from the outset to avoid the unpicking of the good work already achieved.</w:t>
      </w:r>
      <w:r>
        <w:rPr>
          <w:rFonts w:cs="Arial"/>
          <w:iCs/>
        </w:rPr>
        <w:t xml:space="preserve"> </w:t>
      </w:r>
      <w:r w:rsidRPr="00BE65EB">
        <w:rPr>
          <w:rFonts w:cs="Arial"/>
          <w:iCs/>
        </w:rPr>
        <w:t>As such</w:t>
      </w:r>
      <w:r>
        <w:rPr>
          <w:rFonts w:cs="Arial"/>
          <w:iCs/>
        </w:rPr>
        <w:t>,</w:t>
      </w:r>
      <w:bookmarkStart w:id="0" w:name="_GoBack"/>
      <w:bookmarkEnd w:id="0"/>
      <w:r w:rsidRPr="00BE65EB">
        <w:rPr>
          <w:rFonts w:cs="Arial"/>
          <w:iCs/>
        </w:rPr>
        <w:t xml:space="preserve"> a set of “Relevant Objectives” should be established to ensure that any modifications to the codes remain coherent and consistent, take into account the technological, environmental, political and societal development</w:t>
      </w:r>
      <w:r>
        <w:rPr>
          <w:rFonts w:cs="Arial"/>
          <w:iCs/>
        </w:rPr>
        <w:t>s</w:t>
      </w:r>
      <w:r w:rsidRPr="00BE65EB">
        <w:rPr>
          <w:rFonts w:cs="Arial"/>
          <w:iCs/>
        </w:rPr>
        <w:t xml:space="preserve"> that may occur</w:t>
      </w:r>
      <w:r w:rsidR="00153B75">
        <w:rPr>
          <w:rFonts w:cs="Arial"/>
          <w:iCs/>
        </w:rPr>
        <w:t>,</w:t>
      </w:r>
      <w:r w:rsidRPr="00BE65EB">
        <w:rPr>
          <w:rFonts w:cs="Arial"/>
          <w:iCs/>
        </w:rPr>
        <w:t xml:space="preserve"> and ensure that the codes remain true to the visions of the European Market Models.  In the UK we have tried and tested industry code models that have developed over time and function in a fair and equitable </w:t>
      </w:r>
      <w:r>
        <w:rPr>
          <w:rFonts w:cs="Arial"/>
          <w:iCs/>
        </w:rPr>
        <w:t xml:space="preserve">manner </w:t>
      </w:r>
      <w:r w:rsidRPr="00BE65EB">
        <w:rPr>
          <w:rFonts w:cs="Arial"/>
          <w:iCs/>
        </w:rPr>
        <w:t>for the benefit of the industry and consumers alike.</w:t>
      </w:r>
    </w:p>
    <w:p w:rsidR="00B80352" w:rsidRPr="00E70D44" w:rsidRDefault="00B80352" w:rsidP="00E70D44">
      <w:pPr>
        <w:pStyle w:val="ListParagraph"/>
        <w:numPr>
          <w:ilvl w:val="0"/>
          <w:numId w:val="13"/>
        </w:numPr>
        <w:autoSpaceDE w:val="0"/>
        <w:autoSpaceDN w:val="0"/>
        <w:adjustRightInd w:val="0"/>
        <w:spacing w:after="120"/>
        <w:rPr>
          <w:rFonts w:ascii="Arial" w:hAnsi="Arial" w:cs="Arial"/>
          <w:iCs/>
          <w:color w:val="365F91"/>
          <w:u w:val="single"/>
        </w:rPr>
      </w:pPr>
      <w:r w:rsidRPr="00E70D44">
        <w:rPr>
          <w:rFonts w:ascii="Arial" w:hAnsi="Arial" w:cs="Arial"/>
          <w:iCs/>
          <w:color w:val="365F91"/>
          <w:u w:val="single"/>
        </w:rPr>
        <w:t>ENTSOs</w:t>
      </w:r>
    </w:p>
    <w:p w:rsidR="00B80352" w:rsidRPr="00BE65EB" w:rsidRDefault="00B80352" w:rsidP="006C25E0">
      <w:pPr>
        <w:autoSpaceDE w:val="0"/>
        <w:autoSpaceDN w:val="0"/>
        <w:adjustRightInd w:val="0"/>
        <w:spacing w:after="120"/>
        <w:rPr>
          <w:rFonts w:cs="Arial"/>
          <w:iCs/>
        </w:rPr>
      </w:pPr>
      <w:r w:rsidRPr="00BE65EB">
        <w:rPr>
          <w:rFonts w:cs="Arial"/>
          <w:iCs/>
        </w:rPr>
        <w:t xml:space="preserve">We would support ACER’s </w:t>
      </w:r>
      <w:r>
        <w:rPr>
          <w:rFonts w:cs="Arial"/>
          <w:iCs/>
        </w:rPr>
        <w:t xml:space="preserve">decision to </w:t>
      </w:r>
      <w:r w:rsidRPr="00BE65EB">
        <w:rPr>
          <w:rFonts w:cs="Arial"/>
          <w:iCs/>
        </w:rPr>
        <w:t xml:space="preserve">assess the current regulatory and governance arrangements for both of the ENTSOs, especially </w:t>
      </w:r>
      <w:r>
        <w:rPr>
          <w:rFonts w:cs="Arial"/>
          <w:iCs/>
        </w:rPr>
        <w:t xml:space="preserve">with a view to ensuring </w:t>
      </w:r>
      <w:r w:rsidRPr="00BE65EB">
        <w:rPr>
          <w:rFonts w:cs="Arial"/>
          <w:iCs/>
        </w:rPr>
        <w:t xml:space="preserve">full </w:t>
      </w:r>
      <w:r>
        <w:rPr>
          <w:rFonts w:cs="Arial"/>
          <w:iCs/>
        </w:rPr>
        <w:t>M</w:t>
      </w:r>
      <w:r w:rsidRPr="00BE65EB">
        <w:rPr>
          <w:rFonts w:cs="Arial"/>
          <w:iCs/>
        </w:rPr>
        <w:t xml:space="preserve">ember </w:t>
      </w:r>
      <w:r>
        <w:rPr>
          <w:rFonts w:cs="Arial"/>
          <w:iCs/>
        </w:rPr>
        <w:t>S</w:t>
      </w:r>
      <w:r w:rsidRPr="00BE65EB">
        <w:rPr>
          <w:rFonts w:cs="Arial"/>
          <w:iCs/>
        </w:rPr>
        <w:t>tate active participation and that the</w:t>
      </w:r>
      <w:r>
        <w:rPr>
          <w:rFonts w:cs="Arial"/>
          <w:iCs/>
        </w:rPr>
        <w:t xml:space="preserve"> </w:t>
      </w:r>
      <w:r w:rsidRPr="00BE65EB">
        <w:rPr>
          <w:rFonts w:cs="Arial"/>
          <w:iCs/>
        </w:rPr>
        <w:t xml:space="preserve">EU wide dimension of their responsibilities prevails over the specific interests of individual members. </w:t>
      </w:r>
    </w:p>
    <w:p w:rsidR="00B80352" w:rsidRDefault="00B80352">
      <w:pPr>
        <w:widowControl/>
        <w:spacing w:after="0" w:line="240" w:lineRule="auto"/>
        <w:rPr>
          <w:rFonts w:cs="Arial"/>
          <w:color w:val="365F91"/>
        </w:rPr>
      </w:pPr>
      <w:r>
        <w:rPr>
          <w:rFonts w:cs="Arial"/>
          <w:color w:val="365F91"/>
        </w:rPr>
        <w:br w:type="page"/>
      </w:r>
    </w:p>
    <w:p w:rsidR="00B80352" w:rsidRDefault="00B80352" w:rsidP="009A7300">
      <w:pPr>
        <w:spacing w:after="0" w:line="240" w:lineRule="auto"/>
        <w:rPr>
          <w:rFonts w:cs="Arial"/>
          <w:b/>
          <w:color w:val="365F91"/>
          <w:u w:val="single"/>
        </w:rPr>
      </w:pPr>
      <w:r w:rsidRPr="00604799">
        <w:rPr>
          <w:rFonts w:cs="Arial"/>
          <w:b/>
          <w:color w:val="365F91"/>
          <w:u w:val="single"/>
        </w:rPr>
        <w:lastRenderedPageBreak/>
        <w:t>C</w:t>
      </w:r>
      <w:r>
        <w:rPr>
          <w:rFonts w:cs="Arial"/>
          <w:b/>
          <w:color w:val="365F91"/>
          <w:u w:val="single"/>
        </w:rPr>
        <w:t>ONCLUSION</w:t>
      </w:r>
    </w:p>
    <w:p w:rsidR="00B80352" w:rsidRDefault="00B80352" w:rsidP="00604799">
      <w:pPr>
        <w:spacing w:after="0" w:line="240" w:lineRule="auto"/>
        <w:ind w:left="142"/>
        <w:rPr>
          <w:rFonts w:cs="Arial"/>
          <w:b/>
          <w:color w:val="365F91"/>
          <w:u w:val="single"/>
        </w:rPr>
      </w:pPr>
    </w:p>
    <w:p w:rsidR="00B80352" w:rsidRDefault="00B80352" w:rsidP="004507AB">
      <w:pPr>
        <w:pStyle w:val="ListParagraph"/>
        <w:ind w:left="0"/>
        <w:rPr>
          <w:rFonts w:ascii="Arial" w:hAnsi="Arial" w:cs="Arial"/>
        </w:rPr>
      </w:pPr>
      <w:r>
        <w:rPr>
          <w:rFonts w:ascii="Arial" w:hAnsi="Arial" w:cs="Arial"/>
        </w:rPr>
        <w:t>ENA is keen to be part of the ongoing Green Paper dialogue with the regulators and the European Commission on the changes foreseen to DSO r</w:t>
      </w:r>
      <w:r w:rsidRPr="00580B51">
        <w:rPr>
          <w:rFonts w:ascii="Arial" w:hAnsi="Arial" w:cs="Arial"/>
        </w:rPr>
        <w:t>o</w:t>
      </w:r>
      <w:r>
        <w:rPr>
          <w:rFonts w:ascii="Arial" w:hAnsi="Arial" w:cs="Arial"/>
        </w:rPr>
        <w:t>les and responsibilities.</w:t>
      </w:r>
    </w:p>
    <w:p w:rsidR="00B80352" w:rsidRDefault="00B80352" w:rsidP="004507AB">
      <w:pPr>
        <w:pStyle w:val="ListParagraph"/>
        <w:ind w:left="0"/>
        <w:rPr>
          <w:rFonts w:ascii="Arial" w:hAnsi="Arial" w:cs="Arial"/>
        </w:rPr>
      </w:pPr>
    </w:p>
    <w:p w:rsidR="00B80352" w:rsidRPr="00B97DAB" w:rsidRDefault="00B80352" w:rsidP="004507AB">
      <w:pPr>
        <w:pStyle w:val="ListParagraph"/>
        <w:ind w:left="0"/>
        <w:rPr>
          <w:rFonts w:ascii="Arial" w:hAnsi="Arial" w:cs="Arial"/>
          <w:iCs/>
        </w:rPr>
      </w:pPr>
      <w:r w:rsidRPr="00B97DAB">
        <w:rPr>
          <w:rFonts w:ascii="Arial" w:hAnsi="Arial" w:cs="Arial"/>
        </w:rPr>
        <w:t xml:space="preserve">We </w:t>
      </w:r>
      <w:r>
        <w:rPr>
          <w:rFonts w:ascii="Arial" w:hAnsi="Arial" w:cs="Arial"/>
        </w:rPr>
        <w:t xml:space="preserve">agree that the mapping out of </w:t>
      </w:r>
      <w:r w:rsidRPr="00B97DAB">
        <w:rPr>
          <w:rFonts w:ascii="Arial" w:hAnsi="Arial" w:cs="Arial"/>
        </w:rPr>
        <w:t>a</w:t>
      </w:r>
      <w:r>
        <w:rPr>
          <w:rFonts w:ascii="Arial" w:hAnsi="Arial" w:cs="Arial"/>
        </w:rPr>
        <w:t>n EU</w:t>
      </w:r>
      <w:r w:rsidRPr="00B97DAB">
        <w:rPr>
          <w:rFonts w:ascii="Arial" w:hAnsi="Arial" w:cs="Arial"/>
        </w:rPr>
        <w:t xml:space="preserve"> framework for demand response</w:t>
      </w:r>
      <w:r>
        <w:rPr>
          <w:rFonts w:ascii="Arial" w:hAnsi="Arial" w:cs="Arial"/>
        </w:rPr>
        <w:t xml:space="preserve"> covering commercial, regulatory and standardisation aspects could be helpful</w:t>
      </w:r>
      <w:r w:rsidR="009A7300">
        <w:rPr>
          <w:rFonts w:ascii="Arial" w:hAnsi="Arial" w:cs="Arial"/>
        </w:rPr>
        <w:t>, b</w:t>
      </w:r>
      <w:r>
        <w:rPr>
          <w:rFonts w:ascii="Arial" w:hAnsi="Arial" w:cs="Arial"/>
        </w:rPr>
        <w:t>ut</w:t>
      </w:r>
      <w:r w:rsidRPr="00B97DAB">
        <w:rPr>
          <w:rFonts w:ascii="Arial" w:hAnsi="Arial" w:cs="Arial"/>
          <w:iCs/>
        </w:rPr>
        <w:t xml:space="preserve"> it is essential that </w:t>
      </w:r>
      <w:r w:rsidR="009A7300">
        <w:rPr>
          <w:rFonts w:ascii="Arial" w:hAnsi="Arial" w:cs="Arial"/>
          <w:iCs/>
        </w:rPr>
        <w:t xml:space="preserve">the </w:t>
      </w:r>
      <w:r w:rsidRPr="00B97DAB">
        <w:rPr>
          <w:rFonts w:ascii="Arial" w:hAnsi="Arial" w:cs="Arial"/>
          <w:iCs/>
        </w:rPr>
        <w:t xml:space="preserve">steps taken to support smart grid developments are suitable for </w:t>
      </w:r>
      <w:r>
        <w:rPr>
          <w:rFonts w:ascii="Arial" w:hAnsi="Arial" w:cs="Arial"/>
          <w:iCs/>
        </w:rPr>
        <w:t xml:space="preserve">the </w:t>
      </w:r>
      <w:r w:rsidRPr="00B97DAB">
        <w:rPr>
          <w:rFonts w:ascii="Arial" w:hAnsi="Arial" w:cs="Arial"/>
          <w:iCs/>
        </w:rPr>
        <w:t>individual Member State</w:t>
      </w:r>
      <w:r>
        <w:rPr>
          <w:rFonts w:ascii="Arial" w:hAnsi="Arial" w:cs="Arial"/>
          <w:iCs/>
        </w:rPr>
        <w:t>s</w:t>
      </w:r>
      <w:r w:rsidRPr="00B97DAB">
        <w:rPr>
          <w:rFonts w:ascii="Arial" w:hAnsi="Arial" w:cs="Arial"/>
          <w:iCs/>
        </w:rPr>
        <w:t xml:space="preserve">. </w:t>
      </w:r>
      <w:r>
        <w:rPr>
          <w:rFonts w:ascii="Arial" w:hAnsi="Arial" w:cs="Arial"/>
          <w:iCs/>
        </w:rPr>
        <w:t>Given the very different nature and functions of DSOs</w:t>
      </w:r>
      <w:r w:rsidR="009A7300">
        <w:rPr>
          <w:rFonts w:ascii="Arial" w:hAnsi="Arial" w:cs="Arial"/>
          <w:iCs/>
        </w:rPr>
        <w:t xml:space="preserve">, </w:t>
      </w:r>
      <w:r>
        <w:rPr>
          <w:rFonts w:ascii="Arial" w:hAnsi="Arial" w:cs="Arial"/>
          <w:iCs/>
        </w:rPr>
        <w:t>ENA would support the ACER suggestion of an EU ‘menu’ of (consistent) options for Member States for the regulation of DSOs, based on high level principles.</w:t>
      </w:r>
    </w:p>
    <w:p w:rsidR="00B80352" w:rsidRPr="00B97DAB" w:rsidRDefault="00B80352" w:rsidP="004507AB">
      <w:pPr>
        <w:pStyle w:val="ListParagraph"/>
        <w:ind w:left="0"/>
        <w:rPr>
          <w:rFonts w:ascii="Arial" w:hAnsi="Arial" w:cs="Arial"/>
          <w:iCs/>
        </w:rPr>
      </w:pPr>
    </w:p>
    <w:p w:rsidR="00B80352" w:rsidRPr="001D360C" w:rsidRDefault="00B80352" w:rsidP="005542CB">
      <w:pPr>
        <w:pStyle w:val="ListParagraph"/>
        <w:ind w:left="0"/>
        <w:rPr>
          <w:rFonts w:ascii="Arial" w:hAnsi="Arial" w:cs="Arial"/>
        </w:rPr>
      </w:pPr>
      <w:r>
        <w:rPr>
          <w:rFonts w:ascii="Arial" w:hAnsi="Arial" w:cs="Arial"/>
        </w:rPr>
        <w:t>The Green Paper suggests that there will be a reduction</w:t>
      </w:r>
      <w:r w:rsidRPr="00BE65EB">
        <w:rPr>
          <w:rFonts w:ascii="Arial" w:hAnsi="Arial" w:cs="Arial"/>
        </w:rPr>
        <w:t xml:space="preserve"> </w:t>
      </w:r>
      <w:r>
        <w:rPr>
          <w:rFonts w:ascii="Arial" w:hAnsi="Arial" w:cs="Arial"/>
        </w:rPr>
        <w:t>in</w:t>
      </w:r>
      <w:r w:rsidRPr="00BE65EB">
        <w:rPr>
          <w:rFonts w:ascii="Arial" w:hAnsi="Arial" w:cs="Arial"/>
        </w:rPr>
        <w:t xml:space="preserve"> gas demand as a result of changes to gas used in the heating sector </w:t>
      </w:r>
      <w:r>
        <w:rPr>
          <w:rFonts w:ascii="Arial" w:hAnsi="Arial" w:cs="Arial"/>
        </w:rPr>
        <w:t>for a variety of reasons.</w:t>
      </w:r>
      <w:r w:rsidRPr="00BE65EB">
        <w:rPr>
          <w:rFonts w:ascii="Arial" w:hAnsi="Arial" w:cs="Arial"/>
        </w:rPr>
        <w:t xml:space="preserve">  </w:t>
      </w:r>
      <w:r>
        <w:rPr>
          <w:rFonts w:ascii="Arial" w:hAnsi="Arial" w:cs="Arial"/>
        </w:rPr>
        <w:t xml:space="preserve">This impact is unlikely to be marked in the period covered by the consultation. In the </w:t>
      </w:r>
      <w:r w:rsidRPr="001D360C">
        <w:rPr>
          <w:rFonts w:ascii="Arial" w:hAnsi="Arial" w:cs="Arial"/>
        </w:rPr>
        <w:t xml:space="preserve">UK’s Department of Energy and Climate Change (DECC) 2013 report – </w:t>
      </w:r>
      <w:hyperlink r:id="rId11" w:history="1">
        <w:r w:rsidRPr="001D360C">
          <w:rPr>
            <w:rStyle w:val="Hyperlink"/>
            <w:rFonts w:ascii="Arial" w:hAnsi="Arial" w:cs="Arial"/>
          </w:rPr>
          <w:t>The Future of Heating: Meeting the Challenge</w:t>
        </w:r>
      </w:hyperlink>
      <w:r w:rsidRPr="001D360C">
        <w:rPr>
          <w:rFonts w:ascii="Arial" w:hAnsi="Arial" w:cs="Arial"/>
        </w:rPr>
        <w:t xml:space="preserve"> </w:t>
      </w:r>
      <w:r>
        <w:rPr>
          <w:rFonts w:ascii="Arial" w:hAnsi="Arial" w:cs="Arial"/>
        </w:rPr>
        <w:t xml:space="preserve">their analysis </w:t>
      </w:r>
      <w:r w:rsidRPr="001D360C">
        <w:rPr>
          <w:rFonts w:ascii="Arial" w:hAnsi="Arial" w:cs="Arial"/>
        </w:rPr>
        <w:t>indicated that although natural gas use for heat will have to reduce over time if the UK’s carbon targets a</w:t>
      </w:r>
      <w:r>
        <w:rPr>
          <w:rFonts w:ascii="Arial" w:hAnsi="Arial" w:cs="Arial"/>
        </w:rPr>
        <w:t>re</w:t>
      </w:r>
      <w:r w:rsidRPr="001D360C">
        <w:rPr>
          <w:rFonts w:ascii="Arial" w:hAnsi="Arial" w:cs="Arial"/>
        </w:rPr>
        <w:t xml:space="preserve"> to be reached, it will </w:t>
      </w:r>
      <w:r>
        <w:rPr>
          <w:rFonts w:ascii="Arial" w:hAnsi="Arial" w:cs="Arial"/>
        </w:rPr>
        <w:t xml:space="preserve">still </w:t>
      </w:r>
      <w:r w:rsidRPr="001D360C">
        <w:rPr>
          <w:rFonts w:ascii="Arial" w:hAnsi="Arial" w:cs="Arial"/>
        </w:rPr>
        <w:t>play an essential part in the tran</w:t>
      </w:r>
      <w:r>
        <w:rPr>
          <w:rFonts w:ascii="Arial" w:hAnsi="Arial" w:cs="Arial"/>
        </w:rPr>
        <w:t>si</w:t>
      </w:r>
      <w:r w:rsidRPr="001D360C">
        <w:rPr>
          <w:rFonts w:ascii="Arial" w:hAnsi="Arial" w:cs="Arial"/>
        </w:rPr>
        <w:t xml:space="preserve">tion to </w:t>
      </w:r>
      <w:r>
        <w:rPr>
          <w:rFonts w:ascii="Arial" w:hAnsi="Arial" w:cs="Arial"/>
        </w:rPr>
        <w:t xml:space="preserve">a </w:t>
      </w:r>
      <w:r w:rsidRPr="001D360C">
        <w:rPr>
          <w:rFonts w:ascii="Arial" w:hAnsi="Arial" w:cs="Arial"/>
        </w:rPr>
        <w:t>low carbon future</w:t>
      </w:r>
      <w:r>
        <w:rPr>
          <w:rFonts w:ascii="Arial" w:hAnsi="Arial" w:cs="Arial"/>
        </w:rPr>
        <w:t xml:space="preserve">. Maintaining the UK’s extensive gas network will not lock-in carbon emissions but will provide the flexibility for increasing levels of biogas and also the potential for power to gas. </w:t>
      </w:r>
      <w:r w:rsidRPr="001D360C">
        <w:rPr>
          <w:rFonts w:ascii="Arial" w:hAnsi="Arial" w:cs="Arial"/>
        </w:rPr>
        <w:t xml:space="preserve"> </w:t>
      </w:r>
    </w:p>
    <w:p w:rsidR="00B80352" w:rsidRDefault="00B80352" w:rsidP="004507AB">
      <w:pPr>
        <w:pStyle w:val="ListParagraph"/>
        <w:ind w:left="0"/>
        <w:rPr>
          <w:rFonts w:ascii="Arial" w:hAnsi="Arial" w:cs="Arial"/>
        </w:rPr>
      </w:pPr>
    </w:p>
    <w:p w:rsidR="00B80352" w:rsidRPr="001248C7" w:rsidRDefault="00B80352" w:rsidP="00E70D44">
      <w:pPr>
        <w:spacing w:after="0" w:line="240" w:lineRule="auto"/>
        <w:rPr>
          <w:rFonts w:cs="Arial"/>
          <w:b/>
          <w:color w:val="00598E"/>
          <w:lang w:val="en-US"/>
        </w:rPr>
      </w:pPr>
      <w:r w:rsidRPr="001248C7">
        <w:rPr>
          <w:rFonts w:cs="Arial"/>
          <w:b/>
          <w:color w:val="00598E"/>
          <w:lang w:val="en-US"/>
        </w:rPr>
        <w:t xml:space="preserve">For further information please contact: </w:t>
      </w:r>
    </w:p>
    <w:p w:rsidR="00B80352" w:rsidRDefault="00B80352" w:rsidP="00DD0D88">
      <w:pPr>
        <w:autoSpaceDE w:val="0"/>
        <w:autoSpaceDN w:val="0"/>
        <w:spacing w:after="0" w:line="240" w:lineRule="auto"/>
        <w:ind w:left="142"/>
        <w:rPr>
          <w:rFonts w:cs="Arial"/>
        </w:rPr>
      </w:pPr>
    </w:p>
    <w:p w:rsidR="00B80352" w:rsidRDefault="00B80352" w:rsidP="00E70D44">
      <w:pPr>
        <w:autoSpaceDE w:val="0"/>
        <w:autoSpaceDN w:val="0"/>
        <w:spacing w:after="0" w:line="240" w:lineRule="auto"/>
        <w:rPr>
          <w:rFonts w:cs="Arial"/>
        </w:rPr>
      </w:pPr>
      <w:r>
        <w:rPr>
          <w:rFonts w:cs="Arial"/>
        </w:rPr>
        <w:t>Jane May</w:t>
      </w:r>
    </w:p>
    <w:p w:rsidR="00B80352" w:rsidRDefault="00B80352" w:rsidP="00E70D44">
      <w:pPr>
        <w:autoSpaceDE w:val="0"/>
        <w:autoSpaceDN w:val="0"/>
        <w:spacing w:after="0" w:line="240" w:lineRule="auto"/>
        <w:rPr>
          <w:rFonts w:cs="Arial"/>
        </w:rPr>
      </w:pPr>
      <w:r w:rsidRPr="00D71E1B">
        <w:rPr>
          <w:rFonts w:cs="Arial"/>
        </w:rPr>
        <w:t xml:space="preserve">Europe </w:t>
      </w:r>
      <w:r>
        <w:rPr>
          <w:rFonts w:cs="Arial"/>
        </w:rPr>
        <w:t>Executive</w:t>
      </w:r>
      <w:r w:rsidRPr="00300D98">
        <w:rPr>
          <w:rFonts w:cs="Arial"/>
        </w:rPr>
        <w:t xml:space="preserve"> </w:t>
      </w:r>
    </w:p>
    <w:p w:rsidR="00B80352" w:rsidRPr="00300D98" w:rsidRDefault="00B80352" w:rsidP="00DD0D88">
      <w:pPr>
        <w:autoSpaceDE w:val="0"/>
        <w:autoSpaceDN w:val="0"/>
        <w:spacing w:after="0" w:line="240" w:lineRule="auto"/>
        <w:ind w:left="142"/>
        <w:rPr>
          <w:rFonts w:cs="Arial"/>
        </w:rPr>
      </w:pPr>
    </w:p>
    <w:p w:rsidR="00B80352" w:rsidRDefault="00B80352" w:rsidP="00E70D44">
      <w:pPr>
        <w:autoSpaceDE w:val="0"/>
        <w:autoSpaceDN w:val="0"/>
        <w:spacing w:after="0" w:line="240" w:lineRule="auto"/>
        <w:rPr>
          <w:rFonts w:cs="Arial"/>
        </w:rPr>
      </w:pPr>
      <w:r>
        <w:rPr>
          <w:rFonts w:cs="Arial"/>
        </w:rPr>
        <w:t xml:space="preserve">Tel: </w:t>
      </w:r>
      <w:r w:rsidRPr="00D71E1B">
        <w:rPr>
          <w:rFonts w:cs="Arial"/>
        </w:rPr>
        <w:t xml:space="preserve"> +44 20 7706 5131</w:t>
      </w:r>
    </w:p>
    <w:p w:rsidR="00B80352" w:rsidRPr="00604799" w:rsidRDefault="00B80352" w:rsidP="00E70D44">
      <w:pPr>
        <w:autoSpaceDE w:val="0"/>
        <w:autoSpaceDN w:val="0"/>
        <w:spacing w:after="0" w:line="240" w:lineRule="auto"/>
        <w:rPr>
          <w:rFonts w:cs="Arial"/>
          <w:b/>
          <w:color w:val="365F91"/>
          <w:u w:val="single"/>
        </w:rPr>
      </w:pPr>
      <w:r>
        <w:rPr>
          <w:rFonts w:cs="Arial"/>
        </w:rPr>
        <w:t>E</w:t>
      </w:r>
      <w:r w:rsidRPr="00D71E1B">
        <w:rPr>
          <w:rFonts w:cs="Arial"/>
        </w:rPr>
        <w:t>mail</w:t>
      </w:r>
      <w:r>
        <w:rPr>
          <w:rFonts w:cs="Arial"/>
        </w:rPr>
        <w:t xml:space="preserve">:  </w:t>
      </w:r>
      <w:hyperlink r:id="rId12" w:history="1">
        <w:r w:rsidRPr="00D71E1B">
          <w:rPr>
            <w:rStyle w:val="Hyperlink"/>
            <w:rFonts w:cs="Arial"/>
          </w:rPr>
          <w:t>jane.may@energynetworks.org</w:t>
        </w:r>
      </w:hyperlink>
    </w:p>
    <w:sectPr w:rsidR="00B80352" w:rsidRPr="00604799" w:rsidSect="001B6044">
      <w:footerReference w:type="defaul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55F" w:rsidRDefault="00F8655F" w:rsidP="003F0181">
      <w:pPr>
        <w:spacing w:after="0" w:line="240" w:lineRule="auto"/>
      </w:pPr>
      <w:r>
        <w:separator/>
      </w:r>
    </w:p>
  </w:endnote>
  <w:endnote w:type="continuationSeparator" w:id="0">
    <w:p w:rsidR="00F8655F" w:rsidRDefault="00F8655F" w:rsidP="003F01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7A9" w:rsidRDefault="00646590">
    <w:pPr>
      <w:pStyle w:val="Footer"/>
      <w:jc w:val="center"/>
    </w:pPr>
    <w:fldSimple w:instr=" PAGE   \* MERGEFORMAT ">
      <w:r w:rsidR="00336369">
        <w:rPr>
          <w:noProof/>
        </w:rPr>
        <w:t>9</w:t>
      </w:r>
    </w:fldSimple>
  </w:p>
  <w:p w:rsidR="00A857A9" w:rsidRDefault="00A857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55F" w:rsidRDefault="00F8655F" w:rsidP="003F0181">
      <w:pPr>
        <w:spacing w:after="0" w:line="240" w:lineRule="auto"/>
      </w:pPr>
      <w:r>
        <w:separator/>
      </w:r>
    </w:p>
  </w:footnote>
  <w:footnote w:type="continuationSeparator" w:id="0">
    <w:p w:rsidR="00F8655F" w:rsidRDefault="00F8655F" w:rsidP="003F01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2779C"/>
    <w:multiLevelType w:val="hybridMultilevel"/>
    <w:tmpl w:val="C8D2B9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B12C2D"/>
    <w:multiLevelType w:val="hybridMultilevel"/>
    <w:tmpl w:val="08564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7C0787"/>
    <w:multiLevelType w:val="hybridMultilevel"/>
    <w:tmpl w:val="EBD2894C"/>
    <w:lvl w:ilvl="0" w:tplc="87205D3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51D75D6"/>
    <w:multiLevelType w:val="hybridMultilevel"/>
    <w:tmpl w:val="D8000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B435D3F"/>
    <w:multiLevelType w:val="hybridMultilevel"/>
    <w:tmpl w:val="A4E0B84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3B6D17A9"/>
    <w:multiLevelType w:val="hybridMultilevel"/>
    <w:tmpl w:val="2A625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3DB6200"/>
    <w:multiLevelType w:val="multilevel"/>
    <w:tmpl w:val="C9A0A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D352CE"/>
    <w:multiLevelType w:val="hybridMultilevel"/>
    <w:tmpl w:val="D0FE165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58422391"/>
    <w:multiLevelType w:val="hybridMultilevel"/>
    <w:tmpl w:val="FD0EAB3E"/>
    <w:lvl w:ilvl="0" w:tplc="AE349A7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59FC5AB0"/>
    <w:multiLevelType w:val="hybridMultilevel"/>
    <w:tmpl w:val="E9724D96"/>
    <w:lvl w:ilvl="0" w:tplc="0809000B">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
    <w:nsid w:val="62774418"/>
    <w:multiLevelType w:val="hybridMultilevel"/>
    <w:tmpl w:val="66B0DB54"/>
    <w:lvl w:ilvl="0" w:tplc="782E13D6">
      <w:start w:val="1"/>
      <w:numFmt w:val="decimal"/>
      <w:lvlText w:val="%1."/>
      <w:lvlJc w:val="left"/>
      <w:pPr>
        <w:ind w:left="502" w:hanging="360"/>
      </w:pPr>
      <w:rPr>
        <w:rFonts w:cs="Times New Roman" w:hint="default"/>
      </w:rPr>
    </w:lvl>
    <w:lvl w:ilvl="1" w:tplc="08090019" w:tentative="1">
      <w:start w:val="1"/>
      <w:numFmt w:val="lowerLetter"/>
      <w:lvlText w:val="%2."/>
      <w:lvlJc w:val="left"/>
      <w:pPr>
        <w:ind w:left="1222" w:hanging="360"/>
      </w:pPr>
      <w:rPr>
        <w:rFonts w:cs="Times New Roman"/>
      </w:rPr>
    </w:lvl>
    <w:lvl w:ilvl="2" w:tplc="0809001B" w:tentative="1">
      <w:start w:val="1"/>
      <w:numFmt w:val="lowerRoman"/>
      <w:lvlText w:val="%3."/>
      <w:lvlJc w:val="right"/>
      <w:pPr>
        <w:ind w:left="1942" w:hanging="180"/>
      </w:pPr>
      <w:rPr>
        <w:rFonts w:cs="Times New Roman"/>
      </w:rPr>
    </w:lvl>
    <w:lvl w:ilvl="3" w:tplc="0809000F" w:tentative="1">
      <w:start w:val="1"/>
      <w:numFmt w:val="decimal"/>
      <w:lvlText w:val="%4."/>
      <w:lvlJc w:val="left"/>
      <w:pPr>
        <w:ind w:left="2662" w:hanging="360"/>
      </w:pPr>
      <w:rPr>
        <w:rFonts w:cs="Times New Roman"/>
      </w:rPr>
    </w:lvl>
    <w:lvl w:ilvl="4" w:tplc="08090019" w:tentative="1">
      <w:start w:val="1"/>
      <w:numFmt w:val="lowerLetter"/>
      <w:lvlText w:val="%5."/>
      <w:lvlJc w:val="left"/>
      <w:pPr>
        <w:ind w:left="3382" w:hanging="360"/>
      </w:pPr>
      <w:rPr>
        <w:rFonts w:cs="Times New Roman"/>
      </w:rPr>
    </w:lvl>
    <w:lvl w:ilvl="5" w:tplc="0809001B" w:tentative="1">
      <w:start w:val="1"/>
      <w:numFmt w:val="lowerRoman"/>
      <w:lvlText w:val="%6."/>
      <w:lvlJc w:val="right"/>
      <w:pPr>
        <w:ind w:left="4102" w:hanging="180"/>
      </w:pPr>
      <w:rPr>
        <w:rFonts w:cs="Times New Roman"/>
      </w:rPr>
    </w:lvl>
    <w:lvl w:ilvl="6" w:tplc="0809000F" w:tentative="1">
      <w:start w:val="1"/>
      <w:numFmt w:val="decimal"/>
      <w:lvlText w:val="%7."/>
      <w:lvlJc w:val="left"/>
      <w:pPr>
        <w:ind w:left="4822" w:hanging="360"/>
      </w:pPr>
      <w:rPr>
        <w:rFonts w:cs="Times New Roman"/>
      </w:rPr>
    </w:lvl>
    <w:lvl w:ilvl="7" w:tplc="08090019" w:tentative="1">
      <w:start w:val="1"/>
      <w:numFmt w:val="lowerLetter"/>
      <w:lvlText w:val="%8."/>
      <w:lvlJc w:val="left"/>
      <w:pPr>
        <w:ind w:left="5542" w:hanging="360"/>
      </w:pPr>
      <w:rPr>
        <w:rFonts w:cs="Times New Roman"/>
      </w:rPr>
    </w:lvl>
    <w:lvl w:ilvl="8" w:tplc="0809001B" w:tentative="1">
      <w:start w:val="1"/>
      <w:numFmt w:val="lowerRoman"/>
      <w:lvlText w:val="%9."/>
      <w:lvlJc w:val="right"/>
      <w:pPr>
        <w:ind w:left="6262" w:hanging="180"/>
      </w:pPr>
      <w:rPr>
        <w:rFonts w:cs="Times New Roman"/>
      </w:rPr>
    </w:lvl>
  </w:abstractNum>
  <w:abstractNum w:abstractNumId="11">
    <w:nsid w:val="63B13E24"/>
    <w:multiLevelType w:val="hybridMultilevel"/>
    <w:tmpl w:val="AE8E0614"/>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512296A"/>
    <w:multiLevelType w:val="hybridMultilevel"/>
    <w:tmpl w:val="79066282"/>
    <w:lvl w:ilvl="0" w:tplc="717E8164">
      <w:start w:val="1"/>
      <w:numFmt w:val="lowerRoman"/>
      <w:lvlText w:val="%1)"/>
      <w:lvlJc w:val="left"/>
      <w:pPr>
        <w:ind w:left="1440" w:hanging="720"/>
      </w:pPr>
      <w:rPr>
        <w:rFonts w:cs="Times New Roman" w:hint="default"/>
        <w:sz w:val="22"/>
        <w:szCs w:val="22"/>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3">
    <w:nsid w:val="6730767F"/>
    <w:multiLevelType w:val="hybridMultilevel"/>
    <w:tmpl w:val="A16C1AE4"/>
    <w:lvl w:ilvl="0" w:tplc="D59EB68C">
      <w:start w:val="1"/>
      <w:numFmt w:val="bullet"/>
      <w:lvlText w:val="o"/>
      <w:lvlJc w:val="left"/>
      <w:pPr>
        <w:ind w:left="720" w:hanging="360"/>
      </w:pPr>
      <w:rPr>
        <w:rFonts w:ascii="Courier New" w:hAnsi="Courier New"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2305B65"/>
    <w:multiLevelType w:val="hybridMultilevel"/>
    <w:tmpl w:val="0C3E1A1A"/>
    <w:lvl w:ilvl="0" w:tplc="56242D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6FF76A4"/>
    <w:multiLevelType w:val="hybridMultilevel"/>
    <w:tmpl w:val="53E4E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15"/>
  </w:num>
  <w:num w:numId="5">
    <w:abstractNumId w:val="7"/>
  </w:num>
  <w:num w:numId="6">
    <w:abstractNumId w:val="10"/>
  </w:num>
  <w:num w:numId="7">
    <w:abstractNumId w:val="4"/>
  </w:num>
  <w:num w:numId="8">
    <w:abstractNumId w:val="0"/>
  </w:num>
  <w:num w:numId="9">
    <w:abstractNumId w:val="11"/>
  </w:num>
  <w:num w:numId="10">
    <w:abstractNumId w:val="9"/>
  </w:num>
  <w:num w:numId="11">
    <w:abstractNumId w:val="13"/>
  </w:num>
  <w:num w:numId="12">
    <w:abstractNumId w:val="12"/>
  </w:num>
  <w:num w:numId="13">
    <w:abstractNumId w:val="2"/>
  </w:num>
  <w:num w:numId="14">
    <w:abstractNumId w:val="3"/>
  </w:num>
  <w:num w:numId="15">
    <w:abstractNumId w:val="14"/>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rsids>
    <w:rsidRoot w:val="000424FE"/>
    <w:rsid w:val="00005406"/>
    <w:rsid w:val="00037385"/>
    <w:rsid w:val="000424FE"/>
    <w:rsid w:val="00062B47"/>
    <w:rsid w:val="00086DFD"/>
    <w:rsid w:val="00091776"/>
    <w:rsid w:val="000A231E"/>
    <w:rsid w:val="000A7337"/>
    <w:rsid w:val="000A7602"/>
    <w:rsid w:val="000B2482"/>
    <w:rsid w:val="000E754E"/>
    <w:rsid w:val="0010218F"/>
    <w:rsid w:val="00103F97"/>
    <w:rsid w:val="00115FDE"/>
    <w:rsid w:val="001248C7"/>
    <w:rsid w:val="0012689C"/>
    <w:rsid w:val="00127790"/>
    <w:rsid w:val="001300DC"/>
    <w:rsid w:val="00152B58"/>
    <w:rsid w:val="00153B75"/>
    <w:rsid w:val="00160ACB"/>
    <w:rsid w:val="00171796"/>
    <w:rsid w:val="001B6044"/>
    <w:rsid w:val="001D004B"/>
    <w:rsid w:val="001D080D"/>
    <w:rsid w:val="001D360C"/>
    <w:rsid w:val="001D37D6"/>
    <w:rsid w:val="001E2E48"/>
    <w:rsid w:val="0020065E"/>
    <w:rsid w:val="002030BF"/>
    <w:rsid w:val="00212770"/>
    <w:rsid w:val="00213FAC"/>
    <w:rsid w:val="00225314"/>
    <w:rsid w:val="00242CFE"/>
    <w:rsid w:val="00254540"/>
    <w:rsid w:val="00267263"/>
    <w:rsid w:val="0029333B"/>
    <w:rsid w:val="002A2A17"/>
    <w:rsid w:val="002D26E0"/>
    <w:rsid w:val="002E76BA"/>
    <w:rsid w:val="00300D98"/>
    <w:rsid w:val="003173EF"/>
    <w:rsid w:val="00317560"/>
    <w:rsid w:val="003351B7"/>
    <w:rsid w:val="00336369"/>
    <w:rsid w:val="00345EE1"/>
    <w:rsid w:val="00370D3D"/>
    <w:rsid w:val="00372397"/>
    <w:rsid w:val="00393F7B"/>
    <w:rsid w:val="00394333"/>
    <w:rsid w:val="003A2D9C"/>
    <w:rsid w:val="003A580F"/>
    <w:rsid w:val="003B5774"/>
    <w:rsid w:val="003D7C7E"/>
    <w:rsid w:val="003F0181"/>
    <w:rsid w:val="003F70A5"/>
    <w:rsid w:val="003F71EF"/>
    <w:rsid w:val="004206EB"/>
    <w:rsid w:val="00437932"/>
    <w:rsid w:val="004425F8"/>
    <w:rsid w:val="004507AB"/>
    <w:rsid w:val="004576E0"/>
    <w:rsid w:val="00464EDE"/>
    <w:rsid w:val="00465661"/>
    <w:rsid w:val="0046573A"/>
    <w:rsid w:val="00465C32"/>
    <w:rsid w:val="004814E8"/>
    <w:rsid w:val="004D23D3"/>
    <w:rsid w:val="004F2F85"/>
    <w:rsid w:val="00511313"/>
    <w:rsid w:val="00513085"/>
    <w:rsid w:val="005332B0"/>
    <w:rsid w:val="005542CB"/>
    <w:rsid w:val="00560843"/>
    <w:rsid w:val="00580B51"/>
    <w:rsid w:val="00587A4D"/>
    <w:rsid w:val="0059295F"/>
    <w:rsid w:val="005B6072"/>
    <w:rsid w:val="005C04C9"/>
    <w:rsid w:val="005C52A9"/>
    <w:rsid w:val="005D3F7F"/>
    <w:rsid w:val="00600416"/>
    <w:rsid w:val="00604799"/>
    <w:rsid w:val="00621153"/>
    <w:rsid w:val="00625009"/>
    <w:rsid w:val="006403B0"/>
    <w:rsid w:val="00646590"/>
    <w:rsid w:val="006535BB"/>
    <w:rsid w:val="00661380"/>
    <w:rsid w:val="00690FEE"/>
    <w:rsid w:val="006C10EE"/>
    <w:rsid w:val="006C120B"/>
    <w:rsid w:val="006C25E0"/>
    <w:rsid w:val="006C3446"/>
    <w:rsid w:val="006D6888"/>
    <w:rsid w:val="006F7BBA"/>
    <w:rsid w:val="007006D8"/>
    <w:rsid w:val="00703F24"/>
    <w:rsid w:val="007301F8"/>
    <w:rsid w:val="00766100"/>
    <w:rsid w:val="00766585"/>
    <w:rsid w:val="007673EA"/>
    <w:rsid w:val="007A3F1C"/>
    <w:rsid w:val="007B249A"/>
    <w:rsid w:val="007C0035"/>
    <w:rsid w:val="007C3F90"/>
    <w:rsid w:val="007E20D0"/>
    <w:rsid w:val="007F118C"/>
    <w:rsid w:val="007F15F6"/>
    <w:rsid w:val="0080331F"/>
    <w:rsid w:val="00804AD8"/>
    <w:rsid w:val="0082769B"/>
    <w:rsid w:val="008413E5"/>
    <w:rsid w:val="00852639"/>
    <w:rsid w:val="0086714B"/>
    <w:rsid w:val="008703D7"/>
    <w:rsid w:val="008A0E1D"/>
    <w:rsid w:val="008C3D07"/>
    <w:rsid w:val="008D3023"/>
    <w:rsid w:val="008E3812"/>
    <w:rsid w:val="0090157B"/>
    <w:rsid w:val="00904782"/>
    <w:rsid w:val="009127C3"/>
    <w:rsid w:val="009139C4"/>
    <w:rsid w:val="009522E1"/>
    <w:rsid w:val="00971261"/>
    <w:rsid w:val="009727E7"/>
    <w:rsid w:val="00993DB0"/>
    <w:rsid w:val="009A7300"/>
    <w:rsid w:val="009A78A0"/>
    <w:rsid w:val="009B5FF8"/>
    <w:rsid w:val="009B6802"/>
    <w:rsid w:val="009E3959"/>
    <w:rsid w:val="009E4E9A"/>
    <w:rsid w:val="009E6CD6"/>
    <w:rsid w:val="009F5A7D"/>
    <w:rsid w:val="009F7543"/>
    <w:rsid w:val="00A02E6E"/>
    <w:rsid w:val="00A0710C"/>
    <w:rsid w:val="00A14716"/>
    <w:rsid w:val="00A22437"/>
    <w:rsid w:val="00A31B96"/>
    <w:rsid w:val="00A45819"/>
    <w:rsid w:val="00A6614B"/>
    <w:rsid w:val="00A728CD"/>
    <w:rsid w:val="00A848EA"/>
    <w:rsid w:val="00A857A9"/>
    <w:rsid w:val="00A90118"/>
    <w:rsid w:val="00B51F3F"/>
    <w:rsid w:val="00B70633"/>
    <w:rsid w:val="00B74B19"/>
    <w:rsid w:val="00B77E90"/>
    <w:rsid w:val="00B80352"/>
    <w:rsid w:val="00B81051"/>
    <w:rsid w:val="00B97DAB"/>
    <w:rsid w:val="00BA3226"/>
    <w:rsid w:val="00BC09C5"/>
    <w:rsid w:val="00BD04E5"/>
    <w:rsid w:val="00BD1E90"/>
    <w:rsid w:val="00BD4789"/>
    <w:rsid w:val="00BE0714"/>
    <w:rsid w:val="00BE65EB"/>
    <w:rsid w:val="00C0424D"/>
    <w:rsid w:val="00C270EF"/>
    <w:rsid w:val="00C339FF"/>
    <w:rsid w:val="00C421D4"/>
    <w:rsid w:val="00C525AC"/>
    <w:rsid w:val="00C5705C"/>
    <w:rsid w:val="00C81604"/>
    <w:rsid w:val="00CA3F36"/>
    <w:rsid w:val="00CE0089"/>
    <w:rsid w:val="00CF434B"/>
    <w:rsid w:val="00CF48E0"/>
    <w:rsid w:val="00CF66E9"/>
    <w:rsid w:val="00D0107E"/>
    <w:rsid w:val="00D025F9"/>
    <w:rsid w:val="00D32891"/>
    <w:rsid w:val="00D35B52"/>
    <w:rsid w:val="00D36FD1"/>
    <w:rsid w:val="00D53171"/>
    <w:rsid w:val="00D71E1B"/>
    <w:rsid w:val="00D74680"/>
    <w:rsid w:val="00DB1154"/>
    <w:rsid w:val="00DB3709"/>
    <w:rsid w:val="00DB452F"/>
    <w:rsid w:val="00DB7A4B"/>
    <w:rsid w:val="00DC50C4"/>
    <w:rsid w:val="00DD0D88"/>
    <w:rsid w:val="00DE25A6"/>
    <w:rsid w:val="00DE77DC"/>
    <w:rsid w:val="00DF05FA"/>
    <w:rsid w:val="00DF5AE5"/>
    <w:rsid w:val="00E07A07"/>
    <w:rsid w:val="00E247C3"/>
    <w:rsid w:val="00E24FE8"/>
    <w:rsid w:val="00E33B13"/>
    <w:rsid w:val="00E34055"/>
    <w:rsid w:val="00E43156"/>
    <w:rsid w:val="00E44DDB"/>
    <w:rsid w:val="00E62267"/>
    <w:rsid w:val="00E70D44"/>
    <w:rsid w:val="00E7286E"/>
    <w:rsid w:val="00E74308"/>
    <w:rsid w:val="00E754F5"/>
    <w:rsid w:val="00EA2490"/>
    <w:rsid w:val="00ED1F5E"/>
    <w:rsid w:val="00EE62D9"/>
    <w:rsid w:val="00F2234F"/>
    <w:rsid w:val="00F22FD9"/>
    <w:rsid w:val="00F25172"/>
    <w:rsid w:val="00F3020F"/>
    <w:rsid w:val="00F36C3C"/>
    <w:rsid w:val="00F609C4"/>
    <w:rsid w:val="00F621C1"/>
    <w:rsid w:val="00F73664"/>
    <w:rsid w:val="00F8655F"/>
    <w:rsid w:val="00F94A87"/>
    <w:rsid w:val="00F97962"/>
    <w:rsid w:val="00FB2D90"/>
    <w:rsid w:val="00FB777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4FE"/>
    <w:pPr>
      <w:widowControl w:val="0"/>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80B51"/>
    <w:pPr>
      <w:widowControl/>
      <w:ind w:left="720"/>
      <w:contextualSpacing/>
    </w:pPr>
    <w:rPr>
      <w:rFonts w:ascii="Calibri" w:hAnsi="Calibri"/>
    </w:rPr>
  </w:style>
  <w:style w:type="paragraph" w:styleId="Header">
    <w:name w:val="header"/>
    <w:basedOn w:val="Normal"/>
    <w:link w:val="HeaderChar"/>
    <w:uiPriority w:val="99"/>
    <w:semiHidden/>
    <w:rsid w:val="003F0181"/>
    <w:pPr>
      <w:tabs>
        <w:tab w:val="center" w:pos="4513"/>
        <w:tab w:val="right" w:pos="9026"/>
      </w:tabs>
    </w:pPr>
  </w:style>
  <w:style w:type="character" w:customStyle="1" w:styleId="HeaderChar">
    <w:name w:val="Header Char"/>
    <w:basedOn w:val="DefaultParagraphFont"/>
    <w:link w:val="Header"/>
    <w:uiPriority w:val="99"/>
    <w:semiHidden/>
    <w:locked/>
    <w:rsid w:val="003F0181"/>
    <w:rPr>
      <w:rFonts w:cs="Times New Roman"/>
      <w:sz w:val="22"/>
      <w:szCs w:val="22"/>
      <w:lang w:eastAsia="en-US"/>
    </w:rPr>
  </w:style>
  <w:style w:type="paragraph" w:styleId="Footer">
    <w:name w:val="footer"/>
    <w:basedOn w:val="Normal"/>
    <w:link w:val="FooterChar"/>
    <w:uiPriority w:val="99"/>
    <w:rsid w:val="003F0181"/>
    <w:pPr>
      <w:tabs>
        <w:tab w:val="center" w:pos="4513"/>
        <w:tab w:val="right" w:pos="9026"/>
      </w:tabs>
    </w:pPr>
  </w:style>
  <w:style w:type="character" w:customStyle="1" w:styleId="FooterChar">
    <w:name w:val="Footer Char"/>
    <w:basedOn w:val="DefaultParagraphFont"/>
    <w:link w:val="Footer"/>
    <w:uiPriority w:val="99"/>
    <w:locked/>
    <w:rsid w:val="003F0181"/>
    <w:rPr>
      <w:rFonts w:cs="Times New Roman"/>
      <w:sz w:val="22"/>
      <w:szCs w:val="22"/>
      <w:lang w:eastAsia="en-US"/>
    </w:rPr>
  </w:style>
  <w:style w:type="paragraph" w:styleId="FootnoteText">
    <w:name w:val="footnote text"/>
    <w:basedOn w:val="Normal"/>
    <w:link w:val="FootnoteTextChar"/>
    <w:uiPriority w:val="99"/>
    <w:semiHidden/>
    <w:rsid w:val="00BD04E5"/>
    <w:rPr>
      <w:sz w:val="20"/>
      <w:szCs w:val="20"/>
    </w:rPr>
  </w:style>
  <w:style w:type="character" w:customStyle="1" w:styleId="FootnoteTextChar">
    <w:name w:val="Footnote Text Char"/>
    <w:basedOn w:val="DefaultParagraphFont"/>
    <w:link w:val="FootnoteText"/>
    <w:uiPriority w:val="99"/>
    <w:semiHidden/>
    <w:locked/>
    <w:rsid w:val="00BD04E5"/>
    <w:rPr>
      <w:rFonts w:cs="Times New Roman"/>
      <w:lang w:eastAsia="en-US"/>
    </w:rPr>
  </w:style>
  <w:style w:type="character" w:styleId="Hyperlink">
    <w:name w:val="Hyperlink"/>
    <w:basedOn w:val="DefaultParagraphFont"/>
    <w:uiPriority w:val="99"/>
    <w:rsid w:val="00BD04E5"/>
    <w:rPr>
      <w:rFonts w:cs="Times New Roman"/>
      <w:color w:val="0000FF"/>
      <w:u w:val="single"/>
    </w:rPr>
  </w:style>
  <w:style w:type="character" w:styleId="FootnoteReference">
    <w:name w:val="footnote reference"/>
    <w:basedOn w:val="DefaultParagraphFont"/>
    <w:uiPriority w:val="99"/>
    <w:rsid w:val="00BD04E5"/>
    <w:rPr>
      <w:rFonts w:cs="Times New Roman"/>
      <w:vertAlign w:val="superscript"/>
    </w:rPr>
  </w:style>
  <w:style w:type="character" w:styleId="CommentReference">
    <w:name w:val="annotation reference"/>
    <w:basedOn w:val="DefaultParagraphFont"/>
    <w:uiPriority w:val="99"/>
    <w:semiHidden/>
    <w:rsid w:val="00B74B19"/>
    <w:rPr>
      <w:rFonts w:cs="Times New Roman"/>
      <w:sz w:val="18"/>
      <w:szCs w:val="18"/>
    </w:rPr>
  </w:style>
  <w:style w:type="paragraph" w:styleId="CommentText">
    <w:name w:val="annotation text"/>
    <w:basedOn w:val="Normal"/>
    <w:link w:val="CommentTextChar"/>
    <w:uiPriority w:val="99"/>
    <w:semiHidden/>
    <w:rsid w:val="00B74B19"/>
    <w:pPr>
      <w:spacing w:line="240" w:lineRule="auto"/>
    </w:pPr>
    <w:rPr>
      <w:sz w:val="24"/>
      <w:szCs w:val="24"/>
    </w:rPr>
  </w:style>
  <w:style w:type="character" w:customStyle="1" w:styleId="CommentTextChar">
    <w:name w:val="Comment Text Char"/>
    <w:basedOn w:val="DefaultParagraphFont"/>
    <w:link w:val="CommentText"/>
    <w:uiPriority w:val="99"/>
    <w:semiHidden/>
    <w:locked/>
    <w:rsid w:val="00B74B19"/>
    <w:rPr>
      <w:rFonts w:cs="Times New Roman"/>
      <w:sz w:val="24"/>
      <w:szCs w:val="24"/>
    </w:rPr>
  </w:style>
  <w:style w:type="paragraph" w:styleId="CommentSubject">
    <w:name w:val="annotation subject"/>
    <w:basedOn w:val="CommentText"/>
    <w:next w:val="CommentText"/>
    <w:link w:val="CommentSubjectChar"/>
    <w:uiPriority w:val="99"/>
    <w:semiHidden/>
    <w:rsid w:val="00B74B19"/>
    <w:rPr>
      <w:b/>
      <w:bCs/>
      <w:sz w:val="20"/>
      <w:szCs w:val="20"/>
    </w:rPr>
  </w:style>
  <w:style w:type="character" w:customStyle="1" w:styleId="CommentSubjectChar">
    <w:name w:val="Comment Subject Char"/>
    <w:basedOn w:val="CommentTextChar"/>
    <w:link w:val="CommentSubject"/>
    <w:uiPriority w:val="99"/>
    <w:semiHidden/>
    <w:locked/>
    <w:rsid w:val="00B74B19"/>
    <w:rPr>
      <w:b/>
      <w:bCs/>
    </w:rPr>
  </w:style>
  <w:style w:type="paragraph" w:styleId="BalloonText">
    <w:name w:val="Balloon Text"/>
    <w:basedOn w:val="Normal"/>
    <w:link w:val="BalloonTextChar"/>
    <w:uiPriority w:val="99"/>
    <w:semiHidden/>
    <w:rsid w:val="00B74B19"/>
    <w:pPr>
      <w:spacing w:after="0" w:line="240" w:lineRule="auto"/>
    </w:pPr>
    <w:rPr>
      <w:rFonts w:ascii="Helvetica" w:hAnsi="Helvetica"/>
      <w:sz w:val="18"/>
      <w:szCs w:val="18"/>
    </w:rPr>
  </w:style>
  <w:style w:type="character" w:customStyle="1" w:styleId="BalloonTextChar">
    <w:name w:val="Balloon Text Char"/>
    <w:basedOn w:val="DefaultParagraphFont"/>
    <w:link w:val="BalloonText"/>
    <w:uiPriority w:val="99"/>
    <w:semiHidden/>
    <w:locked/>
    <w:rsid w:val="00B74B19"/>
    <w:rPr>
      <w:rFonts w:ascii="Helvetica" w:hAnsi="Helvetic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ne.may@energynetworks.org"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uploads/system/uploads/attachment_data/file/190149/16_04-DECC-The_Future_of_Heating_Accessible-10.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uploads/system/uploads/attachment_data/file/190149/16_04-DECC-The_Future_of_Heating_Accessible-10.pdf" TargetMode="Externa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www.energynetworks.org/modx/assets/files/gas/futures/Summary_Article_Redpoint_Gas_Futures_report_Nov10.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E68A29B012D74CAC17F23B87932E26" ma:contentTypeVersion="21" ma:contentTypeDescription="Create a new document." ma:contentTypeScope="" ma:versionID="4220685a8b1c52632276f281c0ba2d3d">
  <xsd:schema xmlns:xsd="http://www.w3.org/2001/XMLSchema" xmlns:xs="http://www.w3.org/2001/XMLSchema" xmlns:p="http://schemas.microsoft.com/office/2006/metadata/properties" xmlns:ns2="05f815bc-e24a-4dbb-a162-0ba0f3499a5a" xmlns:ns3="985daa2e-53d8-4475-82b8-9c7d25324e34" targetNamespace="http://schemas.microsoft.com/office/2006/metadata/properties" ma:root="true" ma:fieldsID="924957e50520aab53bb035f90410062f" ns2:_="" ns3:_="">
    <xsd:import namespace="05f815bc-e24a-4dbb-a162-0ba0f3499a5a"/>
    <xsd:import namespace="985daa2e-53d8-4475-82b8-9c7d25324e34"/>
    <xsd:element name="properties">
      <xsd:complexType>
        <xsd:sequence>
          <xsd:element name="documentManagement">
            <xsd:complexType>
              <xsd:all>
                <xsd:element ref="ns2:Stakeholder" minOccurs="0"/>
                <xsd:element ref="ns2:Received_x0020_on" minOccurs="0"/>
                <xsd:element ref="ns2:Evaluator" minOccurs="0"/>
                <xsd:element ref="ns2:Evaluated_x0020_on" minOccurs="0"/>
                <xsd:element ref="ns3:_dlc_DocId" minOccurs="0"/>
                <xsd:element ref="ns3:_dlc_DocIdUrl" minOccurs="0"/>
                <xsd:element ref="ns3:_dlc_DocIdPersistId" minOccurs="0"/>
                <xsd:element ref="ns3:ACER_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815bc-e24a-4dbb-a162-0ba0f3499a5a" elementFormDefault="qualified">
    <xsd:import namespace="http://schemas.microsoft.com/office/2006/documentManagement/types"/>
    <xsd:import namespace="http://schemas.microsoft.com/office/infopath/2007/PartnerControls"/>
    <xsd:element name="Stakeholder" ma:index="8" nillable="true" ma:displayName="Stakeholder" ma:internalName="Stakeholder">
      <xsd:simpleType>
        <xsd:restriction base="dms:Text">
          <xsd:maxLength value="255"/>
        </xsd:restriction>
      </xsd:simpleType>
    </xsd:element>
    <xsd:element name="Received_x0020_on" ma:index="9" nillable="true" ma:displayName="Received on" ma:format="DateOnly" ma:internalName="Received_x0020_on">
      <xsd:simpleType>
        <xsd:restriction base="dms:DateTime"/>
      </xsd:simpleType>
    </xsd:element>
    <xsd:element name="Evaluator" ma:index="10" nillable="true" ma:displayName="Evaluator" ma:internalName="Evaluator">
      <xsd:simpleType>
        <xsd:restriction base="dms:Text">
          <xsd:maxLength value="255"/>
        </xsd:restriction>
      </xsd:simpleType>
    </xsd:element>
    <xsd:element name="Evaluated_x0020_on" ma:index="11" nillable="true" ma:displayName="Evaluated on" ma:internalName="Evaluated_x0020_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daa2e-53d8-4475-82b8-9c7d25324e34"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ACER_Abstract" ma:index="15" nillable="true" ma:displayName="Abstract" ma:description="" ma:internalName="ACER_Abstrac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Evaluator xmlns="05f815bc-e24a-4dbb-a162-0ba0f3499a5a" xsi:nil="true"/>
    <Evaluated_x0020_on xmlns="05f815bc-e24a-4dbb-a162-0ba0f3499a5a" xsi:nil="true"/>
    <Stakeholder xmlns="05f815bc-e24a-4dbb-a162-0ba0f3499a5a" xsi:nil="true"/>
    <Received_x0020_on xmlns="05f815bc-e24a-4dbb-a162-0ba0f3499a5a" xsi:nil="true"/>
    <_dlc_DocId xmlns="985daa2e-53d8-4475-82b8-9c7d25324e34">ACER-2015-19384</_dlc_DocId>
    <_dlc_DocIdUrl xmlns="985daa2e-53d8-4475-82b8-9c7d25324e34">
      <Url>https://extranet.acer.europa.eu/Official_documents/Public_consultations/_layouts/DocIdRedir.aspx?ID=ACER-2015-19384</Url>
      <Description>ACER-2015-19384</Description>
    </_dlc_DocIdUrl>
    <ACER_Abstract xmlns="985daa2e-53d8-4475-82b8-9c7d25324e34"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DocumentWithSurveyEventReceiver</Name>
    <Synchronization>Asynchronous</Synchronization>
    <Type>10002</Type>
    <SequenceNumber>11001</SequenceNumber>
    <Assembly>Acer.DocSurvey.DataModel, Version=1.0.0.0, Culture=neutral, PublicKeyToken=4521b098f10fe6ff</Assembly>
    <Class>Acer.DocSurvey.DataModel.EventReceivers.DocumentWithSurveyEventReceiver</Class>
    <Data/>
    <Filter/>
  </Receiver>
</spe:Receivers>
</file>

<file path=customXml/itemProps1.xml><?xml version="1.0" encoding="utf-8"?>
<ds:datastoreItem xmlns:ds="http://schemas.openxmlformats.org/officeDocument/2006/customXml" ds:itemID="{E627BC6E-1F73-4310-8832-0DEF3D0315A9}"/>
</file>

<file path=customXml/itemProps2.xml><?xml version="1.0" encoding="utf-8"?>
<ds:datastoreItem xmlns:ds="http://schemas.openxmlformats.org/officeDocument/2006/customXml" ds:itemID="{EB392C91-3632-4063-BC12-A335E8772BD6}"/>
</file>

<file path=customXml/itemProps3.xml><?xml version="1.0" encoding="utf-8"?>
<ds:datastoreItem xmlns:ds="http://schemas.openxmlformats.org/officeDocument/2006/customXml" ds:itemID="{2A7E7F52-18D4-4524-8F23-41A159FB0A62}"/>
</file>

<file path=customXml/itemProps4.xml><?xml version="1.0" encoding="utf-8"?>
<ds:datastoreItem xmlns:ds="http://schemas.openxmlformats.org/officeDocument/2006/customXml" ds:itemID="{AF7EB266-C706-4A5A-A0F5-D3236D3EEA08}"/>
</file>

<file path=customXml/itemProps5.xml><?xml version="1.0" encoding="utf-8"?>
<ds:datastoreItem xmlns:ds="http://schemas.openxmlformats.org/officeDocument/2006/customXml" ds:itemID="{414D09F0-964F-4117-B8C7-5322AD977D32}"/>
</file>

<file path=docProps/app.xml><?xml version="1.0" encoding="utf-8"?>
<Properties xmlns="http://schemas.openxmlformats.org/officeDocument/2006/extended-properties" xmlns:vt="http://schemas.openxmlformats.org/officeDocument/2006/docPropsVTypes">
  <Template>Normal</Template>
  <TotalTime>8</TotalTime>
  <Pages>9</Pages>
  <Words>3302</Words>
  <Characters>18044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The Voice of the Networks</vt:lpstr>
    </vt:vector>
  </TitlesOfParts>
  <Company>Hewlett-Packard Company</Company>
  <LinksUpToDate>false</LinksUpToDate>
  <CharactersWithSpaces>21304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Voice of the Networks</dc:title>
  <dc:creator>Jane May</dc:creator>
  <cp:lastModifiedBy>Jane May</cp:lastModifiedBy>
  <cp:revision>5</cp:revision>
  <cp:lastPrinted>2014-06-16T10:19:00Z</cp:lastPrinted>
  <dcterms:created xsi:type="dcterms:W3CDTF">2014-06-16T10:11:00Z</dcterms:created>
  <dcterms:modified xsi:type="dcterms:W3CDTF">2014-06-16T10:29:00Z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0x010100D1E68A29B012D74CAC17F23B87932E26</vt:lpwstr>
  </property>
  <property fmtid="{D5CDD505-2E9C-101B-9397-08002B2CF9AE}" pid="3" name="_dlc_DocIdItemGuid">
    <vt:lpwstr>82bee326-f26a-4ea6-8025-2980f4b16a67</vt:lpwstr>
  </property>
</Properties>
</file>