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B7AE9" w14:paraId="3603E75B" w14:textId="77777777" w:rsidTr="003B7AE9">
        <w:tc>
          <w:tcPr>
            <w:tcW w:w="0" w:type="auto"/>
            <w:shd w:val="clear" w:color="auto" w:fill="auto"/>
            <w:vAlign w:val="center"/>
            <w:hideMark/>
          </w:tcPr>
          <w:p w14:paraId="78CBB190" w14:textId="77777777" w:rsidR="003B7AE9" w:rsidRPr="003B7AE9" w:rsidRDefault="003B7AE9" w:rsidP="003B7AE9">
            <w:pPr>
              <w:spacing w:before="120" w:after="12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B7AE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B7AE9" w:rsidRDefault="003B7AE9" w:rsidP="003B7AE9">
            <w:pPr>
              <w:spacing w:before="120" w:after="120" w:line="240" w:lineRule="auto"/>
              <w:jc w:val="right"/>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 112/1</w:t>
            </w:r>
          </w:p>
        </w:tc>
      </w:tr>
    </w:tbl>
    <w:p w14:paraId="4ECF5D08" w14:textId="77777777" w:rsidR="003B7AE9" w:rsidRPr="003B7AE9" w:rsidRDefault="0060282F" w:rsidP="00354138">
      <w:pPr>
        <w:shd w:val="clear" w:color="auto" w:fill="FFFFFF"/>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59BE2A1A">
          <v:rect id="_x0000_i1025" style="width:1018.7pt;height:.75pt" o:hrpct="0" o:hralign="center" o:hrstd="t" o:hrnoshade="t" o:hr="t" fillcolor="black" stroked="f"/>
        </w:pict>
      </w:r>
    </w:p>
    <w:p w14:paraId="0430E6FC" w14:textId="77777777" w:rsidR="003B7AE9" w:rsidRPr="003B7AE9" w:rsidRDefault="003B7AE9" w:rsidP="00354138">
      <w:pPr>
        <w:shd w:val="clear" w:color="auto" w:fill="FFFFFF"/>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COMMISSION REGULATION (EU) 2016/631</w:t>
      </w:r>
    </w:p>
    <w:p w14:paraId="6319F450" w14:textId="77777777" w:rsidR="003B7AE9" w:rsidRPr="003B7AE9" w:rsidRDefault="003B7AE9" w:rsidP="00354138">
      <w:pPr>
        <w:shd w:val="clear" w:color="auto" w:fill="FFFFFF"/>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of 14 April 2016</w:t>
      </w:r>
    </w:p>
    <w:p w14:paraId="75BE85B0" w14:textId="77777777" w:rsidR="003B7AE9" w:rsidRPr="003B7AE9" w:rsidRDefault="003B7AE9" w:rsidP="00354138">
      <w:pPr>
        <w:shd w:val="clear" w:color="auto" w:fill="FFFFFF"/>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3B7AE9" w:rsidRDefault="003B7AE9" w:rsidP="00354138">
      <w:pPr>
        <w:shd w:val="clear" w:color="auto" w:fill="FFFFFF"/>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(Text with EEA relevance)</w:t>
      </w:r>
    </w:p>
    <w:p w14:paraId="261427A7" w14:textId="77777777" w:rsidR="003B7AE9" w:rsidRPr="003B7AE9" w:rsidRDefault="003B7AE9" w:rsidP="00354138">
      <w:pPr>
        <w:shd w:val="clear" w:color="auto" w:fill="FFFFFF"/>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EUROPEAN COMMISSION,</w:t>
      </w:r>
    </w:p>
    <w:p w14:paraId="6E41F70D" w14:textId="77777777" w:rsidR="003B7AE9" w:rsidRPr="003B7AE9" w:rsidRDefault="003B7AE9" w:rsidP="00354138">
      <w:pPr>
        <w:shd w:val="clear" w:color="auto" w:fill="FFFFFF"/>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3B7AE9" w:rsidRDefault="003B7AE9" w:rsidP="00354138">
      <w:pPr>
        <w:shd w:val="clear" w:color="auto" w:fill="FFFFFF"/>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7" w:anchor="ntr1-L_2016112EN.01000101-E0001"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1</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in particular Article 6(11) thereof,</w:t>
      </w:r>
    </w:p>
    <w:p w14:paraId="3115A3DF" w14:textId="77777777" w:rsidR="003B7AE9" w:rsidRPr="003B7AE9" w:rsidRDefault="003B7AE9" w:rsidP="00354138">
      <w:pPr>
        <w:shd w:val="clear" w:color="auto" w:fill="FFFFFF"/>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1D574FF" w14:textId="77777777" w:rsidTr="003B7AE9">
        <w:tc>
          <w:tcPr>
            <w:tcW w:w="0" w:type="auto"/>
            <w:shd w:val="clear" w:color="auto" w:fill="auto"/>
            <w:hideMark/>
          </w:tcPr>
          <w:p w14:paraId="263C5D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CCA2AD0" w14:textId="77777777" w:rsidTr="003B7AE9">
        <w:tc>
          <w:tcPr>
            <w:tcW w:w="0" w:type="auto"/>
            <w:shd w:val="clear" w:color="auto" w:fill="auto"/>
            <w:hideMark/>
          </w:tcPr>
          <w:p w14:paraId="1D3ACF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742C26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8" w:anchor="ntr2-L_2016112EN.01000101-E0002"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2</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52D94E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BE86CF7" w14:textId="77777777" w:rsidTr="003B7AE9">
        <w:tc>
          <w:tcPr>
            <w:tcW w:w="0" w:type="auto"/>
            <w:shd w:val="clear" w:color="auto" w:fill="auto"/>
            <w:hideMark/>
          </w:tcPr>
          <w:p w14:paraId="75B47F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287F04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E0C3589" w14:textId="77777777" w:rsidTr="003B7AE9">
        <w:tc>
          <w:tcPr>
            <w:tcW w:w="0" w:type="auto"/>
            <w:shd w:val="clear" w:color="auto" w:fill="auto"/>
            <w:hideMark/>
          </w:tcPr>
          <w:p w14:paraId="062D3F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System security depends partly on the technical capabilities of power-generating modules. Therefore regular coordination at the level of the transmission and </w:t>
            </w:r>
            <w:r w:rsidRPr="003B7AE9">
              <w:rPr>
                <w:rFonts w:ascii="inherit" w:eastAsia="Times New Roman" w:hAnsi="inherit" w:cs="Times New Roman"/>
                <w:sz w:val="24"/>
                <w:szCs w:val="24"/>
                <w:lang w:eastAsia="en-GB"/>
              </w:rPr>
              <w:lastRenderedPageBreak/>
              <w:t>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342E3A3" w14:textId="77777777" w:rsidTr="003B7AE9">
        <w:tc>
          <w:tcPr>
            <w:tcW w:w="0" w:type="auto"/>
            <w:shd w:val="clear" w:color="auto" w:fill="auto"/>
            <w:hideMark/>
          </w:tcPr>
          <w:p w14:paraId="2F38F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(pu)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F495807" w14:textId="77777777" w:rsidTr="003B7AE9">
        <w:tc>
          <w:tcPr>
            <w:tcW w:w="0" w:type="auto"/>
            <w:shd w:val="clear" w:color="auto" w:fill="auto"/>
            <w:hideMark/>
          </w:tcPr>
          <w:p w14:paraId="586274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1D4E696" w14:textId="77777777" w:rsidTr="003B7AE9">
        <w:tc>
          <w:tcPr>
            <w:tcW w:w="0" w:type="auto"/>
            <w:shd w:val="clear" w:color="auto" w:fill="auto"/>
            <w:hideMark/>
          </w:tcPr>
          <w:p w14:paraId="4104C2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6EB506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generators. It is therefore appropriate to consider regional specificities when establishing network connection rules as required by Article 8(6) of Regulation (EC) No 714/2009.</w:t>
            </w:r>
          </w:p>
        </w:tc>
      </w:tr>
    </w:tbl>
    <w:p w14:paraId="4F9ED90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432361D" w14:textId="77777777" w:rsidTr="003B7AE9">
        <w:tc>
          <w:tcPr>
            <w:tcW w:w="0" w:type="auto"/>
            <w:shd w:val="clear" w:color="auto" w:fill="auto"/>
            <w:hideMark/>
          </w:tcPr>
          <w:p w14:paraId="1BF938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3FFA0CE" w14:textId="77777777" w:rsidTr="003B7AE9">
        <w:tc>
          <w:tcPr>
            <w:tcW w:w="0" w:type="auto"/>
            <w:shd w:val="clear" w:color="auto" w:fill="auto"/>
            <w:hideMark/>
          </w:tcPr>
          <w:p w14:paraId="1AE781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3E5AF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significance of power-generating modules should be based on their size and their effect on the overall system. Synchronous machines should be classed on the machine 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should be assessed on its size, and not on the whole capacity of the facility. Non-synchronously connected power-generating units, where they are collected together to form an economic unit and where they have a single connection point should be assessed on their aggregated capacity.</w:t>
            </w:r>
          </w:p>
        </w:tc>
      </w:tr>
    </w:tbl>
    <w:p w14:paraId="40C8D5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F4E59A" w14:textId="77777777" w:rsidTr="003B7AE9">
        <w:tc>
          <w:tcPr>
            <w:tcW w:w="0" w:type="auto"/>
            <w:shd w:val="clear" w:color="auto" w:fill="auto"/>
            <w:hideMark/>
          </w:tcPr>
          <w:p w14:paraId="73A61C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6A3F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different voltage level at which generators are connected and their maximum generating capacity, this Regulation should make a distinction between different types of generators by establishing different levels of requirements. This Regulation does not set the rules to determine the voltage level of the connection point to which the power-generating module shall be connected.</w:t>
            </w:r>
          </w:p>
        </w:tc>
      </w:tr>
    </w:tbl>
    <w:p w14:paraId="401904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2845F2" w14:textId="77777777" w:rsidTr="003B7AE9">
        <w:tc>
          <w:tcPr>
            <w:tcW w:w="0" w:type="auto"/>
            <w:shd w:val="clear" w:color="auto" w:fill="auto"/>
            <w:hideMark/>
          </w:tcPr>
          <w:p w14:paraId="1AC8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B271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applicable to type A power-generating modules should be set at the basic level necessary to ensure capabilities of generation with limited automated </w:t>
            </w:r>
            <w:r w:rsidRPr="003B7AE9">
              <w:rPr>
                <w:rFonts w:ascii="inherit" w:eastAsia="Times New Roman" w:hAnsi="inherit" w:cs="Times New Roman"/>
                <w:sz w:val="24"/>
                <w:szCs w:val="24"/>
                <w:lang w:eastAsia="en-GB"/>
              </w:rPr>
              <w:lastRenderedPageBreak/>
              <w:t>response and minimal system operator control. They should ensure that there is no large-scale loss of generation over system operational ranges, thereby minimising critical events, and include requirements necessary for widespread intervention during system-critical events.</w:t>
            </w:r>
          </w:p>
        </w:tc>
      </w:tr>
    </w:tbl>
    <w:p w14:paraId="021056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DEF33D3" w14:textId="77777777" w:rsidTr="003B7AE9">
        <w:tc>
          <w:tcPr>
            <w:tcW w:w="0" w:type="auto"/>
            <w:shd w:val="clear" w:color="auto" w:fill="auto"/>
            <w:hideMark/>
          </w:tcPr>
          <w:p w14:paraId="47D4C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C6C6BC" w14:textId="77777777" w:rsidTr="003B7AE9">
        <w:tc>
          <w:tcPr>
            <w:tcW w:w="0" w:type="auto"/>
            <w:shd w:val="clear" w:color="auto" w:fill="auto"/>
            <w:hideMark/>
          </w:tcPr>
          <w:p w14:paraId="68AA6C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57AFE2" w14:textId="77777777" w:rsidTr="003B7AE9">
        <w:tc>
          <w:tcPr>
            <w:tcW w:w="0" w:type="auto"/>
            <w:shd w:val="clear" w:color="auto" w:fill="auto"/>
            <w:hideMark/>
          </w:tcPr>
          <w:p w14:paraId="09F67C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538D00E" w14:textId="77777777" w:rsidTr="003B7AE9">
        <w:tc>
          <w:tcPr>
            <w:tcW w:w="0" w:type="auto"/>
            <w:shd w:val="clear" w:color="auto" w:fill="auto"/>
            <w:hideMark/>
          </w:tcPr>
          <w:p w14:paraId="5F7C9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Therefore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4F929F1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BFBE78" w14:textId="77777777" w:rsidTr="003B7AE9">
        <w:tc>
          <w:tcPr>
            <w:tcW w:w="0" w:type="auto"/>
            <w:shd w:val="clear" w:color="auto" w:fill="auto"/>
            <w:hideMark/>
          </w:tcPr>
          <w:p w14:paraId="46EE5F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E208EF" w14:textId="77777777" w:rsidTr="003B7AE9">
        <w:tc>
          <w:tcPr>
            <w:tcW w:w="0" w:type="auto"/>
            <w:shd w:val="clear" w:color="auto" w:fill="auto"/>
            <w:hideMark/>
          </w:tcPr>
          <w:p w14:paraId="206D7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231D9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67F5E7" w14:textId="77777777" w:rsidTr="003B7AE9">
        <w:tc>
          <w:tcPr>
            <w:tcW w:w="0" w:type="auto"/>
            <w:shd w:val="clear" w:color="auto" w:fill="auto"/>
            <w:hideMark/>
          </w:tcPr>
          <w:p w14:paraId="48284D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This Regulation should provide for ranges of parameters for national choices for fault-ride-through capability to maintain a proportionate approach reflecting </w:t>
            </w:r>
            <w:r w:rsidRPr="003B7AE9">
              <w:rPr>
                <w:rFonts w:ascii="inherit" w:eastAsia="Times New Roman" w:hAnsi="inherit" w:cs="Times New Roman"/>
                <w:sz w:val="24"/>
                <w:szCs w:val="24"/>
                <w:lang w:eastAsia="en-GB"/>
              </w:rPr>
              <w:lastRenderedPageBreak/>
              <w:t>varying system needs such as the level of renewable energy sources (‘RES’) and 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A6AE66E" w14:textId="77777777" w:rsidTr="003B7AE9">
        <w:tc>
          <w:tcPr>
            <w:tcW w:w="0" w:type="auto"/>
            <w:shd w:val="clear" w:color="auto" w:fill="auto"/>
            <w:hideMark/>
          </w:tcPr>
          <w:p w14:paraId="476E4E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defining the pre-fault and post-fault conditions for the fault-ride-through capability, taking into account system characteristics such as network topology and generation mix, the relevant TSO should decide whether priority is given to pre-fault operating conditions of power-generating modules or to longer fault clearance times.</w:t>
            </w:r>
          </w:p>
        </w:tc>
      </w:tr>
    </w:tbl>
    <w:p w14:paraId="5216E46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AF1583A" w14:textId="77777777" w:rsidTr="003B7AE9">
        <w:tc>
          <w:tcPr>
            <w:tcW w:w="0" w:type="auto"/>
            <w:shd w:val="clear" w:color="auto" w:fill="auto"/>
            <w:hideMark/>
          </w:tcPr>
          <w:p w14:paraId="534500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1A879C" w14:textId="77777777" w:rsidTr="003B7AE9">
        <w:tc>
          <w:tcPr>
            <w:tcW w:w="0" w:type="auto"/>
            <w:shd w:val="clear" w:color="auto" w:fill="auto"/>
            <w:hideMark/>
          </w:tcPr>
          <w:p w14:paraId="515F7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EBB185" w14:textId="77777777" w:rsidTr="003B7AE9">
        <w:tc>
          <w:tcPr>
            <w:tcW w:w="0" w:type="auto"/>
            <w:shd w:val="clear" w:color="auto" w:fill="auto"/>
            <w:hideMark/>
          </w:tcPr>
          <w:p w14:paraId="41FAAB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70F588" w14:textId="77777777" w:rsidTr="003B7AE9">
        <w:tc>
          <w:tcPr>
            <w:tcW w:w="0" w:type="auto"/>
            <w:shd w:val="clear" w:color="auto" w:fill="auto"/>
            <w:hideMark/>
          </w:tcPr>
          <w:p w14:paraId="04C00F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F83D7D6" w14:textId="77777777" w:rsidTr="003B7AE9">
        <w:tc>
          <w:tcPr>
            <w:tcW w:w="0" w:type="auto"/>
            <w:shd w:val="clear" w:color="auto" w:fill="auto"/>
            <w:hideMark/>
          </w:tcPr>
          <w:p w14:paraId="18713D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4B4274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capability needs depend on several factors including the degree of network meshing and the ratio of in-feed and consumption, which should be taken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Therefore it is important that the capabilities actually required for efficient system operation be thoroughly assessed.</w:t>
            </w:r>
          </w:p>
        </w:tc>
      </w:tr>
    </w:tbl>
    <w:p w14:paraId="0FFBFA4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7296341" w14:textId="77777777" w:rsidTr="003B7AE9">
        <w:tc>
          <w:tcPr>
            <w:tcW w:w="0" w:type="auto"/>
            <w:shd w:val="clear" w:color="auto" w:fill="auto"/>
            <w:hideMark/>
          </w:tcPr>
          <w:p w14:paraId="50BDE9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20A0E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modules have an inherent capability to resist or slow down frequency deviations, a characteristic which many RES technologies do not have. Therefore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119EB3E" w14:textId="77777777" w:rsidTr="003B7AE9">
        <w:tc>
          <w:tcPr>
            <w:tcW w:w="0" w:type="auto"/>
            <w:shd w:val="clear" w:color="auto" w:fill="auto"/>
            <w:hideMark/>
          </w:tcPr>
          <w:p w14:paraId="2B469C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(26)</w:t>
            </w:r>
          </w:p>
        </w:tc>
        <w:tc>
          <w:tcPr>
            <w:tcW w:w="0" w:type="auto"/>
            <w:shd w:val="clear" w:color="auto" w:fill="auto"/>
            <w:hideMark/>
          </w:tcPr>
          <w:p w14:paraId="4EE6A3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5C3A11" w14:textId="77777777" w:rsidTr="003B7AE9">
        <w:tc>
          <w:tcPr>
            <w:tcW w:w="0" w:type="auto"/>
            <w:shd w:val="clear" w:color="auto" w:fill="auto"/>
            <w:hideMark/>
          </w:tcPr>
          <w:p w14:paraId="0C6E0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73D47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452C7D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D29E2AE" w14:textId="77777777" w:rsidTr="003B7AE9">
        <w:tc>
          <w:tcPr>
            <w:tcW w:w="0" w:type="auto"/>
            <w:shd w:val="clear" w:color="auto" w:fill="auto"/>
            <w:hideMark/>
          </w:tcPr>
          <w:p w14:paraId="56D9B9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064858" w14:textId="77777777" w:rsidTr="003B7AE9">
        <w:tc>
          <w:tcPr>
            <w:tcW w:w="0" w:type="auto"/>
            <w:shd w:val="clear" w:color="auto" w:fill="auto"/>
            <w:hideMark/>
          </w:tcPr>
          <w:p w14:paraId="13F717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8585367" w14:textId="77777777" w:rsidTr="003B7AE9">
        <w:tc>
          <w:tcPr>
            <w:tcW w:w="0" w:type="auto"/>
            <w:shd w:val="clear" w:color="auto" w:fill="auto"/>
            <w:hideMark/>
          </w:tcPr>
          <w:p w14:paraId="6039C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388712C" w14:textId="77777777" w:rsidTr="003B7AE9">
        <w:tc>
          <w:tcPr>
            <w:tcW w:w="0" w:type="auto"/>
            <w:shd w:val="clear" w:color="auto" w:fill="auto"/>
            <w:hideMark/>
          </w:tcPr>
          <w:p w14:paraId="4E287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008B85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246A486E"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0" w:author="Author">
          <w:pPr>
            <w:shd w:val="clear" w:color="auto" w:fill="FFFFFF"/>
            <w:jc w:val="both"/>
          </w:pPr>
        </w:pPrChange>
      </w:pPr>
      <w:r w:rsidRPr="003B7AE9">
        <w:rPr>
          <w:rFonts w:ascii="inherit" w:eastAsia="Times New Roman" w:hAnsi="inherit" w:cs="Times New Roman"/>
          <w:color w:val="000000"/>
          <w:sz w:val="24"/>
          <w:szCs w:val="24"/>
          <w:lang w:eastAsia="en-GB"/>
        </w:rPr>
        <w:t>HAS ADOPTED THIS REGULATION:</w:t>
      </w:r>
    </w:p>
    <w:p w14:paraId="1C695FB7" w14:textId="77777777" w:rsidR="003B7AE9" w:rsidRPr="003B7AE9" w:rsidRDefault="003B7AE9" w:rsidP="0060282F">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1" w:author="Author">
          <w:pPr>
            <w:shd w:val="clear" w:color="auto" w:fill="FFFFFF"/>
            <w:jc w:val="center"/>
          </w:pPr>
        </w:pPrChange>
      </w:pPr>
      <w:r w:rsidRPr="003B7AE9">
        <w:rPr>
          <w:rFonts w:ascii="inherit" w:eastAsia="Times New Roman" w:hAnsi="inherit" w:cs="Times New Roman"/>
          <w:b/>
          <w:bCs/>
          <w:color w:val="000000"/>
          <w:sz w:val="24"/>
          <w:szCs w:val="24"/>
          <w:lang w:eastAsia="en-GB"/>
        </w:rPr>
        <w:t>TITLE I</w:t>
      </w:r>
    </w:p>
    <w:p w14:paraId="1189A911" w14:textId="77777777" w:rsidR="003B7AE9" w:rsidRPr="003B7AE9" w:rsidRDefault="003B7AE9" w:rsidP="0060282F">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2" w:author="Author">
          <w:pPr>
            <w:shd w:val="clear" w:color="auto" w:fill="FFFFFF"/>
            <w:jc w:val="center"/>
          </w:pPr>
        </w:pPrChange>
      </w:pPr>
      <w:r w:rsidRPr="003B7AE9">
        <w:rPr>
          <w:rFonts w:ascii="inherit" w:eastAsia="Times New Roman" w:hAnsi="inherit" w:cs="Times New Roman"/>
          <w:b/>
          <w:bCs/>
          <w:color w:val="000000"/>
          <w:sz w:val="24"/>
          <w:szCs w:val="24"/>
          <w:lang w:eastAsia="en-GB"/>
        </w:rPr>
        <w:t>GENERAL PROVISIONS</w:t>
      </w:r>
    </w:p>
    <w:p w14:paraId="6927A822"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3" w:author="Author">
            <w:rPr/>
          </w:rPrChange>
        </w:rPr>
        <w:pPrChange w:id="4"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1</w:t>
      </w:r>
    </w:p>
    <w:p w14:paraId="316A1654"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5" w:author="Author">
          <w:pPr>
            <w:shd w:val="clear" w:color="auto" w:fill="FFFFFF"/>
            <w:jc w:val="center"/>
          </w:pPr>
        </w:pPrChange>
      </w:pPr>
      <w:r w:rsidRPr="003B7AE9">
        <w:rPr>
          <w:rFonts w:ascii="inherit" w:eastAsia="Times New Roman" w:hAnsi="inherit" w:cs="Times New Roman"/>
          <w:b/>
          <w:bCs/>
          <w:color w:val="000000"/>
          <w:sz w:val="24"/>
          <w:szCs w:val="24"/>
          <w:lang w:eastAsia="en-GB"/>
        </w:rPr>
        <w:t>Subject matter</w:t>
      </w:r>
    </w:p>
    <w:p w14:paraId="4DE75AF3"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 w:author="Author">
          <w:pPr>
            <w:shd w:val="clear" w:color="auto" w:fill="FFFFFF"/>
            <w:jc w:val="both"/>
          </w:pPr>
        </w:pPrChange>
      </w:pPr>
      <w:r w:rsidRPr="003B7AE9">
        <w:rPr>
          <w:rFonts w:ascii="inherit" w:eastAsia="Times New Roman" w:hAnsi="inherit" w:cs="Times New Roman"/>
          <w:color w:val="000000"/>
          <w:sz w:val="24"/>
          <w:szCs w:val="24"/>
          <w:lang w:eastAsia="en-GB"/>
        </w:rPr>
        <w:t>This Regulation establishes a network code which lays down the requirements for grid connection of power-generating facilities, namely synchronous power-generating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 w:author="Author">
          <w:pPr>
            <w:shd w:val="clear" w:color="auto" w:fill="FFFFFF"/>
            <w:jc w:val="both"/>
          </w:pPr>
        </w:pPrChange>
      </w:pPr>
      <w:r w:rsidRPr="003B7AE9">
        <w:rPr>
          <w:rFonts w:ascii="inherit" w:eastAsia="Times New Roman" w:hAnsi="inherit" w:cs="Times New Roman"/>
          <w:color w:val="000000"/>
          <w:sz w:val="24"/>
          <w:szCs w:val="24"/>
          <w:lang w:eastAsia="en-GB"/>
        </w:rPr>
        <w:t>This regulation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 w:author="Author">
            <w:rPr/>
          </w:rPrChange>
        </w:rPr>
        <w:pPrChange w:id="9"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2</w:t>
      </w:r>
    </w:p>
    <w:p w14:paraId="0CB556DD"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 w:author="Author">
          <w:pPr>
            <w:shd w:val="clear" w:color="auto" w:fill="FFFFFF"/>
            <w:jc w:val="center"/>
          </w:pPr>
        </w:pPrChange>
      </w:pPr>
      <w:r w:rsidRPr="003B7AE9">
        <w:rPr>
          <w:rFonts w:ascii="inherit" w:eastAsia="Times New Roman" w:hAnsi="inherit" w:cs="Times New Roman"/>
          <w:b/>
          <w:bCs/>
          <w:color w:val="000000"/>
          <w:sz w:val="24"/>
          <w:szCs w:val="24"/>
          <w:lang w:eastAsia="en-GB"/>
        </w:rPr>
        <w:t>Definitions</w:t>
      </w:r>
    </w:p>
    <w:p w14:paraId="23D21F6C"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 w:author="Author">
          <w:pPr>
            <w:shd w:val="clear" w:color="auto" w:fill="FFFFFF"/>
            <w:jc w:val="both"/>
          </w:pPr>
        </w:pPrChange>
      </w:pPr>
      <w:r w:rsidRPr="003B7AE9">
        <w:rPr>
          <w:rFonts w:ascii="inherit" w:eastAsia="Times New Roman" w:hAnsi="inherit" w:cs="Times New Roman"/>
          <w:color w:val="000000"/>
          <w:sz w:val="24"/>
          <w:szCs w:val="24"/>
          <w:lang w:eastAsia="en-GB"/>
        </w:rPr>
        <w:lastRenderedPageBreak/>
        <w:t>For the purposes of this Regulation, the definitions in Article 2 of Directive 2012/27/EU of the European Parliament and of the Council</w:t>
      </w:r>
      <w:r w:rsidR="00007487">
        <w:fldChar w:fldCharType="begin"/>
      </w:r>
      <w:r w:rsidR="00007487">
        <w:instrText xml:space="preserve"> HYPERLINK "https://eur-lex.europa.eu/legal-content/EN/TXT/HTML/?uri=CELEX:32016R0631&amp;from=EN" \l "ntr3-L_2016112EN.01000101-E0003" </w:instrText>
      </w:r>
      <w:r w:rsidR="00007487">
        <w:fldChar w:fldCharType="separate"/>
      </w:r>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3</w:t>
      </w:r>
      <w:r w:rsidRPr="003B7AE9">
        <w:rPr>
          <w:rFonts w:ascii="inherit" w:eastAsia="Times New Roman" w:hAnsi="inherit" w:cs="Times New Roman"/>
          <w:color w:val="337AB7"/>
          <w:sz w:val="24"/>
          <w:szCs w:val="24"/>
          <w:lang w:eastAsia="en-GB"/>
        </w:rPr>
        <w:t>)</w:t>
      </w:r>
      <w:r w:rsidR="00007487">
        <w:rPr>
          <w:rFonts w:ascii="inherit" w:eastAsia="Times New Roman" w:hAnsi="inherit" w:cs="Times New Roman"/>
          <w:color w:val="337AB7"/>
          <w:sz w:val="24"/>
          <w:szCs w:val="24"/>
          <w:lang w:eastAsia="en-GB"/>
        </w:rPr>
        <w:fldChar w:fldCharType="end"/>
      </w:r>
      <w:r w:rsidRPr="003B7AE9">
        <w:rPr>
          <w:rFonts w:ascii="inherit" w:eastAsia="Times New Roman" w:hAnsi="inherit" w:cs="Times New Roman"/>
          <w:color w:val="000000"/>
          <w:sz w:val="24"/>
          <w:szCs w:val="24"/>
          <w:lang w:eastAsia="en-GB"/>
        </w:rPr>
        <w:t>, Article 2 of Regulation (EC) No 714/2009, Article 2 of Commission Regulation (EU) 2015/1222</w:t>
      </w:r>
      <w:r w:rsidR="00007487">
        <w:fldChar w:fldCharType="begin"/>
      </w:r>
      <w:r w:rsidR="00007487">
        <w:instrText xml:space="preserve"> HYPERLINK "https://eur-lex.europa.eu/legal-content/EN/TXT/HTML/?uri=CELEX:32016R0631&amp;from=EN" \l "ntr4-L_2016112EN.01000101-E0004" </w:instrText>
      </w:r>
      <w:r w:rsidR="00007487">
        <w:fldChar w:fldCharType="separate"/>
      </w:r>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4</w:t>
      </w:r>
      <w:r w:rsidRPr="003B7AE9">
        <w:rPr>
          <w:rFonts w:ascii="inherit" w:eastAsia="Times New Roman" w:hAnsi="inherit" w:cs="Times New Roman"/>
          <w:color w:val="337AB7"/>
          <w:sz w:val="24"/>
          <w:szCs w:val="24"/>
          <w:lang w:eastAsia="en-GB"/>
        </w:rPr>
        <w:t>)</w:t>
      </w:r>
      <w:r w:rsidR="00007487">
        <w:rPr>
          <w:rFonts w:ascii="inherit" w:eastAsia="Times New Roman" w:hAnsi="inherit" w:cs="Times New Roman"/>
          <w:color w:val="337AB7"/>
          <w:sz w:val="24"/>
          <w:szCs w:val="24"/>
          <w:lang w:eastAsia="en-GB"/>
        </w:rPr>
        <w:fldChar w:fldCharType="end"/>
      </w:r>
      <w:r w:rsidRPr="003B7AE9">
        <w:rPr>
          <w:rFonts w:ascii="inherit" w:eastAsia="Times New Roman" w:hAnsi="inherit" w:cs="Times New Roman"/>
          <w:color w:val="000000"/>
          <w:sz w:val="24"/>
          <w:szCs w:val="24"/>
          <w:lang w:eastAsia="en-GB"/>
        </w:rPr>
        <w:t> Article 2 of Commission Regulation (EU) No 543/2013</w:t>
      </w:r>
      <w:r w:rsidR="00007487">
        <w:fldChar w:fldCharType="begin"/>
      </w:r>
      <w:r w:rsidR="00007487">
        <w:instrText xml:space="preserve"> HYPERLINK "https://eur-lex.europa.eu/legal-content/EN/TXT/HTML/?uri=CELEX:32016R0631&amp;from=EN" \l "ntr5-L_2016112EN.01000101-E0005" </w:instrText>
      </w:r>
      <w:r w:rsidR="00007487">
        <w:fldChar w:fldCharType="separate"/>
      </w:r>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5</w:t>
      </w:r>
      <w:r w:rsidRPr="003B7AE9">
        <w:rPr>
          <w:rFonts w:ascii="inherit" w:eastAsia="Times New Roman" w:hAnsi="inherit" w:cs="Times New Roman"/>
          <w:color w:val="337AB7"/>
          <w:sz w:val="24"/>
          <w:szCs w:val="24"/>
          <w:lang w:eastAsia="en-GB"/>
        </w:rPr>
        <w:t>)</w:t>
      </w:r>
      <w:r w:rsidR="00007487">
        <w:rPr>
          <w:rFonts w:ascii="inherit" w:eastAsia="Times New Roman" w:hAnsi="inherit" w:cs="Times New Roman"/>
          <w:color w:val="337AB7"/>
          <w:sz w:val="24"/>
          <w:szCs w:val="24"/>
          <w:lang w:eastAsia="en-GB"/>
        </w:rPr>
        <w:fldChar w:fldCharType="end"/>
      </w:r>
      <w:r w:rsidRPr="003B7AE9">
        <w:rPr>
          <w:rFonts w:ascii="inherit" w:eastAsia="Times New Roman" w:hAnsi="inherit" w:cs="Times New Roman"/>
          <w:color w:val="000000"/>
          <w:sz w:val="24"/>
          <w:szCs w:val="24"/>
          <w:lang w:eastAsia="en-GB"/>
        </w:rPr>
        <w:t> and Article 2 of Directive 2009/72/EC shall apply.</w:t>
      </w:r>
    </w:p>
    <w:p w14:paraId="4F0C427B"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2" w:author="Author">
          <w:pPr>
            <w:shd w:val="clear" w:color="auto" w:fill="FFFFFF"/>
            <w:jc w:val="both"/>
          </w:pPr>
        </w:pPrChange>
      </w:pPr>
      <w:r w:rsidRPr="003B7AE9">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E5A7604" w14:textId="77777777" w:rsidTr="003B7AE9">
        <w:tc>
          <w:tcPr>
            <w:tcW w:w="0" w:type="auto"/>
            <w:shd w:val="clear" w:color="auto" w:fill="auto"/>
            <w:hideMark/>
          </w:tcPr>
          <w:p w14:paraId="245F57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C5C3BB3" w14:textId="77777777" w:rsidTr="003B7AE9">
        <w:tc>
          <w:tcPr>
            <w:tcW w:w="0" w:type="auto"/>
            <w:shd w:val="clear" w:color="auto" w:fill="auto"/>
            <w:hideMark/>
          </w:tcPr>
          <w:p w14:paraId="6864E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3E0A0D2" w14:textId="77777777" w:rsidTr="003B7AE9">
        <w:tc>
          <w:tcPr>
            <w:tcW w:w="0" w:type="auto"/>
            <w:shd w:val="clear" w:color="auto" w:fill="auto"/>
            <w:hideMark/>
          </w:tcPr>
          <w:p w14:paraId="3B166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7FDDB7B" w14:textId="77777777" w:rsidTr="003B7AE9">
        <w:tc>
          <w:tcPr>
            <w:tcW w:w="0" w:type="auto"/>
            <w:shd w:val="clear" w:color="auto" w:fill="auto"/>
            <w:hideMark/>
          </w:tcPr>
          <w:p w14:paraId="7FACEF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E77FB81" w14:textId="77777777" w:rsidTr="003B7AE9">
        <w:tc>
          <w:tcPr>
            <w:tcW w:w="0" w:type="auto"/>
            <w:shd w:val="clear" w:color="auto" w:fill="auto"/>
            <w:hideMark/>
          </w:tcPr>
          <w:p w14:paraId="70C09A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27FDCB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means either a synchronous power-generating module or a power park module;</w:t>
            </w:r>
          </w:p>
        </w:tc>
      </w:tr>
    </w:tbl>
    <w:p w14:paraId="6BF85EA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17AA29F" w14:textId="77777777" w:rsidTr="003B7AE9">
        <w:tc>
          <w:tcPr>
            <w:tcW w:w="0" w:type="auto"/>
            <w:shd w:val="clear" w:color="auto" w:fill="auto"/>
            <w:hideMark/>
          </w:tcPr>
          <w:p w14:paraId="3254F26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7FE363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means a facility that converts primary energy into electrical energy and which consists of one or more power-generating modules connected to a network at one or more connection points;</w:t>
            </w:r>
          </w:p>
        </w:tc>
      </w:tr>
    </w:tbl>
    <w:p w14:paraId="68BD94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705147C" w14:textId="77777777" w:rsidTr="003B7AE9">
        <w:tc>
          <w:tcPr>
            <w:tcW w:w="0" w:type="auto"/>
            <w:shd w:val="clear" w:color="auto" w:fill="auto"/>
            <w:hideMark/>
          </w:tcPr>
          <w:p w14:paraId="4BF65A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 means a natural or legal entity owning a power-generating facility;</w:t>
            </w:r>
          </w:p>
        </w:tc>
      </w:tr>
    </w:tbl>
    <w:p w14:paraId="08EFAC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3DD01E3" w14:textId="77777777" w:rsidTr="003B7AE9">
        <w:tc>
          <w:tcPr>
            <w:tcW w:w="0" w:type="auto"/>
            <w:shd w:val="clear" w:color="auto" w:fill="auto"/>
            <w:hideMark/>
          </w:tcPr>
          <w:p w14:paraId="6DC88A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‘main generating plant’ means one or more of the principal items of equipment required to convert the primary source of energy into electricity;</w:t>
            </w:r>
          </w:p>
        </w:tc>
      </w:tr>
    </w:tbl>
    <w:p w14:paraId="609E41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C08B48C" w14:textId="77777777" w:rsidTr="003B7AE9">
        <w:tc>
          <w:tcPr>
            <w:tcW w:w="0" w:type="auto"/>
            <w:shd w:val="clear" w:color="auto" w:fill="auto"/>
            <w:hideMark/>
          </w:tcPr>
          <w:p w14:paraId="323EC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2D5334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 means an indivisible set of installations which can generate electrical energy such that the frequency of the generated voltage, the generator speed and the frequency of network voltage are in a constant ratio and thus in synchronism;</w:t>
            </w:r>
          </w:p>
        </w:tc>
      </w:tr>
    </w:tbl>
    <w:p w14:paraId="2503404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02DD394" w14:textId="77777777" w:rsidTr="003B7AE9">
        <w:tc>
          <w:tcPr>
            <w:tcW w:w="0" w:type="auto"/>
            <w:shd w:val="clear" w:color="auto" w:fill="auto"/>
            <w:hideMark/>
          </w:tcPr>
          <w:p w14:paraId="08C54F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148CFF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document’ or ‘PGMD’ means a document provided by the power-generating facility 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p>
        </w:tc>
      </w:tr>
    </w:tbl>
    <w:p w14:paraId="791A96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8D115E" w14:textId="77777777" w:rsidTr="003B7AE9">
        <w:tc>
          <w:tcPr>
            <w:tcW w:w="0" w:type="auto"/>
            <w:shd w:val="clear" w:color="auto" w:fill="auto"/>
            <w:hideMark/>
          </w:tcPr>
          <w:p w14:paraId="0BFD4C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F63DF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TSO’ means the TSO in whose control area a power-generating module, a demand facility, a distribution system or a HVDC system is or will be connected to the network at any voltage level;</w:t>
            </w:r>
          </w:p>
        </w:tc>
      </w:tr>
    </w:tbl>
    <w:p w14:paraId="0FDFF3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94E435" w14:textId="77777777" w:rsidTr="003B7AE9">
        <w:tc>
          <w:tcPr>
            <w:tcW w:w="0" w:type="auto"/>
            <w:shd w:val="clear" w:color="auto" w:fill="auto"/>
            <w:hideMark/>
          </w:tcPr>
          <w:p w14:paraId="1D8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3D869C2" w14:textId="77777777" w:rsidTr="003B7AE9">
        <w:tc>
          <w:tcPr>
            <w:tcW w:w="0" w:type="auto"/>
            <w:shd w:val="clear" w:color="auto" w:fill="auto"/>
            <w:hideMark/>
          </w:tcPr>
          <w:p w14:paraId="68C9CD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(13)</w:t>
            </w:r>
          </w:p>
        </w:tc>
        <w:tc>
          <w:tcPr>
            <w:tcW w:w="0" w:type="auto"/>
            <w:shd w:val="clear" w:color="auto" w:fill="auto"/>
            <w:hideMark/>
          </w:tcPr>
          <w:p w14:paraId="20CC9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9A38F89" w14:textId="77777777" w:rsidTr="003B7AE9">
        <w:tc>
          <w:tcPr>
            <w:tcW w:w="0" w:type="auto"/>
            <w:shd w:val="clear" w:color="auto" w:fill="auto"/>
            <w:hideMark/>
          </w:tcPr>
          <w:p w14:paraId="37B934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28F89FC" w14:textId="77777777" w:rsidTr="003B7AE9">
        <w:tc>
          <w:tcPr>
            <w:tcW w:w="0" w:type="auto"/>
            <w:shd w:val="clear" w:color="auto" w:fill="auto"/>
            <w:hideMark/>
          </w:tcPr>
          <w:p w14:paraId="4FD65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6DC466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D0AD6F" w14:textId="77777777" w:rsidTr="003B7AE9">
        <w:tc>
          <w:tcPr>
            <w:tcW w:w="0" w:type="auto"/>
            <w:shd w:val="clear" w:color="auto" w:fill="auto"/>
            <w:hideMark/>
          </w:tcPr>
          <w:p w14:paraId="50A74D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3D427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or ‘Pmax’ means the maximum continuous active power which a power-generating module can produce, less any demand associated solely with facilitating the operation of that power-generating module and not fed into the network as specified in the connection agreement or as agreed between the relevant system operator and the power-generating facility owner;</w:t>
            </w:r>
          </w:p>
        </w:tc>
      </w:tr>
    </w:tbl>
    <w:p w14:paraId="729A41D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C6EE11A" w14:textId="77777777" w:rsidTr="003B7AE9">
        <w:tc>
          <w:tcPr>
            <w:tcW w:w="0" w:type="auto"/>
            <w:shd w:val="clear" w:color="auto" w:fill="auto"/>
            <w:hideMark/>
          </w:tcPr>
          <w:p w14:paraId="22DC5F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7B40B5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park module’ or ‘PPM’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p>
        </w:tc>
      </w:tr>
    </w:tbl>
    <w:p w14:paraId="44BEAE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EF3E3FC" w14:textId="77777777" w:rsidTr="003B7AE9">
        <w:tc>
          <w:tcPr>
            <w:tcW w:w="0" w:type="auto"/>
            <w:shd w:val="clear" w:color="auto" w:fill="auto"/>
            <w:hideMark/>
          </w:tcPr>
          <w:p w14:paraId="6249F6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power park module’ means a power park module located offshore with an offshore connection point;</w:t>
            </w:r>
          </w:p>
        </w:tc>
      </w:tr>
    </w:tbl>
    <w:p w14:paraId="6D7E2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BE72670" w14:textId="77777777" w:rsidTr="003B7AE9">
        <w:tc>
          <w:tcPr>
            <w:tcW w:w="0" w:type="auto"/>
            <w:shd w:val="clear" w:color="auto" w:fill="auto"/>
            <w:hideMark/>
          </w:tcPr>
          <w:p w14:paraId="1C4224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compensation operation’ means the operation of an alternator without prime mover to regulate voltage dynamically by production or absorption of reactive power;</w:t>
            </w:r>
          </w:p>
        </w:tc>
      </w:tr>
    </w:tbl>
    <w:p w14:paraId="7DBA6C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3E6FB5D" w14:textId="77777777" w:rsidTr="003B7AE9">
        <w:tc>
          <w:tcPr>
            <w:tcW w:w="0" w:type="auto"/>
            <w:shd w:val="clear" w:color="auto" w:fill="auto"/>
            <w:hideMark/>
          </w:tcPr>
          <w:p w14:paraId="73E083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means the real component of the apparent power at fundamental frequency, expressed in watts or multiples thereof such as kilowatts (‘kW’) or megawatts (‘MW’);</w:t>
            </w:r>
          </w:p>
        </w:tc>
      </w:tr>
    </w:tbl>
    <w:p w14:paraId="5F45EFD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6C76F00" w14:textId="77777777" w:rsidTr="003B7AE9">
        <w:tc>
          <w:tcPr>
            <w:tcW w:w="0" w:type="auto"/>
            <w:shd w:val="clear" w:color="auto" w:fill="auto"/>
            <w:hideMark/>
          </w:tcPr>
          <w:p w14:paraId="190F92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‘pump-storage’ means a hydro unit in which water can be raised by means of pumps and stored to be used for the generation of electrical energy;</w:t>
            </w:r>
          </w:p>
        </w:tc>
      </w:tr>
    </w:tbl>
    <w:p w14:paraId="6BFA3B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43FCA79" w14:textId="77777777" w:rsidTr="003B7AE9">
        <w:tc>
          <w:tcPr>
            <w:tcW w:w="0" w:type="auto"/>
            <w:shd w:val="clear" w:color="auto" w:fill="auto"/>
            <w:hideMark/>
          </w:tcPr>
          <w:p w14:paraId="79BC0D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3E4E7D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883281" w14:textId="77777777" w:rsidTr="003B7AE9">
        <w:tc>
          <w:tcPr>
            <w:tcW w:w="0" w:type="auto"/>
            <w:shd w:val="clear" w:color="auto" w:fill="auto"/>
            <w:hideMark/>
          </w:tcPr>
          <w:p w14:paraId="13E601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79CB9E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means the ratio of a steady-state change of frequency to the resulting steady-state change in active power output, expressed in percentage terms. The change in frequency is expressed as a ratio to nominal frequency and the change in active power expressed as a ratio to maximum capacity or actual active power at the moment the relevant threshold is reached;</w:t>
            </w:r>
          </w:p>
        </w:tc>
      </w:tr>
    </w:tbl>
    <w:p w14:paraId="6B0640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34945A" w14:textId="77777777" w:rsidTr="003B7AE9">
        <w:tc>
          <w:tcPr>
            <w:tcW w:w="0" w:type="auto"/>
            <w:shd w:val="clear" w:color="auto" w:fill="auto"/>
            <w:hideMark/>
          </w:tcPr>
          <w:p w14:paraId="69D6ED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75616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‘minimum regulating level’ means the minimum active power, as specified in the connection agreement or as agreed between the relevant system operator and the </w:t>
            </w:r>
            <w:r w:rsidRPr="003B7AE9">
              <w:rPr>
                <w:rFonts w:ascii="inherit" w:eastAsia="Times New Roman" w:hAnsi="inherit" w:cs="Times New Roman"/>
                <w:sz w:val="24"/>
                <w:szCs w:val="24"/>
                <w:lang w:eastAsia="en-GB"/>
              </w:rPr>
              <w:lastRenderedPageBreak/>
              <w:t>power-generating facility owner, down to which the power-generating module can control active power;</w:t>
            </w:r>
          </w:p>
        </w:tc>
      </w:tr>
    </w:tbl>
    <w:p w14:paraId="3D2C08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024979D" w14:textId="77777777" w:rsidTr="003B7AE9">
        <w:tc>
          <w:tcPr>
            <w:tcW w:w="0" w:type="auto"/>
            <w:shd w:val="clear" w:color="auto" w:fill="auto"/>
            <w:hideMark/>
          </w:tcPr>
          <w:p w14:paraId="5D50E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18C8419" w14:textId="77777777" w:rsidTr="003B7AE9">
        <w:tc>
          <w:tcPr>
            <w:tcW w:w="0" w:type="auto"/>
            <w:shd w:val="clear" w:color="auto" w:fill="auto"/>
            <w:hideMark/>
          </w:tcPr>
          <w:p w14:paraId="54EC68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‘instruction’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4B40802" w14:textId="77777777" w:rsidTr="003B7AE9">
        <w:tc>
          <w:tcPr>
            <w:tcW w:w="0" w:type="auto"/>
            <w:shd w:val="clear" w:color="auto" w:fill="auto"/>
            <w:hideMark/>
          </w:tcPr>
          <w:p w14:paraId="29FBEF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‘secured fault’ means a fault which is successfully cleared according to the system operator's planning criteria;</w:t>
            </w:r>
          </w:p>
        </w:tc>
      </w:tr>
    </w:tbl>
    <w:p w14:paraId="19A407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767829" w14:textId="77777777" w:rsidTr="003B7AE9">
        <w:tc>
          <w:tcPr>
            <w:tcW w:w="0" w:type="auto"/>
            <w:shd w:val="clear" w:color="auto" w:fill="auto"/>
            <w:hideMark/>
          </w:tcPr>
          <w:p w14:paraId="44B02F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means the imaginary component of the apparent power at fundamental frequency, usually expressed in kilovar (‘kVAr’) or megavar (‘MVAr’);</w:t>
            </w:r>
          </w:p>
        </w:tc>
      </w:tr>
    </w:tbl>
    <w:p w14:paraId="2CEC692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44491FD" w14:textId="77777777" w:rsidTr="003B7AE9">
        <w:tc>
          <w:tcPr>
            <w:tcW w:w="0" w:type="auto"/>
            <w:shd w:val="clear" w:color="auto" w:fill="auto"/>
            <w:hideMark/>
          </w:tcPr>
          <w:p w14:paraId="048BCA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means the capability of electrical devices to be able to remain connected to the network and operate through periods of low voltage at the connection point caused by secured faults;</w:t>
            </w:r>
          </w:p>
        </w:tc>
      </w:tr>
    </w:tbl>
    <w:p w14:paraId="15A181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F12DA03" w14:textId="77777777" w:rsidTr="003B7AE9">
        <w:tc>
          <w:tcPr>
            <w:tcW w:w="0" w:type="auto"/>
            <w:shd w:val="clear" w:color="auto" w:fill="auto"/>
            <w:hideMark/>
          </w:tcPr>
          <w:p w14:paraId="6FFEC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25EF2D2" w14:textId="77777777" w:rsidTr="003B7AE9">
        <w:tc>
          <w:tcPr>
            <w:tcW w:w="0" w:type="auto"/>
            <w:shd w:val="clear" w:color="auto" w:fill="auto"/>
            <w:hideMark/>
          </w:tcPr>
          <w:p w14:paraId="431433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B0158EA" w14:textId="77777777" w:rsidTr="003B7AE9">
        <w:tc>
          <w:tcPr>
            <w:tcW w:w="0" w:type="auto"/>
            <w:shd w:val="clear" w:color="auto" w:fill="auto"/>
            <w:hideMark/>
          </w:tcPr>
          <w:p w14:paraId="7592A1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DDF4F4" w14:textId="77777777" w:rsidTr="003B7AE9">
        <w:tc>
          <w:tcPr>
            <w:tcW w:w="0" w:type="auto"/>
            <w:shd w:val="clear" w:color="auto" w:fill="auto"/>
            <w:hideMark/>
          </w:tcPr>
          <w:p w14:paraId="6C4FD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E0E0480" w14:textId="77777777" w:rsidTr="003B7AE9">
        <w:tc>
          <w:tcPr>
            <w:tcW w:w="0" w:type="auto"/>
            <w:shd w:val="clear" w:color="auto" w:fill="auto"/>
            <w:hideMark/>
          </w:tcPr>
          <w:p w14:paraId="05CCFB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means the facility provided by a power park module or HVDC system to replace the effect of inertia of a synchronous power-generating module to a prescribed level of performance;</w:t>
            </w:r>
          </w:p>
        </w:tc>
      </w:tr>
    </w:tbl>
    <w:p w14:paraId="0ACF7D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8C5457" w14:textId="77777777" w:rsidTr="003B7AE9">
        <w:tc>
          <w:tcPr>
            <w:tcW w:w="0" w:type="auto"/>
            <w:shd w:val="clear" w:color="auto" w:fill="auto"/>
            <w:hideMark/>
          </w:tcPr>
          <w:p w14:paraId="550D05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0BAB97" w14:textId="77777777" w:rsidTr="003B7AE9">
        <w:tc>
          <w:tcPr>
            <w:tcW w:w="0" w:type="auto"/>
            <w:shd w:val="clear" w:color="auto" w:fill="auto"/>
            <w:hideMark/>
          </w:tcPr>
          <w:p w14:paraId="16E4C1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sensitive mode’ or ‘FSM’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876189A" w14:textId="77777777" w:rsidTr="003B7AE9">
        <w:tc>
          <w:tcPr>
            <w:tcW w:w="0" w:type="auto"/>
            <w:shd w:val="clear" w:color="auto" w:fill="auto"/>
            <w:hideMark/>
          </w:tcPr>
          <w:p w14:paraId="0185F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(37)</w:t>
            </w:r>
          </w:p>
        </w:tc>
        <w:tc>
          <w:tcPr>
            <w:tcW w:w="0" w:type="auto"/>
            <w:shd w:val="clear" w:color="auto" w:fill="auto"/>
            <w:hideMark/>
          </w:tcPr>
          <w:p w14:paraId="0A82D6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overfrequency’ or ‘LFSM-O’ means a power-generating module or HVDC system operating mode which will result in active power output reduction in response to a change in system frequency above a certain value;</w:t>
            </w:r>
          </w:p>
        </w:tc>
      </w:tr>
    </w:tbl>
    <w:p w14:paraId="459ABF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07B8BE3" w14:textId="77777777" w:rsidTr="003B7AE9">
        <w:tc>
          <w:tcPr>
            <w:tcW w:w="0" w:type="auto"/>
            <w:shd w:val="clear" w:color="auto" w:fill="auto"/>
            <w:hideMark/>
          </w:tcPr>
          <w:p w14:paraId="5CA77D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(38)</w:t>
            </w:r>
          </w:p>
        </w:tc>
        <w:tc>
          <w:tcPr>
            <w:tcW w:w="0" w:type="auto"/>
            <w:shd w:val="clear" w:color="auto" w:fill="auto"/>
            <w:hideMark/>
          </w:tcPr>
          <w:p w14:paraId="2090DD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underfrequency’‘LFSM-U’ means a power-generating module or HVDC system operating mode which will result in active power output increase in response to a change in system frequency below a certain value;</w:t>
            </w:r>
          </w:p>
        </w:tc>
      </w:tr>
    </w:tbl>
    <w:p w14:paraId="4EB26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1BBC8F" w14:textId="77777777" w:rsidTr="003B7AE9">
        <w:tc>
          <w:tcPr>
            <w:tcW w:w="0" w:type="auto"/>
            <w:shd w:val="clear" w:color="auto" w:fill="auto"/>
            <w:hideMark/>
          </w:tcPr>
          <w:p w14:paraId="2E448D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deadband’ means an interval used intentionally to make the frequency control unresponsive;</w:t>
            </w:r>
          </w:p>
        </w:tc>
      </w:tr>
    </w:tbl>
    <w:p w14:paraId="321D84E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3629632" w14:textId="77777777" w:rsidTr="003B7AE9">
        <w:tc>
          <w:tcPr>
            <w:tcW w:w="0" w:type="auto"/>
            <w:shd w:val="clear" w:color="auto" w:fill="auto"/>
            <w:hideMark/>
          </w:tcPr>
          <w:p w14:paraId="317F77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(40)</w:t>
            </w:r>
          </w:p>
        </w:tc>
        <w:tc>
          <w:tcPr>
            <w:tcW w:w="0" w:type="auto"/>
            <w:shd w:val="clear" w:color="auto" w:fill="auto"/>
            <w:hideMark/>
          </w:tcPr>
          <w:p w14:paraId="022368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3A33CA" w14:textId="77777777" w:rsidTr="003B7AE9">
        <w:tc>
          <w:tcPr>
            <w:tcW w:w="0" w:type="auto"/>
            <w:shd w:val="clear" w:color="auto" w:fill="auto"/>
            <w:hideMark/>
          </w:tcPr>
          <w:p w14:paraId="711433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537DE32" w14:textId="77777777" w:rsidTr="003B7AE9">
        <w:tc>
          <w:tcPr>
            <w:tcW w:w="0" w:type="auto"/>
            <w:shd w:val="clear" w:color="auto" w:fill="auto"/>
            <w:hideMark/>
          </w:tcPr>
          <w:p w14:paraId="62CA2B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‘steady-state stability’ means the ability of a network or a synchronous power-generating module to revert and maintain stable operation following a minor disturbance;</w:t>
            </w:r>
          </w:p>
        </w:tc>
      </w:tr>
    </w:tbl>
    <w:p w14:paraId="0B540D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D77BD45" w14:textId="77777777" w:rsidTr="003B7AE9">
        <w:tc>
          <w:tcPr>
            <w:tcW w:w="0" w:type="auto"/>
            <w:shd w:val="clear" w:color="auto" w:fill="auto"/>
            <w:hideMark/>
          </w:tcPr>
          <w:p w14:paraId="329D0E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‘island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E95720" w14:textId="77777777" w:rsidTr="003B7AE9">
        <w:tc>
          <w:tcPr>
            <w:tcW w:w="0" w:type="auto"/>
            <w:shd w:val="clear" w:color="auto" w:fill="auto"/>
            <w:hideMark/>
          </w:tcPr>
          <w:p w14:paraId="7FF22E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‘houseload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7F391C" w14:textId="77777777" w:rsidTr="003B7AE9">
        <w:tc>
          <w:tcPr>
            <w:tcW w:w="0" w:type="auto"/>
            <w:shd w:val="clear" w:color="auto" w:fill="auto"/>
            <w:hideMark/>
          </w:tcPr>
          <w:p w14:paraId="7CFAA3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91E829" w14:textId="77777777" w:rsidTr="003B7AE9">
        <w:tc>
          <w:tcPr>
            <w:tcW w:w="0" w:type="auto"/>
            <w:shd w:val="clear" w:color="auto" w:fill="auto"/>
            <w:hideMark/>
          </w:tcPr>
          <w:p w14:paraId="6B4944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(46)</w:t>
            </w:r>
          </w:p>
        </w:tc>
        <w:tc>
          <w:tcPr>
            <w:tcW w:w="0" w:type="auto"/>
            <w:shd w:val="clear" w:color="auto" w:fill="auto"/>
            <w:hideMark/>
          </w:tcPr>
          <w:p w14:paraId="74E321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‘authorised certifier’ means an entity that issues equipment certificates and power-generating module documents and whose accreditation is given by the national affiliate of the European cooperation for Accreditation (‘EA’), established in accordance with Regulation (EC) No 765/2008 of the European Parliament and of the Council</w:t>
            </w:r>
            <w:hyperlink r:id="rId9" w:anchor="ntr6-L_2016112EN.01000101-E0006"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6</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w:t>
            </w:r>
          </w:p>
        </w:tc>
      </w:tr>
    </w:tbl>
    <w:p w14:paraId="20845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C966A4" w14:textId="77777777" w:rsidTr="003B7AE9">
        <w:tc>
          <w:tcPr>
            <w:tcW w:w="0" w:type="auto"/>
            <w:shd w:val="clear" w:color="auto" w:fill="auto"/>
            <w:hideMark/>
          </w:tcPr>
          <w:p w14:paraId="0FE4D1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(47)</w:t>
            </w:r>
          </w:p>
        </w:tc>
        <w:tc>
          <w:tcPr>
            <w:tcW w:w="0" w:type="auto"/>
            <w:shd w:val="clear" w:color="auto" w:fill="auto"/>
            <w:hideMark/>
          </w:tcPr>
          <w:p w14:paraId="5849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 means a document issued by an authorised certifier for equipment used by a power-generating module, demand unit, distribution system, demand facility or HVDC system. The equipment certificate defines the scope of its validity at a national or other level at which a specific value is selected from the range allowed at a European level. For the purpose of replacing specific parts of the compliance process, the equipment certificate may include models that have been verified against actual test results;</w:t>
            </w:r>
          </w:p>
        </w:tc>
      </w:tr>
    </w:tbl>
    <w:p w14:paraId="027351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1BE225" w14:textId="77777777" w:rsidTr="003B7AE9">
        <w:tc>
          <w:tcPr>
            <w:tcW w:w="0" w:type="auto"/>
            <w:shd w:val="clear" w:color="auto" w:fill="auto"/>
            <w:hideMark/>
          </w:tcPr>
          <w:p w14:paraId="1D08D1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‘excitation control system’ means a feedback control system that includes the synchronous machine and its excitation system;</w:t>
            </w:r>
          </w:p>
        </w:tc>
      </w:tr>
    </w:tbl>
    <w:p w14:paraId="45BF77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CE3A3BB" w14:textId="77777777" w:rsidTr="003B7AE9">
        <w:tc>
          <w:tcPr>
            <w:tcW w:w="0" w:type="auto"/>
            <w:shd w:val="clear" w:color="auto" w:fill="auto"/>
            <w:hideMark/>
          </w:tcPr>
          <w:p w14:paraId="5D634B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(49)</w:t>
            </w:r>
          </w:p>
        </w:tc>
        <w:tc>
          <w:tcPr>
            <w:tcW w:w="0" w:type="auto"/>
            <w:shd w:val="clear" w:color="auto" w:fill="auto"/>
            <w:hideMark/>
          </w:tcPr>
          <w:p w14:paraId="455E47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4CD4A01" w14:textId="77777777" w:rsidTr="003B7AE9">
        <w:tc>
          <w:tcPr>
            <w:tcW w:w="0" w:type="auto"/>
            <w:shd w:val="clear" w:color="auto" w:fill="auto"/>
            <w:hideMark/>
          </w:tcPr>
          <w:p w14:paraId="141B8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 means the minimum active power, as specified in the connection agreement or as agreed between the relevant system operator and the power-generating facility owner, at which the power-generating module can be operated stably for an unlimited time;</w:t>
            </w:r>
          </w:p>
        </w:tc>
      </w:tr>
    </w:tbl>
    <w:p w14:paraId="529CCC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C294D08" w14:textId="77777777" w:rsidTr="003B7AE9">
        <w:tc>
          <w:tcPr>
            <w:tcW w:w="0" w:type="auto"/>
            <w:shd w:val="clear" w:color="auto" w:fill="auto"/>
            <w:hideMark/>
          </w:tcPr>
          <w:p w14:paraId="646E5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‘overexcitation limiter’ means a control device within the AVR which prevents the rotor of an alternator from overloading by limiting the excitation current;</w:t>
            </w:r>
          </w:p>
        </w:tc>
      </w:tr>
    </w:tbl>
    <w:p w14:paraId="177CFA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38F183" w14:textId="77777777" w:rsidTr="003B7AE9">
        <w:tc>
          <w:tcPr>
            <w:tcW w:w="0" w:type="auto"/>
            <w:shd w:val="clear" w:color="auto" w:fill="auto"/>
            <w:hideMark/>
          </w:tcPr>
          <w:p w14:paraId="309D5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(52)</w:t>
            </w:r>
          </w:p>
        </w:tc>
        <w:tc>
          <w:tcPr>
            <w:tcW w:w="0" w:type="auto"/>
            <w:shd w:val="clear" w:color="auto" w:fill="auto"/>
            <w:hideMark/>
          </w:tcPr>
          <w:p w14:paraId="1EEE33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‘underexcitation limiter’ means a control device within the AVR, the purpose of which is to prevent the alternator from losing synchronism due to lack of excitation;</w:t>
            </w:r>
          </w:p>
        </w:tc>
      </w:tr>
    </w:tbl>
    <w:p w14:paraId="2A95F8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28EAC3" w14:textId="77777777" w:rsidTr="003B7AE9">
        <w:tc>
          <w:tcPr>
            <w:tcW w:w="0" w:type="auto"/>
            <w:shd w:val="clear" w:color="auto" w:fill="auto"/>
            <w:hideMark/>
          </w:tcPr>
          <w:p w14:paraId="566CD1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‘automatic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0DD9CBB" w14:textId="77777777" w:rsidTr="003B7AE9">
        <w:tc>
          <w:tcPr>
            <w:tcW w:w="0" w:type="auto"/>
            <w:shd w:val="clear" w:color="auto" w:fill="auto"/>
            <w:hideMark/>
          </w:tcPr>
          <w:p w14:paraId="2C872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system stabiliser’ or ‘PSS’ means an additional functionality of the AVR of a synchronous power-generating module whose purpose is to damp power oscillations;</w:t>
            </w:r>
          </w:p>
        </w:tc>
      </w:tr>
    </w:tbl>
    <w:p w14:paraId="60D29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242FDFD" w14:textId="77777777" w:rsidTr="003B7AE9">
        <w:tc>
          <w:tcPr>
            <w:tcW w:w="0" w:type="auto"/>
            <w:shd w:val="clear" w:color="auto" w:fill="auto"/>
            <w:hideMark/>
          </w:tcPr>
          <w:p w14:paraId="09966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‘fast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07219BA" w14:textId="77777777" w:rsidTr="003B7AE9">
        <w:tc>
          <w:tcPr>
            <w:tcW w:w="0" w:type="auto"/>
            <w:shd w:val="clear" w:color="auto" w:fill="auto"/>
            <w:hideMark/>
          </w:tcPr>
          <w:p w14:paraId="33D71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factor’ means the ratio of the absolute value of active power to apparent power;</w:t>
            </w:r>
          </w:p>
        </w:tc>
      </w:tr>
    </w:tbl>
    <w:p w14:paraId="1451DC8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D9E31C6" w14:textId="77777777" w:rsidTr="003B7AE9">
        <w:tc>
          <w:tcPr>
            <w:tcW w:w="0" w:type="auto"/>
            <w:shd w:val="clear" w:color="auto" w:fill="auto"/>
            <w:hideMark/>
          </w:tcPr>
          <w:p w14:paraId="2384CB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‘slope’ means the ratio of the change in voltage, based on reference 1 pu voltage, to a change in reactive power in-feed from zero to maximum reactive power, based on maximum reactive power;</w:t>
            </w:r>
          </w:p>
        </w:tc>
      </w:tr>
    </w:tbl>
    <w:p w14:paraId="58E83A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85B808F" w14:textId="77777777" w:rsidTr="003B7AE9">
        <w:tc>
          <w:tcPr>
            <w:tcW w:w="0" w:type="auto"/>
            <w:shd w:val="clear" w:color="auto" w:fill="auto"/>
            <w:hideMark/>
          </w:tcPr>
          <w:p w14:paraId="60244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grid connection system’ means the complete interconnection between an offshore connection point and the onshore system at the onshore grid interconnection point;</w:t>
            </w:r>
          </w:p>
        </w:tc>
      </w:tr>
    </w:tbl>
    <w:p w14:paraId="195FE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2719B2C" w14:textId="77777777" w:rsidTr="003B7AE9">
        <w:tc>
          <w:tcPr>
            <w:tcW w:w="0" w:type="auto"/>
            <w:shd w:val="clear" w:color="auto" w:fill="auto"/>
            <w:hideMark/>
          </w:tcPr>
          <w:p w14:paraId="104B9F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‘onshore grid interconnection point’ means the point at which the offshore grid connection system is connected to the onshore network of the relevant system operator;</w:t>
            </w:r>
          </w:p>
        </w:tc>
      </w:tr>
    </w:tbl>
    <w:p w14:paraId="0B5ACB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51DD2F" w14:textId="77777777" w:rsidTr="003B7AE9">
        <w:tc>
          <w:tcPr>
            <w:tcW w:w="0" w:type="auto"/>
            <w:shd w:val="clear" w:color="auto" w:fill="auto"/>
            <w:hideMark/>
          </w:tcPr>
          <w:p w14:paraId="352B1E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CBB969" w14:textId="77777777" w:rsidTr="003B7AE9">
        <w:tc>
          <w:tcPr>
            <w:tcW w:w="0" w:type="auto"/>
            <w:shd w:val="clear" w:color="auto" w:fill="auto"/>
            <w:hideMark/>
          </w:tcPr>
          <w:p w14:paraId="2559CE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‘statement of compliance’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D8F0046" w14:textId="77777777" w:rsidTr="003B7AE9">
        <w:tc>
          <w:tcPr>
            <w:tcW w:w="0" w:type="auto"/>
            <w:shd w:val="clear" w:color="auto" w:fill="auto"/>
            <w:hideMark/>
          </w:tcPr>
          <w:p w14:paraId="235E55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(62)</w:t>
            </w:r>
          </w:p>
        </w:tc>
        <w:tc>
          <w:tcPr>
            <w:tcW w:w="0" w:type="auto"/>
            <w:shd w:val="clear" w:color="auto" w:fill="auto"/>
            <w:hideMark/>
          </w:tcPr>
          <w:p w14:paraId="75078B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0F7495A" w14:textId="77777777" w:rsidTr="003B7AE9">
        <w:tc>
          <w:tcPr>
            <w:tcW w:w="0" w:type="auto"/>
            <w:shd w:val="clear" w:color="auto" w:fill="auto"/>
            <w:hideMark/>
          </w:tcPr>
          <w:p w14:paraId="50F3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(63)</w:t>
            </w:r>
          </w:p>
        </w:tc>
        <w:tc>
          <w:tcPr>
            <w:tcW w:w="0" w:type="auto"/>
            <w:shd w:val="clear" w:color="auto" w:fill="auto"/>
            <w:hideMark/>
          </w:tcPr>
          <w:p w14:paraId="340E3A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or ‘EON’ means a notification issued by the relevant system operator to a power-generating facility owner, demand facility owner, distribution system operator or HVDC system owner prior to energisation of its internal network;</w:t>
            </w:r>
          </w:p>
        </w:tc>
      </w:tr>
    </w:tbl>
    <w:p w14:paraId="49C5B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CEFE9A" w14:textId="77777777" w:rsidTr="003B7AE9">
        <w:tc>
          <w:tcPr>
            <w:tcW w:w="0" w:type="auto"/>
            <w:shd w:val="clear" w:color="auto" w:fill="auto"/>
            <w:hideMark/>
          </w:tcPr>
          <w:p w14:paraId="42289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(64)</w:t>
            </w:r>
          </w:p>
        </w:tc>
        <w:tc>
          <w:tcPr>
            <w:tcW w:w="0" w:type="auto"/>
            <w:shd w:val="clear" w:color="auto" w:fill="auto"/>
            <w:hideMark/>
          </w:tcPr>
          <w:p w14:paraId="2AC092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AE2038" w14:textId="77777777" w:rsidTr="003B7AE9">
        <w:tc>
          <w:tcPr>
            <w:tcW w:w="0" w:type="auto"/>
            <w:shd w:val="clear" w:color="auto" w:fill="auto"/>
            <w:hideMark/>
          </w:tcPr>
          <w:p w14:paraId="3BE167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(65)</w:t>
            </w:r>
          </w:p>
        </w:tc>
        <w:tc>
          <w:tcPr>
            <w:tcW w:w="0" w:type="auto"/>
            <w:shd w:val="clear" w:color="auto" w:fill="auto"/>
            <w:hideMark/>
          </w:tcPr>
          <w:p w14:paraId="513E8C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p>
        </w:tc>
      </w:tr>
    </w:tbl>
    <w:p w14:paraId="1E16F7D0"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3" w:author="Author">
            <w:rPr/>
          </w:rPrChange>
        </w:rPr>
        <w:pPrChange w:id="14"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3</w:t>
      </w:r>
    </w:p>
    <w:p w14:paraId="722D9684"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5" w:author="Author">
          <w:pPr>
            <w:shd w:val="clear" w:color="auto" w:fill="FFFFFF"/>
            <w:jc w:val="center"/>
          </w:pPr>
        </w:pPrChange>
      </w:pPr>
      <w:r w:rsidRPr="003B7AE9">
        <w:rPr>
          <w:rFonts w:ascii="inherit" w:eastAsia="Times New Roman" w:hAnsi="inherit" w:cs="Times New Roman"/>
          <w:b/>
          <w:bCs/>
          <w:color w:val="000000"/>
          <w:sz w:val="24"/>
          <w:szCs w:val="24"/>
          <w:lang w:eastAsia="en-GB"/>
        </w:rPr>
        <w:t>Scope of application</w:t>
      </w:r>
    </w:p>
    <w:p w14:paraId="59F42962" w14:textId="4E3065C3"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6" w:author="Author">
          <w:pPr>
            <w:shd w:val="clear" w:color="auto" w:fill="FFFFFF"/>
            <w:jc w:val="both"/>
          </w:pPr>
        </w:pPrChange>
      </w:pPr>
      <w:r w:rsidRPr="003B7AE9">
        <w:rPr>
          <w:rFonts w:ascii="inherit" w:eastAsia="Times New Roman" w:hAnsi="inherit" w:cs="Times New Roman"/>
          <w:color w:val="000000"/>
          <w:sz w:val="24"/>
          <w:szCs w:val="24"/>
          <w:lang w:eastAsia="en-GB"/>
        </w:rPr>
        <w:t xml:space="preserve">1.   The connection requirements set out in this Regulation shall apply to new power-generating modules </w:t>
      </w:r>
      <w:ins w:id="17" w:author="Author">
        <w:r w:rsidR="00845EE9">
          <w:rPr>
            <w:rFonts w:ascii="inherit" w:eastAsia="Times New Roman" w:hAnsi="inherit" w:cs="Times New Roman"/>
            <w:color w:val="000000"/>
            <w:sz w:val="24"/>
            <w:szCs w:val="24"/>
            <w:lang w:eastAsia="en-GB"/>
          </w:rPr>
          <w:t xml:space="preserve">and new </w:t>
        </w:r>
        <w:r w:rsidR="00FB4C92">
          <w:rPr>
            <w:rFonts w:ascii="inherit" w:eastAsia="Times New Roman" w:hAnsi="inherit" w:cs="Times New Roman"/>
            <w:color w:val="000000"/>
            <w:sz w:val="24"/>
            <w:szCs w:val="24"/>
            <w:lang w:eastAsia="en-GB"/>
          </w:rPr>
          <w:t xml:space="preserve">electrical </w:t>
        </w:r>
        <w:r w:rsidR="00845EE9">
          <w:rPr>
            <w:rFonts w:ascii="inherit" w:eastAsia="Times New Roman" w:hAnsi="inherit" w:cs="Times New Roman"/>
            <w:color w:val="000000"/>
            <w:sz w:val="24"/>
            <w:szCs w:val="24"/>
            <w:lang w:eastAsia="en-GB"/>
          </w:rPr>
          <w:t xml:space="preserve">energy storage modules </w:t>
        </w:r>
      </w:ins>
      <w:r w:rsidRPr="003B7AE9">
        <w:rPr>
          <w:rFonts w:ascii="inherit" w:eastAsia="Times New Roman" w:hAnsi="inherit" w:cs="Times New Roman"/>
          <w:color w:val="000000"/>
          <w:sz w:val="24"/>
          <w:szCs w:val="24"/>
          <w:lang w:eastAsia="en-GB"/>
        </w:rPr>
        <w:t>which are considered significant in accordance with Article 5, unless otherwise provided.</w:t>
      </w:r>
      <w:ins w:id="18" w:author="Author">
        <w:r w:rsidR="007B3EB6">
          <w:rPr>
            <w:rFonts w:ascii="inherit" w:eastAsia="Times New Roman" w:hAnsi="inherit" w:cs="Times New Roman"/>
            <w:color w:val="000000"/>
            <w:sz w:val="24"/>
            <w:szCs w:val="24"/>
            <w:lang w:eastAsia="en-GB"/>
          </w:rPr>
          <w:t xml:space="preserve"> Electric vehicles which are capable of injecting energy in the grid </w:t>
        </w:r>
        <w:r w:rsidR="00F71A0C">
          <w:rPr>
            <w:rFonts w:ascii="inherit" w:eastAsia="Times New Roman" w:hAnsi="inherit" w:cs="Times New Roman"/>
            <w:color w:val="000000"/>
            <w:sz w:val="24"/>
            <w:szCs w:val="24"/>
            <w:lang w:eastAsia="en-GB"/>
          </w:rPr>
          <w:t>are</w:t>
        </w:r>
        <w:r w:rsidR="007B3EB6">
          <w:rPr>
            <w:rFonts w:ascii="inherit" w:eastAsia="Times New Roman" w:hAnsi="inherit" w:cs="Times New Roman"/>
            <w:color w:val="000000"/>
            <w:sz w:val="24"/>
            <w:szCs w:val="24"/>
            <w:lang w:eastAsia="en-GB"/>
          </w:rPr>
          <w:t xml:space="preserve"> considered as </w:t>
        </w:r>
        <w:r w:rsidR="00FB4C92">
          <w:rPr>
            <w:rFonts w:ascii="inherit" w:eastAsia="Times New Roman" w:hAnsi="inherit" w:cs="Times New Roman"/>
            <w:color w:val="000000"/>
            <w:sz w:val="24"/>
            <w:szCs w:val="24"/>
            <w:lang w:eastAsia="en-GB"/>
          </w:rPr>
          <w:t xml:space="preserve">electrical </w:t>
        </w:r>
        <w:r w:rsidR="007B3EB6">
          <w:rPr>
            <w:rFonts w:ascii="inherit" w:eastAsia="Times New Roman" w:hAnsi="inherit" w:cs="Times New Roman"/>
            <w:color w:val="000000"/>
            <w:sz w:val="24"/>
            <w:szCs w:val="24"/>
            <w:lang w:eastAsia="en-GB"/>
          </w:rPr>
          <w:t>energy storage modules during the connection to the grid.</w:t>
        </w:r>
      </w:ins>
    </w:p>
    <w:p w14:paraId="06E46FF1"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9" w:author="Author">
          <w:pPr>
            <w:shd w:val="clear" w:color="auto" w:fill="FFFFFF"/>
            <w:jc w:val="both"/>
          </w:pPr>
        </w:pPrChange>
      </w:pPr>
      <w:r w:rsidRPr="003B7AE9">
        <w:rPr>
          <w:rFonts w:ascii="inherit" w:eastAsia="Times New Roman" w:hAnsi="inherit" w:cs="Times New Roman"/>
          <w:color w:val="000000"/>
          <w:sz w:val="24"/>
          <w:szCs w:val="24"/>
          <w:lang w:eastAsia="en-GB"/>
        </w:rPr>
        <w:t>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to the power-generating facility owner and, unless specified otherwise by the regulatory authority, to the regulatory authority.</w:t>
      </w:r>
    </w:p>
    <w:p w14:paraId="04A73424"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20" w:author="Author">
          <w:pPr>
            <w:shd w:val="clear" w:color="auto" w:fill="FFFFFF"/>
            <w:jc w:val="both"/>
          </w:pPr>
        </w:pPrChange>
      </w:pPr>
      <w:r w:rsidRPr="003B7AE9">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C72C355" w14:textId="77777777" w:rsidTr="003B7AE9">
        <w:tc>
          <w:tcPr>
            <w:tcW w:w="0" w:type="auto"/>
            <w:shd w:val="clear" w:color="auto" w:fill="auto"/>
            <w:hideMark/>
          </w:tcPr>
          <w:p w14:paraId="1D87F6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04EF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C6E8572" w14:textId="77777777" w:rsidTr="003B7AE9">
        <w:tc>
          <w:tcPr>
            <w:tcW w:w="0" w:type="auto"/>
            <w:shd w:val="clear" w:color="auto" w:fill="auto"/>
            <w:hideMark/>
          </w:tcPr>
          <w:p w14:paraId="7C31A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B9E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were installed to provide back-up power and operate in parallel with the system for less than five minutes per calendar month while the system is in normal system state. Parallel operation during maintenance or commissioning tests of that power-generating module shall not count towards the five-minute limit;</w:t>
            </w:r>
          </w:p>
        </w:tc>
      </w:tr>
    </w:tbl>
    <w:p w14:paraId="370253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28EFC81" w14:textId="77777777" w:rsidTr="003B7AE9">
        <w:tc>
          <w:tcPr>
            <w:tcW w:w="0" w:type="auto"/>
            <w:shd w:val="clear" w:color="auto" w:fill="auto"/>
            <w:hideMark/>
          </w:tcPr>
          <w:p w14:paraId="6F44CE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rsidDel="00845EE9" w14:paraId="607BF02D" w14:textId="3D946048" w:rsidTr="003B7AE9">
        <w:trPr>
          <w:del w:id="21" w:author="Author"/>
        </w:trPr>
        <w:tc>
          <w:tcPr>
            <w:tcW w:w="0" w:type="auto"/>
            <w:shd w:val="clear" w:color="auto" w:fill="auto"/>
            <w:hideMark/>
          </w:tcPr>
          <w:p w14:paraId="267A54D8" w14:textId="4D9581C0" w:rsidR="003B7AE9" w:rsidRPr="003B7AE9" w:rsidDel="00845EE9" w:rsidRDefault="003B7AE9" w:rsidP="003B7AE9">
            <w:pPr>
              <w:spacing w:before="120" w:after="0" w:line="240" w:lineRule="auto"/>
              <w:jc w:val="both"/>
              <w:rPr>
                <w:del w:id="22" w:author="Author"/>
                <w:rFonts w:ascii="inherit" w:eastAsia="Times New Roman" w:hAnsi="inherit" w:cs="Times New Roman"/>
                <w:sz w:val="24"/>
                <w:szCs w:val="24"/>
                <w:lang w:eastAsia="en-GB"/>
              </w:rPr>
            </w:pPr>
            <w:del w:id="23" w:author="Author">
              <w:r w:rsidRPr="003B7AE9" w:rsidDel="00845EE9">
                <w:rPr>
                  <w:rFonts w:ascii="inherit" w:eastAsia="Times New Roman" w:hAnsi="inherit" w:cs="Times New Roman"/>
                  <w:sz w:val="24"/>
                  <w:szCs w:val="24"/>
                  <w:lang w:eastAsia="en-GB"/>
                </w:rPr>
                <w:delText>(d)</w:delText>
              </w:r>
            </w:del>
          </w:p>
        </w:tc>
        <w:tc>
          <w:tcPr>
            <w:tcW w:w="0" w:type="auto"/>
            <w:shd w:val="clear" w:color="auto" w:fill="auto"/>
            <w:hideMark/>
          </w:tcPr>
          <w:p w14:paraId="3E15AC33" w14:textId="328F469A" w:rsidR="003B7AE9" w:rsidRPr="003B7AE9" w:rsidDel="00845EE9" w:rsidRDefault="003B7AE9" w:rsidP="003B7AE9">
            <w:pPr>
              <w:spacing w:before="120" w:after="0" w:line="240" w:lineRule="auto"/>
              <w:jc w:val="both"/>
              <w:rPr>
                <w:del w:id="24" w:author="Author"/>
                <w:rFonts w:ascii="inherit" w:eastAsia="Times New Roman" w:hAnsi="inherit" w:cs="Times New Roman"/>
                <w:sz w:val="24"/>
                <w:szCs w:val="24"/>
                <w:lang w:eastAsia="en-GB"/>
              </w:rPr>
            </w:pPr>
            <w:del w:id="25" w:author="Author">
              <w:r w:rsidRPr="003B7AE9" w:rsidDel="00845EE9">
                <w:rPr>
                  <w:rFonts w:ascii="inherit" w:eastAsia="Times New Roman" w:hAnsi="inherit" w:cs="Times New Roman"/>
                  <w:sz w:val="24"/>
                  <w:szCs w:val="24"/>
                  <w:lang w:eastAsia="en-GB"/>
                </w:rPr>
                <w:delText>storage devices except for pump-storage power-generating modules in accordance with Article 6(2).</w:delText>
              </w:r>
            </w:del>
          </w:p>
        </w:tc>
      </w:tr>
    </w:tbl>
    <w:p w14:paraId="0DB9CB69"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26" w:author="Author">
            <w:rPr/>
          </w:rPrChange>
        </w:rPr>
        <w:pPrChange w:id="27" w:author="Author">
          <w:pPr>
            <w:shd w:val="clear" w:color="auto" w:fill="FFFFFF"/>
            <w:jc w:val="center"/>
          </w:pPr>
        </w:pPrChange>
      </w:pPr>
      <w:r w:rsidRPr="2D4DAF54">
        <w:rPr>
          <w:rFonts w:ascii="inherit" w:eastAsia="Times New Roman" w:hAnsi="inherit" w:cs="Times New Roman"/>
          <w:i/>
          <w:iCs/>
          <w:color w:val="000000"/>
          <w:sz w:val="24"/>
          <w:szCs w:val="24"/>
          <w:lang w:eastAsia="en-GB"/>
        </w:rPr>
        <w:lastRenderedPageBreak/>
        <w:t>Article 4</w:t>
      </w:r>
    </w:p>
    <w:p w14:paraId="2BBD458D"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28" w:author="Author">
          <w:pPr>
            <w:shd w:val="clear" w:color="auto" w:fill="FFFFFF"/>
            <w:jc w:val="center"/>
          </w:pPr>
        </w:pPrChange>
      </w:pPr>
      <w:r w:rsidRPr="003B7AE9">
        <w:rPr>
          <w:rFonts w:ascii="inherit" w:eastAsia="Times New Roman" w:hAnsi="inherit" w:cs="Times New Roman"/>
          <w:b/>
          <w:bCs/>
          <w:color w:val="000000"/>
          <w:sz w:val="24"/>
          <w:szCs w:val="24"/>
          <w:lang w:eastAsia="en-GB"/>
        </w:rPr>
        <w:t>Application to existing power-generating modules</w:t>
      </w:r>
    </w:p>
    <w:p w14:paraId="1721F3DD"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29" w:author="Author">
          <w:pPr>
            <w:shd w:val="clear" w:color="auto" w:fill="FFFFFF"/>
            <w:jc w:val="both"/>
          </w:pPr>
        </w:pPrChange>
      </w:pPr>
      <w:r w:rsidRPr="003B7AE9">
        <w:rPr>
          <w:rFonts w:ascii="inherit" w:eastAsia="Times New Roman" w:hAnsi="inherit" w:cs="Times New Roman"/>
          <w:color w:val="000000"/>
          <w:sz w:val="24"/>
          <w:szCs w:val="24"/>
          <w:lang w:eastAsia="en-GB"/>
        </w:rPr>
        <w:t>1.   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886EA9" w14:textId="77777777" w:rsidTr="003B7AE9">
        <w:tc>
          <w:tcPr>
            <w:tcW w:w="0" w:type="auto"/>
            <w:shd w:val="clear" w:color="auto" w:fill="auto"/>
            <w:hideMark/>
          </w:tcPr>
          <w:p w14:paraId="0C951D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F903A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type C or type D power-generating module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3296750A" w14:textId="77777777">
              <w:tc>
                <w:tcPr>
                  <w:tcW w:w="0" w:type="auto"/>
                  <w:shd w:val="clear" w:color="auto" w:fill="auto"/>
                  <w:hideMark/>
                </w:tcPr>
                <w:p w14:paraId="6B2AC6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0ADB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who intend to undertake the modernisation of a plant or replacement of equipment impacting the technical capabilities of the power-generating module shall notify their plans to the relevant system operator in advance;</w:t>
                  </w:r>
                </w:p>
              </w:tc>
            </w:tr>
          </w:tbl>
          <w:p w14:paraId="5114C3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44BAEF" w14:textId="77777777">
              <w:tc>
                <w:tcPr>
                  <w:tcW w:w="0" w:type="auto"/>
                  <w:shd w:val="clear" w:color="auto" w:fill="auto"/>
                  <w:hideMark/>
                </w:tcPr>
                <w:p w14:paraId="24ACEC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FBE9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4EC420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4C231E7A" w14:textId="77777777">
              <w:tc>
                <w:tcPr>
                  <w:tcW w:w="0" w:type="auto"/>
                  <w:shd w:val="clear" w:color="auto" w:fill="auto"/>
                  <w:hideMark/>
                </w:tcPr>
                <w:p w14:paraId="551C68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3DD5BF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7A55115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15F14A8" w14:textId="77777777" w:rsidTr="003B7AE9">
        <w:tc>
          <w:tcPr>
            <w:tcW w:w="0" w:type="auto"/>
            <w:shd w:val="clear" w:color="auto" w:fill="auto"/>
            <w:hideMark/>
          </w:tcPr>
          <w:p w14:paraId="63AED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5365B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regulatory authority or, where applicable, a Member State decides to make an existing power-generating module subject to all or some of the requirements of this Regulation, following a proposal from the relevant TSO in accordance with paragraphs 3, 4 and 5.</w:t>
            </w:r>
          </w:p>
        </w:tc>
      </w:tr>
    </w:tbl>
    <w:p w14:paraId="47A84E9E"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30" w:author="Author">
          <w:pPr>
            <w:shd w:val="clear" w:color="auto" w:fill="FFFFFF"/>
            <w:jc w:val="both"/>
          </w:pPr>
        </w:pPrChange>
      </w:pPr>
      <w:r w:rsidRPr="003B7AE9">
        <w:rPr>
          <w:rFonts w:ascii="inherit" w:eastAsia="Times New Roman" w:hAnsi="inherit" w:cs="Times New Roman"/>
          <w:color w:val="000000"/>
          <w:sz w:val="24"/>
          <w:szCs w:val="24"/>
          <w:lang w:eastAsia="en-GB"/>
        </w:rPr>
        <w:t>2.   For the purposes of this Regulation, a power-generating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A99419" w14:textId="77777777" w:rsidTr="003B7AE9">
        <w:tc>
          <w:tcPr>
            <w:tcW w:w="0" w:type="auto"/>
            <w:shd w:val="clear" w:color="auto" w:fill="auto"/>
            <w:hideMark/>
          </w:tcPr>
          <w:p w14:paraId="1EDCD8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68E8ED" w14:textId="77777777" w:rsidTr="003B7AE9">
        <w:tc>
          <w:tcPr>
            <w:tcW w:w="0" w:type="auto"/>
            <w:shd w:val="clear" w:color="auto" w:fill="auto"/>
            <w:hideMark/>
          </w:tcPr>
          <w:p w14:paraId="71B01A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000F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has concluded a final and binding contract for the purchase of the main generating plant by two years after the entry into force of the Regulation. The power-generating facility owner must notify the relevant system operator and relevant TSO of conclusion of the contract within 30 months after the entry into force of the Regulation.</w:t>
            </w:r>
          </w:p>
        </w:tc>
      </w:tr>
    </w:tbl>
    <w:p w14:paraId="48BCC46F"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31" w:author="Author">
          <w:pPr>
            <w:shd w:val="clear" w:color="auto" w:fill="FFFFFF"/>
            <w:jc w:val="both"/>
          </w:pPr>
        </w:pPrChange>
      </w:pPr>
      <w:r w:rsidRPr="003B7AE9">
        <w:rPr>
          <w:rFonts w:ascii="inherit" w:eastAsia="Times New Roman" w:hAnsi="inherit" w:cs="Times New Roman"/>
          <w:color w:val="000000"/>
          <w:sz w:val="24"/>
          <w:szCs w:val="24"/>
          <w:lang w:eastAsia="en-GB"/>
        </w:rPr>
        <w:t>The notification submitted by the power-generating facility owner to the relevant system operator and to the relevant TSO shall at least indicate the contract title, its date of signature and date of entry into force and the specifications of the main generating plant to be constructed, assembled or purchased.</w:t>
      </w:r>
    </w:p>
    <w:p w14:paraId="0CC8A561"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32" w:author="Author">
          <w:pPr>
            <w:shd w:val="clear" w:color="auto" w:fill="FFFFFF"/>
            <w:jc w:val="both"/>
          </w:pPr>
        </w:pPrChange>
      </w:pPr>
      <w:r w:rsidRPr="003B7AE9">
        <w:rPr>
          <w:rFonts w:ascii="inherit" w:eastAsia="Times New Roman" w:hAnsi="inherit" w:cs="Times New Roman"/>
          <w:color w:val="000000"/>
          <w:sz w:val="24"/>
          <w:szCs w:val="24"/>
          <w:lang w:eastAsia="en-GB"/>
        </w:rPr>
        <w:t>A Member State may provide that in specified circumstances the regulatory authority may determine whether the power-generating module is to be considered an existing power-generating module or a new power-generating module.</w:t>
      </w:r>
    </w:p>
    <w:p w14:paraId="087D1F8E"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33" w:author="Author">
          <w:pPr>
            <w:shd w:val="clear" w:color="auto" w:fill="FFFFFF"/>
            <w:jc w:val="both"/>
          </w:pPr>
        </w:pPrChange>
      </w:pPr>
      <w:r w:rsidRPr="003B7AE9">
        <w:rPr>
          <w:rFonts w:ascii="inherit" w:eastAsia="Times New Roman" w:hAnsi="inherit" w:cs="Times New Roman"/>
          <w:color w:val="000000"/>
          <w:sz w:val="24"/>
          <w:szCs w:val="24"/>
          <w:lang w:eastAsia="en-GB"/>
        </w:rPr>
        <w:t xml:space="preserve">3.   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w:t>
      </w:r>
      <w:r w:rsidRPr="003B7AE9">
        <w:rPr>
          <w:rFonts w:ascii="inherit" w:eastAsia="Times New Roman" w:hAnsi="inherit" w:cs="Times New Roman"/>
          <w:color w:val="000000"/>
          <w:sz w:val="24"/>
          <w:szCs w:val="24"/>
          <w:lang w:eastAsia="en-GB"/>
        </w:rPr>
        <w:lastRenderedPageBreak/>
        <w:t>regulatory authority concerned, or where applicable, to the Member State to extend the application of this Regulation to existing power-generating modules.</w:t>
      </w:r>
    </w:p>
    <w:p w14:paraId="43304F98"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34" w:author="Author">
          <w:pPr>
            <w:shd w:val="clear" w:color="auto" w:fill="FFFFFF"/>
            <w:jc w:val="both"/>
          </w:pPr>
        </w:pPrChange>
      </w:pPr>
      <w:r w:rsidRPr="003B7AE9">
        <w:rPr>
          <w:rFonts w:ascii="inherit" w:eastAsia="Times New Roman" w:hAnsi="inherit" w:cs="Times New Roman"/>
          <w:color w:val="000000"/>
          <w:sz w:val="24"/>
          <w:szCs w:val="24"/>
          <w:lang w:eastAsia="en-GB"/>
        </w:rPr>
        <w:t>For that purpose a sound and transparent quantitative cost-benefit analysis shall be carried out,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18C415C" w14:textId="77777777" w:rsidTr="003B7AE9">
        <w:tc>
          <w:tcPr>
            <w:tcW w:w="0" w:type="auto"/>
            <w:shd w:val="clear" w:color="auto" w:fill="auto"/>
            <w:hideMark/>
          </w:tcPr>
          <w:p w14:paraId="2F6A5F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ED3E1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in regard to existing power-generating modules, of requiring compliance with this Regulation;</w:t>
            </w:r>
          </w:p>
        </w:tc>
      </w:tr>
    </w:tbl>
    <w:p w14:paraId="3CB446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46044CC" w14:textId="77777777" w:rsidTr="003B7AE9">
        <w:tc>
          <w:tcPr>
            <w:tcW w:w="0" w:type="auto"/>
            <w:shd w:val="clear" w:color="auto" w:fill="auto"/>
            <w:hideMark/>
          </w:tcPr>
          <w:p w14:paraId="6AF251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B7AE9" w14:paraId="2808615E" w14:textId="77777777" w:rsidTr="003B7AE9">
        <w:tc>
          <w:tcPr>
            <w:tcW w:w="0" w:type="auto"/>
            <w:shd w:val="clear" w:color="auto" w:fill="auto"/>
            <w:hideMark/>
          </w:tcPr>
          <w:p w14:paraId="1D6853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65AE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potential of alternative measures to achieve the required performance.</w:t>
            </w:r>
          </w:p>
        </w:tc>
      </w:tr>
    </w:tbl>
    <w:p w14:paraId="648C2545"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35" w:author="Author">
          <w:pPr>
            <w:shd w:val="clear" w:color="auto" w:fill="FFFFFF"/>
            <w:jc w:val="both"/>
          </w:pPr>
        </w:pPrChange>
      </w:pPr>
      <w:r w:rsidRPr="003B7AE9">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3B7AE9" w14:paraId="6CE27FCE" w14:textId="77777777" w:rsidTr="003B7AE9">
        <w:tc>
          <w:tcPr>
            <w:tcW w:w="0" w:type="auto"/>
            <w:shd w:val="clear" w:color="auto" w:fill="auto"/>
            <w:hideMark/>
          </w:tcPr>
          <w:p w14:paraId="6F7EA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551E0C1" w14:textId="77777777" w:rsidTr="003B7AE9">
        <w:tc>
          <w:tcPr>
            <w:tcW w:w="0" w:type="auto"/>
            <w:shd w:val="clear" w:color="auto" w:fill="auto"/>
            <w:hideMark/>
          </w:tcPr>
          <w:p w14:paraId="7089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obtain approval from the relevant regulatory authority or, where applicable, the Member State.</w:t>
            </w:r>
          </w:p>
        </w:tc>
      </w:tr>
    </w:tbl>
    <w:p w14:paraId="0127F853"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36" w:author="Author">
          <w:pPr>
            <w:shd w:val="clear" w:color="auto" w:fill="FFFFFF"/>
            <w:jc w:val="both"/>
          </w:pPr>
        </w:pPrChange>
      </w:pPr>
      <w:r w:rsidRPr="003B7AE9">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37" w:author="Author">
          <w:pPr>
            <w:shd w:val="clear" w:color="auto" w:fill="FFFFFF"/>
            <w:jc w:val="both"/>
          </w:pPr>
        </w:pPrChange>
      </w:pPr>
      <w:r w:rsidRPr="003B7AE9">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21E9960B"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38" w:author="Author">
          <w:pPr>
            <w:shd w:val="clear" w:color="auto" w:fill="FFFFFF"/>
            <w:jc w:val="both"/>
          </w:pPr>
        </w:pPrChange>
      </w:pPr>
      <w:r w:rsidRPr="003B7AE9">
        <w:rPr>
          <w:rFonts w:ascii="inherit" w:eastAsia="Times New Roman" w:hAnsi="inherit" w:cs="Times New Roman"/>
          <w:color w:val="000000"/>
          <w:sz w:val="24"/>
          <w:szCs w:val="24"/>
          <w:lang w:eastAsia="en-GB"/>
        </w:rPr>
        <w:t>7.   The relevant TSO may assess the application of some or all of the provisions of this Regulation to existing power-generating modules every three years in accordance with the criteria and process set out in paragraphs 3 to 5.</w:t>
      </w:r>
    </w:p>
    <w:p w14:paraId="192DD96C"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39" w:author="Author">
            <w:rPr/>
          </w:rPrChange>
        </w:rPr>
        <w:pPrChange w:id="40"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5</w:t>
      </w:r>
    </w:p>
    <w:p w14:paraId="0EFACB45"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41" w:author="Author">
          <w:pPr>
            <w:shd w:val="clear" w:color="auto" w:fill="FFFFFF"/>
            <w:jc w:val="center"/>
          </w:pPr>
        </w:pPrChange>
      </w:pPr>
      <w:r w:rsidRPr="003B7AE9">
        <w:rPr>
          <w:rFonts w:ascii="inherit" w:eastAsia="Times New Roman" w:hAnsi="inherit" w:cs="Times New Roman"/>
          <w:b/>
          <w:bCs/>
          <w:color w:val="000000"/>
          <w:sz w:val="24"/>
          <w:szCs w:val="24"/>
          <w:lang w:eastAsia="en-GB"/>
        </w:rPr>
        <w:t>Determination of significance</w:t>
      </w:r>
    </w:p>
    <w:p w14:paraId="4654D109"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42" w:author="Author">
          <w:pPr>
            <w:shd w:val="clear" w:color="auto" w:fill="FFFFFF"/>
            <w:jc w:val="both"/>
          </w:pPr>
        </w:pPrChange>
      </w:pPr>
      <w:r w:rsidRPr="003B7AE9">
        <w:rPr>
          <w:rFonts w:ascii="inherit" w:eastAsia="Times New Roman" w:hAnsi="inherit" w:cs="Times New Roman"/>
          <w:color w:val="000000"/>
          <w:sz w:val="24"/>
          <w:szCs w:val="24"/>
          <w:lang w:eastAsia="en-GB"/>
        </w:rPr>
        <w:t>1.   The power-generating modules shall comply with the requirements on the basis of the voltage level of their connection point and their maximum capacity according to the categories set out in paragraph 2.</w:t>
      </w:r>
    </w:p>
    <w:p w14:paraId="3EE41E3C"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43" w:author="Author">
          <w:pPr>
            <w:shd w:val="clear" w:color="auto" w:fill="FFFFFF"/>
            <w:jc w:val="both"/>
          </w:pPr>
        </w:pPrChange>
      </w:pPr>
      <w:r w:rsidRPr="003B7AE9">
        <w:rPr>
          <w:rFonts w:ascii="inherit" w:eastAsia="Times New Roman" w:hAnsi="inherit" w:cs="Times New Roman"/>
          <w:color w:val="000000"/>
          <w:sz w:val="24"/>
          <w:szCs w:val="24"/>
          <w:lang w:eastAsia="en-GB"/>
        </w:rPr>
        <w:t>2.   Power-generating modules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3E57E714" w14:textId="77777777" w:rsidTr="003B7AE9">
        <w:tc>
          <w:tcPr>
            <w:tcW w:w="0" w:type="auto"/>
            <w:shd w:val="clear" w:color="auto" w:fill="auto"/>
            <w:hideMark/>
          </w:tcPr>
          <w:p w14:paraId="5068C7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EAA1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of 0,8 kW or more (type A);</w:t>
            </w:r>
          </w:p>
        </w:tc>
      </w:tr>
    </w:tbl>
    <w:p w14:paraId="4D48C1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0790A1" w14:textId="77777777" w:rsidTr="003B7AE9">
        <w:tc>
          <w:tcPr>
            <w:tcW w:w="0" w:type="auto"/>
            <w:shd w:val="clear" w:color="auto" w:fill="auto"/>
            <w:hideMark/>
          </w:tcPr>
          <w:p w14:paraId="7B2DB6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3B62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proposed by each relevant TSO in accordance with the procedure laid out in paragraph 3 (type B). This threshold shall not be above the limits for type B power-generating modules contained in Table 1;</w:t>
            </w:r>
          </w:p>
        </w:tc>
      </w:tr>
    </w:tbl>
    <w:p w14:paraId="234425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89A78" w14:textId="77777777" w:rsidTr="003B7AE9">
        <w:tc>
          <w:tcPr>
            <w:tcW w:w="0" w:type="auto"/>
            <w:shd w:val="clear" w:color="auto" w:fill="auto"/>
            <w:hideMark/>
          </w:tcPr>
          <w:p w14:paraId="084FAA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34B59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specified by each relevant TSO in accordance with paragraph 3 (type C). This threshold shall not be above the limits for type C power-generating modules contained in Table 1; or</w:t>
            </w:r>
          </w:p>
        </w:tc>
      </w:tr>
    </w:tbl>
    <w:p w14:paraId="5B3AAA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83D942D" w14:textId="77777777" w:rsidTr="003B7AE9">
        <w:tc>
          <w:tcPr>
            <w:tcW w:w="0" w:type="auto"/>
            <w:shd w:val="clear" w:color="auto" w:fill="auto"/>
            <w:hideMark/>
          </w:tcPr>
          <w:p w14:paraId="74BD70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(d)</w:t>
            </w:r>
          </w:p>
        </w:tc>
        <w:tc>
          <w:tcPr>
            <w:tcW w:w="0" w:type="auto"/>
            <w:shd w:val="clear" w:color="auto" w:fill="auto"/>
            <w:hideMark/>
          </w:tcPr>
          <w:p w14:paraId="2283E7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at 110 kV or above (type D). A power-generating module is also of type D if its connection point is below 110 kV and its maximum capacity is at or above a threshold specified in accordance with paragraph 3. This threshold shall not be above the limit for type D power-generating modules contained in Table 1.</w:t>
            </w:r>
          </w:p>
          <w:p w14:paraId="3957CB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1</w:t>
            </w:r>
          </w:p>
          <w:p w14:paraId="7831F8F8"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Limits for thresholds for type B, C and D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97"/>
              <w:gridCol w:w="1532"/>
              <w:gridCol w:w="1532"/>
              <w:gridCol w:w="1532"/>
            </w:tblGrid>
            <w:tr w:rsidR="003B7AE9" w:rsidRPr="003B7AE9" w14:paraId="405E299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D</w:t>
                  </w:r>
                </w:p>
              </w:tc>
            </w:tr>
            <w:tr w:rsidR="003B7AE9" w:rsidRPr="003B7AE9" w14:paraId="4F6463FD"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4DD05A3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1E511A8B"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MW</w:t>
                  </w:r>
                </w:p>
              </w:tc>
            </w:tr>
            <w:tr w:rsidR="003B7AE9" w:rsidRPr="003B7AE9" w14:paraId="21308683"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r>
            <w:tr w:rsidR="003B7AE9" w:rsidRPr="003B7AE9" w14:paraId="16BD6669"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r>
          </w:tbl>
          <w:p w14:paraId="7B0E8CD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D6A8997"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44" w:author="Author">
          <w:pPr>
            <w:shd w:val="clear" w:color="auto" w:fill="FFFFFF"/>
            <w:jc w:val="both"/>
          </w:pPr>
        </w:pPrChange>
      </w:pPr>
      <w:r w:rsidRPr="003B7AE9">
        <w:rPr>
          <w:rFonts w:ascii="inherit" w:eastAsia="Times New Roman" w:hAnsi="inherit" w:cs="Times New Roman"/>
          <w:color w:val="000000"/>
          <w:sz w:val="24"/>
          <w:szCs w:val="24"/>
          <w:lang w:eastAsia="en-GB"/>
        </w:rPr>
        <w:t>3.   Proposals for maximum capacity thresholds for types B, C and D power-generating modules shall be subject to approval by the relevant regulatory authority or, where applicable, the Member State. In forming proposals the relevant TSO shall coordinate with adjacent TSOs and DSOs and shall conduct a public consultation in accordance with Article 10. A proposal by the relevant TSO to change the thresholds shall not be made sooner than three years after the previous proposal.</w:t>
      </w:r>
    </w:p>
    <w:p w14:paraId="2B2D60D0"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45" w:author="Author">
          <w:pPr>
            <w:shd w:val="clear" w:color="auto" w:fill="FFFFFF"/>
            <w:jc w:val="both"/>
          </w:pPr>
        </w:pPrChange>
      </w:pPr>
      <w:r w:rsidRPr="003B7AE9">
        <w:rPr>
          <w:rFonts w:ascii="inherit" w:eastAsia="Times New Roman" w:hAnsi="inherit" w:cs="Times New Roman"/>
          <w:color w:val="000000"/>
          <w:sz w:val="24"/>
          <w:szCs w:val="24"/>
          <w:lang w:eastAsia="en-GB"/>
        </w:rPr>
        <w:t>4.   Power-generating facility owners shall assist this process and provide data as requested by the relevant TSO.</w:t>
      </w:r>
    </w:p>
    <w:p w14:paraId="06E7E841"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46" w:author="Author">
          <w:pPr>
            <w:shd w:val="clear" w:color="auto" w:fill="FFFFFF"/>
            <w:jc w:val="both"/>
          </w:pPr>
        </w:pPrChange>
      </w:pPr>
      <w:r w:rsidRPr="003B7AE9">
        <w:rPr>
          <w:rFonts w:ascii="inherit" w:eastAsia="Times New Roman" w:hAnsi="inherit" w:cs="Times New Roman"/>
          <w:color w:val="000000"/>
          <w:sz w:val="24"/>
          <w:szCs w:val="24"/>
          <w:lang w:eastAsia="en-GB"/>
        </w:rPr>
        <w:t>5.   If, as a result of modification of the thresholds, a power-generating module qualifies under a different type, the procedure laid down in Article 4(3) concerning existing power-generating modules shall apply before compliance with the requirements for the new type is required.</w:t>
      </w:r>
    </w:p>
    <w:p w14:paraId="09C5AD2E"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47" w:author="Author">
            <w:rPr/>
          </w:rPrChange>
        </w:rPr>
        <w:pPrChange w:id="48"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6</w:t>
      </w:r>
    </w:p>
    <w:p w14:paraId="7F916D96"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49" w:author="Author">
          <w:pPr>
            <w:shd w:val="clear" w:color="auto" w:fill="FFFFFF"/>
            <w:jc w:val="center"/>
          </w:pPr>
        </w:pPrChange>
      </w:pPr>
      <w:r w:rsidRPr="003B7AE9">
        <w:rPr>
          <w:rFonts w:ascii="inherit" w:eastAsia="Times New Roman" w:hAnsi="inherit" w:cs="Times New Roman"/>
          <w:b/>
          <w:bCs/>
          <w:color w:val="000000"/>
          <w:sz w:val="24"/>
          <w:szCs w:val="24"/>
          <w:lang w:eastAsia="en-GB"/>
        </w:rPr>
        <w:t>Application to power-generating modules, pump-storage power-generating modules, combined heat and power facilities, and industrial sites</w:t>
      </w:r>
    </w:p>
    <w:p w14:paraId="09261652"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50" w:author="Author">
          <w:pPr>
            <w:shd w:val="clear" w:color="auto" w:fill="FFFFFF"/>
            <w:jc w:val="both"/>
          </w:pPr>
        </w:pPrChange>
      </w:pPr>
      <w:r w:rsidRPr="003B7AE9">
        <w:rPr>
          <w:rFonts w:ascii="inherit" w:eastAsia="Times New Roman" w:hAnsi="inherit" w:cs="Times New Roman"/>
          <w:color w:val="000000"/>
          <w:sz w:val="24"/>
          <w:szCs w:val="24"/>
          <w:lang w:eastAsia="en-GB"/>
        </w:rPr>
        <w:lastRenderedPageBreak/>
        <w:t>1.   Offshore power-generating modules connected to the interconnected system shall meet the requirements for onshore power-generating modules, unless the requirements are modified for this purpose by the relevant system operator or unless the connection of power park modules is via a high voltage direct current connection or via a network whose frequency is not synchronously coupled to that of the main interconnected system (such as via a back-to-back convertor scheme).</w:t>
      </w:r>
    </w:p>
    <w:p w14:paraId="153300F6"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51" w:author="Author">
          <w:pPr>
            <w:shd w:val="clear" w:color="auto" w:fill="FFFFFF"/>
            <w:jc w:val="both"/>
          </w:pPr>
        </w:pPrChange>
      </w:pPr>
      <w:r w:rsidRPr="003B7AE9">
        <w:rPr>
          <w:rFonts w:ascii="inherit" w:eastAsia="Times New Roman" w:hAnsi="inherit" w:cs="Times New Roman"/>
          <w:color w:val="000000"/>
          <w:sz w:val="24"/>
          <w:szCs w:val="24"/>
          <w:lang w:eastAsia="en-GB"/>
        </w:rPr>
        <w:t>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t>
      </w:r>
    </w:p>
    <w:p w14:paraId="60B8A78B"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52" w:author="Author">
          <w:pPr>
            <w:shd w:val="clear" w:color="auto" w:fill="FFFFFF"/>
            <w:jc w:val="both"/>
          </w:pPr>
        </w:pPrChange>
      </w:pPr>
      <w:r w:rsidRPr="003B7AE9">
        <w:rPr>
          <w:rFonts w:ascii="inherit" w:eastAsia="Times New Roman" w:hAnsi="inherit" w:cs="Times New Roman"/>
          <w:color w:val="000000"/>
          <w:sz w:val="24"/>
          <w:szCs w:val="24"/>
          <w:lang w:eastAsia="en-GB"/>
        </w:rPr>
        <w:t>3.   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 The exercise of this right shall be coordinated with the relevant TSO.</w:t>
      </w:r>
    </w:p>
    <w:p w14:paraId="270078F5"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53" w:author="Author">
          <w:pPr>
            <w:shd w:val="clear" w:color="auto" w:fill="FFFFFF"/>
            <w:jc w:val="both"/>
          </w:pPr>
        </w:pPrChange>
      </w:pPr>
      <w:r w:rsidRPr="003B7AE9">
        <w:rPr>
          <w:rFonts w:ascii="inherit" w:eastAsia="Times New Roman" w:hAnsi="inherit" w:cs="Times New Roman"/>
          <w:color w:val="000000"/>
          <w:sz w:val="24"/>
          <w:szCs w:val="24"/>
          <w:lang w:eastAsia="en-GB"/>
        </w:rPr>
        <w:t>4.   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production embedded in the networks of industrial sites, where all of the following criteria are met: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A85FD8" w14:textId="77777777" w:rsidTr="003B7AE9">
        <w:tc>
          <w:tcPr>
            <w:tcW w:w="0" w:type="auto"/>
            <w:shd w:val="clear" w:color="auto" w:fill="auto"/>
            <w:hideMark/>
          </w:tcPr>
          <w:p w14:paraId="582D1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3A962C6" w14:textId="77777777" w:rsidTr="003B7AE9">
        <w:tc>
          <w:tcPr>
            <w:tcW w:w="0" w:type="auto"/>
            <w:shd w:val="clear" w:color="auto" w:fill="auto"/>
            <w:hideMark/>
          </w:tcPr>
          <w:p w14:paraId="21501C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heat and power-generating is inextricably interlinked, that is to say any change of heat generation results inadvertently in a change of active power-generating and vice versa;</w:t>
            </w:r>
          </w:p>
        </w:tc>
      </w:tr>
    </w:tbl>
    <w:p w14:paraId="543F0C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184DBA" w14:textId="77777777" w:rsidTr="003B7AE9">
        <w:tc>
          <w:tcPr>
            <w:tcW w:w="0" w:type="auto"/>
            <w:shd w:val="clear" w:color="auto" w:fill="auto"/>
            <w:hideMark/>
          </w:tcPr>
          <w:p w14:paraId="11C73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are of type A, B, C or, in the case of the Nordic synchronous area, type D in accordance with points (a) to (c) of Article 5(2).</w:t>
            </w:r>
          </w:p>
        </w:tc>
      </w:tr>
    </w:tbl>
    <w:p w14:paraId="656AC597"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54" w:author="Author">
          <w:pPr>
            <w:shd w:val="clear" w:color="auto" w:fill="FFFFFF"/>
            <w:jc w:val="both"/>
          </w:pPr>
        </w:pPrChange>
      </w:pPr>
      <w:r w:rsidRPr="003B7AE9">
        <w:rPr>
          <w:rFonts w:ascii="inherit" w:eastAsia="Times New Roman" w:hAnsi="inherit" w:cs="Times New Roman"/>
          <w:color w:val="000000"/>
          <w:sz w:val="24"/>
          <w:szCs w:val="24"/>
          <w:lang w:eastAsia="en-GB"/>
        </w:rPr>
        <w:t>5.   Combined heat and power-generating facilities shall be assessed on the basis of their electrical maximum capacity.</w:t>
      </w:r>
    </w:p>
    <w:p w14:paraId="4C2B16B5"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55" w:author="Author">
            <w:rPr/>
          </w:rPrChange>
        </w:rPr>
        <w:pPrChange w:id="56"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7</w:t>
      </w:r>
    </w:p>
    <w:p w14:paraId="2C130A54"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57" w:author="Author">
          <w:pPr>
            <w:shd w:val="clear" w:color="auto" w:fill="FFFFFF"/>
            <w:jc w:val="center"/>
          </w:pPr>
        </w:pPrChange>
      </w:pPr>
      <w:r w:rsidRPr="003B7AE9">
        <w:rPr>
          <w:rFonts w:ascii="inherit" w:eastAsia="Times New Roman" w:hAnsi="inherit" w:cs="Times New Roman"/>
          <w:b/>
          <w:bCs/>
          <w:color w:val="000000"/>
          <w:sz w:val="24"/>
          <w:szCs w:val="24"/>
          <w:lang w:eastAsia="en-GB"/>
        </w:rPr>
        <w:t>Regulatory aspects</w:t>
      </w:r>
    </w:p>
    <w:p w14:paraId="717FF38E"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58" w:author="Author">
          <w:pPr>
            <w:shd w:val="clear" w:color="auto" w:fill="FFFFFF"/>
            <w:jc w:val="both"/>
          </w:pPr>
        </w:pPrChange>
      </w:pPr>
      <w:r w:rsidRPr="003B7AE9">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4AF93E2"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59" w:author="Author">
          <w:pPr>
            <w:shd w:val="clear" w:color="auto" w:fill="FFFFFF"/>
            <w:jc w:val="both"/>
          </w:pPr>
        </w:pPrChange>
      </w:pPr>
      <w:r w:rsidRPr="003B7AE9">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6EC92455"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0" w:author="Author">
          <w:pPr>
            <w:shd w:val="clear" w:color="auto" w:fill="FFFFFF"/>
            <w:jc w:val="both"/>
          </w:pPr>
        </w:pPrChange>
      </w:pPr>
      <w:r w:rsidRPr="003B7AE9">
        <w:rPr>
          <w:rFonts w:ascii="inherit" w:eastAsia="Times New Roman" w:hAnsi="inherit" w:cs="Times New Roman"/>
          <w:color w:val="000000"/>
          <w:sz w:val="24"/>
          <w:szCs w:val="24"/>
          <w:lang w:eastAsia="en-GB"/>
        </w:rPr>
        <w:lastRenderedPageBreak/>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3B7AE9" w14:paraId="5A666CA5" w14:textId="77777777" w:rsidTr="003B7AE9">
        <w:tc>
          <w:tcPr>
            <w:tcW w:w="0" w:type="auto"/>
            <w:shd w:val="clear" w:color="auto" w:fill="auto"/>
            <w:hideMark/>
          </w:tcPr>
          <w:p w14:paraId="3583CB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B7AE9" w14:paraId="3FB13E74" w14:textId="77777777" w:rsidTr="003B7AE9">
        <w:tc>
          <w:tcPr>
            <w:tcW w:w="0" w:type="auto"/>
            <w:shd w:val="clear" w:color="auto" w:fill="auto"/>
            <w:hideMark/>
          </w:tcPr>
          <w:p w14:paraId="3C7007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E797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0DB5B3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D8396FA" w14:textId="77777777" w:rsidTr="003B7AE9">
        <w:tc>
          <w:tcPr>
            <w:tcW w:w="0" w:type="auto"/>
            <w:shd w:val="clear" w:color="auto" w:fill="auto"/>
            <w:hideMark/>
          </w:tcPr>
          <w:p w14:paraId="0EBD64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93349C" w14:textId="77777777" w:rsidTr="003B7AE9">
        <w:tc>
          <w:tcPr>
            <w:tcW w:w="0" w:type="auto"/>
            <w:shd w:val="clear" w:color="auto" w:fill="auto"/>
            <w:hideMark/>
          </w:tcPr>
          <w:p w14:paraId="60C93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B7AE9" w14:paraId="1219F35A" w14:textId="77777777" w:rsidTr="003B7AE9">
        <w:tc>
          <w:tcPr>
            <w:tcW w:w="0" w:type="auto"/>
            <w:shd w:val="clear" w:color="auto" w:fill="auto"/>
            <w:hideMark/>
          </w:tcPr>
          <w:p w14:paraId="62F251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1193ED6" w14:textId="77777777" w:rsidTr="003B7AE9">
        <w:tc>
          <w:tcPr>
            <w:tcW w:w="0" w:type="auto"/>
            <w:shd w:val="clear" w:color="auto" w:fill="auto"/>
            <w:hideMark/>
          </w:tcPr>
          <w:p w14:paraId="0191E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694AF63" w14:textId="7826EA3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61" w:author="Author">
              <w:r w:rsidRPr="003B7AE9" w:rsidDel="001E5E15">
                <w:rPr>
                  <w:rFonts w:ascii="inherit" w:eastAsia="Times New Roman" w:hAnsi="inherit" w:cs="Times New Roman"/>
                  <w:sz w:val="24"/>
                  <w:szCs w:val="24"/>
                  <w:lang w:eastAsia="en-GB"/>
                </w:rPr>
                <w:delText>take into consideration</w:delText>
              </w:r>
            </w:del>
            <w:ins w:id="62" w:author="Author">
              <w:r w:rsidR="001E5E15">
                <w:rPr>
                  <w:rFonts w:ascii="inherit" w:eastAsia="Times New Roman" w:hAnsi="inherit" w:cs="Times New Roman"/>
                  <w:sz w:val="24"/>
                  <w:szCs w:val="24"/>
                  <w:lang w:eastAsia="en-GB"/>
                </w:rPr>
                <w:t>apply applicable</w:t>
              </w:r>
            </w:ins>
            <w:r w:rsidRPr="003B7AE9">
              <w:rPr>
                <w:rFonts w:ascii="inherit" w:eastAsia="Times New Roman" w:hAnsi="inherit" w:cs="Times New Roman"/>
                <w:sz w:val="24"/>
                <w:szCs w:val="24"/>
                <w:lang w:eastAsia="en-GB"/>
              </w:rPr>
              <w:t xml:space="preserve"> agreed European standards and technical specifications.</w:t>
            </w:r>
            <w:ins w:id="63" w:author="Author">
              <w:r w:rsidR="001E5E15">
                <w:rPr>
                  <w:rFonts w:ascii="inherit" w:eastAsia="Times New Roman" w:hAnsi="inherit" w:cs="Times New Roman"/>
                  <w:sz w:val="24"/>
                  <w:szCs w:val="24"/>
                  <w:lang w:eastAsia="en-GB"/>
                </w:rPr>
                <w:t xml:space="preserve"> If deviations from European standards are necessary, these shall be reasoned in a cost benefit analysis.</w:t>
              </w:r>
              <w:r w:rsidR="001E5E15" w:rsidRPr="001E5E15">
                <w:rPr>
                  <w:rFonts w:ascii="inherit" w:eastAsia="Times New Roman" w:hAnsi="inherit" w:cs="Times New Roman"/>
                  <w:sz w:val="24"/>
                  <w:szCs w:val="24"/>
                  <w:lang w:eastAsia="en-GB"/>
                </w:rPr>
                <w:t xml:space="preserve"> TSOs or ENTSOE shall inform national and European technical committees respectively on applicable new requirements in due time.</w:t>
              </w:r>
            </w:ins>
          </w:p>
        </w:tc>
      </w:tr>
    </w:tbl>
    <w:p w14:paraId="608C5CD3"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4" w:author="Author">
          <w:pPr>
            <w:shd w:val="clear" w:color="auto" w:fill="FFFFFF"/>
            <w:jc w:val="both"/>
          </w:pPr>
        </w:pPrChange>
      </w:pPr>
      <w:r w:rsidRPr="003B7AE9">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5" w:author="Author">
          <w:pPr>
            <w:shd w:val="clear" w:color="auto" w:fill="FFFFFF"/>
            <w:jc w:val="both"/>
          </w:pPr>
        </w:pPrChange>
      </w:pPr>
      <w:r w:rsidRPr="003B7AE9">
        <w:rPr>
          <w:rFonts w:ascii="inherit" w:eastAsia="Times New Roman" w:hAnsi="inherit" w:cs="Times New Roman"/>
          <w:color w:val="000000"/>
          <w:sz w:val="24"/>
          <w:szCs w:val="24"/>
          <w:lang w:eastAsia="en-GB"/>
        </w:rPr>
        <w:t>5.   Where this Regulation requires the relevant system operator, relevant TSO, power-generating facility owner and/or the distribution system operator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28EF2826"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6" w:author="Author">
          <w:pPr>
            <w:shd w:val="clear" w:color="auto" w:fill="FFFFFF"/>
            <w:jc w:val="both"/>
          </w:pPr>
        </w:pPrChange>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7" w:author="Author">
          <w:pPr>
            <w:shd w:val="clear" w:color="auto" w:fill="FFFFFF"/>
            <w:jc w:val="both"/>
          </w:pPr>
        </w:pPrChange>
      </w:pPr>
      <w:r w:rsidRPr="003B7AE9">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power-generating facility owners, equipment manufacturers and other stakeholders based on the initially specified or agreed requirements or methodologies.</w:t>
      </w:r>
    </w:p>
    <w:p w14:paraId="3DC6F322"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8" w:author="Author">
          <w:pPr>
            <w:shd w:val="clear" w:color="auto" w:fill="FFFFFF"/>
            <w:jc w:val="both"/>
          </w:pPr>
        </w:pPrChange>
      </w:pPr>
      <w:r w:rsidRPr="003B7AE9">
        <w:rPr>
          <w:rFonts w:ascii="inherit" w:eastAsia="Times New Roman" w:hAnsi="inherit" w:cs="Times New Roman"/>
          <w:color w:val="000000"/>
          <w:sz w:val="24"/>
          <w:szCs w:val="24"/>
          <w:lang w:eastAsia="en-GB"/>
        </w:rPr>
        <w:t>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146A2304"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69" w:author="Author">
          <w:pPr>
            <w:shd w:val="clear" w:color="auto" w:fill="FFFFFF"/>
            <w:jc w:val="both"/>
          </w:pPr>
        </w:pPrChange>
      </w:pPr>
      <w:r w:rsidRPr="003B7AE9">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46CE04C1"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70" w:author="Author">
            <w:rPr/>
          </w:rPrChange>
        </w:rPr>
        <w:pPrChange w:id="71" w:author="Author">
          <w:pPr>
            <w:shd w:val="clear" w:color="auto" w:fill="FFFFFF"/>
            <w:jc w:val="center"/>
          </w:pPr>
        </w:pPrChange>
      </w:pPr>
      <w:r w:rsidRPr="2D4DAF54">
        <w:rPr>
          <w:rFonts w:ascii="inherit" w:eastAsia="Times New Roman" w:hAnsi="inherit" w:cs="Times New Roman"/>
          <w:i/>
          <w:iCs/>
          <w:color w:val="000000"/>
          <w:sz w:val="24"/>
          <w:szCs w:val="24"/>
          <w:lang w:eastAsia="en-GB"/>
        </w:rPr>
        <w:lastRenderedPageBreak/>
        <w:t>Article 8</w:t>
      </w:r>
    </w:p>
    <w:p w14:paraId="689931B5"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72" w:author="Author">
          <w:pPr>
            <w:shd w:val="clear" w:color="auto" w:fill="FFFFFF"/>
            <w:jc w:val="center"/>
          </w:pPr>
        </w:pPrChange>
      </w:pPr>
      <w:r w:rsidRPr="003B7AE9">
        <w:rPr>
          <w:rFonts w:ascii="inherit" w:eastAsia="Times New Roman" w:hAnsi="inherit" w:cs="Times New Roman"/>
          <w:b/>
          <w:bCs/>
          <w:color w:val="000000"/>
          <w:sz w:val="24"/>
          <w:szCs w:val="24"/>
          <w:lang w:eastAsia="en-GB"/>
        </w:rPr>
        <w:t>Multiple TSOs</w:t>
      </w:r>
    </w:p>
    <w:p w14:paraId="5814E58A"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3" w:author="Author">
          <w:pPr>
            <w:shd w:val="clear" w:color="auto" w:fill="FFFFFF"/>
            <w:jc w:val="both"/>
          </w:pPr>
        </w:pPrChange>
      </w:pPr>
      <w:r w:rsidRPr="003B7AE9">
        <w:rPr>
          <w:rFonts w:ascii="inherit" w:eastAsia="Times New Roman" w:hAnsi="inherit" w:cs="Times New Roman"/>
          <w:color w:val="000000"/>
          <w:sz w:val="24"/>
          <w:szCs w:val="24"/>
          <w:lang w:eastAsia="en-GB"/>
        </w:rPr>
        <w:t>1.   Where more than one TSO exists in a Member State, this Regulation shall apply to all those TSOs.</w:t>
      </w:r>
    </w:p>
    <w:p w14:paraId="34B6B17B"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4" w:author="Author">
          <w:pPr>
            <w:shd w:val="clear" w:color="auto" w:fill="FFFFFF"/>
            <w:jc w:val="both"/>
          </w:pPr>
        </w:pPrChange>
      </w:pPr>
      <w:r w:rsidRPr="003B7AE9">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75" w:author="Author">
            <w:rPr/>
          </w:rPrChange>
        </w:rPr>
        <w:pPrChange w:id="76"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9</w:t>
      </w:r>
    </w:p>
    <w:p w14:paraId="6B21404F"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77" w:author="Author">
          <w:pPr>
            <w:shd w:val="clear" w:color="auto" w:fill="FFFFFF"/>
            <w:jc w:val="center"/>
          </w:pPr>
        </w:pPrChange>
      </w:pPr>
      <w:r w:rsidRPr="003B7AE9">
        <w:rPr>
          <w:rFonts w:ascii="inherit" w:eastAsia="Times New Roman" w:hAnsi="inherit" w:cs="Times New Roman"/>
          <w:b/>
          <w:bCs/>
          <w:color w:val="000000"/>
          <w:sz w:val="24"/>
          <w:szCs w:val="24"/>
          <w:lang w:eastAsia="en-GB"/>
        </w:rPr>
        <w:t>Recovery of costs</w:t>
      </w:r>
    </w:p>
    <w:p w14:paraId="75AD0C2F"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8" w:author="Author">
          <w:pPr>
            <w:shd w:val="clear" w:color="auto" w:fill="FFFFFF"/>
            <w:jc w:val="both"/>
          </w:pPr>
        </w:pPrChange>
      </w:pPr>
      <w:r w:rsidRPr="003B7AE9">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0AB96016"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9" w:author="Author">
          <w:pPr>
            <w:shd w:val="clear" w:color="auto" w:fill="FFFFFF"/>
            <w:jc w:val="both"/>
          </w:pPr>
        </w:pPrChange>
      </w:pPr>
      <w:r w:rsidRPr="003B7AE9">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0" w:author="Author">
            <w:rPr/>
          </w:rPrChange>
        </w:rPr>
        <w:pPrChange w:id="81"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10</w:t>
      </w:r>
    </w:p>
    <w:p w14:paraId="393A38FD"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2" w:author="Author">
          <w:pPr>
            <w:shd w:val="clear" w:color="auto" w:fill="FFFFFF"/>
            <w:jc w:val="center"/>
          </w:pPr>
        </w:pPrChange>
      </w:pPr>
      <w:r w:rsidRPr="003B7AE9">
        <w:rPr>
          <w:rFonts w:ascii="inherit" w:eastAsia="Times New Roman" w:hAnsi="inherit" w:cs="Times New Roman"/>
          <w:b/>
          <w:bCs/>
          <w:color w:val="000000"/>
          <w:sz w:val="24"/>
          <w:szCs w:val="24"/>
          <w:lang w:eastAsia="en-GB"/>
        </w:rPr>
        <w:t>Public consultation</w:t>
      </w:r>
    </w:p>
    <w:p w14:paraId="09A90E6A"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3" w:author="Author">
          <w:pPr>
            <w:shd w:val="clear" w:color="auto" w:fill="FFFFFF"/>
            <w:jc w:val="both"/>
          </w:pPr>
        </w:pPrChange>
      </w:pPr>
      <w:r w:rsidRPr="003B7AE9">
        <w:rPr>
          <w:rFonts w:ascii="inherit" w:eastAsia="Times New Roman" w:hAnsi="inherit" w:cs="Times New Roman"/>
          <w:color w:val="000000"/>
          <w:sz w:val="24"/>
          <w:szCs w:val="24"/>
          <w:lang w:eastAsia="en-GB"/>
        </w:rPr>
        <w:t>1.   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4" w:author="Author">
          <w:pPr>
            <w:shd w:val="clear" w:color="auto" w:fill="FFFFFF"/>
            <w:jc w:val="both"/>
          </w:pPr>
        </w:pPrChange>
      </w:pPr>
      <w:r w:rsidRPr="003B7AE9">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5" w:author="Author">
            <w:rPr/>
          </w:rPrChange>
        </w:rPr>
        <w:pPrChange w:id="86"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11</w:t>
      </w:r>
    </w:p>
    <w:p w14:paraId="38590242"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7" w:author="Author">
          <w:pPr>
            <w:shd w:val="clear" w:color="auto" w:fill="FFFFFF"/>
            <w:jc w:val="center"/>
          </w:pPr>
        </w:pPrChange>
      </w:pPr>
      <w:r w:rsidRPr="003B7AE9">
        <w:rPr>
          <w:rFonts w:ascii="inherit" w:eastAsia="Times New Roman" w:hAnsi="inherit" w:cs="Times New Roman"/>
          <w:b/>
          <w:bCs/>
          <w:color w:val="000000"/>
          <w:sz w:val="24"/>
          <w:szCs w:val="24"/>
          <w:lang w:eastAsia="en-GB"/>
        </w:rPr>
        <w:t>Stakeholder involvement</w:t>
      </w:r>
    </w:p>
    <w:p w14:paraId="49B876C4"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8" w:author="Author">
          <w:pPr>
            <w:shd w:val="clear" w:color="auto" w:fill="FFFFFF"/>
            <w:jc w:val="both"/>
          </w:pPr>
        </w:pPrChange>
      </w:pPr>
      <w:r w:rsidRPr="003B7AE9">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grid 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9" w:author="Author">
            <w:rPr/>
          </w:rPrChange>
        </w:rPr>
        <w:pPrChange w:id="90" w:author="Author">
          <w:pPr>
            <w:shd w:val="clear" w:color="auto" w:fill="FFFFFF"/>
            <w:jc w:val="center"/>
          </w:pPr>
        </w:pPrChange>
      </w:pPr>
      <w:r w:rsidRPr="2D4DAF54">
        <w:rPr>
          <w:rFonts w:ascii="inherit" w:eastAsia="Times New Roman" w:hAnsi="inherit" w:cs="Times New Roman"/>
          <w:i/>
          <w:iCs/>
          <w:color w:val="000000"/>
          <w:sz w:val="24"/>
          <w:szCs w:val="24"/>
          <w:lang w:eastAsia="en-GB"/>
        </w:rPr>
        <w:lastRenderedPageBreak/>
        <w:t>Article 12</w:t>
      </w:r>
    </w:p>
    <w:p w14:paraId="5A352280"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1" w:author="Author">
          <w:pPr>
            <w:shd w:val="clear" w:color="auto" w:fill="FFFFFF"/>
            <w:jc w:val="center"/>
          </w:pPr>
        </w:pPrChange>
      </w:pPr>
      <w:r w:rsidRPr="003B7AE9">
        <w:rPr>
          <w:rFonts w:ascii="inherit" w:eastAsia="Times New Roman" w:hAnsi="inherit" w:cs="Times New Roman"/>
          <w:b/>
          <w:bCs/>
          <w:color w:val="000000"/>
          <w:sz w:val="24"/>
          <w:szCs w:val="24"/>
          <w:lang w:eastAsia="en-GB"/>
        </w:rPr>
        <w:t>Confidentiality obligations</w:t>
      </w:r>
    </w:p>
    <w:p w14:paraId="437977D8"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2" w:author="Author">
          <w:pPr>
            <w:shd w:val="clear" w:color="auto" w:fill="FFFFFF"/>
            <w:jc w:val="both"/>
          </w:pPr>
        </w:pPrChange>
      </w:pPr>
      <w:r w:rsidRPr="003B7AE9">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25F7702A"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3" w:author="Author">
          <w:pPr>
            <w:shd w:val="clear" w:color="auto" w:fill="FFFFFF"/>
            <w:jc w:val="both"/>
          </w:pPr>
        </w:pPrChange>
      </w:pPr>
      <w:r w:rsidRPr="003B7AE9">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4" w:author="Author">
          <w:pPr>
            <w:shd w:val="clear" w:color="auto" w:fill="FFFFFF"/>
            <w:jc w:val="both"/>
          </w:pPr>
        </w:pPrChange>
      </w:pPr>
      <w:r w:rsidRPr="003B7AE9">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5" w:author="Author">
          <w:pPr>
            <w:shd w:val="clear" w:color="auto" w:fill="FFFFFF"/>
            <w:jc w:val="both"/>
          </w:pPr>
        </w:pPrChange>
      </w:pPr>
      <w:r w:rsidRPr="003B7AE9">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19B00BA1" w14:textId="77777777" w:rsidR="003B7AE9" w:rsidRPr="003B7AE9" w:rsidRDefault="003B7AE9" w:rsidP="0060282F">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96" w:author="Author">
          <w:pPr>
            <w:shd w:val="clear" w:color="auto" w:fill="FFFFFF"/>
            <w:jc w:val="center"/>
          </w:pPr>
        </w:pPrChange>
      </w:pPr>
      <w:r w:rsidRPr="003B7AE9">
        <w:rPr>
          <w:rFonts w:ascii="inherit" w:eastAsia="Times New Roman" w:hAnsi="inherit" w:cs="Times New Roman"/>
          <w:b/>
          <w:bCs/>
          <w:color w:val="000000"/>
          <w:sz w:val="24"/>
          <w:szCs w:val="24"/>
          <w:lang w:eastAsia="en-GB"/>
        </w:rPr>
        <w:t>TITLE II</w:t>
      </w:r>
    </w:p>
    <w:p w14:paraId="11BAE5B3" w14:textId="77777777" w:rsidR="003B7AE9" w:rsidRPr="003B7AE9" w:rsidRDefault="003B7AE9" w:rsidP="0060282F">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97" w:author="Author">
          <w:pPr>
            <w:shd w:val="clear" w:color="auto" w:fill="FFFFFF"/>
            <w:jc w:val="center"/>
          </w:pPr>
        </w:pPrChange>
      </w:pPr>
      <w:r w:rsidRPr="003B7AE9">
        <w:rPr>
          <w:rFonts w:ascii="inherit" w:eastAsia="Times New Roman" w:hAnsi="inherit" w:cs="Times New Roman"/>
          <w:b/>
          <w:bCs/>
          <w:color w:val="000000"/>
          <w:sz w:val="24"/>
          <w:szCs w:val="24"/>
          <w:lang w:eastAsia="en-GB"/>
        </w:rPr>
        <w:t>REQUIREMENTS</w:t>
      </w:r>
    </w:p>
    <w:p w14:paraId="4A0ABF12" w14:textId="77777777" w:rsidR="003B7AE9" w:rsidRPr="003B7AE9" w:rsidRDefault="003B7AE9" w:rsidP="0060282F">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98"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1</w:t>
      </w:r>
    </w:p>
    <w:p w14:paraId="1950F47A" w14:textId="77777777" w:rsidR="003B7AE9" w:rsidRPr="003B7AE9" w:rsidRDefault="003B7AE9" w:rsidP="0060282F">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99"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t>General requirements</w:t>
      </w:r>
    </w:p>
    <w:p w14:paraId="51BFA51D"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0" w:author="Author">
            <w:rPr/>
          </w:rPrChange>
        </w:rPr>
        <w:pPrChange w:id="101"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13</w:t>
      </w:r>
    </w:p>
    <w:p w14:paraId="402E3D99"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2" w:author="Author">
          <w:pPr>
            <w:shd w:val="clear" w:color="auto" w:fill="FFFFFF"/>
            <w:jc w:val="center"/>
          </w:pPr>
        </w:pPrChange>
      </w:pPr>
      <w:r w:rsidRPr="003B7AE9">
        <w:rPr>
          <w:rFonts w:ascii="inherit" w:eastAsia="Times New Roman" w:hAnsi="inherit" w:cs="Times New Roman"/>
          <w:b/>
          <w:bCs/>
          <w:color w:val="000000"/>
          <w:sz w:val="24"/>
          <w:szCs w:val="24"/>
          <w:lang w:eastAsia="en-GB"/>
        </w:rPr>
        <w:t>General requirements for type A power-generating modules</w:t>
      </w:r>
    </w:p>
    <w:p w14:paraId="48FDFE48"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3" w:author="Author">
          <w:pPr>
            <w:shd w:val="clear" w:color="auto" w:fill="FFFFFF"/>
            <w:jc w:val="both"/>
          </w:pPr>
        </w:pPrChange>
      </w:pPr>
      <w:r w:rsidRPr="003B7AE9">
        <w:rPr>
          <w:rFonts w:ascii="inherit" w:eastAsia="Times New Roman" w:hAnsi="inherit" w:cs="Times New Roman"/>
          <w:color w:val="000000"/>
          <w:sz w:val="24"/>
          <w:szCs w:val="24"/>
          <w:lang w:eastAsia="en-GB"/>
        </w:rPr>
        <w:t>1.   Type A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F3FF6CC" w14:textId="77777777" w:rsidTr="003B7AE9">
        <w:tc>
          <w:tcPr>
            <w:tcW w:w="0" w:type="auto"/>
            <w:shd w:val="clear" w:color="auto" w:fill="auto"/>
            <w:hideMark/>
          </w:tcPr>
          <w:p w14:paraId="5310F8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45132AF" w14:textId="77777777">
              <w:tc>
                <w:tcPr>
                  <w:tcW w:w="0" w:type="auto"/>
                  <w:shd w:val="clear" w:color="auto" w:fill="auto"/>
                  <w:hideMark/>
                </w:tcPr>
                <w:p w14:paraId="422143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11CAE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A121F5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34579D5D" w14:textId="77777777">
              <w:tc>
                <w:tcPr>
                  <w:tcW w:w="0" w:type="auto"/>
                  <w:shd w:val="clear" w:color="auto" w:fill="auto"/>
                  <w:hideMark/>
                </w:tcPr>
                <w:p w14:paraId="744A3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D4828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203CBD4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9D50EEF" w14:textId="77777777">
              <w:tc>
                <w:tcPr>
                  <w:tcW w:w="0" w:type="auto"/>
                  <w:shd w:val="clear" w:color="auto" w:fill="auto"/>
                  <w:hideMark/>
                </w:tcPr>
                <w:p w14:paraId="5535D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E122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C36FF28" w14:textId="77777777" w:rsidTr="003B7AE9">
        <w:tc>
          <w:tcPr>
            <w:tcW w:w="0" w:type="auto"/>
            <w:shd w:val="clear" w:color="auto" w:fill="auto"/>
            <w:hideMark/>
          </w:tcPr>
          <w:p w14:paraId="237951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3666AC" w14:textId="588D15B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rate of change of frequency withstand capability, a power-generating module shall be capable of staying connected to the network and operate at rates of change of frequency up to a value specified by the relevant TSO</w:t>
            </w:r>
            <w:commentRangeStart w:id="104"/>
            <w:ins w:id="105" w:author="Author">
              <w:r w:rsidR="000D4633">
                <w:rPr>
                  <w:rFonts w:ascii="inherit" w:eastAsia="Times New Roman" w:hAnsi="inherit" w:cs="Times New Roman"/>
                  <w:sz w:val="24"/>
                  <w:szCs w:val="24"/>
                  <w:lang w:eastAsia="en-GB"/>
                </w:rPr>
                <w:t xml:space="preserve"> based on European Standards if available</w:t>
              </w:r>
              <w:commentRangeEnd w:id="104"/>
              <w:r w:rsidR="000D4633">
                <w:rPr>
                  <w:rStyle w:val="CommentReference"/>
                </w:rPr>
                <w:commentReference w:id="104"/>
              </w:r>
            </w:ins>
            <w:r w:rsidRPr="003B7AE9">
              <w:rPr>
                <w:rFonts w:ascii="inherit" w:eastAsia="Times New Roman" w:hAnsi="inherit" w:cs="Times New Roman"/>
                <w:sz w:val="24"/>
                <w:szCs w:val="24"/>
                <w:lang w:eastAsia="en-GB"/>
              </w:rPr>
              <w:t xml:space="preserve">, unless disconnection was triggered by rate-of-change-of-frequency-type loss of mains protection. The relevant system operator, in </w:t>
            </w:r>
            <w:r w:rsidRPr="003B7AE9">
              <w:rPr>
                <w:rFonts w:ascii="inherit" w:eastAsia="Times New Roman" w:hAnsi="inherit" w:cs="Times New Roman"/>
                <w:sz w:val="24"/>
                <w:szCs w:val="24"/>
                <w:lang w:eastAsia="en-GB"/>
              </w:rPr>
              <w:lastRenderedPageBreak/>
              <w:t>coordination with the relevant TSO, shall specify this rate-of-change-of-frequency-type loss of mains protection.</w:t>
            </w:r>
          </w:p>
          <w:p w14:paraId="420D89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2</w:t>
            </w:r>
          </w:p>
          <w:p w14:paraId="1C5977B7"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Minimum time periods for which a power-generating module has to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53"/>
              <w:gridCol w:w="1506"/>
              <w:gridCol w:w="1436"/>
            </w:tblGrid>
            <w:tr w:rsidR="003B7AE9" w:rsidRPr="003B7AE9"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3B7AE9" w:rsidRPr="003B7AE9"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bl>
          <w:p w14:paraId="3C7AC0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E77E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With regard to the limited frequency sensitive mode — overfrequency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E7050C" w14:textId="77777777" w:rsidTr="003B7AE9">
        <w:tc>
          <w:tcPr>
            <w:tcW w:w="0" w:type="auto"/>
            <w:shd w:val="clear" w:color="auto" w:fill="auto"/>
            <w:hideMark/>
          </w:tcPr>
          <w:p w14:paraId="6FED7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17ECE0" w14:textId="0E1BAD2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ins w:id="106" w:author="Author">
              <w:r w:rsidR="000D4633">
                <w:rPr>
                  <w:rFonts w:ascii="inherit" w:eastAsia="Times New Roman" w:hAnsi="inherit" w:cs="Times New Roman"/>
                  <w:sz w:val="24"/>
                  <w:szCs w:val="24"/>
                  <w:lang w:eastAsia="en-GB"/>
                </w:rPr>
                <w:t xml:space="preserve"> based on European Standards if available</w:t>
              </w:r>
            </w:ins>
            <w:r w:rsidRPr="003B7AE9">
              <w:rPr>
                <w:rFonts w:ascii="inherit" w:eastAsia="Times New Roman" w:hAnsi="inherit" w:cs="Times New Roman"/>
                <w:sz w:val="24"/>
                <w:szCs w:val="24"/>
                <w:lang w:eastAsia="en-GB"/>
              </w:rPr>
              <w:t>;</w:t>
            </w:r>
          </w:p>
        </w:tc>
      </w:tr>
    </w:tbl>
    <w:p w14:paraId="4DB975A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B2D357" w14:textId="77777777" w:rsidTr="003B7AE9">
        <w:tc>
          <w:tcPr>
            <w:tcW w:w="0" w:type="auto"/>
            <w:shd w:val="clear" w:color="auto" w:fill="auto"/>
            <w:hideMark/>
          </w:tcPr>
          <w:p w14:paraId="5EE253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BBA1B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instead of the capability referred to in paragraph (a), the relevant TSO may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B7AE9" w14:paraId="12296214" w14:textId="77777777" w:rsidTr="003B7AE9">
        <w:tc>
          <w:tcPr>
            <w:tcW w:w="0" w:type="auto"/>
            <w:shd w:val="clear" w:color="auto" w:fill="auto"/>
            <w:hideMark/>
          </w:tcPr>
          <w:p w14:paraId="0CDF46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shall be between 50,2 Hz and 50,5 Hz inclusive;</w:t>
            </w:r>
          </w:p>
        </w:tc>
      </w:tr>
    </w:tbl>
    <w:p w14:paraId="58A453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B7AE9" w14:paraId="455DFDF7" w14:textId="77777777" w:rsidTr="003B7AE9">
        <w:tc>
          <w:tcPr>
            <w:tcW w:w="0" w:type="auto"/>
            <w:shd w:val="clear" w:color="auto" w:fill="auto"/>
            <w:hideMark/>
          </w:tcPr>
          <w:p w14:paraId="33295A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1E4CD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9BB3FEC" w14:textId="77777777" w:rsidTr="003B7AE9">
        <w:tc>
          <w:tcPr>
            <w:tcW w:w="0" w:type="auto"/>
            <w:shd w:val="clear" w:color="auto" w:fill="auto"/>
            <w:hideMark/>
          </w:tcPr>
          <w:p w14:paraId="01B694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463F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a power frequency response with an initial delay that is as short as possible. If that delay is greater than two seconds, the power-generating facility owner shall justify the delay, providing technical evidence to the relevant TSO;</w:t>
            </w:r>
          </w:p>
        </w:tc>
      </w:tr>
    </w:tbl>
    <w:p w14:paraId="3F900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EC6CC5F" w14:textId="77777777" w:rsidTr="2D4DAF54">
        <w:tc>
          <w:tcPr>
            <w:tcW w:w="0" w:type="auto"/>
            <w:shd w:val="clear" w:color="auto" w:fill="auto"/>
            <w:hideMark/>
          </w:tcPr>
          <w:p w14:paraId="13029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49417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384"/>
              <w:gridCol w:w="8386"/>
            </w:tblGrid>
            <w:tr w:rsidR="003B7AE9" w:rsidRPr="003B7AE9" w14:paraId="6D8EE3E1" w14:textId="77777777" w:rsidTr="00B20EDF">
              <w:tc>
                <w:tcPr>
                  <w:tcW w:w="0" w:type="auto"/>
                  <w:shd w:val="clear" w:color="auto" w:fill="auto"/>
                  <w:hideMark/>
                </w:tcPr>
                <w:p w14:paraId="20608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2F14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r w:rsidR="00B20EDF" w:rsidRPr="003B7AE9" w14:paraId="3502C388" w14:textId="77777777" w:rsidTr="00B20EDF">
              <w:tc>
                <w:tcPr>
                  <w:tcW w:w="0" w:type="auto"/>
                  <w:shd w:val="clear" w:color="auto" w:fill="auto"/>
                </w:tcPr>
                <w:p w14:paraId="103D0195" w14:textId="2D7C3372" w:rsidR="00B20EDF" w:rsidRPr="003B7AE9" w:rsidRDefault="00B20EDF" w:rsidP="00B20EDF">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tcPr>
                <w:p w14:paraId="0F727518" w14:textId="0893A329" w:rsidR="00B20EDF" w:rsidRPr="003B7AE9" w:rsidRDefault="00B20EDF" w:rsidP="00B20EDF">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p>
              </w:tc>
            </w:tr>
            <w:tr w:rsidR="00B20EDF" w:rsidRPr="003B7AE9" w14:paraId="3928E4A2" w14:textId="77777777" w:rsidTr="00B20EDF">
              <w:tc>
                <w:tcPr>
                  <w:tcW w:w="0" w:type="auto"/>
                  <w:shd w:val="clear" w:color="auto" w:fill="auto"/>
                </w:tcPr>
                <w:p w14:paraId="5E5C391E" w14:textId="740AAD26" w:rsidR="00B20EDF" w:rsidRPr="003B7AE9" w:rsidRDefault="00B20EDF" w:rsidP="003B7AE9">
                  <w:pPr>
                    <w:spacing w:before="120" w:after="0" w:line="240" w:lineRule="auto"/>
                    <w:jc w:val="both"/>
                    <w:rPr>
                      <w:rFonts w:ascii="inherit" w:eastAsia="Times New Roman" w:hAnsi="inherit" w:cs="Times New Roman"/>
                      <w:sz w:val="24"/>
                      <w:szCs w:val="24"/>
                      <w:lang w:eastAsia="en-GB"/>
                    </w:rPr>
                  </w:pPr>
                  <w:ins w:id="107" w:author="Author">
                    <w:r>
                      <w:rPr>
                        <w:rFonts w:ascii="inherit" w:eastAsia="Times New Roman" w:hAnsi="inherit" w:cs="Times New Roman"/>
                        <w:sz w:val="24"/>
                        <w:szCs w:val="24"/>
                        <w:lang w:eastAsia="en-GB"/>
                      </w:rPr>
                      <w:lastRenderedPageBreak/>
                      <w:t>(iii)</w:t>
                    </w:r>
                  </w:ins>
                </w:p>
              </w:tc>
              <w:tc>
                <w:tcPr>
                  <w:tcW w:w="0" w:type="auto"/>
                  <w:shd w:val="clear" w:color="auto" w:fill="auto"/>
                </w:tcPr>
                <w:p w14:paraId="13081C0D" w14:textId="3FB3C002" w:rsidR="00B20EDF" w:rsidRPr="003B7AE9" w:rsidRDefault="00B20EDF" w:rsidP="00B20EDF">
                  <w:pPr>
                    <w:spacing w:before="120" w:after="0" w:line="240" w:lineRule="auto"/>
                    <w:jc w:val="both"/>
                    <w:rPr>
                      <w:rFonts w:ascii="inherit" w:eastAsia="Times New Roman" w:hAnsi="inherit" w:cs="Times New Roman"/>
                      <w:sz w:val="24"/>
                      <w:szCs w:val="24"/>
                      <w:lang w:eastAsia="en-GB"/>
                    </w:rPr>
                  </w:pPr>
                  <w:ins w:id="108" w:author="Author">
                    <w:r>
                      <w:rPr>
                        <w:rFonts w:ascii="inherit" w:eastAsia="Times New Roman" w:hAnsi="inherit" w:cs="Times New Roman"/>
                        <w:sz w:val="24"/>
                        <w:szCs w:val="24"/>
                        <w:lang w:eastAsia="en-GB"/>
                      </w:rPr>
                      <w:t xml:space="preserve">in case of </w:t>
                    </w:r>
                    <w:del w:id="109" w:author="Author">
                      <w:r w:rsidDel="00FB4C92">
                        <w:rPr>
                          <w:rFonts w:ascii="inherit" w:eastAsia="Times New Roman" w:hAnsi="inherit" w:cs="Times New Roman"/>
                          <w:sz w:val="24"/>
                          <w:szCs w:val="24"/>
                          <w:lang w:eastAsia="en-GB"/>
                        </w:rPr>
                        <w:delText>energy</w:delText>
                      </w:r>
                    </w:del>
                    <w:r w:rsidR="00FB4C92">
                      <w:rPr>
                        <w:rFonts w:ascii="inherit" w:eastAsia="Times New Roman" w:hAnsi="inherit" w:cs="Times New Roman"/>
                        <w:sz w:val="24"/>
                        <w:szCs w:val="24"/>
                        <w:lang w:eastAsia="en-GB"/>
                      </w:rPr>
                      <w:t>electrical energy</w:t>
                    </w:r>
                    <w:r>
                      <w:rPr>
                        <w:rFonts w:ascii="inherit" w:eastAsia="Times New Roman" w:hAnsi="inherit" w:cs="Times New Roman"/>
                        <w:sz w:val="24"/>
                        <w:szCs w:val="24"/>
                        <w:lang w:eastAsia="en-GB"/>
                      </w:rPr>
                      <w:t xml:space="preserve"> storage modules in</w:t>
                    </w:r>
                    <w:r w:rsidRPr="00057664">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dis</w:t>
                    </w:r>
                    <w:r w:rsidRPr="00057664">
                      <w:rPr>
                        <w:rFonts w:ascii="inherit" w:eastAsia="Times New Roman" w:hAnsi="inherit" w:cs="Times New Roman"/>
                        <w:sz w:val="24"/>
                        <w:szCs w:val="24"/>
                        <w:lang w:eastAsia="en-GB"/>
                      </w:rPr>
                      <w:t xml:space="preserve">charging </w:t>
                    </w:r>
                    <w:r>
                      <w:rPr>
                        <w:rFonts w:ascii="inherit" w:eastAsia="Times New Roman" w:hAnsi="inherit" w:cs="Times New Roman"/>
                        <w:sz w:val="24"/>
                        <w:szCs w:val="24"/>
                        <w:lang w:eastAsia="en-GB"/>
                      </w:rPr>
                      <w:t>mode at the beginning the event, these shall be capable of switching</w:t>
                    </w:r>
                    <w:r w:rsidRPr="00057664">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 xml:space="preserve">to </w:t>
                    </w:r>
                    <w:r w:rsidRPr="00057664">
                      <w:rPr>
                        <w:rFonts w:ascii="inherit" w:eastAsia="Times New Roman" w:hAnsi="inherit" w:cs="Times New Roman"/>
                        <w:sz w:val="24"/>
                        <w:szCs w:val="24"/>
                        <w:lang w:eastAsia="en-GB"/>
                      </w:rPr>
                      <w:t>charg</w:t>
                    </w:r>
                    <w:r>
                      <w:rPr>
                        <w:rFonts w:ascii="inherit" w:eastAsia="Times New Roman" w:hAnsi="inherit" w:cs="Times New Roman"/>
                        <w:sz w:val="24"/>
                        <w:szCs w:val="24"/>
                        <w:lang w:eastAsia="en-GB"/>
                      </w:rPr>
                      <w:t>ing</w:t>
                    </w:r>
                    <w:r w:rsidRPr="00057664">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 xml:space="preserve">mode </w:t>
                    </w:r>
                    <w:r w:rsidRPr="00057664">
                      <w:rPr>
                        <w:rFonts w:ascii="inherit" w:eastAsia="Times New Roman" w:hAnsi="inherit" w:cs="Times New Roman"/>
                        <w:sz w:val="24"/>
                        <w:szCs w:val="24"/>
                        <w:lang w:eastAsia="en-GB"/>
                      </w:rPr>
                      <w:t>if needed corresponding to the droop.</w:t>
                    </w:r>
                  </w:ins>
                </w:p>
              </w:tc>
            </w:tr>
          </w:tbl>
          <w:p w14:paraId="1DC922BB" w14:textId="346EE179" w:rsidR="003B7AE9" w:rsidRPr="003B7AE9" w:rsidDel="00C65E69" w:rsidRDefault="003B7AE9" w:rsidP="003B7AE9">
            <w:pPr>
              <w:spacing w:after="0" w:line="240" w:lineRule="auto"/>
              <w:rPr>
                <w:del w:id="110" w:author="Author"/>
                <w:rFonts w:ascii="inherit" w:eastAsia="Times New Roman" w:hAnsi="inherit" w:cs="Times New Roman"/>
                <w:vanish/>
                <w:sz w:val="24"/>
                <w:szCs w:val="24"/>
                <w:lang w:eastAsia="en-GB"/>
              </w:rPr>
            </w:pPr>
          </w:p>
          <w:p w14:paraId="19AD774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31E5EA51" w14:textId="77777777" w:rsidTr="2D4DAF54">
        <w:tc>
          <w:tcPr>
            <w:tcW w:w="0" w:type="auto"/>
            <w:shd w:val="clear" w:color="auto" w:fill="auto"/>
            <w:hideMark/>
          </w:tcPr>
          <w:p w14:paraId="27724B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6CF50F1" w14:textId="3F689263" w:rsid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operating stably during LFSM-O operation. When LFSM-O is active, the LFSM-O setpoint will prevail over any other active power setpoints.</w:t>
            </w:r>
          </w:p>
          <w:p w14:paraId="29C4B77C" w14:textId="77777777" w:rsidR="00057664" w:rsidRPr="003B7AE9" w:rsidRDefault="00057664" w:rsidP="003B7AE9">
            <w:pPr>
              <w:spacing w:before="120" w:after="0" w:line="240" w:lineRule="auto"/>
              <w:jc w:val="both"/>
              <w:rPr>
                <w:rFonts w:ascii="inherit" w:eastAsia="Times New Roman" w:hAnsi="inherit" w:cs="Times New Roman"/>
                <w:sz w:val="24"/>
                <w:szCs w:val="24"/>
                <w:lang w:eastAsia="en-GB"/>
              </w:rPr>
            </w:pPr>
          </w:p>
          <w:p w14:paraId="3A6126DC"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1</w:t>
            </w:r>
          </w:p>
          <w:p w14:paraId="3C1CA2AF"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LFSM-O</w:t>
            </w:r>
          </w:p>
          <w:p w14:paraId="3199E878"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71055D12" w14:textId="509FD302" w:rsidR="003B7AE9" w:rsidRDefault="003B7AE9" w:rsidP="003B7AE9">
            <w:pPr>
              <w:spacing w:before="120" w:after="0" w:line="240" w:lineRule="auto"/>
              <w:jc w:val="both"/>
              <w:rPr>
                <w:ins w:id="111"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overfrequencies where Δf is above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negative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p w14:paraId="789FAA15" w14:textId="77777777" w:rsidR="00B70454" w:rsidRDefault="00B70454" w:rsidP="003B7AE9">
            <w:pPr>
              <w:spacing w:before="120" w:after="0" w:line="240" w:lineRule="auto"/>
              <w:jc w:val="both"/>
              <w:rPr>
                <w:ins w:id="112" w:author="Author"/>
                <w:rFonts w:ascii="inherit" w:eastAsia="Times New Roman" w:hAnsi="inherit" w:cs="Times New Roman"/>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408"/>
            </w:tblGrid>
            <w:tr w:rsidR="00B70454" w:rsidRPr="003B7AE9" w14:paraId="462E8BF6" w14:textId="77777777" w:rsidTr="2D4DAF54">
              <w:trPr>
                <w:ins w:id="113" w:author="Author"/>
              </w:trPr>
              <w:tc>
                <w:tcPr>
                  <w:tcW w:w="0" w:type="auto"/>
                  <w:shd w:val="clear" w:color="auto" w:fill="auto"/>
                  <w:hideMark/>
                </w:tcPr>
                <w:p w14:paraId="029987F2" w14:textId="133994BF" w:rsidR="00B70454" w:rsidRPr="003B7AE9" w:rsidRDefault="00B70454" w:rsidP="00B70454">
                  <w:pPr>
                    <w:spacing w:before="120" w:after="0" w:line="240" w:lineRule="auto"/>
                    <w:jc w:val="both"/>
                    <w:rPr>
                      <w:ins w:id="114" w:author="Author"/>
                      <w:rFonts w:ascii="inherit" w:eastAsia="Times New Roman" w:hAnsi="inherit" w:cs="Times New Roman"/>
                      <w:sz w:val="24"/>
                      <w:szCs w:val="24"/>
                      <w:lang w:eastAsia="en-GB"/>
                    </w:rPr>
                  </w:pPr>
                  <w:ins w:id="115" w:author="Author">
                    <w:r w:rsidRPr="003B7AE9">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h</w:t>
                    </w:r>
                    <w:r w:rsidRPr="003B7AE9">
                      <w:rPr>
                        <w:rFonts w:ascii="inherit" w:eastAsia="Times New Roman" w:hAnsi="inherit" w:cs="Times New Roman"/>
                        <w:sz w:val="24"/>
                        <w:szCs w:val="24"/>
                        <w:lang w:eastAsia="en-GB"/>
                      </w:rPr>
                      <w:t>)</w:t>
                    </w:r>
                  </w:ins>
                </w:p>
              </w:tc>
              <w:tc>
                <w:tcPr>
                  <w:tcW w:w="0" w:type="auto"/>
                  <w:shd w:val="clear" w:color="auto" w:fill="auto"/>
                  <w:hideMark/>
                </w:tcPr>
                <w:p w14:paraId="5700EFF5" w14:textId="07A50992" w:rsidR="00B70454" w:rsidRPr="003B7AE9" w:rsidRDefault="00B70454" w:rsidP="00B70454">
                  <w:pPr>
                    <w:spacing w:before="120" w:after="0" w:line="240" w:lineRule="auto"/>
                    <w:jc w:val="both"/>
                    <w:rPr>
                      <w:ins w:id="116" w:author="Author"/>
                      <w:rFonts w:ascii="inherit" w:eastAsia="Times New Roman" w:hAnsi="inherit" w:cs="Times New Roman"/>
                      <w:sz w:val="24"/>
                      <w:szCs w:val="24"/>
                      <w:lang w:eastAsia="en-GB"/>
                    </w:rPr>
                  </w:pPr>
                  <w:ins w:id="117" w:author="Author">
                    <w:r w:rsidRPr="003B7AE9">
                      <w:rPr>
                        <w:rFonts w:ascii="inherit" w:eastAsia="Times New Roman" w:hAnsi="inherit" w:cs="Times New Roman"/>
                        <w:sz w:val="24"/>
                        <w:szCs w:val="24"/>
                        <w:lang w:eastAsia="en-GB"/>
                      </w:rPr>
                      <w:t xml:space="preserve"> the following requirements shall apply to type </w:t>
                    </w:r>
                    <w:r>
                      <w:rPr>
                        <w:rFonts w:ascii="inherit" w:eastAsia="Times New Roman" w:hAnsi="inherit" w:cs="Times New Roman"/>
                        <w:sz w:val="24"/>
                        <w:szCs w:val="24"/>
                        <w:lang w:eastAsia="en-GB"/>
                      </w:rPr>
                      <w:t>A</w:t>
                    </w:r>
                    <w:r w:rsidRPr="003B7AE9">
                      <w:rPr>
                        <w:rFonts w:ascii="inherit" w:eastAsia="Times New Roman" w:hAnsi="inherit" w:cs="Times New Roman"/>
                        <w:sz w:val="24"/>
                        <w:szCs w:val="24"/>
                        <w:lang w:eastAsia="en-GB"/>
                      </w:rPr>
                      <w:t xml:space="preserve"> </w:t>
                    </w:r>
                    <w:r w:rsidR="00F62E56">
                      <w:rPr>
                        <w:rFonts w:ascii="inherit" w:eastAsia="Times New Roman" w:hAnsi="inherit" w:cs="Times New Roman"/>
                        <w:sz w:val="24"/>
                        <w:szCs w:val="24"/>
                        <w:lang w:eastAsia="en-GB"/>
                      </w:rPr>
                      <w:t xml:space="preserve">electrical </w:t>
                    </w:r>
                    <w:r>
                      <w:rPr>
                        <w:rFonts w:ascii="inherit" w:eastAsia="Times New Roman" w:hAnsi="inherit" w:cs="Times New Roman"/>
                        <w:sz w:val="24"/>
                        <w:szCs w:val="24"/>
                        <w:lang w:eastAsia="en-GB"/>
                      </w:rPr>
                      <w:t>energy storage modules</w:t>
                    </w:r>
                    <w:r w:rsidRPr="003B7AE9">
                      <w:rPr>
                        <w:rFonts w:ascii="inherit" w:eastAsia="Times New Roman" w:hAnsi="inherit" w:cs="Times New Roman"/>
                        <w:sz w:val="24"/>
                        <w:szCs w:val="24"/>
                        <w:lang w:eastAsia="en-GB"/>
                      </w:rPr>
                      <w:t xml:space="preserve"> with regard to limited frequency sensitive mode — underfrequency (LFSM-U):</w:t>
                    </w:r>
                  </w:ins>
                </w:p>
                <w:tbl>
                  <w:tblPr>
                    <w:tblW w:w="5000" w:type="pct"/>
                    <w:tblCellMar>
                      <w:left w:w="0" w:type="dxa"/>
                      <w:right w:w="0" w:type="dxa"/>
                    </w:tblCellMar>
                    <w:tblLook w:val="04A0" w:firstRow="1" w:lastRow="0" w:firstColumn="1" w:lastColumn="0" w:noHBand="0" w:noVBand="1"/>
                  </w:tblPr>
                  <w:tblGrid>
                    <w:gridCol w:w="250"/>
                    <w:gridCol w:w="8158"/>
                  </w:tblGrid>
                  <w:tr w:rsidR="00B70454" w:rsidRPr="003B7AE9" w14:paraId="5ADBE9DB" w14:textId="77777777" w:rsidTr="2D4DAF54">
                    <w:trPr>
                      <w:ins w:id="118" w:author="Author"/>
                    </w:trPr>
                    <w:tc>
                      <w:tcPr>
                        <w:tcW w:w="0" w:type="auto"/>
                        <w:shd w:val="clear" w:color="auto" w:fill="auto"/>
                        <w:hideMark/>
                      </w:tcPr>
                      <w:p w14:paraId="5A0267D1" w14:textId="77777777" w:rsidR="00B70454" w:rsidRPr="003B7AE9" w:rsidRDefault="00B70454" w:rsidP="00B70454">
                        <w:pPr>
                          <w:spacing w:before="120" w:after="0" w:line="240" w:lineRule="auto"/>
                          <w:jc w:val="both"/>
                          <w:rPr>
                            <w:ins w:id="119" w:author="Author"/>
                            <w:rFonts w:ascii="inherit" w:eastAsia="Times New Roman" w:hAnsi="inherit" w:cs="Times New Roman"/>
                            <w:sz w:val="24"/>
                            <w:szCs w:val="24"/>
                            <w:lang w:eastAsia="en-GB"/>
                          </w:rPr>
                        </w:pPr>
                        <w:ins w:id="120" w:author="Author">
                          <w:r w:rsidRPr="003B7AE9">
                            <w:rPr>
                              <w:rFonts w:ascii="inherit" w:eastAsia="Times New Roman" w:hAnsi="inherit" w:cs="Times New Roman"/>
                              <w:sz w:val="24"/>
                              <w:szCs w:val="24"/>
                              <w:lang w:eastAsia="en-GB"/>
                            </w:rPr>
                            <w:t>(i)</w:t>
                          </w:r>
                        </w:ins>
                      </w:p>
                    </w:tc>
                    <w:tc>
                      <w:tcPr>
                        <w:tcW w:w="0" w:type="auto"/>
                        <w:shd w:val="clear" w:color="auto" w:fill="auto"/>
                        <w:hideMark/>
                      </w:tcPr>
                      <w:p w14:paraId="2955974A" w14:textId="798D7DD6" w:rsidR="00B70454" w:rsidRPr="003B7AE9" w:rsidRDefault="00B70454" w:rsidP="00B70454">
                        <w:pPr>
                          <w:spacing w:before="120" w:after="0" w:line="240" w:lineRule="auto"/>
                          <w:jc w:val="both"/>
                          <w:rPr>
                            <w:ins w:id="121" w:author="Author"/>
                            <w:rFonts w:ascii="inherit" w:eastAsia="Times New Roman" w:hAnsi="inherit" w:cs="Times New Roman"/>
                            <w:sz w:val="24"/>
                            <w:szCs w:val="24"/>
                            <w:lang w:eastAsia="en-GB"/>
                          </w:rPr>
                        </w:pPr>
                        <w:ins w:id="122" w:author="Author">
                          <w:r w:rsidRPr="003B7AE9">
                            <w:rPr>
                              <w:rFonts w:ascii="inherit" w:eastAsia="Times New Roman" w:hAnsi="inherit" w:cs="Times New Roman"/>
                              <w:sz w:val="24"/>
                              <w:szCs w:val="24"/>
                              <w:lang w:eastAsia="en-GB"/>
                            </w:rPr>
                            <w:t xml:space="preserve">the power-generating module shall be capable of activating the provision of active power frequency response at a frequency threshold and with a droop specified by the relevant TSO in coordination with the TSOs of the same synchronous area </w:t>
                          </w:r>
                          <w:commentRangeStart w:id="123"/>
                          <w:r w:rsidR="00F62E56">
                            <w:rPr>
                              <w:rFonts w:ascii="inherit" w:eastAsia="Times New Roman" w:hAnsi="inherit" w:cs="Times New Roman"/>
                              <w:sz w:val="24"/>
                              <w:szCs w:val="24"/>
                              <w:lang w:eastAsia="en-GB"/>
                            </w:rPr>
                            <w:t>and based on European Standards if available</w:t>
                          </w:r>
                          <w:r w:rsidR="00F62E56" w:rsidRPr="003B7AE9">
                            <w:rPr>
                              <w:rFonts w:ascii="inherit" w:eastAsia="Times New Roman" w:hAnsi="inherit" w:cs="Times New Roman"/>
                              <w:sz w:val="24"/>
                              <w:szCs w:val="24"/>
                              <w:lang w:eastAsia="en-GB"/>
                            </w:rPr>
                            <w:t xml:space="preserve"> </w:t>
                          </w:r>
                          <w:commentRangeEnd w:id="123"/>
                          <w:r w:rsidR="00F62E56">
                            <w:rPr>
                              <w:rStyle w:val="CommentReference"/>
                            </w:rPr>
                            <w:commentReference w:id="123"/>
                          </w:r>
                          <w:r w:rsidRPr="003B7AE9">
                            <w:rPr>
                              <w:rFonts w:ascii="inherit" w:eastAsia="Times New Roman" w:hAnsi="inherit" w:cs="Times New Roman"/>
                              <w:sz w:val="24"/>
                              <w:szCs w:val="24"/>
                              <w:lang w:eastAsia="en-GB"/>
                            </w:rPr>
                            <w:t>as follows:</w:t>
                          </w:r>
                        </w:ins>
                      </w:p>
                      <w:tbl>
                        <w:tblPr>
                          <w:tblW w:w="5000" w:type="pct"/>
                          <w:tblCellMar>
                            <w:left w:w="0" w:type="dxa"/>
                            <w:right w:w="0" w:type="dxa"/>
                          </w:tblCellMar>
                          <w:tblLook w:val="04A0" w:firstRow="1" w:lastRow="0" w:firstColumn="1" w:lastColumn="0" w:noHBand="0" w:noVBand="1"/>
                        </w:tblPr>
                        <w:tblGrid>
                          <w:gridCol w:w="240"/>
                          <w:gridCol w:w="7918"/>
                        </w:tblGrid>
                        <w:tr w:rsidR="00B70454" w:rsidRPr="003B7AE9" w14:paraId="0D447EDA" w14:textId="77777777" w:rsidTr="2D4DAF54">
                          <w:trPr>
                            <w:ins w:id="124" w:author="Author"/>
                          </w:trPr>
                          <w:tc>
                            <w:tcPr>
                              <w:tcW w:w="0" w:type="auto"/>
                              <w:shd w:val="clear" w:color="auto" w:fill="auto"/>
                              <w:hideMark/>
                            </w:tcPr>
                            <w:p w14:paraId="5399CDF8" w14:textId="77777777" w:rsidR="00B70454" w:rsidRPr="003B7AE9" w:rsidRDefault="00B70454" w:rsidP="00B70454">
                              <w:pPr>
                                <w:spacing w:before="120" w:after="0" w:line="240" w:lineRule="auto"/>
                                <w:jc w:val="both"/>
                                <w:rPr>
                                  <w:ins w:id="125" w:author="Author"/>
                                  <w:rFonts w:ascii="inherit" w:eastAsia="Times New Roman" w:hAnsi="inherit" w:cs="Times New Roman"/>
                                  <w:sz w:val="24"/>
                                  <w:szCs w:val="24"/>
                                  <w:lang w:eastAsia="en-GB"/>
                                </w:rPr>
                              </w:pPr>
                              <w:ins w:id="126" w:author="Author">
                                <w:r w:rsidRPr="003B7AE9">
                                  <w:rPr>
                                    <w:rFonts w:ascii="inherit" w:eastAsia="Times New Roman" w:hAnsi="inherit" w:cs="Times New Roman"/>
                                    <w:sz w:val="24"/>
                                    <w:szCs w:val="24"/>
                                    <w:lang w:eastAsia="en-GB"/>
                                  </w:rPr>
                                  <w:t>—</w:t>
                                </w:r>
                              </w:ins>
                            </w:p>
                          </w:tc>
                          <w:tc>
                            <w:tcPr>
                              <w:tcW w:w="0" w:type="auto"/>
                              <w:shd w:val="clear" w:color="auto" w:fill="auto"/>
                              <w:hideMark/>
                            </w:tcPr>
                            <w:p w14:paraId="4E7F8600" w14:textId="77777777" w:rsidR="00B70454" w:rsidRPr="003B7AE9" w:rsidRDefault="00B70454" w:rsidP="00B70454">
                              <w:pPr>
                                <w:spacing w:before="120" w:after="0" w:line="240" w:lineRule="auto"/>
                                <w:jc w:val="both"/>
                                <w:rPr>
                                  <w:ins w:id="127" w:author="Author"/>
                                  <w:rFonts w:ascii="inherit" w:eastAsia="Times New Roman" w:hAnsi="inherit" w:cs="Times New Roman"/>
                                  <w:sz w:val="24"/>
                                  <w:szCs w:val="24"/>
                                  <w:lang w:eastAsia="en-GB"/>
                                </w:rPr>
                              </w:pPr>
                              <w:ins w:id="128" w:author="Author">
                                <w:r w:rsidRPr="003B7AE9">
                                  <w:rPr>
                                    <w:rFonts w:ascii="inherit" w:eastAsia="Times New Roman" w:hAnsi="inherit" w:cs="Times New Roman"/>
                                    <w:sz w:val="24"/>
                                    <w:szCs w:val="24"/>
                                    <w:lang w:eastAsia="en-GB"/>
                                  </w:rPr>
                                  <w:t>the frequency threshold specified by the TSO shall be between 49,8 Hz and 49,5 Hz inclusive,</w:t>
                                </w:r>
                              </w:ins>
                            </w:p>
                          </w:tc>
                        </w:tr>
                      </w:tbl>
                      <w:p w14:paraId="17C3244D" w14:textId="77777777" w:rsidR="00B70454" w:rsidRPr="003B7AE9" w:rsidRDefault="00B70454" w:rsidP="00B70454">
                        <w:pPr>
                          <w:spacing w:after="0" w:line="240" w:lineRule="auto"/>
                          <w:rPr>
                            <w:ins w:id="129"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7918"/>
                        </w:tblGrid>
                        <w:tr w:rsidR="00B70454" w:rsidRPr="003B7AE9" w14:paraId="7AE9C1F1" w14:textId="77777777" w:rsidTr="2D4DAF54">
                          <w:trPr>
                            <w:ins w:id="130" w:author="Author"/>
                          </w:trPr>
                          <w:tc>
                            <w:tcPr>
                              <w:tcW w:w="0" w:type="auto"/>
                              <w:shd w:val="clear" w:color="auto" w:fill="auto"/>
                              <w:hideMark/>
                            </w:tcPr>
                            <w:p w14:paraId="34544CCE" w14:textId="77777777" w:rsidR="00B70454" w:rsidRPr="003B7AE9" w:rsidRDefault="00B70454" w:rsidP="00B70454">
                              <w:pPr>
                                <w:spacing w:before="120" w:after="0" w:line="240" w:lineRule="auto"/>
                                <w:jc w:val="both"/>
                                <w:rPr>
                                  <w:ins w:id="131" w:author="Author"/>
                                  <w:rFonts w:ascii="inherit" w:eastAsia="Times New Roman" w:hAnsi="inherit" w:cs="Times New Roman"/>
                                  <w:sz w:val="24"/>
                                  <w:szCs w:val="24"/>
                                  <w:lang w:eastAsia="en-GB"/>
                                </w:rPr>
                              </w:pPr>
                              <w:ins w:id="132" w:author="Author">
                                <w:r w:rsidRPr="003B7AE9">
                                  <w:rPr>
                                    <w:rFonts w:ascii="inherit" w:eastAsia="Times New Roman" w:hAnsi="inherit" w:cs="Times New Roman"/>
                                    <w:sz w:val="24"/>
                                    <w:szCs w:val="24"/>
                                    <w:lang w:eastAsia="en-GB"/>
                                  </w:rPr>
                                  <w:t>—</w:t>
                                </w:r>
                              </w:ins>
                            </w:p>
                          </w:tc>
                          <w:tc>
                            <w:tcPr>
                              <w:tcW w:w="0" w:type="auto"/>
                              <w:shd w:val="clear" w:color="auto" w:fill="auto"/>
                              <w:hideMark/>
                            </w:tcPr>
                            <w:p w14:paraId="21134278" w14:textId="175E6820" w:rsidR="00C07462" w:rsidRPr="0060282F" w:rsidRDefault="00B70454" w:rsidP="00916B1C">
                              <w:pPr>
                                <w:spacing w:before="120" w:after="0" w:line="240" w:lineRule="auto"/>
                                <w:jc w:val="both"/>
                                <w:rPr>
                                  <w:rFonts w:ascii="inherit" w:eastAsia="Times New Roman" w:hAnsi="inherit" w:cs="Times New Roman"/>
                                  <w:sz w:val="24"/>
                                  <w:szCs w:val="24"/>
                                  <w:lang w:eastAsia="en-GB"/>
                                  <w:rPrChange w:id="133" w:author="Author">
                                    <w:rPr/>
                                  </w:rPrChange>
                                </w:rPr>
                              </w:pPr>
                              <w:ins w:id="134" w:author="Author">
                                <w:r w:rsidRPr="003B7AE9">
                                  <w:rPr>
                                    <w:rFonts w:ascii="inherit" w:eastAsia="Times New Roman" w:hAnsi="inherit" w:cs="Times New Roman"/>
                                    <w:sz w:val="24"/>
                                    <w:szCs w:val="24"/>
                                    <w:lang w:eastAsia="en-GB"/>
                                  </w:rPr>
                                  <w:t>the droop settings specified by the TSO shall be in the range 2-12 %</w:t>
                                </w:r>
                                <w:r w:rsidR="00C07462">
                                  <w:rPr>
                                    <w:rFonts w:ascii="inherit" w:eastAsia="Times New Roman" w:hAnsi="inherit" w:cs="Times New Roman"/>
                                    <w:sz w:val="24"/>
                                    <w:szCs w:val="24"/>
                                    <w:lang w:eastAsia="en-GB"/>
                                  </w:rPr>
                                  <w:t>,</w:t>
                                </w:r>
                              </w:ins>
                            </w:p>
                          </w:tc>
                        </w:tr>
                        <w:tr w:rsidR="00916B1C" w:rsidRPr="003B7AE9" w14:paraId="5A192515" w14:textId="77777777" w:rsidTr="2D4DAF54">
                          <w:trPr>
                            <w:ins w:id="135" w:author="Author"/>
                          </w:trPr>
                          <w:tc>
                            <w:tcPr>
                              <w:tcW w:w="0" w:type="auto"/>
                              <w:shd w:val="clear" w:color="auto" w:fill="auto"/>
                            </w:tcPr>
                            <w:p w14:paraId="03AC359B" w14:textId="7AA12EEF" w:rsidR="00916B1C" w:rsidRPr="003B7AE9" w:rsidRDefault="00916B1C" w:rsidP="00B70454">
                              <w:pPr>
                                <w:spacing w:before="120" w:after="0" w:line="240" w:lineRule="auto"/>
                                <w:jc w:val="both"/>
                                <w:rPr>
                                  <w:ins w:id="136" w:author="Author"/>
                                  <w:rFonts w:ascii="inherit" w:eastAsia="Times New Roman" w:hAnsi="inherit" w:cs="Times New Roman"/>
                                  <w:sz w:val="24"/>
                                  <w:szCs w:val="24"/>
                                  <w:lang w:eastAsia="en-GB"/>
                                </w:rPr>
                              </w:pPr>
                              <w:ins w:id="137" w:author="Author">
                                <w:r w:rsidRPr="003B7AE9">
                                  <w:rPr>
                                    <w:rFonts w:ascii="inherit" w:eastAsia="Times New Roman" w:hAnsi="inherit" w:cs="Times New Roman"/>
                                    <w:sz w:val="24"/>
                                    <w:szCs w:val="24"/>
                                    <w:lang w:eastAsia="en-GB"/>
                                  </w:rPr>
                                  <w:lastRenderedPageBreak/>
                                  <w:t>—</w:t>
                                </w:r>
                              </w:ins>
                            </w:p>
                          </w:tc>
                          <w:tc>
                            <w:tcPr>
                              <w:tcW w:w="0" w:type="auto"/>
                              <w:shd w:val="clear" w:color="auto" w:fill="auto"/>
                            </w:tcPr>
                            <w:p w14:paraId="00911D2E" w14:textId="55FA247F" w:rsidR="00916B1C" w:rsidRPr="003B7AE9" w:rsidRDefault="00916B1C" w:rsidP="00B70454">
                              <w:pPr>
                                <w:spacing w:before="120" w:after="0" w:line="240" w:lineRule="auto"/>
                                <w:jc w:val="both"/>
                                <w:rPr>
                                  <w:ins w:id="138" w:author="Author"/>
                                  <w:rFonts w:ascii="inherit" w:eastAsia="Times New Roman" w:hAnsi="inherit" w:cs="Times New Roman"/>
                                  <w:sz w:val="24"/>
                                  <w:szCs w:val="24"/>
                                  <w:lang w:eastAsia="en-GB"/>
                                </w:rPr>
                              </w:pPr>
                              <w:ins w:id="139" w:author="Author">
                                <w:r>
                                  <w:rPr>
                                    <w:rFonts w:ascii="inherit" w:eastAsia="Times New Roman" w:hAnsi="inherit" w:cs="Times New Roman"/>
                                    <w:sz w:val="24"/>
                                    <w:szCs w:val="24"/>
                                    <w:lang w:eastAsia="en-GB"/>
                                  </w:rPr>
                                  <w:t>energy storage modules in</w:t>
                                </w:r>
                                <w:r w:rsidRPr="00057664">
                                  <w:rPr>
                                    <w:rFonts w:ascii="inherit" w:eastAsia="Times New Roman" w:hAnsi="inherit" w:cs="Times New Roman"/>
                                    <w:sz w:val="24"/>
                                    <w:szCs w:val="24"/>
                                    <w:lang w:eastAsia="en-GB"/>
                                  </w:rPr>
                                  <w:t xml:space="preserve"> charging </w:t>
                                </w:r>
                                <w:r>
                                  <w:rPr>
                                    <w:rFonts w:ascii="inherit" w:eastAsia="Times New Roman" w:hAnsi="inherit" w:cs="Times New Roman"/>
                                    <w:sz w:val="24"/>
                                    <w:szCs w:val="24"/>
                                    <w:lang w:eastAsia="en-GB"/>
                                  </w:rPr>
                                  <w:t>mode at the beginning the event shall be capable of switching</w:t>
                                </w:r>
                                <w:r w:rsidRPr="00057664">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 xml:space="preserve">to </w:t>
                                </w:r>
                                <w:r w:rsidRPr="00057664">
                                  <w:rPr>
                                    <w:rFonts w:ascii="inherit" w:eastAsia="Times New Roman" w:hAnsi="inherit" w:cs="Times New Roman"/>
                                    <w:sz w:val="24"/>
                                    <w:szCs w:val="24"/>
                                    <w:lang w:eastAsia="en-GB"/>
                                  </w:rPr>
                                  <w:t>discharg</w:t>
                                </w:r>
                                <w:r>
                                  <w:rPr>
                                    <w:rFonts w:ascii="inherit" w:eastAsia="Times New Roman" w:hAnsi="inherit" w:cs="Times New Roman"/>
                                    <w:sz w:val="24"/>
                                    <w:szCs w:val="24"/>
                                    <w:lang w:eastAsia="en-GB"/>
                                  </w:rPr>
                                  <w:t>ing</w:t>
                                </w:r>
                                <w:r w:rsidRPr="00057664">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 xml:space="preserve">mode </w:t>
                                </w:r>
                                <w:r w:rsidRPr="00057664">
                                  <w:rPr>
                                    <w:rFonts w:ascii="inherit" w:eastAsia="Times New Roman" w:hAnsi="inherit" w:cs="Times New Roman"/>
                                    <w:sz w:val="24"/>
                                    <w:szCs w:val="24"/>
                                    <w:lang w:eastAsia="en-GB"/>
                                  </w:rPr>
                                  <w:t>if needed corresponding to the droop.</w:t>
                                </w:r>
                              </w:ins>
                            </w:p>
                          </w:tc>
                        </w:tr>
                      </w:tbl>
                      <w:p w14:paraId="74C23E46" w14:textId="251768AE" w:rsidR="00B70454" w:rsidRPr="003B7AE9" w:rsidRDefault="00B70454" w:rsidP="00B70454">
                        <w:pPr>
                          <w:spacing w:before="120" w:after="0" w:line="240" w:lineRule="auto"/>
                          <w:jc w:val="both"/>
                          <w:rPr>
                            <w:ins w:id="140" w:author="Author"/>
                            <w:rFonts w:ascii="inherit" w:eastAsia="Times New Roman" w:hAnsi="inherit" w:cs="Times New Roman"/>
                            <w:sz w:val="24"/>
                            <w:szCs w:val="24"/>
                            <w:lang w:eastAsia="en-GB"/>
                          </w:rPr>
                        </w:pPr>
                        <w:ins w:id="141" w:author="Author">
                          <w:r w:rsidRPr="003B7AE9">
                            <w:rPr>
                              <w:rFonts w:ascii="inherit" w:eastAsia="Times New Roman" w:hAnsi="inherit" w:cs="Times New Roman"/>
                              <w:sz w:val="24"/>
                              <w:szCs w:val="24"/>
                              <w:lang w:eastAsia="en-GB"/>
                            </w:rPr>
                            <w:t xml:space="preserve">This is represented graphically in </w:t>
                          </w:r>
                          <w:commentRangeStart w:id="142"/>
                          <w:r w:rsidRPr="003B7AE9">
                            <w:rPr>
                              <w:rFonts w:ascii="inherit" w:eastAsia="Times New Roman" w:hAnsi="inherit" w:cs="Times New Roman"/>
                              <w:sz w:val="24"/>
                              <w:szCs w:val="24"/>
                              <w:lang w:eastAsia="en-GB"/>
                            </w:rPr>
                            <w:t xml:space="preserve">Figure </w:t>
                          </w:r>
                          <w:r w:rsidR="00007487">
                            <w:rPr>
                              <w:rFonts w:ascii="inherit" w:eastAsia="Times New Roman" w:hAnsi="inherit" w:cs="Times New Roman"/>
                              <w:sz w:val="24"/>
                              <w:szCs w:val="24"/>
                              <w:lang w:eastAsia="en-GB"/>
                            </w:rPr>
                            <w:t>4</w:t>
                          </w:r>
                          <w:commentRangeEnd w:id="142"/>
                          <w:r w:rsidR="00007487">
                            <w:rPr>
                              <w:rStyle w:val="CommentReference"/>
                            </w:rPr>
                            <w:commentReference w:id="142"/>
                          </w:r>
                          <w:r w:rsidRPr="003B7AE9">
                            <w:rPr>
                              <w:rFonts w:ascii="inherit" w:eastAsia="Times New Roman" w:hAnsi="inherit" w:cs="Times New Roman"/>
                              <w:sz w:val="24"/>
                              <w:szCs w:val="24"/>
                              <w:lang w:eastAsia="en-GB"/>
                            </w:rPr>
                            <w:t>;</w:t>
                          </w:r>
                        </w:ins>
                      </w:p>
                    </w:tc>
                  </w:tr>
                </w:tbl>
                <w:p w14:paraId="41A75C16" w14:textId="77777777" w:rsidR="00B70454" w:rsidRPr="003B7AE9" w:rsidRDefault="00B70454" w:rsidP="00B70454">
                  <w:pPr>
                    <w:spacing w:after="0" w:line="240" w:lineRule="auto"/>
                    <w:rPr>
                      <w:ins w:id="143"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091"/>
                  </w:tblGrid>
                  <w:tr w:rsidR="00B70454" w:rsidRPr="003B7AE9" w14:paraId="3329DF59" w14:textId="77777777" w:rsidTr="2D4DAF54">
                    <w:trPr>
                      <w:ins w:id="144" w:author="Author"/>
                    </w:trPr>
                    <w:tc>
                      <w:tcPr>
                        <w:tcW w:w="0" w:type="auto"/>
                        <w:shd w:val="clear" w:color="auto" w:fill="auto"/>
                        <w:hideMark/>
                      </w:tcPr>
                      <w:p w14:paraId="4C84968D" w14:textId="77777777" w:rsidR="00B70454" w:rsidRPr="003B7AE9" w:rsidRDefault="00B70454" w:rsidP="00B70454">
                        <w:pPr>
                          <w:spacing w:before="120" w:after="0" w:line="240" w:lineRule="auto"/>
                          <w:jc w:val="both"/>
                          <w:rPr>
                            <w:ins w:id="145" w:author="Author"/>
                            <w:rFonts w:ascii="inherit" w:eastAsia="Times New Roman" w:hAnsi="inherit" w:cs="Times New Roman"/>
                            <w:sz w:val="24"/>
                            <w:szCs w:val="24"/>
                            <w:lang w:eastAsia="en-GB"/>
                          </w:rPr>
                        </w:pPr>
                        <w:ins w:id="146" w:author="Author">
                          <w:r w:rsidRPr="003B7AE9">
                            <w:rPr>
                              <w:rFonts w:ascii="inherit" w:eastAsia="Times New Roman" w:hAnsi="inherit" w:cs="Times New Roman"/>
                              <w:sz w:val="24"/>
                              <w:szCs w:val="24"/>
                              <w:lang w:eastAsia="en-GB"/>
                            </w:rPr>
                            <w:t>(ii)</w:t>
                          </w:r>
                        </w:ins>
                      </w:p>
                    </w:tc>
                    <w:tc>
                      <w:tcPr>
                        <w:tcW w:w="0" w:type="auto"/>
                        <w:shd w:val="clear" w:color="auto" w:fill="auto"/>
                        <w:hideMark/>
                      </w:tcPr>
                      <w:p w14:paraId="159081E8" w14:textId="77777777" w:rsidR="00B70454" w:rsidRPr="003B7AE9" w:rsidRDefault="00B70454" w:rsidP="00B70454">
                        <w:pPr>
                          <w:spacing w:before="120" w:after="0" w:line="240" w:lineRule="auto"/>
                          <w:jc w:val="both"/>
                          <w:rPr>
                            <w:ins w:id="147" w:author="Author"/>
                            <w:rFonts w:ascii="inherit" w:eastAsia="Times New Roman" w:hAnsi="inherit" w:cs="Times New Roman"/>
                            <w:sz w:val="24"/>
                            <w:szCs w:val="24"/>
                            <w:lang w:eastAsia="en-GB"/>
                          </w:rPr>
                        </w:pPr>
                        <w:ins w:id="148" w:author="Author">
                          <w:r w:rsidRPr="003B7AE9">
                            <w:rPr>
                              <w:rFonts w:ascii="inherit" w:eastAsia="Times New Roman" w:hAnsi="inherit" w:cs="Times New Roman"/>
                              <w:sz w:val="24"/>
                              <w:szCs w:val="24"/>
                              <w:lang w:eastAsia="en-GB"/>
                            </w:rPr>
                            <w:t>the actual delivery of active power frequency response in LFSM-U mode shall take into account:</w:t>
                          </w:r>
                        </w:ins>
                      </w:p>
                      <w:tbl>
                        <w:tblPr>
                          <w:tblW w:w="5000" w:type="pct"/>
                          <w:tblCellMar>
                            <w:left w:w="0" w:type="dxa"/>
                            <w:right w:w="0" w:type="dxa"/>
                          </w:tblCellMar>
                          <w:tblLook w:val="04A0" w:firstRow="1" w:lastRow="0" w:firstColumn="1" w:lastColumn="0" w:noHBand="0" w:noVBand="1"/>
                        </w:tblPr>
                        <w:tblGrid>
                          <w:gridCol w:w="321"/>
                          <w:gridCol w:w="7770"/>
                        </w:tblGrid>
                        <w:tr w:rsidR="00B70454" w:rsidRPr="003B7AE9" w14:paraId="2DF110D7" w14:textId="77777777" w:rsidTr="2D4DAF54">
                          <w:trPr>
                            <w:ins w:id="149" w:author="Author"/>
                          </w:trPr>
                          <w:tc>
                            <w:tcPr>
                              <w:tcW w:w="0" w:type="auto"/>
                              <w:shd w:val="clear" w:color="auto" w:fill="auto"/>
                              <w:hideMark/>
                            </w:tcPr>
                            <w:p w14:paraId="63D45D39" w14:textId="77777777" w:rsidR="00B70454" w:rsidRPr="003B7AE9" w:rsidRDefault="00B70454" w:rsidP="00B70454">
                              <w:pPr>
                                <w:spacing w:before="120" w:after="0" w:line="240" w:lineRule="auto"/>
                                <w:jc w:val="both"/>
                                <w:rPr>
                                  <w:ins w:id="150" w:author="Author"/>
                                  <w:rFonts w:ascii="inherit" w:eastAsia="Times New Roman" w:hAnsi="inherit" w:cs="Times New Roman"/>
                                  <w:sz w:val="24"/>
                                  <w:szCs w:val="24"/>
                                  <w:lang w:eastAsia="en-GB"/>
                                </w:rPr>
                              </w:pPr>
                              <w:ins w:id="151" w:author="Author">
                                <w:r w:rsidRPr="003B7AE9">
                                  <w:rPr>
                                    <w:rFonts w:ascii="inherit" w:eastAsia="Times New Roman" w:hAnsi="inherit" w:cs="Times New Roman"/>
                                    <w:sz w:val="24"/>
                                    <w:szCs w:val="24"/>
                                    <w:lang w:eastAsia="en-GB"/>
                                  </w:rPr>
                                  <w:t>—</w:t>
                                </w:r>
                              </w:ins>
                            </w:p>
                          </w:tc>
                          <w:tc>
                            <w:tcPr>
                              <w:tcW w:w="0" w:type="auto"/>
                              <w:shd w:val="clear" w:color="auto" w:fill="auto"/>
                              <w:hideMark/>
                            </w:tcPr>
                            <w:p w14:paraId="65093988" w14:textId="77777777" w:rsidR="00B70454" w:rsidRPr="003B7AE9" w:rsidRDefault="00B70454" w:rsidP="00B70454">
                              <w:pPr>
                                <w:spacing w:before="120" w:after="0" w:line="240" w:lineRule="auto"/>
                                <w:jc w:val="both"/>
                                <w:rPr>
                                  <w:ins w:id="152" w:author="Author"/>
                                  <w:rFonts w:ascii="inherit" w:eastAsia="Times New Roman" w:hAnsi="inherit" w:cs="Times New Roman"/>
                                  <w:sz w:val="24"/>
                                  <w:szCs w:val="24"/>
                                  <w:lang w:eastAsia="en-GB"/>
                                </w:rPr>
                              </w:pPr>
                              <w:ins w:id="153" w:author="Author">
                                <w:r w:rsidRPr="003B7AE9">
                                  <w:rPr>
                                    <w:rFonts w:ascii="inherit" w:eastAsia="Times New Roman" w:hAnsi="inherit" w:cs="Times New Roman"/>
                                    <w:sz w:val="24"/>
                                    <w:szCs w:val="24"/>
                                    <w:lang w:eastAsia="en-GB"/>
                                  </w:rPr>
                                  <w:t>ambient conditions when the response is to be triggered,</w:t>
                                </w:r>
                              </w:ins>
                            </w:p>
                          </w:tc>
                        </w:tr>
                      </w:tbl>
                      <w:p w14:paraId="141FDA4E" w14:textId="77777777" w:rsidR="00B70454" w:rsidRPr="003B7AE9" w:rsidRDefault="00B70454" w:rsidP="00B70454">
                        <w:pPr>
                          <w:spacing w:after="0" w:line="240" w:lineRule="auto"/>
                          <w:rPr>
                            <w:ins w:id="154"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7851"/>
                        </w:tblGrid>
                        <w:tr w:rsidR="00B70454" w:rsidRPr="003B7AE9" w14:paraId="655FC0A4" w14:textId="77777777" w:rsidTr="2D4DAF54">
                          <w:trPr>
                            <w:ins w:id="155" w:author="Author"/>
                          </w:trPr>
                          <w:tc>
                            <w:tcPr>
                              <w:tcW w:w="0" w:type="auto"/>
                              <w:shd w:val="clear" w:color="auto" w:fill="auto"/>
                              <w:hideMark/>
                            </w:tcPr>
                            <w:p w14:paraId="25069FC7" w14:textId="77777777" w:rsidR="00B70454" w:rsidRPr="003B7AE9" w:rsidRDefault="00B70454" w:rsidP="00B70454">
                              <w:pPr>
                                <w:spacing w:before="120" w:after="0" w:line="240" w:lineRule="auto"/>
                                <w:jc w:val="both"/>
                                <w:rPr>
                                  <w:ins w:id="156" w:author="Author"/>
                                  <w:rFonts w:ascii="inherit" w:eastAsia="Times New Roman" w:hAnsi="inherit" w:cs="Times New Roman"/>
                                  <w:sz w:val="24"/>
                                  <w:szCs w:val="24"/>
                                  <w:lang w:eastAsia="en-GB"/>
                                </w:rPr>
                              </w:pPr>
                              <w:ins w:id="157" w:author="Author">
                                <w:r w:rsidRPr="003B7AE9">
                                  <w:rPr>
                                    <w:rFonts w:ascii="inherit" w:eastAsia="Times New Roman" w:hAnsi="inherit" w:cs="Times New Roman"/>
                                    <w:sz w:val="24"/>
                                    <w:szCs w:val="24"/>
                                    <w:lang w:eastAsia="en-GB"/>
                                  </w:rPr>
                                  <w:t>—</w:t>
                                </w:r>
                              </w:ins>
                            </w:p>
                          </w:tc>
                          <w:tc>
                            <w:tcPr>
                              <w:tcW w:w="0" w:type="auto"/>
                              <w:shd w:val="clear" w:color="auto" w:fill="auto"/>
                              <w:hideMark/>
                            </w:tcPr>
                            <w:p w14:paraId="0A2C6D0A" w14:textId="0242B5EF" w:rsidR="00B70454" w:rsidRPr="003B7AE9" w:rsidRDefault="00B70454" w:rsidP="00B70454">
                              <w:pPr>
                                <w:spacing w:before="120" w:after="0" w:line="240" w:lineRule="auto"/>
                                <w:jc w:val="both"/>
                                <w:rPr>
                                  <w:ins w:id="158" w:author="Author"/>
                                  <w:rFonts w:ascii="inherit" w:eastAsia="Times New Roman" w:hAnsi="inherit" w:cs="Times New Roman"/>
                                  <w:sz w:val="24"/>
                                  <w:szCs w:val="24"/>
                                  <w:lang w:eastAsia="en-GB"/>
                                </w:rPr>
                              </w:pPr>
                              <w:ins w:id="159" w:author="Author">
                                <w:r w:rsidRPr="003B7AE9">
                                  <w:rPr>
                                    <w:rFonts w:ascii="inherit" w:eastAsia="Times New Roman" w:hAnsi="inherit" w:cs="Times New Roman"/>
                                    <w:sz w:val="24"/>
                                    <w:szCs w:val="24"/>
                                    <w:lang w:eastAsia="en-GB"/>
                                  </w:rPr>
                                  <w:t xml:space="preserve">the operating conditions of the power-generating module, in particular limitations on operation near maximum capacity at low frequencies and the respective impact of ambient conditions according to paragraphs 4 and 5 of Article 13, </w:t>
                                </w:r>
                              </w:ins>
                            </w:p>
                          </w:tc>
                        </w:tr>
                      </w:tbl>
                      <w:p w14:paraId="256E53A2" w14:textId="77777777" w:rsidR="00B70454" w:rsidRPr="003B7AE9" w:rsidRDefault="00B70454" w:rsidP="00B70454">
                        <w:pPr>
                          <w:spacing w:after="0" w:line="240" w:lineRule="auto"/>
                          <w:rPr>
                            <w:ins w:id="160"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8"/>
                          <w:gridCol w:w="7833"/>
                        </w:tblGrid>
                        <w:tr w:rsidR="00B70454" w:rsidRPr="003B7AE9" w14:paraId="2A087E1A" w14:textId="77777777" w:rsidTr="2D4DAF54">
                          <w:trPr>
                            <w:ins w:id="161" w:author="Author"/>
                          </w:trPr>
                          <w:tc>
                            <w:tcPr>
                              <w:tcW w:w="0" w:type="auto"/>
                              <w:shd w:val="clear" w:color="auto" w:fill="auto"/>
                              <w:hideMark/>
                            </w:tcPr>
                            <w:p w14:paraId="148B3197" w14:textId="77777777" w:rsidR="00B70454" w:rsidRPr="003B7AE9" w:rsidRDefault="00B70454" w:rsidP="00B70454">
                              <w:pPr>
                                <w:spacing w:before="120" w:after="0" w:line="240" w:lineRule="auto"/>
                                <w:jc w:val="both"/>
                                <w:rPr>
                                  <w:ins w:id="162" w:author="Author"/>
                                  <w:rFonts w:ascii="inherit" w:eastAsia="Times New Roman" w:hAnsi="inherit" w:cs="Times New Roman"/>
                                  <w:sz w:val="24"/>
                                  <w:szCs w:val="24"/>
                                  <w:lang w:eastAsia="en-GB"/>
                                </w:rPr>
                              </w:pPr>
                              <w:ins w:id="163" w:author="Author">
                                <w:r w:rsidRPr="003B7AE9">
                                  <w:rPr>
                                    <w:rFonts w:ascii="inherit" w:eastAsia="Times New Roman" w:hAnsi="inherit" w:cs="Times New Roman"/>
                                    <w:sz w:val="24"/>
                                    <w:szCs w:val="24"/>
                                    <w:lang w:eastAsia="en-GB"/>
                                  </w:rPr>
                                  <w:t>—</w:t>
                                </w:r>
                              </w:ins>
                            </w:p>
                          </w:tc>
                          <w:tc>
                            <w:tcPr>
                              <w:tcW w:w="0" w:type="auto"/>
                              <w:shd w:val="clear" w:color="auto" w:fill="auto"/>
                              <w:hideMark/>
                            </w:tcPr>
                            <w:p w14:paraId="65B5AD0A" w14:textId="2265CB09" w:rsidR="00B70454" w:rsidRDefault="00B70454" w:rsidP="00B70454">
                              <w:pPr>
                                <w:spacing w:before="120" w:after="0" w:line="240" w:lineRule="auto"/>
                                <w:jc w:val="both"/>
                                <w:rPr>
                                  <w:ins w:id="164" w:author="Author"/>
                                  <w:rFonts w:ascii="inherit" w:eastAsia="Times New Roman" w:hAnsi="inherit" w:cs="Times New Roman"/>
                                  <w:sz w:val="24"/>
                                  <w:szCs w:val="24"/>
                                  <w:lang w:eastAsia="en-GB"/>
                                </w:rPr>
                              </w:pPr>
                              <w:ins w:id="165" w:author="Author">
                                <w:r w:rsidRPr="003B7AE9">
                                  <w:rPr>
                                    <w:rFonts w:ascii="inherit" w:eastAsia="Times New Roman" w:hAnsi="inherit" w:cs="Times New Roman"/>
                                    <w:sz w:val="24"/>
                                    <w:szCs w:val="24"/>
                                    <w:lang w:eastAsia="en-GB"/>
                                  </w:rPr>
                                  <w:t>the availability of the primary energy sources</w:t>
                                </w:r>
                                <w:r>
                                  <w:rPr>
                                    <w:rFonts w:ascii="inherit" w:eastAsia="Times New Roman" w:hAnsi="inherit" w:cs="Times New Roman"/>
                                    <w:sz w:val="24"/>
                                    <w:szCs w:val="24"/>
                                    <w:lang w:eastAsia="en-GB"/>
                                  </w:rPr>
                                  <w:t>,</w:t>
                                </w:r>
                              </w:ins>
                            </w:p>
                            <w:p w14:paraId="6F03B225" w14:textId="71E684FA" w:rsidR="00B70454" w:rsidRDefault="00B70454" w:rsidP="00B70454">
                              <w:pPr>
                                <w:spacing w:before="120" w:after="0" w:line="240" w:lineRule="auto"/>
                                <w:jc w:val="both"/>
                                <w:rPr>
                                  <w:ins w:id="166" w:author="Author"/>
                                  <w:rFonts w:ascii="inherit" w:eastAsia="Times New Roman" w:hAnsi="inherit" w:cs="Times New Roman"/>
                                  <w:sz w:val="24"/>
                                  <w:szCs w:val="24"/>
                                  <w:lang w:eastAsia="en-GB"/>
                                </w:rPr>
                              </w:pPr>
                              <w:ins w:id="167" w:author="Author">
                                <w:r w:rsidRPr="003B7AE9">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the grid congestion management and the provisions of Article 13 (6).</w:t>
                                </w:r>
                              </w:ins>
                            </w:p>
                            <w:p w14:paraId="3AFA2920" w14:textId="561B05AD" w:rsidR="00B70454" w:rsidRPr="003B7AE9" w:rsidRDefault="00B70454" w:rsidP="00B70454">
                              <w:pPr>
                                <w:spacing w:before="120" w:after="0" w:line="240" w:lineRule="auto"/>
                                <w:jc w:val="both"/>
                                <w:rPr>
                                  <w:ins w:id="168" w:author="Author"/>
                                  <w:rFonts w:ascii="inherit" w:eastAsia="Times New Roman" w:hAnsi="inherit" w:cs="Times New Roman"/>
                                  <w:sz w:val="24"/>
                                  <w:szCs w:val="24"/>
                                  <w:lang w:eastAsia="en-GB"/>
                                </w:rPr>
                              </w:pPr>
                            </w:p>
                          </w:tc>
                        </w:tr>
                      </w:tbl>
                      <w:p w14:paraId="22DA7E3E" w14:textId="77777777" w:rsidR="00B70454" w:rsidRPr="003B7AE9" w:rsidRDefault="00B70454" w:rsidP="00B70454">
                        <w:pPr>
                          <w:spacing w:after="0" w:line="240" w:lineRule="auto"/>
                          <w:rPr>
                            <w:ins w:id="169" w:author="Author"/>
                            <w:rFonts w:ascii="inherit" w:eastAsia="Times New Roman" w:hAnsi="inherit" w:cs="Times New Roman"/>
                            <w:sz w:val="24"/>
                            <w:szCs w:val="24"/>
                            <w:lang w:eastAsia="en-GB"/>
                          </w:rPr>
                        </w:pPr>
                      </w:p>
                    </w:tc>
                  </w:tr>
                </w:tbl>
                <w:p w14:paraId="686A3677" w14:textId="77777777" w:rsidR="00B70454" w:rsidRPr="003B7AE9" w:rsidRDefault="00B70454" w:rsidP="00B70454">
                  <w:pPr>
                    <w:spacing w:after="0" w:line="240" w:lineRule="auto"/>
                    <w:rPr>
                      <w:ins w:id="170"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024"/>
                  </w:tblGrid>
                  <w:tr w:rsidR="00B70454" w:rsidRPr="003B7AE9" w14:paraId="269C6462" w14:textId="77777777" w:rsidTr="2D4DAF54">
                    <w:trPr>
                      <w:ins w:id="171" w:author="Author"/>
                    </w:trPr>
                    <w:tc>
                      <w:tcPr>
                        <w:tcW w:w="0" w:type="auto"/>
                        <w:shd w:val="clear" w:color="auto" w:fill="auto"/>
                        <w:hideMark/>
                      </w:tcPr>
                      <w:p w14:paraId="4DB86AF7" w14:textId="77777777" w:rsidR="00B70454" w:rsidRPr="003B7AE9" w:rsidRDefault="00B70454" w:rsidP="00B70454">
                        <w:pPr>
                          <w:spacing w:before="120" w:after="0" w:line="240" w:lineRule="auto"/>
                          <w:jc w:val="both"/>
                          <w:rPr>
                            <w:ins w:id="172" w:author="Author"/>
                            <w:rFonts w:ascii="inherit" w:eastAsia="Times New Roman" w:hAnsi="inherit" w:cs="Times New Roman"/>
                            <w:sz w:val="24"/>
                            <w:szCs w:val="24"/>
                            <w:lang w:eastAsia="en-GB"/>
                          </w:rPr>
                        </w:pPr>
                        <w:ins w:id="173" w:author="Author">
                          <w:r w:rsidRPr="003B7AE9">
                            <w:rPr>
                              <w:rFonts w:ascii="inherit" w:eastAsia="Times New Roman" w:hAnsi="inherit" w:cs="Times New Roman"/>
                              <w:sz w:val="24"/>
                              <w:szCs w:val="24"/>
                              <w:lang w:eastAsia="en-GB"/>
                            </w:rPr>
                            <w:t>(iii)</w:t>
                          </w:r>
                        </w:ins>
                      </w:p>
                    </w:tc>
                    <w:tc>
                      <w:tcPr>
                        <w:tcW w:w="0" w:type="auto"/>
                        <w:shd w:val="clear" w:color="auto" w:fill="auto"/>
                        <w:hideMark/>
                      </w:tcPr>
                      <w:p w14:paraId="36EC699C" w14:textId="77777777" w:rsidR="00B70454" w:rsidRPr="003B7AE9" w:rsidRDefault="00B70454" w:rsidP="00B70454">
                        <w:pPr>
                          <w:spacing w:before="120" w:after="0" w:line="240" w:lineRule="auto"/>
                          <w:jc w:val="both"/>
                          <w:rPr>
                            <w:ins w:id="174" w:author="Author"/>
                            <w:rFonts w:ascii="inherit" w:eastAsia="Times New Roman" w:hAnsi="inherit" w:cs="Times New Roman"/>
                            <w:sz w:val="24"/>
                            <w:szCs w:val="24"/>
                            <w:lang w:eastAsia="en-GB"/>
                          </w:rPr>
                        </w:pPr>
                        <w:ins w:id="175" w:author="Author">
                          <w:r w:rsidRPr="003B7AE9">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ins>
                      </w:p>
                    </w:tc>
                  </w:tr>
                </w:tbl>
                <w:p w14:paraId="58C3CDDB" w14:textId="77777777" w:rsidR="00B70454" w:rsidRPr="003B7AE9" w:rsidRDefault="00B70454" w:rsidP="00B70454">
                  <w:pPr>
                    <w:spacing w:after="0" w:line="240" w:lineRule="auto"/>
                    <w:rPr>
                      <w:ins w:id="176"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037"/>
                  </w:tblGrid>
                  <w:tr w:rsidR="00B70454" w:rsidRPr="003B7AE9" w14:paraId="3922ACA2" w14:textId="77777777" w:rsidTr="2D4DAF54">
                    <w:trPr>
                      <w:ins w:id="177" w:author="Author"/>
                    </w:trPr>
                    <w:tc>
                      <w:tcPr>
                        <w:tcW w:w="0" w:type="auto"/>
                        <w:shd w:val="clear" w:color="auto" w:fill="auto"/>
                        <w:hideMark/>
                      </w:tcPr>
                      <w:p w14:paraId="6ABD249F" w14:textId="77777777" w:rsidR="00B70454" w:rsidRPr="003B7AE9" w:rsidRDefault="00B70454" w:rsidP="00B70454">
                        <w:pPr>
                          <w:spacing w:before="120" w:after="0" w:line="240" w:lineRule="auto"/>
                          <w:jc w:val="both"/>
                          <w:rPr>
                            <w:ins w:id="178" w:author="Author"/>
                            <w:rFonts w:ascii="inherit" w:eastAsia="Times New Roman" w:hAnsi="inherit" w:cs="Times New Roman"/>
                            <w:sz w:val="24"/>
                            <w:szCs w:val="24"/>
                            <w:lang w:eastAsia="en-GB"/>
                          </w:rPr>
                        </w:pPr>
                        <w:ins w:id="179" w:author="Author">
                          <w:r w:rsidRPr="003B7AE9">
                            <w:rPr>
                              <w:rFonts w:ascii="inherit" w:eastAsia="Times New Roman" w:hAnsi="inherit" w:cs="Times New Roman"/>
                              <w:sz w:val="24"/>
                              <w:szCs w:val="24"/>
                              <w:lang w:eastAsia="en-GB"/>
                            </w:rPr>
                            <w:t>(iv)</w:t>
                          </w:r>
                        </w:ins>
                      </w:p>
                    </w:tc>
                    <w:tc>
                      <w:tcPr>
                        <w:tcW w:w="0" w:type="auto"/>
                        <w:shd w:val="clear" w:color="auto" w:fill="auto"/>
                        <w:hideMark/>
                      </w:tcPr>
                      <w:p w14:paraId="7532CE56" w14:textId="77777777" w:rsidR="00B70454" w:rsidRPr="003B7AE9" w:rsidRDefault="00B70454" w:rsidP="00B70454">
                        <w:pPr>
                          <w:spacing w:before="120" w:after="0" w:line="240" w:lineRule="auto"/>
                          <w:jc w:val="both"/>
                          <w:rPr>
                            <w:ins w:id="180" w:author="Author"/>
                            <w:rFonts w:ascii="inherit" w:eastAsia="Times New Roman" w:hAnsi="inherit" w:cs="Times New Roman"/>
                            <w:sz w:val="24"/>
                            <w:szCs w:val="24"/>
                            <w:lang w:eastAsia="en-GB"/>
                          </w:rPr>
                        </w:pPr>
                        <w:ins w:id="181" w:author="Author">
                          <w:r w:rsidRPr="003B7AE9">
                            <w:rPr>
                              <w:rFonts w:ascii="inherit" w:eastAsia="Times New Roman" w:hAnsi="inherit" w:cs="Times New Roman"/>
                              <w:sz w:val="24"/>
                              <w:szCs w:val="24"/>
                              <w:lang w:eastAsia="en-GB"/>
                            </w:rPr>
                            <w:t>in LFSM-U mode the power-generating module shall be capable of providing a power increase up to its maximum capacity;</w:t>
                          </w:r>
                        </w:ins>
                      </w:p>
                    </w:tc>
                  </w:tr>
                </w:tbl>
                <w:p w14:paraId="02459234" w14:textId="77777777" w:rsidR="00B70454" w:rsidRPr="003B7AE9" w:rsidRDefault="00B70454" w:rsidP="00B70454">
                  <w:pPr>
                    <w:spacing w:after="0" w:line="240" w:lineRule="auto"/>
                    <w:rPr>
                      <w:ins w:id="182"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103"/>
                  </w:tblGrid>
                  <w:tr w:rsidR="00B70454" w:rsidRPr="003B7AE9" w14:paraId="1CD05BFA" w14:textId="77777777" w:rsidTr="2D4DAF54">
                    <w:trPr>
                      <w:ins w:id="183" w:author="Author"/>
                    </w:trPr>
                    <w:tc>
                      <w:tcPr>
                        <w:tcW w:w="0" w:type="auto"/>
                        <w:shd w:val="clear" w:color="auto" w:fill="auto"/>
                        <w:hideMark/>
                      </w:tcPr>
                      <w:p w14:paraId="42069614" w14:textId="77777777" w:rsidR="00B70454" w:rsidRPr="003B7AE9" w:rsidRDefault="00B70454" w:rsidP="00B70454">
                        <w:pPr>
                          <w:spacing w:before="120" w:after="0" w:line="240" w:lineRule="auto"/>
                          <w:jc w:val="both"/>
                          <w:rPr>
                            <w:ins w:id="184" w:author="Author"/>
                            <w:rFonts w:ascii="inherit" w:eastAsia="Times New Roman" w:hAnsi="inherit" w:cs="Times New Roman"/>
                            <w:sz w:val="24"/>
                            <w:szCs w:val="24"/>
                            <w:lang w:eastAsia="en-GB"/>
                          </w:rPr>
                        </w:pPr>
                        <w:ins w:id="185" w:author="Author">
                          <w:r w:rsidRPr="003B7AE9">
                            <w:rPr>
                              <w:rFonts w:ascii="inherit" w:eastAsia="Times New Roman" w:hAnsi="inherit" w:cs="Times New Roman"/>
                              <w:sz w:val="24"/>
                              <w:szCs w:val="24"/>
                              <w:lang w:eastAsia="en-GB"/>
                            </w:rPr>
                            <w:t>(v)</w:t>
                          </w:r>
                        </w:ins>
                      </w:p>
                    </w:tc>
                    <w:tc>
                      <w:tcPr>
                        <w:tcW w:w="0" w:type="auto"/>
                        <w:shd w:val="clear" w:color="auto" w:fill="auto"/>
                        <w:hideMark/>
                      </w:tcPr>
                      <w:p w14:paraId="11B85829" w14:textId="77777777" w:rsidR="00B70454" w:rsidRPr="003B7AE9" w:rsidRDefault="00B70454" w:rsidP="00B70454">
                        <w:pPr>
                          <w:spacing w:before="120" w:after="0" w:line="240" w:lineRule="auto"/>
                          <w:jc w:val="both"/>
                          <w:rPr>
                            <w:ins w:id="186" w:author="Author"/>
                            <w:rFonts w:ascii="inherit" w:eastAsia="Times New Roman" w:hAnsi="inherit" w:cs="Times New Roman"/>
                            <w:sz w:val="24"/>
                            <w:szCs w:val="24"/>
                            <w:lang w:eastAsia="en-GB"/>
                          </w:rPr>
                        </w:pPr>
                        <w:ins w:id="187" w:author="Author">
                          <w:r w:rsidRPr="003B7AE9">
                            <w:rPr>
                              <w:rFonts w:ascii="inherit" w:eastAsia="Times New Roman" w:hAnsi="inherit" w:cs="Times New Roman"/>
                              <w:sz w:val="24"/>
                              <w:szCs w:val="24"/>
                              <w:lang w:eastAsia="en-GB"/>
                            </w:rPr>
                            <w:t>stable operation of the power-generating module during LFSM-U operation shall be ensured;</w:t>
                          </w:r>
                        </w:ins>
                      </w:p>
                      <w:p w14:paraId="681ACDAC" w14:textId="47909B39" w:rsidR="00B70454" w:rsidRPr="003B7AE9" w:rsidRDefault="00B70454" w:rsidP="00B70454">
                        <w:pPr>
                          <w:spacing w:before="240" w:after="120" w:line="240" w:lineRule="auto"/>
                          <w:jc w:val="both"/>
                          <w:rPr>
                            <w:ins w:id="188" w:author="Author"/>
                            <w:rFonts w:ascii="inherit" w:eastAsia="Times New Roman" w:hAnsi="inherit" w:cs="Times New Roman"/>
                            <w:b/>
                            <w:bCs/>
                            <w:sz w:val="24"/>
                            <w:szCs w:val="24"/>
                            <w:lang w:eastAsia="en-GB"/>
                          </w:rPr>
                        </w:pPr>
                        <w:commentRangeStart w:id="189"/>
                        <w:ins w:id="190" w:author="Author">
                          <w:r w:rsidRPr="2D4DAF54">
                            <w:rPr>
                              <w:rFonts w:ascii="inherit" w:eastAsia="Times New Roman" w:hAnsi="inherit" w:cs="Times New Roman"/>
                              <w:b/>
                              <w:bCs/>
                              <w:i/>
                              <w:iCs/>
                              <w:sz w:val="24"/>
                              <w:szCs w:val="24"/>
                              <w:lang w:eastAsia="en-GB"/>
                            </w:rPr>
                            <w:t xml:space="preserve">Figure </w:t>
                          </w:r>
                          <w:del w:id="191" w:author="Author">
                            <w:r w:rsidR="00F55904" w:rsidDel="00A93617">
                              <w:rPr>
                                <w:rFonts w:ascii="inherit" w:eastAsia="Times New Roman" w:hAnsi="inherit" w:cs="Times New Roman"/>
                                <w:b/>
                                <w:bCs/>
                                <w:i/>
                                <w:iCs/>
                                <w:sz w:val="24"/>
                                <w:szCs w:val="24"/>
                                <w:lang w:eastAsia="en-GB"/>
                              </w:rPr>
                              <w:delText>4</w:delText>
                            </w:r>
                            <w:commentRangeEnd w:id="189"/>
                            <w:r w:rsidR="00F55904" w:rsidDel="00A93617">
                              <w:rPr>
                                <w:rStyle w:val="CommentReference"/>
                              </w:rPr>
                              <w:commentReference w:id="189"/>
                            </w:r>
                          </w:del>
                          <w:r w:rsidR="00A93617">
                            <w:rPr>
                              <w:rFonts w:ascii="inherit" w:eastAsia="Times New Roman" w:hAnsi="inherit" w:cs="Times New Roman"/>
                              <w:b/>
                              <w:bCs/>
                              <w:i/>
                              <w:iCs/>
                              <w:sz w:val="24"/>
                              <w:szCs w:val="24"/>
                              <w:lang w:eastAsia="en-GB"/>
                            </w:rPr>
                            <w:t>2</w:t>
                          </w:r>
                        </w:ins>
                      </w:p>
                      <w:p w14:paraId="675122D6" w14:textId="77777777" w:rsidR="00B70454" w:rsidRPr="003B7AE9" w:rsidRDefault="00B70454" w:rsidP="00B70454">
                        <w:pPr>
                          <w:spacing w:before="240" w:after="120" w:line="240" w:lineRule="auto"/>
                          <w:jc w:val="both"/>
                          <w:rPr>
                            <w:ins w:id="192" w:author="Author"/>
                            <w:rFonts w:ascii="inherit" w:eastAsia="Times New Roman" w:hAnsi="inherit" w:cs="Times New Roman"/>
                            <w:b/>
                            <w:bCs/>
                            <w:sz w:val="24"/>
                            <w:szCs w:val="24"/>
                            <w:lang w:eastAsia="en-GB"/>
                          </w:rPr>
                        </w:pPr>
                        <w:ins w:id="193" w:author="Author">
                          <w:r w:rsidRPr="003B7AE9">
                            <w:rPr>
                              <w:rFonts w:ascii="inherit" w:eastAsia="Times New Roman" w:hAnsi="inherit" w:cs="Times New Roman"/>
                              <w:b/>
                              <w:bCs/>
                              <w:sz w:val="24"/>
                              <w:szCs w:val="24"/>
                              <w:lang w:eastAsia="en-GB"/>
                            </w:rPr>
                            <w:t>Active power frequency response capability of power-generating modules in LFSM-U</w:t>
                          </w:r>
                        </w:ins>
                      </w:p>
                      <w:p w14:paraId="2EB26667" w14:textId="472B3EFC" w:rsidR="00B70454" w:rsidRPr="003B7AE9" w:rsidRDefault="00054FB1" w:rsidP="00B70454">
                        <w:pPr>
                          <w:spacing w:after="0" w:line="240" w:lineRule="auto"/>
                          <w:rPr>
                            <w:ins w:id="194" w:author="Author"/>
                            <w:rFonts w:ascii="inherit" w:eastAsia="Times New Roman" w:hAnsi="inherit" w:cs="Times New Roman"/>
                            <w:sz w:val="24"/>
                            <w:szCs w:val="24"/>
                            <w:lang w:eastAsia="en-GB"/>
                          </w:rPr>
                        </w:pPr>
                        <w:ins w:id="195" w:author="Author">
                          <w:r>
                            <w:object w:dxaOrig="6240" w:dyaOrig="3852" w14:anchorId="04C651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2pt;height:192.75pt" o:ole="">
                                <v:imagedata r:id="rId14" o:title=""/>
                              </v:shape>
                              <o:OLEObject Type="Embed" ProgID="PBrush" ShapeID="_x0000_i1026" DrawAspect="Content" ObjectID="_1730810319" r:id="rId15"/>
                            </w:object>
                          </w:r>
                        </w:ins>
                        <w:commentRangeStart w:id="196"/>
                        <w:ins w:id="197" w:author="Author">
                          <w:del w:id="198" w:author="Author">
                            <w:r w:rsidR="00B70454" w:rsidRPr="003B7AE9" w:rsidDel="00054FB1">
                              <w:rPr>
                                <w:rFonts w:ascii="inherit" w:eastAsia="Times New Roman" w:hAnsi="inherit" w:cs="Times New Roman"/>
                                <w:noProof/>
                                <w:sz w:val="24"/>
                                <w:szCs w:val="24"/>
                                <w:lang w:eastAsia="en-GB"/>
                              </w:rPr>
                              <w:drawing>
                                <wp:inline distT="0" distB="0" distL="0" distR="0" wp14:anchorId="02BC44F9" wp14:editId="593B48BC">
                                  <wp:extent cx="4762500" cy="2838450"/>
                                  <wp:effectExtent l="0" t="0" r="0" b="0"/>
                                  <wp:docPr id="2"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del>
                        </w:ins>
                        <w:commentRangeEnd w:id="196"/>
                        <w:r w:rsidR="00A0631A">
                          <w:rPr>
                            <w:rStyle w:val="CommentReference"/>
                          </w:rPr>
                          <w:commentReference w:id="196"/>
                        </w:r>
                      </w:p>
                      <w:p w14:paraId="0D0F3E29" w14:textId="16AA226F" w:rsidR="00B70454" w:rsidRPr="003B7AE9" w:rsidRDefault="00B70454" w:rsidP="00B70454">
                        <w:pPr>
                          <w:spacing w:before="120" w:after="0" w:line="240" w:lineRule="auto"/>
                          <w:jc w:val="both"/>
                          <w:rPr>
                            <w:ins w:id="199" w:author="Author"/>
                            <w:rFonts w:ascii="inherit" w:eastAsia="Times New Roman" w:hAnsi="inherit" w:cs="Times New Roman"/>
                            <w:sz w:val="24"/>
                            <w:szCs w:val="24"/>
                            <w:lang w:eastAsia="en-GB"/>
                          </w:rPr>
                        </w:pPr>
                        <w:ins w:id="200" w:author="Autho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w:t>
                          </w:r>
                          <w:del w:id="201" w:author="Author">
                            <w:r w:rsidRPr="003B7AE9" w:rsidDel="00A0631A">
                              <w:rPr>
                                <w:rFonts w:ascii="inherit" w:eastAsia="Times New Roman" w:hAnsi="inherit" w:cs="Times New Roman"/>
                                <w:sz w:val="24"/>
                                <w:szCs w:val="24"/>
                                <w:lang w:eastAsia="en-GB"/>
                              </w:rPr>
                              <w:delText xml:space="preserve"> for synchronous power-generating modules and power park modules</w:delText>
                            </w:r>
                          </w:del>
                          <w:r w:rsidRPr="003B7AE9">
                            <w:rPr>
                              <w:rFonts w:ascii="inherit" w:eastAsia="Times New Roman" w:hAnsi="inherit" w:cs="Times New Roman"/>
                              <w:sz w:val="24"/>
                              <w:szCs w:val="24"/>
                              <w:lang w:eastAsia="en-GB"/>
                            </w:rPr>
                            <w:t>.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underfrequencies where Δf is below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positive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ins>
                      </w:p>
                    </w:tc>
                  </w:tr>
                </w:tbl>
                <w:p w14:paraId="00653854" w14:textId="77777777" w:rsidR="00B70454" w:rsidRPr="003B7AE9" w:rsidRDefault="00B70454" w:rsidP="00B70454">
                  <w:pPr>
                    <w:spacing w:after="0" w:line="240" w:lineRule="auto"/>
                    <w:rPr>
                      <w:ins w:id="202" w:author="Author"/>
                      <w:rFonts w:ascii="inherit" w:eastAsia="Times New Roman" w:hAnsi="inherit" w:cs="Times New Roman"/>
                      <w:sz w:val="24"/>
                      <w:szCs w:val="24"/>
                      <w:lang w:eastAsia="en-GB"/>
                    </w:rPr>
                  </w:pPr>
                </w:p>
              </w:tc>
            </w:tr>
          </w:tbl>
          <w:p w14:paraId="787815B6" w14:textId="4C1FBCED" w:rsidR="00B70454" w:rsidRPr="003B7AE9" w:rsidRDefault="00B70454" w:rsidP="003B7AE9">
            <w:pPr>
              <w:spacing w:before="120" w:after="0" w:line="240" w:lineRule="auto"/>
              <w:jc w:val="both"/>
              <w:rPr>
                <w:rFonts w:ascii="inherit" w:eastAsia="Times New Roman" w:hAnsi="inherit" w:cs="Times New Roman"/>
                <w:sz w:val="24"/>
                <w:szCs w:val="24"/>
                <w:lang w:eastAsia="en-GB"/>
              </w:rPr>
            </w:pPr>
          </w:p>
        </w:tc>
      </w:tr>
    </w:tbl>
    <w:p w14:paraId="5C5B015D"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203" w:author="Author">
          <w:pPr>
            <w:shd w:val="clear" w:color="auto" w:fill="FFFFFF"/>
            <w:jc w:val="both"/>
          </w:pPr>
        </w:pPrChange>
      </w:pPr>
      <w:r w:rsidRPr="003B7AE9">
        <w:rPr>
          <w:rFonts w:ascii="inherit" w:eastAsia="Times New Roman" w:hAnsi="inherit" w:cs="Times New Roman"/>
          <w:color w:val="000000"/>
          <w:sz w:val="24"/>
          <w:szCs w:val="24"/>
          <w:lang w:eastAsia="en-GB"/>
        </w:rPr>
        <w:lastRenderedPageBreak/>
        <w:t>3.   The 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2A5021C1"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204" w:author="Author">
          <w:pPr>
            <w:shd w:val="clear" w:color="auto" w:fill="FFFFFF"/>
            <w:jc w:val="both"/>
          </w:pPr>
        </w:pPrChange>
      </w:pPr>
      <w:r w:rsidRPr="003B7AE9">
        <w:rPr>
          <w:rFonts w:ascii="inherit" w:eastAsia="Times New Roman" w:hAnsi="inherit" w:cs="Times New Roman"/>
          <w:color w:val="000000"/>
          <w:sz w:val="24"/>
          <w:szCs w:val="24"/>
          <w:lang w:eastAsia="en-GB"/>
        </w:rPr>
        <w:t>4.   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6A9F8C" w14:textId="77777777" w:rsidTr="003B7AE9">
        <w:tc>
          <w:tcPr>
            <w:tcW w:w="0" w:type="auto"/>
            <w:shd w:val="clear" w:color="auto" w:fill="auto"/>
            <w:hideMark/>
          </w:tcPr>
          <w:p w14:paraId="5F2BC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73D087" w14:textId="77777777" w:rsidTr="003B7AE9">
        <w:tc>
          <w:tcPr>
            <w:tcW w:w="0" w:type="auto"/>
            <w:shd w:val="clear" w:color="auto" w:fill="auto"/>
            <w:hideMark/>
          </w:tcPr>
          <w:p w14:paraId="64B63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3DE403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49,5 Hz falling by a reduction rate of 10 % of the maximum capacity at 50 Hz per 1 Hz frequency drop.</w:t>
            </w:r>
          </w:p>
        </w:tc>
      </w:tr>
    </w:tbl>
    <w:p w14:paraId="4913B631"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205" w:author="Author">
          <w:pPr>
            <w:shd w:val="clear" w:color="auto" w:fill="FFFFFF"/>
            <w:jc w:val="both"/>
          </w:pPr>
        </w:pPrChange>
      </w:pPr>
      <w:r w:rsidRPr="003B7AE9">
        <w:rPr>
          <w:rFonts w:ascii="inherit" w:eastAsia="Times New Roman" w:hAnsi="inherit" w:cs="Times New Roman"/>
          <w:color w:val="000000"/>
          <w:sz w:val="24"/>
          <w:szCs w:val="24"/>
          <w:lang w:eastAsia="en-GB"/>
        </w:rPr>
        <w:t>5.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3B7AE9" w14:paraId="710F36A2" w14:textId="77777777" w:rsidTr="003B7AE9">
        <w:tc>
          <w:tcPr>
            <w:tcW w:w="0" w:type="auto"/>
            <w:shd w:val="clear" w:color="auto" w:fill="auto"/>
            <w:hideMark/>
          </w:tcPr>
          <w:p w14:paraId="144146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clearly specify the ambient conditions applicable;</w:t>
            </w:r>
          </w:p>
        </w:tc>
      </w:tr>
    </w:tbl>
    <w:p w14:paraId="6FAFCFD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1F6339" w14:textId="77777777" w:rsidTr="003B7AE9">
        <w:tc>
          <w:tcPr>
            <w:tcW w:w="0" w:type="auto"/>
            <w:shd w:val="clear" w:color="auto" w:fill="auto"/>
            <w:hideMark/>
          </w:tcPr>
          <w:p w14:paraId="46C5A0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A5AB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account of the technical capabilities of power-generating modules.</w:t>
            </w:r>
          </w:p>
          <w:p w14:paraId="3CBFDB5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2</w:t>
            </w:r>
          </w:p>
          <w:p w14:paraId="274F459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Maximum power capability reduction with falling frequency</w:t>
            </w:r>
          </w:p>
          <w:p w14:paraId="272DA4A6"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boundaries in which the capability can be specified by the relevant TSO.</w:t>
            </w:r>
          </w:p>
        </w:tc>
      </w:tr>
    </w:tbl>
    <w:p w14:paraId="752E5998"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206" w:author="Author">
          <w:pPr>
            <w:shd w:val="clear" w:color="auto" w:fill="FFFFFF"/>
            <w:jc w:val="both"/>
          </w:pPr>
        </w:pPrChange>
      </w:pPr>
      <w:r w:rsidRPr="003B7AE9">
        <w:rPr>
          <w:rFonts w:ascii="inherit" w:eastAsia="Times New Roman" w:hAnsi="inherit" w:cs="Times New Roman"/>
          <w:color w:val="000000"/>
          <w:sz w:val="24"/>
          <w:szCs w:val="24"/>
          <w:lang w:eastAsia="en-GB"/>
        </w:rPr>
        <w:t>6.   The power-generating module shall be equipped with a logic interface (input port) in order to cease active power output within five seconds following an instruction being received at the input port. The relevant system operator shall have the right to specify requirements for equipment to make this facility operable remotely.</w:t>
      </w:r>
    </w:p>
    <w:p w14:paraId="0E301EE6"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207" w:author="Author">
          <w:pPr>
            <w:shd w:val="clear" w:color="auto" w:fill="FFFFFF"/>
            <w:jc w:val="both"/>
          </w:pPr>
        </w:pPrChange>
      </w:pPr>
      <w:r w:rsidRPr="003B7AE9">
        <w:rPr>
          <w:rFonts w:ascii="inherit" w:eastAsia="Times New Roman" w:hAnsi="inherit" w:cs="Times New Roman"/>
          <w:color w:val="000000"/>
          <w:sz w:val="24"/>
          <w:szCs w:val="24"/>
          <w:lang w:eastAsia="en-GB"/>
        </w:rPr>
        <w:t>7.   The relevant TSO shall specify the conditions under which a power-generating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D2C8067" w14:textId="77777777" w:rsidTr="003B7AE9">
        <w:tc>
          <w:tcPr>
            <w:tcW w:w="0" w:type="auto"/>
            <w:shd w:val="clear" w:color="auto" w:fill="auto"/>
            <w:hideMark/>
          </w:tcPr>
          <w:p w14:paraId="671E08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B7AE9" w14:paraId="0BAD20BB" w14:textId="77777777" w:rsidTr="003B7AE9">
        <w:tc>
          <w:tcPr>
            <w:tcW w:w="0" w:type="auto"/>
            <w:shd w:val="clear" w:color="auto" w:fill="auto"/>
            <w:hideMark/>
          </w:tcPr>
          <w:p w14:paraId="675C3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admissible gradient of increase in active power output.</w:t>
            </w:r>
          </w:p>
        </w:tc>
      </w:tr>
    </w:tbl>
    <w:p w14:paraId="0BCD63AE" w14:textId="6AF41028" w:rsidR="003B7AE9" w:rsidRDefault="003B7AE9" w:rsidP="0060282F">
      <w:pPr>
        <w:shd w:val="clear" w:color="auto" w:fill="FFFFFF" w:themeFill="background1"/>
        <w:spacing w:before="120" w:after="0" w:line="240" w:lineRule="auto"/>
        <w:jc w:val="both"/>
        <w:rPr>
          <w:ins w:id="208" w:author="Author"/>
          <w:rFonts w:ascii="inherit" w:eastAsia="Times New Roman" w:hAnsi="inherit" w:cs="Times New Roman"/>
          <w:color w:val="000000"/>
          <w:sz w:val="24"/>
          <w:szCs w:val="24"/>
          <w:lang w:eastAsia="en-GB"/>
        </w:rPr>
        <w:pPrChange w:id="209" w:author="Author">
          <w:pPr>
            <w:shd w:val="clear" w:color="auto" w:fill="FFFFFF"/>
            <w:jc w:val="both"/>
          </w:pPr>
        </w:pPrChange>
      </w:pPr>
      <w:r w:rsidRPr="003B7AE9">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p>
    <w:p w14:paraId="2ABDAD0D" w14:textId="48CE4094" w:rsidR="00870B7D" w:rsidRPr="003B7AE9" w:rsidRDefault="00601D56" w:rsidP="0060282F">
      <w:pPr>
        <w:shd w:val="clear" w:color="auto" w:fill="FFFFFF" w:themeFill="background1"/>
        <w:spacing w:before="120" w:after="0" w:line="240" w:lineRule="auto"/>
        <w:jc w:val="both"/>
        <w:rPr>
          <w:ins w:id="210" w:author="Author"/>
          <w:rFonts w:ascii="inherit" w:eastAsia="Times New Roman" w:hAnsi="inherit" w:cs="Times New Roman"/>
          <w:color w:val="000000"/>
          <w:sz w:val="24"/>
          <w:szCs w:val="24"/>
          <w:lang w:eastAsia="en-GB"/>
        </w:rPr>
        <w:pPrChange w:id="211" w:author="Author">
          <w:pPr>
            <w:shd w:val="clear" w:color="auto" w:fill="FFFFFF"/>
            <w:jc w:val="both"/>
          </w:pPr>
        </w:pPrChange>
      </w:pPr>
      <w:ins w:id="212" w:author="Author">
        <w:r>
          <w:rPr>
            <w:rFonts w:ascii="inherit" w:eastAsia="Times New Roman" w:hAnsi="inherit" w:cs="Times New Roman"/>
            <w:color w:val="000000"/>
            <w:sz w:val="24"/>
            <w:szCs w:val="24"/>
            <w:lang w:eastAsia="en-GB"/>
          </w:rPr>
          <w:t>8</w:t>
        </w:r>
        <w:r w:rsidR="00C07462">
          <w:rPr>
            <w:rFonts w:ascii="inherit" w:eastAsia="Times New Roman" w:hAnsi="inherit" w:cs="Times New Roman"/>
            <w:color w:val="000000"/>
            <w:sz w:val="24"/>
            <w:szCs w:val="24"/>
            <w:lang w:eastAsia="en-GB"/>
          </w:rPr>
          <w:t>.</w:t>
        </w:r>
        <w:r w:rsidR="00870B7D" w:rsidRPr="003B7AE9">
          <w:rPr>
            <w:rFonts w:ascii="inherit" w:eastAsia="Times New Roman" w:hAnsi="inherit" w:cs="Times New Roman"/>
            <w:color w:val="000000"/>
            <w:sz w:val="24"/>
            <w:szCs w:val="24"/>
            <w:lang w:eastAsia="en-GB"/>
          </w:rPr>
          <w:t xml:space="preserve">   Type </w:t>
        </w:r>
        <w:r w:rsidR="00870B7D">
          <w:rPr>
            <w:rFonts w:ascii="inherit" w:eastAsia="Times New Roman" w:hAnsi="inherit" w:cs="Times New Roman"/>
            <w:color w:val="000000"/>
            <w:sz w:val="24"/>
            <w:szCs w:val="24"/>
            <w:lang w:eastAsia="en-GB"/>
          </w:rPr>
          <w:t>A</w:t>
        </w:r>
        <w:r w:rsidR="00870B7D" w:rsidRPr="003B7AE9">
          <w:rPr>
            <w:rFonts w:ascii="inherit" w:eastAsia="Times New Roman" w:hAnsi="inherit" w:cs="Times New Roman"/>
            <w:color w:val="000000"/>
            <w:sz w:val="24"/>
            <w:szCs w:val="24"/>
            <w:lang w:eastAsia="en-GB"/>
          </w:rPr>
          <w:t xml:space="preserve"> power-generating modules shall fulfil the following requirements in relation to robustness:</w:t>
        </w:r>
      </w:ins>
    </w:p>
    <w:tbl>
      <w:tblPr>
        <w:tblW w:w="5000" w:type="pct"/>
        <w:tblCellMar>
          <w:left w:w="0" w:type="dxa"/>
          <w:right w:w="0" w:type="dxa"/>
        </w:tblCellMar>
        <w:tblLook w:val="04A0" w:firstRow="1" w:lastRow="0" w:firstColumn="1" w:lastColumn="0" w:noHBand="0" w:noVBand="1"/>
      </w:tblPr>
      <w:tblGrid>
        <w:gridCol w:w="301"/>
        <w:gridCol w:w="8725"/>
      </w:tblGrid>
      <w:tr w:rsidR="00870B7D" w:rsidRPr="003B7AE9" w14:paraId="0A249340" w14:textId="77777777" w:rsidTr="2D4DAF54">
        <w:trPr>
          <w:ins w:id="213" w:author="Author"/>
        </w:trPr>
        <w:tc>
          <w:tcPr>
            <w:tcW w:w="0" w:type="auto"/>
            <w:shd w:val="clear" w:color="auto" w:fill="auto"/>
            <w:hideMark/>
          </w:tcPr>
          <w:p w14:paraId="49A4A3FD" w14:textId="77777777" w:rsidR="00870B7D" w:rsidRPr="003B7AE9" w:rsidRDefault="00870B7D" w:rsidP="00503A82">
            <w:pPr>
              <w:spacing w:before="120" w:after="0" w:line="240" w:lineRule="auto"/>
              <w:jc w:val="both"/>
              <w:rPr>
                <w:ins w:id="214" w:author="Author"/>
                <w:rFonts w:ascii="inherit" w:eastAsia="Times New Roman" w:hAnsi="inherit" w:cs="Times New Roman"/>
                <w:sz w:val="24"/>
                <w:szCs w:val="24"/>
                <w:lang w:eastAsia="en-GB"/>
              </w:rPr>
            </w:pPr>
            <w:ins w:id="215" w:author="Author">
              <w:r w:rsidRPr="003B7AE9">
                <w:rPr>
                  <w:rFonts w:ascii="inherit" w:eastAsia="Times New Roman" w:hAnsi="inherit" w:cs="Times New Roman"/>
                  <w:sz w:val="24"/>
                  <w:szCs w:val="24"/>
                  <w:lang w:eastAsia="en-GB"/>
                </w:rPr>
                <w:lastRenderedPageBreak/>
                <w:t>(a)</w:t>
              </w:r>
            </w:ins>
          </w:p>
        </w:tc>
        <w:tc>
          <w:tcPr>
            <w:tcW w:w="0" w:type="auto"/>
            <w:shd w:val="clear" w:color="auto" w:fill="auto"/>
            <w:hideMark/>
          </w:tcPr>
          <w:p w14:paraId="4C33F9B3" w14:textId="56A1317F" w:rsidR="00870B7D" w:rsidRPr="003B7AE9" w:rsidRDefault="003B71D2" w:rsidP="00503A82">
            <w:pPr>
              <w:spacing w:before="120" w:after="0" w:line="240" w:lineRule="auto"/>
              <w:jc w:val="both"/>
              <w:rPr>
                <w:ins w:id="216" w:author="Author"/>
                <w:rFonts w:ascii="inherit" w:eastAsia="Times New Roman" w:hAnsi="inherit" w:cs="Times New Roman"/>
                <w:sz w:val="24"/>
                <w:szCs w:val="24"/>
                <w:lang w:eastAsia="en-GB"/>
              </w:rPr>
            </w:pPr>
            <w:ins w:id="217" w:author="Author">
              <w:r>
                <w:rPr>
                  <w:rFonts w:ascii="inherit" w:eastAsia="Times New Roman" w:hAnsi="inherit" w:cs="Times New Roman"/>
                  <w:sz w:val="24"/>
                  <w:szCs w:val="24"/>
                  <w:lang w:eastAsia="en-GB"/>
                </w:rPr>
                <w:t xml:space="preserve"> </w:t>
              </w:r>
              <w:r w:rsidR="00870B7D" w:rsidRPr="003B7AE9">
                <w:rPr>
                  <w:rFonts w:ascii="inherit" w:eastAsia="Times New Roman" w:hAnsi="inherit" w:cs="Times New Roman"/>
                  <w:sz w:val="24"/>
                  <w:szCs w:val="24"/>
                  <w:lang w:eastAsia="en-GB"/>
                </w:rPr>
                <w:t>with regard to fault-ride-through capability of power-generating modules:</w:t>
              </w:r>
            </w:ins>
          </w:p>
          <w:tbl>
            <w:tblPr>
              <w:tblW w:w="5000" w:type="pct"/>
              <w:tblCellMar>
                <w:left w:w="0" w:type="dxa"/>
                <w:right w:w="0" w:type="dxa"/>
              </w:tblCellMar>
              <w:tblLook w:val="04A0" w:firstRow="1" w:lastRow="0" w:firstColumn="1" w:lastColumn="0" w:noHBand="0" w:noVBand="1"/>
            </w:tblPr>
            <w:tblGrid>
              <w:gridCol w:w="250"/>
              <w:gridCol w:w="8475"/>
            </w:tblGrid>
            <w:tr w:rsidR="00870B7D" w:rsidRPr="003B7AE9" w14:paraId="6D2ABE83" w14:textId="77777777" w:rsidTr="2D4DAF54">
              <w:trPr>
                <w:ins w:id="218" w:author="Author"/>
              </w:trPr>
              <w:tc>
                <w:tcPr>
                  <w:tcW w:w="0" w:type="auto"/>
                  <w:shd w:val="clear" w:color="auto" w:fill="auto"/>
                  <w:hideMark/>
                </w:tcPr>
                <w:p w14:paraId="00FF2B3D" w14:textId="77777777" w:rsidR="00870B7D" w:rsidRPr="003B7AE9" w:rsidRDefault="00870B7D" w:rsidP="00503A82">
                  <w:pPr>
                    <w:spacing w:before="120" w:after="0" w:line="240" w:lineRule="auto"/>
                    <w:jc w:val="both"/>
                    <w:rPr>
                      <w:ins w:id="219" w:author="Author"/>
                      <w:rFonts w:ascii="inherit" w:eastAsia="Times New Roman" w:hAnsi="inherit" w:cs="Times New Roman"/>
                      <w:sz w:val="24"/>
                      <w:szCs w:val="24"/>
                      <w:lang w:eastAsia="en-GB"/>
                    </w:rPr>
                  </w:pPr>
                  <w:ins w:id="220" w:author="Author">
                    <w:r w:rsidRPr="003B7AE9">
                      <w:rPr>
                        <w:rFonts w:ascii="inherit" w:eastAsia="Times New Roman" w:hAnsi="inherit" w:cs="Times New Roman"/>
                        <w:sz w:val="24"/>
                        <w:szCs w:val="24"/>
                        <w:lang w:eastAsia="en-GB"/>
                      </w:rPr>
                      <w:t>(i)</w:t>
                    </w:r>
                  </w:ins>
                </w:p>
              </w:tc>
              <w:tc>
                <w:tcPr>
                  <w:tcW w:w="0" w:type="auto"/>
                  <w:shd w:val="clear" w:color="auto" w:fill="auto"/>
                  <w:hideMark/>
                </w:tcPr>
                <w:p w14:paraId="582A6327" w14:textId="55FFD2C3" w:rsidR="00870B7D" w:rsidRPr="003B7AE9" w:rsidRDefault="003B71D2" w:rsidP="00503A82">
                  <w:pPr>
                    <w:spacing w:before="120" w:after="0" w:line="240" w:lineRule="auto"/>
                    <w:jc w:val="both"/>
                    <w:rPr>
                      <w:ins w:id="221" w:author="Author"/>
                      <w:rFonts w:ascii="inherit" w:eastAsia="Times New Roman" w:hAnsi="inherit" w:cs="Times New Roman"/>
                      <w:sz w:val="24"/>
                      <w:szCs w:val="24"/>
                      <w:lang w:eastAsia="en-GB"/>
                    </w:rPr>
                  </w:pPr>
                  <w:ins w:id="222" w:author="Author">
                    <w:r>
                      <w:rPr>
                        <w:rFonts w:ascii="inherit" w:eastAsia="Times New Roman" w:hAnsi="inherit" w:cs="Times New Roman"/>
                        <w:sz w:val="24"/>
                        <w:szCs w:val="24"/>
                        <w:lang w:eastAsia="en-GB"/>
                      </w:rPr>
                      <w:t xml:space="preserve"> </w:t>
                    </w:r>
                    <w:r w:rsidR="00870B7D" w:rsidRPr="003B7AE9">
                      <w:rPr>
                        <w:rFonts w:ascii="inherit" w:eastAsia="Times New Roman" w:hAnsi="inherit" w:cs="Times New Roman"/>
                        <w:sz w:val="24"/>
                        <w:szCs w:val="24"/>
                        <w:lang w:eastAsia="en-GB"/>
                      </w:rPr>
                      <w:t xml:space="preserve">each TSO shall specify a voltage-against-time-profile in line with Figure 3 </w:t>
                    </w:r>
                    <w:r w:rsidR="00641147">
                      <w:rPr>
                        <w:rFonts w:ascii="inherit" w:eastAsia="Times New Roman" w:hAnsi="inherit" w:cs="Times New Roman"/>
                        <w:sz w:val="24"/>
                        <w:szCs w:val="24"/>
                        <w:lang w:eastAsia="en-GB"/>
                      </w:rPr>
                      <w:t>and based on European Standards if available</w:t>
                    </w:r>
                    <w:r w:rsidR="00641147" w:rsidRPr="003B7AE9">
                      <w:rPr>
                        <w:rFonts w:ascii="inherit" w:eastAsia="Times New Roman" w:hAnsi="inherit" w:cs="Times New Roman"/>
                        <w:sz w:val="24"/>
                        <w:szCs w:val="24"/>
                        <w:lang w:eastAsia="en-GB"/>
                      </w:rPr>
                      <w:t xml:space="preserve"> </w:t>
                    </w:r>
                    <w:r w:rsidR="00870B7D" w:rsidRPr="003B7AE9">
                      <w:rPr>
                        <w:rFonts w:ascii="inherit" w:eastAsia="Times New Roman" w:hAnsi="inherit" w:cs="Times New Roman"/>
                        <w:sz w:val="24"/>
                        <w:szCs w:val="24"/>
                        <w:lang w:eastAsia="en-GB"/>
                      </w:rPr>
                      <w:t>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ins>
                </w:p>
              </w:tc>
            </w:tr>
          </w:tbl>
          <w:p w14:paraId="1BDB89C0" w14:textId="77777777" w:rsidR="00870B7D" w:rsidRPr="003B7AE9" w:rsidRDefault="00870B7D" w:rsidP="00503A82">
            <w:pPr>
              <w:spacing w:after="0" w:line="240" w:lineRule="auto"/>
              <w:rPr>
                <w:ins w:id="223"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870B7D" w:rsidRPr="003B7AE9" w14:paraId="7EE24D09" w14:textId="77777777" w:rsidTr="2D4DAF54">
              <w:trPr>
                <w:ins w:id="224" w:author="Author"/>
              </w:trPr>
              <w:tc>
                <w:tcPr>
                  <w:tcW w:w="0" w:type="auto"/>
                  <w:shd w:val="clear" w:color="auto" w:fill="auto"/>
                  <w:hideMark/>
                </w:tcPr>
                <w:p w14:paraId="50403C6D" w14:textId="77777777" w:rsidR="00870B7D" w:rsidRPr="003B7AE9" w:rsidRDefault="00870B7D" w:rsidP="00503A82">
                  <w:pPr>
                    <w:spacing w:before="120" w:after="0" w:line="240" w:lineRule="auto"/>
                    <w:jc w:val="both"/>
                    <w:rPr>
                      <w:ins w:id="225" w:author="Author"/>
                      <w:rFonts w:ascii="inherit" w:eastAsia="Times New Roman" w:hAnsi="inherit" w:cs="Times New Roman"/>
                      <w:sz w:val="24"/>
                      <w:szCs w:val="24"/>
                      <w:lang w:eastAsia="en-GB"/>
                    </w:rPr>
                  </w:pPr>
                  <w:ins w:id="226" w:author="Author">
                    <w:r w:rsidRPr="003B7AE9">
                      <w:rPr>
                        <w:rFonts w:ascii="inherit" w:eastAsia="Times New Roman" w:hAnsi="inherit" w:cs="Times New Roman"/>
                        <w:sz w:val="24"/>
                        <w:szCs w:val="24"/>
                        <w:lang w:eastAsia="en-GB"/>
                      </w:rPr>
                      <w:t>(ii)</w:t>
                    </w:r>
                  </w:ins>
                </w:p>
              </w:tc>
              <w:tc>
                <w:tcPr>
                  <w:tcW w:w="0" w:type="auto"/>
                  <w:shd w:val="clear" w:color="auto" w:fill="auto"/>
                  <w:hideMark/>
                </w:tcPr>
                <w:p w14:paraId="4B5B0BD8" w14:textId="0CABF560" w:rsidR="00870B7D" w:rsidRPr="003B7AE9" w:rsidRDefault="003B71D2" w:rsidP="00503A82">
                  <w:pPr>
                    <w:spacing w:before="120" w:after="0" w:line="240" w:lineRule="auto"/>
                    <w:jc w:val="both"/>
                    <w:rPr>
                      <w:ins w:id="227" w:author="Author"/>
                      <w:rFonts w:ascii="inherit" w:eastAsia="Times New Roman" w:hAnsi="inherit" w:cs="Times New Roman"/>
                      <w:sz w:val="24"/>
                      <w:szCs w:val="24"/>
                      <w:lang w:eastAsia="en-GB"/>
                    </w:rPr>
                  </w:pPr>
                  <w:ins w:id="228" w:author="Author">
                    <w:r>
                      <w:rPr>
                        <w:rFonts w:ascii="inherit" w:eastAsia="Times New Roman" w:hAnsi="inherit" w:cs="Times New Roman"/>
                        <w:sz w:val="24"/>
                        <w:szCs w:val="24"/>
                        <w:lang w:eastAsia="en-GB"/>
                      </w:rPr>
                      <w:t xml:space="preserve"> </w:t>
                    </w:r>
                    <w:r w:rsidR="00870B7D"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ins>
                </w:p>
              </w:tc>
            </w:tr>
          </w:tbl>
          <w:p w14:paraId="4AB23DDE" w14:textId="77777777" w:rsidR="00870B7D" w:rsidRPr="003B7AE9" w:rsidRDefault="00870B7D" w:rsidP="00503A82">
            <w:pPr>
              <w:spacing w:after="0" w:line="240" w:lineRule="auto"/>
              <w:rPr>
                <w:ins w:id="229"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870B7D" w:rsidRPr="003B7AE9" w14:paraId="36D83834" w14:textId="77777777" w:rsidTr="2D4DAF54">
              <w:trPr>
                <w:ins w:id="230" w:author="Author"/>
              </w:trPr>
              <w:tc>
                <w:tcPr>
                  <w:tcW w:w="0" w:type="auto"/>
                  <w:shd w:val="clear" w:color="auto" w:fill="auto"/>
                  <w:hideMark/>
                </w:tcPr>
                <w:p w14:paraId="32FC4132" w14:textId="77777777" w:rsidR="00870B7D" w:rsidRPr="003B7AE9" w:rsidRDefault="00870B7D" w:rsidP="00503A82">
                  <w:pPr>
                    <w:spacing w:before="120" w:after="0" w:line="240" w:lineRule="auto"/>
                    <w:jc w:val="both"/>
                    <w:rPr>
                      <w:ins w:id="231" w:author="Author"/>
                      <w:rFonts w:ascii="inherit" w:eastAsia="Times New Roman" w:hAnsi="inherit" w:cs="Times New Roman"/>
                      <w:sz w:val="24"/>
                      <w:szCs w:val="24"/>
                      <w:lang w:eastAsia="en-GB"/>
                    </w:rPr>
                  </w:pPr>
                  <w:ins w:id="232" w:author="Author">
                    <w:r w:rsidRPr="003B7AE9">
                      <w:rPr>
                        <w:rFonts w:ascii="inherit" w:eastAsia="Times New Roman" w:hAnsi="inherit" w:cs="Times New Roman"/>
                        <w:sz w:val="24"/>
                        <w:szCs w:val="24"/>
                        <w:lang w:eastAsia="en-GB"/>
                      </w:rPr>
                      <w:t>(iii)</w:t>
                    </w:r>
                  </w:ins>
                </w:p>
              </w:tc>
              <w:tc>
                <w:tcPr>
                  <w:tcW w:w="0" w:type="auto"/>
                  <w:shd w:val="clear" w:color="auto" w:fill="auto"/>
                  <w:hideMark/>
                </w:tcPr>
                <w:p w14:paraId="125DE2F3" w14:textId="14A2C006" w:rsidR="00870B7D" w:rsidRPr="003B7AE9" w:rsidRDefault="003B71D2" w:rsidP="00503A82">
                  <w:pPr>
                    <w:spacing w:before="120" w:after="0" w:line="240" w:lineRule="auto"/>
                    <w:jc w:val="both"/>
                    <w:rPr>
                      <w:ins w:id="233" w:author="Author"/>
                      <w:rFonts w:ascii="inherit" w:eastAsia="Times New Roman" w:hAnsi="inherit" w:cs="Times New Roman"/>
                      <w:sz w:val="24"/>
                      <w:szCs w:val="24"/>
                      <w:lang w:eastAsia="en-GB"/>
                    </w:rPr>
                  </w:pPr>
                  <w:ins w:id="234" w:author="Author">
                    <w:r>
                      <w:rPr>
                        <w:rFonts w:ascii="inherit" w:eastAsia="Times New Roman" w:hAnsi="inherit" w:cs="Times New Roman"/>
                        <w:sz w:val="24"/>
                        <w:szCs w:val="24"/>
                        <w:lang w:eastAsia="en-GB"/>
                      </w:rPr>
                      <w:t xml:space="preserve"> </w:t>
                    </w:r>
                    <w:r w:rsidR="00870B7D" w:rsidRPr="003B7AE9">
                      <w:rPr>
                        <w:rFonts w:ascii="inherit" w:eastAsia="Times New Roman" w:hAnsi="inherit" w:cs="Times New Roman"/>
                        <w:sz w:val="24"/>
                        <w:szCs w:val="24"/>
                        <w:lang w:eastAsia="en-GB"/>
                      </w:rPr>
                      <w:t xml:space="preserve">the lower limit referred to in point (ii) shall be specified by the relevant TSO using the parameters set out in </w:t>
                    </w:r>
                    <w:commentRangeStart w:id="235"/>
                    <w:r w:rsidR="00870B7D" w:rsidRPr="003B7AE9">
                      <w:rPr>
                        <w:rFonts w:ascii="inherit" w:eastAsia="Times New Roman" w:hAnsi="inherit" w:cs="Times New Roman"/>
                        <w:sz w:val="24"/>
                        <w:szCs w:val="24"/>
                        <w:lang w:eastAsia="en-GB"/>
                      </w:rPr>
                      <w:t>Figure 3</w:t>
                    </w:r>
                    <w:commentRangeEnd w:id="235"/>
                    <w:r w:rsidR="00B47FD3">
                      <w:rPr>
                        <w:rStyle w:val="CommentReference"/>
                      </w:rPr>
                      <w:commentReference w:id="235"/>
                    </w:r>
                    <w:r w:rsidR="00870B7D" w:rsidRPr="003B7AE9">
                      <w:rPr>
                        <w:rFonts w:ascii="inherit" w:eastAsia="Times New Roman" w:hAnsi="inherit" w:cs="Times New Roman"/>
                        <w:sz w:val="24"/>
                        <w:szCs w:val="24"/>
                        <w:lang w:eastAsia="en-GB"/>
                      </w:rPr>
                      <w:t xml:space="preserve">, and within the ranges set out in </w:t>
                    </w:r>
                    <w:commentRangeStart w:id="236"/>
                    <w:r w:rsidR="00870B7D" w:rsidRPr="003B7AE9">
                      <w:rPr>
                        <w:rFonts w:ascii="inherit" w:eastAsia="Times New Roman" w:hAnsi="inherit" w:cs="Times New Roman"/>
                        <w:sz w:val="24"/>
                        <w:szCs w:val="24"/>
                        <w:lang w:eastAsia="en-GB"/>
                      </w:rPr>
                      <w:t xml:space="preserve">Tables 3.1 </w:t>
                    </w:r>
                    <w:commentRangeEnd w:id="236"/>
                    <w:r w:rsidR="00B47FD3">
                      <w:rPr>
                        <w:rStyle w:val="CommentReference"/>
                      </w:rPr>
                      <w:commentReference w:id="236"/>
                    </w:r>
                    <w:r w:rsidR="00870B7D" w:rsidRPr="003B7AE9">
                      <w:rPr>
                        <w:rFonts w:ascii="inherit" w:eastAsia="Times New Roman" w:hAnsi="inherit" w:cs="Times New Roman"/>
                        <w:sz w:val="24"/>
                        <w:szCs w:val="24"/>
                        <w:lang w:eastAsia="en-GB"/>
                      </w:rPr>
                      <w:t>and 3.2;</w:t>
                    </w:r>
                  </w:ins>
                </w:p>
              </w:tc>
            </w:tr>
          </w:tbl>
          <w:p w14:paraId="1FF0F803" w14:textId="77777777" w:rsidR="00870B7D" w:rsidRPr="003B7AE9" w:rsidRDefault="00870B7D" w:rsidP="00503A82">
            <w:pPr>
              <w:spacing w:after="0" w:line="240" w:lineRule="auto"/>
              <w:rPr>
                <w:ins w:id="237"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870B7D" w:rsidRPr="003B7AE9" w14:paraId="036CFDDC" w14:textId="77777777" w:rsidTr="2D4DAF54">
              <w:trPr>
                <w:ins w:id="238" w:author="Author"/>
              </w:trPr>
              <w:tc>
                <w:tcPr>
                  <w:tcW w:w="0" w:type="auto"/>
                  <w:shd w:val="clear" w:color="auto" w:fill="auto"/>
                  <w:hideMark/>
                </w:tcPr>
                <w:p w14:paraId="7A674BC0" w14:textId="77777777" w:rsidR="00870B7D" w:rsidRPr="003B7AE9" w:rsidRDefault="00870B7D" w:rsidP="00503A82">
                  <w:pPr>
                    <w:spacing w:before="120" w:after="0" w:line="240" w:lineRule="auto"/>
                    <w:jc w:val="both"/>
                    <w:rPr>
                      <w:ins w:id="239" w:author="Author"/>
                      <w:rFonts w:ascii="inherit" w:eastAsia="Times New Roman" w:hAnsi="inherit" w:cs="Times New Roman"/>
                      <w:sz w:val="24"/>
                      <w:szCs w:val="24"/>
                      <w:lang w:eastAsia="en-GB"/>
                    </w:rPr>
                  </w:pPr>
                  <w:ins w:id="240" w:author="Author">
                    <w:r w:rsidRPr="003B7AE9">
                      <w:rPr>
                        <w:rFonts w:ascii="inherit" w:eastAsia="Times New Roman" w:hAnsi="inherit" w:cs="Times New Roman"/>
                        <w:sz w:val="24"/>
                        <w:szCs w:val="24"/>
                        <w:lang w:eastAsia="en-GB"/>
                      </w:rPr>
                      <w:t>(iv)</w:t>
                    </w:r>
                  </w:ins>
                </w:p>
              </w:tc>
              <w:tc>
                <w:tcPr>
                  <w:tcW w:w="0" w:type="auto"/>
                  <w:shd w:val="clear" w:color="auto" w:fill="auto"/>
                  <w:hideMark/>
                </w:tcPr>
                <w:p w14:paraId="67D1FB96" w14:textId="5847122C" w:rsidR="00870B7D" w:rsidRPr="003B7AE9" w:rsidRDefault="003B71D2" w:rsidP="00503A82">
                  <w:pPr>
                    <w:spacing w:before="120" w:after="0" w:line="240" w:lineRule="auto"/>
                    <w:jc w:val="both"/>
                    <w:rPr>
                      <w:ins w:id="241" w:author="Author"/>
                      <w:rFonts w:ascii="inherit" w:eastAsia="Times New Roman" w:hAnsi="inherit" w:cs="Times New Roman"/>
                      <w:sz w:val="24"/>
                      <w:szCs w:val="24"/>
                      <w:lang w:eastAsia="en-GB"/>
                    </w:rPr>
                  </w:pPr>
                  <w:ins w:id="242" w:author="Author">
                    <w:r>
                      <w:rPr>
                        <w:rFonts w:ascii="inherit" w:eastAsia="Times New Roman" w:hAnsi="inherit" w:cs="Times New Roman"/>
                        <w:sz w:val="24"/>
                        <w:szCs w:val="24"/>
                        <w:lang w:eastAsia="en-GB"/>
                      </w:rPr>
                      <w:t xml:space="preserve"> </w:t>
                    </w:r>
                    <w:r w:rsidR="00870B7D"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ins>
                </w:p>
                <w:tbl>
                  <w:tblPr>
                    <w:tblW w:w="5000" w:type="pct"/>
                    <w:tblCellMar>
                      <w:left w:w="0" w:type="dxa"/>
                      <w:right w:w="0" w:type="dxa"/>
                    </w:tblCellMar>
                    <w:tblLook w:val="04A0" w:firstRow="1" w:lastRow="0" w:firstColumn="1" w:lastColumn="0" w:noHBand="0" w:noVBand="1"/>
                  </w:tblPr>
                  <w:tblGrid>
                    <w:gridCol w:w="240"/>
                    <w:gridCol w:w="8114"/>
                  </w:tblGrid>
                  <w:tr w:rsidR="00870B7D" w:rsidRPr="003B7AE9" w14:paraId="368B9EF4" w14:textId="77777777" w:rsidTr="2D4DAF54">
                    <w:trPr>
                      <w:ins w:id="243" w:author="Author"/>
                    </w:trPr>
                    <w:tc>
                      <w:tcPr>
                        <w:tcW w:w="0" w:type="auto"/>
                        <w:shd w:val="clear" w:color="auto" w:fill="auto"/>
                        <w:hideMark/>
                      </w:tcPr>
                      <w:p w14:paraId="7DAD86A0" w14:textId="77777777" w:rsidR="00870B7D" w:rsidRPr="003B7AE9" w:rsidRDefault="00870B7D" w:rsidP="00503A82">
                        <w:pPr>
                          <w:spacing w:before="120" w:after="0" w:line="240" w:lineRule="auto"/>
                          <w:jc w:val="both"/>
                          <w:rPr>
                            <w:ins w:id="244" w:author="Author"/>
                            <w:rFonts w:ascii="inherit" w:eastAsia="Times New Roman" w:hAnsi="inherit" w:cs="Times New Roman"/>
                            <w:sz w:val="24"/>
                            <w:szCs w:val="24"/>
                            <w:lang w:eastAsia="en-GB"/>
                          </w:rPr>
                        </w:pPr>
                        <w:ins w:id="245" w:author="Author">
                          <w:r w:rsidRPr="003B7AE9">
                            <w:rPr>
                              <w:rFonts w:ascii="inherit" w:eastAsia="Times New Roman" w:hAnsi="inherit" w:cs="Times New Roman"/>
                              <w:sz w:val="24"/>
                              <w:szCs w:val="24"/>
                              <w:lang w:eastAsia="en-GB"/>
                            </w:rPr>
                            <w:t>—</w:t>
                          </w:r>
                        </w:ins>
                      </w:p>
                    </w:tc>
                    <w:tc>
                      <w:tcPr>
                        <w:tcW w:w="0" w:type="auto"/>
                        <w:shd w:val="clear" w:color="auto" w:fill="auto"/>
                        <w:hideMark/>
                      </w:tcPr>
                      <w:p w14:paraId="05129FDD" w14:textId="77777777" w:rsidR="00870B7D" w:rsidRPr="003B7AE9" w:rsidRDefault="00870B7D" w:rsidP="00503A82">
                        <w:pPr>
                          <w:spacing w:before="120" w:after="0" w:line="240" w:lineRule="auto"/>
                          <w:jc w:val="both"/>
                          <w:rPr>
                            <w:ins w:id="246" w:author="Author"/>
                            <w:rFonts w:ascii="inherit" w:eastAsia="Times New Roman" w:hAnsi="inherit" w:cs="Times New Roman"/>
                            <w:sz w:val="24"/>
                            <w:szCs w:val="24"/>
                            <w:lang w:eastAsia="en-GB"/>
                          </w:rPr>
                        </w:pPr>
                        <w:ins w:id="247" w:author="Author">
                          <w:r w:rsidRPr="003B7AE9">
                            <w:rPr>
                              <w:rFonts w:ascii="inherit" w:eastAsia="Times New Roman" w:hAnsi="inherit" w:cs="Times New Roman"/>
                              <w:sz w:val="24"/>
                              <w:szCs w:val="24"/>
                              <w:lang w:eastAsia="en-GB"/>
                            </w:rPr>
                            <w:t>the calculation of the pre-fault minimum short circuit capacity at the connection point,</w:t>
                          </w:r>
                        </w:ins>
                      </w:p>
                    </w:tc>
                  </w:tr>
                </w:tbl>
                <w:p w14:paraId="255DBCED" w14:textId="77777777" w:rsidR="00870B7D" w:rsidRPr="003B7AE9" w:rsidRDefault="00870B7D" w:rsidP="00503A82">
                  <w:pPr>
                    <w:spacing w:after="0" w:line="240" w:lineRule="auto"/>
                    <w:rPr>
                      <w:ins w:id="248"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870B7D" w:rsidRPr="003B7AE9" w14:paraId="1875A115" w14:textId="77777777" w:rsidTr="2D4DAF54">
                    <w:trPr>
                      <w:ins w:id="249" w:author="Author"/>
                    </w:trPr>
                    <w:tc>
                      <w:tcPr>
                        <w:tcW w:w="0" w:type="auto"/>
                        <w:shd w:val="clear" w:color="auto" w:fill="auto"/>
                        <w:hideMark/>
                      </w:tcPr>
                      <w:p w14:paraId="1825921D" w14:textId="77777777" w:rsidR="00870B7D" w:rsidRPr="003B7AE9" w:rsidRDefault="00870B7D" w:rsidP="00503A82">
                        <w:pPr>
                          <w:spacing w:before="120" w:after="0" w:line="240" w:lineRule="auto"/>
                          <w:jc w:val="both"/>
                          <w:rPr>
                            <w:ins w:id="250" w:author="Author"/>
                            <w:rFonts w:ascii="inherit" w:eastAsia="Times New Roman" w:hAnsi="inherit" w:cs="Times New Roman"/>
                            <w:sz w:val="24"/>
                            <w:szCs w:val="24"/>
                            <w:lang w:eastAsia="en-GB"/>
                          </w:rPr>
                        </w:pPr>
                        <w:ins w:id="251" w:author="Author">
                          <w:r w:rsidRPr="003B7AE9">
                            <w:rPr>
                              <w:rFonts w:ascii="inherit" w:eastAsia="Times New Roman" w:hAnsi="inherit" w:cs="Times New Roman"/>
                              <w:sz w:val="24"/>
                              <w:szCs w:val="24"/>
                              <w:lang w:eastAsia="en-GB"/>
                            </w:rPr>
                            <w:t>—</w:t>
                          </w:r>
                        </w:ins>
                      </w:p>
                    </w:tc>
                    <w:tc>
                      <w:tcPr>
                        <w:tcW w:w="0" w:type="auto"/>
                        <w:shd w:val="clear" w:color="auto" w:fill="auto"/>
                        <w:hideMark/>
                      </w:tcPr>
                      <w:p w14:paraId="746316FB" w14:textId="77777777" w:rsidR="00870B7D" w:rsidRPr="003B7AE9" w:rsidRDefault="00870B7D" w:rsidP="00503A82">
                        <w:pPr>
                          <w:spacing w:before="120" w:after="0" w:line="240" w:lineRule="auto"/>
                          <w:jc w:val="both"/>
                          <w:rPr>
                            <w:ins w:id="252" w:author="Author"/>
                            <w:rFonts w:ascii="inherit" w:eastAsia="Times New Roman" w:hAnsi="inherit" w:cs="Times New Roman"/>
                            <w:sz w:val="24"/>
                            <w:szCs w:val="24"/>
                            <w:lang w:eastAsia="en-GB"/>
                          </w:rPr>
                        </w:pPr>
                        <w:ins w:id="253" w:author="Author">
                          <w:r w:rsidRPr="003B7AE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ins>
                      </w:p>
                    </w:tc>
                  </w:tr>
                </w:tbl>
                <w:p w14:paraId="73B16CE1" w14:textId="77777777" w:rsidR="00870B7D" w:rsidRPr="003B7AE9" w:rsidRDefault="00870B7D" w:rsidP="00503A82">
                  <w:pPr>
                    <w:spacing w:after="0" w:line="240" w:lineRule="auto"/>
                    <w:rPr>
                      <w:ins w:id="254"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870B7D" w:rsidRPr="003B7AE9" w14:paraId="4ACEFF96" w14:textId="77777777" w:rsidTr="2D4DAF54">
                    <w:trPr>
                      <w:ins w:id="255" w:author="Author"/>
                    </w:trPr>
                    <w:tc>
                      <w:tcPr>
                        <w:tcW w:w="0" w:type="auto"/>
                        <w:shd w:val="clear" w:color="auto" w:fill="auto"/>
                        <w:hideMark/>
                      </w:tcPr>
                      <w:p w14:paraId="78AAF42A" w14:textId="77777777" w:rsidR="00870B7D" w:rsidRPr="003B7AE9" w:rsidRDefault="00870B7D" w:rsidP="00503A82">
                        <w:pPr>
                          <w:spacing w:before="120" w:after="0" w:line="240" w:lineRule="auto"/>
                          <w:jc w:val="both"/>
                          <w:rPr>
                            <w:ins w:id="256" w:author="Author"/>
                            <w:rFonts w:ascii="inherit" w:eastAsia="Times New Roman" w:hAnsi="inherit" w:cs="Times New Roman"/>
                            <w:sz w:val="24"/>
                            <w:szCs w:val="24"/>
                            <w:lang w:eastAsia="en-GB"/>
                          </w:rPr>
                        </w:pPr>
                        <w:ins w:id="257" w:author="Author">
                          <w:r w:rsidRPr="003B7AE9">
                            <w:rPr>
                              <w:rFonts w:ascii="inherit" w:eastAsia="Times New Roman" w:hAnsi="inherit" w:cs="Times New Roman"/>
                              <w:sz w:val="24"/>
                              <w:szCs w:val="24"/>
                              <w:lang w:eastAsia="en-GB"/>
                            </w:rPr>
                            <w:t>—</w:t>
                          </w:r>
                        </w:ins>
                      </w:p>
                    </w:tc>
                    <w:tc>
                      <w:tcPr>
                        <w:tcW w:w="0" w:type="auto"/>
                        <w:shd w:val="clear" w:color="auto" w:fill="auto"/>
                        <w:hideMark/>
                      </w:tcPr>
                      <w:p w14:paraId="5165D5FC" w14:textId="77777777" w:rsidR="00870B7D" w:rsidRPr="003B7AE9" w:rsidRDefault="00870B7D" w:rsidP="00503A82">
                        <w:pPr>
                          <w:spacing w:before="120" w:after="0" w:line="240" w:lineRule="auto"/>
                          <w:jc w:val="both"/>
                          <w:rPr>
                            <w:ins w:id="258" w:author="Author"/>
                            <w:rFonts w:ascii="inherit" w:eastAsia="Times New Roman" w:hAnsi="inherit" w:cs="Times New Roman"/>
                            <w:sz w:val="24"/>
                            <w:szCs w:val="24"/>
                            <w:lang w:eastAsia="en-GB"/>
                          </w:rPr>
                        </w:pPr>
                        <w:ins w:id="259" w:author="Author">
                          <w:r w:rsidRPr="003B7AE9">
                            <w:rPr>
                              <w:rFonts w:ascii="inherit" w:eastAsia="Times New Roman" w:hAnsi="inherit" w:cs="Times New Roman"/>
                              <w:sz w:val="24"/>
                              <w:szCs w:val="24"/>
                              <w:lang w:eastAsia="en-GB"/>
                            </w:rPr>
                            <w:t>calculation of the post-fault minimum short circuit capacity at the connection point;</w:t>
                          </w:r>
                        </w:ins>
                      </w:p>
                    </w:tc>
                  </w:tr>
                </w:tbl>
                <w:p w14:paraId="022FEB92" w14:textId="77777777" w:rsidR="00870B7D" w:rsidRPr="003B7AE9" w:rsidRDefault="00870B7D" w:rsidP="00503A82">
                  <w:pPr>
                    <w:spacing w:after="0" w:line="240" w:lineRule="auto"/>
                    <w:rPr>
                      <w:ins w:id="260" w:author="Author"/>
                      <w:rFonts w:ascii="inherit" w:eastAsia="Times New Roman" w:hAnsi="inherit" w:cs="Times New Roman"/>
                      <w:sz w:val="24"/>
                      <w:szCs w:val="24"/>
                      <w:lang w:eastAsia="en-GB"/>
                    </w:rPr>
                  </w:pPr>
                </w:p>
              </w:tc>
            </w:tr>
          </w:tbl>
          <w:p w14:paraId="07538EC9" w14:textId="77777777" w:rsidR="00870B7D" w:rsidRPr="003B7AE9" w:rsidRDefault="00870B7D" w:rsidP="00503A82">
            <w:pPr>
              <w:spacing w:after="0" w:line="240" w:lineRule="auto"/>
              <w:rPr>
                <w:ins w:id="261"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870B7D" w:rsidRPr="003B7AE9" w14:paraId="1D5AE99A" w14:textId="77777777" w:rsidTr="2D4DAF54">
              <w:trPr>
                <w:ins w:id="262" w:author="Author"/>
              </w:trPr>
              <w:tc>
                <w:tcPr>
                  <w:tcW w:w="0" w:type="auto"/>
                  <w:shd w:val="clear" w:color="auto" w:fill="auto"/>
                  <w:hideMark/>
                </w:tcPr>
                <w:p w14:paraId="2B995F6C" w14:textId="77777777" w:rsidR="00870B7D" w:rsidRPr="003B7AE9" w:rsidRDefault="00870B7D" w:rsidP="00503A82">
                  <w:pPr>
                    <w:spacing w:before="120" w:after="0" w:line="240" w:lineRule="auto"/>
                    <w:jc w:val="both"/>
                    <w:rPr>
                      <w:ins w:id="263" w:author="Author"/>
                      <w:rFonts w:ascii="inherit" w:eastAsia="Times New Roman" w:hAnsi="inherit" w:cs="Times New Roman"/>
                      <w:sz w:val="24"/>
                      <w:szCs w:val="24"/>
                      <w:lang w:eastAsia="en-GB"/>
                    </w:rPr>
                  </w:pPr>
                  <w:ins w:id="264" w:author="Author">
                    <w:r w:rsidRPr="003B7AE9">
                      <w:rPr>
                        <w:rFonts w:ascii="inherit" w:eastAsia="Times New Roman" w:hAnsi="inherit" w:cs="Times New Roman"/>
                        <w:sz w:val="24"/>
                        <w:szCs w:val="24"/>
                        <w:lang w:eastAsia="en-GB"/>
                      </w:rPr>
                      <w:t>(v)</w:t>
                    </w:r>
                  </w:ins>
                </w:p>
              </w:tc>
              <w:tc>
                <w:tcPr>
                  <w:tcW w:w="0" w:type="auto"/>
                  <w:shd w:val="clear" w:color="auto" w:fill="auto"/>
                  <w:hideMark/>
                </w:tcPr>
                <w:p w14:paraId="35EE7579" w14:textId="19DACB99" w:rsidR="00870B7D" w:rsidRPr="003B7AE9" w:rsidRDefault="003B71D2" w:rsidP="00503A82">
                  <w:pPr>
                    <w:spacing w:before="120" w:after="0" w:line="240" w:lineRule="auto"/>
                    <w:jc w:val="both"/>
                    <w:rPr>
                      <w:ins w:id="265" w:author="Author"/>
                      <w:rFonts w:ascii="inherit" w:eastAsia="Times New Roman" w:hAnsi="inherit" w:cs="Times New Roman"/>
                      <w:sz w:val="24"/>
                      <w:szCs w:val="24"/>
                      <w:lang w:eastAsia="en-GB"/>
                    </w:rPr>
                  </w:pPr>
                  <w:ins w:id="266" w:author="Author">
                    <w:r>
                      <w:rPr>
                        <w:rFonts w:ascii="inherit" w:eastAsia="Times New Roman" w:hAnsi="inherit" w:cs="Times New Roman"/>
                        <w:sz w:val="24"/>
                        <w:szCs w:val="24"/>
                        <w:lang w:eastAsia="en-GB"/>
                      </w:rPr>
                      <w:t xml:space="preserve"> </w:t>
                    </w:r>
                    <w:r w:rsidR="00870B7D"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ins>
                </w:p>
                <w:tbl>
                  <w:tblPr>
                    <w:tblW w:w="5000" w:type="pct"/>
                    <w:tblCellMar>
                      <w:left w:w="0" w:type="dxa"/>
                      <w:right w:w="0" w:type="dxa"/>
                    </w:tblCellMar>
                    <w:tblLook w:val="04A0" w:firstRow="1" w:lastRow="0" w:firstColumn="1" w:lastColumn="0" w:noHBand="0" w:noVBand="1"/>
                  </w:tblPr>
                  <w:tblGrid>
                    <w:gridCol w:w="240"/>
                    <w:gridCol w:w="8180"/>
                  </w:tblGrid>
                  <w:tr w:rsidR="00870B7D" w:rsidRPr="003B7AE9" w14:paraId="33EC9E0D" w14:textId="77777777" w:rsidTr="2D4DAF54">
                    <w:trPr>
                      <w:ins w:id="267" w:author="Author"/>
                    </w:trPr>
                    <w:tc>
                      <w:tcPr>
                        <w:tcW w:w="0" w:type="auto"/>
                        <w:shd w:val="clear" w:color="auto" w:fill="auto"/>
                        <w:hideMark/>
                      </w:tcPr>
                      <w:p w14:paraId="181D8198" w14:textId="77777777" w:rsidR="00870B7D" w:rsidRPr="003B7AE9" w:rsidRDefault="00870B7D" w:rsidP="00503A82">
                        <w:pPr>
                          <w:spacing w:before="120" w:after="0" w:line="240" w:lineRule="auto"/>
                          <w:jc w:val="both"/>
                          <w:rPr>
                            <w:ins w:id="268" w:author="Author"/>
                            <w:rFonts w:ascii="inherit" w:eastAsia="Times New Roman" w:hAnsi="inherit" w:cs="Times New Roman"/>
                            <w:sz w:val="24"/>
                            <w:szCs w:val="24"/>
                            <w:lang w:eastAsia="en-GB"/>
                          </w:rPr>
                        </w:pPr>
                        <w:ins w:id="269" w:author="Author">
                          <w:r w:rsidRPr="003B7AE9">
                            <w:rPr>
                              <w:rFonts w:ascii="inherit" w:eastAsia="Times New Roman" w:hAnsi="inherit" w:cs="Times New Roman"/>
                              <w:sz w:val="24"/>
                              <w:szCs w:val="24"/>
                              <w:lang w:eastAsia="en-GB"/>
                            </w:rPr>
                            <w:t>—</w:t>
                          </w:r>
                        </w:ins>
                      </w:p>
                    </w:tc>
                    <w:tc>
                      <w:tcPr>
                        <w:tcW w:w="0" w:type="auto"/>
                        <w:shd w:val="clear" w:color="auto" w:fill="auto"/>
                        <w:hideMark/>
                      </w:tcPr>
                      <w:p w14:paraId="3F016781" w14:textId="77777777" w:rsidR="00870B7D" w:rsidRPr="003B7AE9" w:rsidRDefault="00870B7D" w:rsidP="00503A82">
                        <w:pPr>
                          <w:spacing w:before="120" w:after="0" w:line="240" w:lineRule="auto"/>
                          <w:jc w:val="both"/>
                          <w:rPr>
                            <w:ins w:id="270" w:author="Author"/>
                            <w:rFonts w:ascii="inherit" w:eastAsia="Times New Roman" w:hAnsi="inherit" w:cs="Times New Roman"/>
                            <w:sz w:val="24"/>
                            <w:szCs w:val="24"/>
                            <w:lang w:eastAsia="en-GB"/>
                          </w:rPr>
                        </w:pPr>
                        <w:ins w:id="271" w:author="Author">
                          <w:r w:rsidRPr="003B7AE9">
                            <w:rPr>
                              <w:rFonts w:ascii="inherit" w:eastAsia="Times New Roman" w:hAnsi="inherit" w:cs="Times New Roman"/>
                              <w:sz w:val="24"/>
                              <w:szCs w:val="24"/>
                              <w:lang w:eastAsia="en-GB"/>
                            </w:rPr>
                            <w:t>pre-fault minimum short circuit capacity at each connection point expressed in MVA,</w:t>
                          </w:r>
                        </w:ins>
                      </w:p>
                    </w:tc>
                  </w:tr>
                </w:tbl>
                <w:p w14:paraId="17781890" w14:textId="77777777" w:rsidR="00870B7D" w:rsidRPr="003B7AE9" w:rsidRDefault="00870B7D" w:rsidP="00503A82">
                  <w:pPr>
                    <w:spacing w:after="0" w:line="240" w:lineRule="auto"/>
                    <w:rPr>
                      <w:ins w:id="272"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870B7D" w:rsidRPr="003B7AE9" w14:paraId="27460234" w14:textId="77777777" w:rsidTr="2D4DAF54">
                    <w:trPr>
                      <w:ins w:id="273" w:author="Author"/>
                    </w:trPr>
                    <w:tc>
                      <w:tcPr>
                        <w:tcW w:w="0" w:type="auto"/>
                        <w:shd w:val="clear" w:color="auto" w:fill="auto"/>
                        <w:hideMark/>
                      </w:tcPr>
                      <w:p w14:paraId="75531CDC" w14:textId="77777777" w:rsidR="00870B7D" w:rsidRPr="003B7AE9" w:rsidRDefault="00870B7D" w:rsidP="00503A82">
                        <w:pPr>
                          <w:spacing w:before="120" w:after="0" w:line="240" w:lineRule="auto"/>
                          <w:jc w:val="both"/>
                          <w:rPr>
                            <w:ins w:id="274" w:author="Author"/>
                            <w:rFonts w:ascii="inherit" w:eastAsia="Times New Roman" w:hAnsi="inherit" w:cs="Times New Roman"/>
                            <w:sz w:val="24"/>
                            <w:szCs w:val="24"/>
                            <w:lang w:eastAsia="en-GB"/>
                          </w:rPr>
                        </w:pPr>
                        <w:ins w:id="275" w:author="Author">
                          <w:r w:rsidRPr="003B7AE9">
                            <w:rPr>
                              <w:rFonts w:ascii="inherit" w:eastAsia="Times New Roman" w:hAnsi="inherit" w:cs="Times New Roman"/>
                              <w:sz w:val="24"/>
                              <w:szCs w:val="24"/>
                              <w:lang w:eastAsia="en-GB"/>
                            </w:rPr>
                            <w:t>—</w:t>
                          </w:r>
                        </w:ins>
                      </w:p>
                    </w:tc>
                    <w:tc>
                      <w:tcPr>
                        <w:tcW w:w="0" w:type="auto"/>
                        <w:shd w:val="clear" w:color="auto" w:fill="auto"/>
                        <w:hideMark/>
                      </w:tcPr>
                      <w:p w14:paraId="108707E1" w14:textId="77777777" w:rsidR="00870B7D" w:rsidRPr="003B7AE9" w:rsidRDefault="00870B7D" w:rsidP="00503A82">
                        <w:pPr>
                          <w:spacing w:before="120" w:after="0" w:line="240" w:lineRule="auto"/>
                          <w:jc w:val="both"/>
                          <w:rPr>
                            <w:ins w:id="276" w:author="Author"/>
                            <w:rFonts w:ascii="inherit" w:eastAsia="Times New Roman" w:hAnsi="inherit" w:cs="Times New Roman"/>
                            <w:sz w:val="24"/>
                            <w:szCs w:val="24"/>
                            <w:lang w:eastAsia="en-GB"/>
                          </w:rPr>
                        </w:pPr>
                        <w:ins w:id="277" w:author="Autho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ins>
                      </w:p>
                    </w:tc>
                  </w:tr>
                </w:tbl>
                <w:p w14:paraId="43CF58F6" w14:textId="77777777" w:rsidR="00870B7D" w:rsidRPr="003B7AE9" w:rsidRDefault="00870B7D" w:rsidP="00503A82">
                  <w:pPr>
                    <w:spacing w:after="0" w:line="240" w:lineRule="auto"/>
                    <w:rPr>
                      <w:ins w:id="278"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870B7D" w:rsidRPr="003B7AE9" w14:paraId="05690DA5" w14:textId="77777777" w:rsidTr="2D4DAF54">
                    <w:trPr>
                      <w:ins w:id="279" w:author="Author"/>
                    </w:trPr>
                    <w:tc>
                      <w:tcPr>
                        <w:tcW w:w="0" w:type="auto"/>
                        <w:shd w:val="clear" w:color="auto" w:fill="auto"/>
                        <w:hideMark/>
                      </w:tcPr>
                      <w:p w14:paraId="0494A791" w14:textId="77777777" w:rsidR="00870B7D" w:rsidRPr="003B7AE9" w:rsidRDefault="00870B7D" w:rsidP="00503A82">
                        <w:pPr>
                          <w:spacing w:before="120" w:after="0" w:line="240" w:lineRule="auto"/>
                          <w:jc w:val="both"/>
                          <w:rPr>
                            <w:ins w:id="280" w:author="Author"/>
                            <w:rFonts w:ascii="inherit" w:eastAsia="Times New Roman" w:hAnsi="inherit" w:cs="Times New Roman"/>
                            <w:sz w:val="24"/>
                            <w:szCs w:val="24"/>
                            <w:lang w:eastAsia="en-GB"/>
                          </w:rPr>
                        </w:pPr>
                        <w:ins w:id="281" w:author="Author">
                          <w:r w:rsidRPr="003B7AE9">
                            <w:rPr>
                              <w:rFonts w:ascii="inherit" w:eastAsia="Times New Roman" w:hAnsi="inherit" w:cs="Times New Roman"/>
                              <w:sz w:val="24"/>
                              <w:szCs w:val="24"/>
                              <w:lang w:eastAsia="en-GB"/>
                            </w:rPr>
                            <w:t>—</w:t>
                          </w:r>
                        </w:ins>
                      </w:p>
                    </w:tc>
                    <w:tc>
                      <w:tcPr>
                        <w:tcW w:w="0" w:type="auto"/>
                        <w:shd w:val="clear" w:color="auto" w:fill="auto"/>
                        <w:hideMark/>
                      </w:tcPr>
                      <w:p w14:paraId="55ED231E" w14:textId="77777777" w:rsidR="00870B7D" w:rsidRPr="003B7AE9" w:rsidRDefault="00870B7D" w:rsidP="00503A82">
                        <w:pPr>
                          <w:spacing w:before="120" w:after="0" w:line="240" w:lineRule="auto"/>
                          <w:jc w:val="both"/>
                          <w:rPr>
                            <w:ins w:id="282" w:author="Author"/>
                            <w:rFonts w:ascii="inherit" w:eastAsia="Times New Roman" w:hAnsi="inherit" w:cs="Times New Roman"/>
                            <w:sz w:val="24"/>
                            <w:szCs w:val="24"/>
                            <w:lang w:eastAsia="en-GB"/>
                          </w:rPr>
                        </w:pPr>
                        <w:ins w:id="283" w:author="Author">
                          <w:r w:rsidRPr="003B7AE9">
                            <w:rPr>
                              <w:rFonts w:ascii="inherit" w:eastAsia="Times New Roman" w:hAnsi="inherit" w:cs="Times New Roman"/>
                              <w:sz w:val="24"/>
                              <w:szCs w:val="24"/>
                              <w:lang w:eastAsia="en-GB"/>
                            </w:rPr>
                            <w:t>post-fault minimum short circuit capacity at each connection point expressed in MVA.</w:t>
                          </w:r>
                        </w:ins>
                      </w:p>
                    </w:tc>
                  </w:tr>
                </w:tbl>
                <w:p w14:paraId="2A3D1AF4" w14:textId="77777777" w:rsidR="00870B7D" w:rsidRPr="003B7AE9" w:rsidRDefault="00870B7D" w:rsidP="00503A82">
                  <w:pPr>
                    <w:spacing w:before="120" w:after="0" w:line="240" w:lineRule="auto"/>
                    <w:jc w:val="both"/>
                    <w:rPr>
                      <w:ins w:id="284" w:author="Author"/>
                      <w:rFonts w:ascii="inherit" w:eastAsia="Times New Roman" w:hAnsi="inherit" w:cs="Times New Roman"/>
                      <w:sz w:val="24"/>
                      <w:szCs w:val="24"/>
                      <w:lang w:eastAsia="en-GB"/>
                    </w:rPr>
                  </w:pPr>
                  <w:ins w:id="285" w:author="Author">
                    <w:r w:rsidRPr="003B7AE9">
                      <w:rPr>
                        <w:rFonts w:ascii="inherit" w:eastAsia="Times New Roman" w:hAnsi="inherit" w:cs="Times New Roman"/>
                        <w:sz w:val="24"/>
                        <w:szCs w:val="24"/>
                        <w:lang w:eastAsia="en-GB"/>
                      </w:rPr>
                      <w:t>Alternatively, the relevant system operator may provide generic values derived from typical cases;</w:t>
                    </w:r>
                  </w:ins>
                </w:p>
                <w:p w14:paraId="053FDC55" w14:textId="77777777" w:rsidR="00870B7D" w:rsidRPr="003B7AE9" w:rsidRDefault="00870B7D" w:rsidP="00503A82">
                  <w:pPr>
                    <w:spacing w:before="240" w:after="120" w:line="240" w:lineRule="auto"/>
                    <w:jc w:val="both"/>
                    <w:rPr>
                      <w:ins w:id="286" w:author="Author"/>
                      <w:rFonts w:ascii="inherit" w:eastAsia="Times New Roman" w:hAnsi="inherit" w:cs="Times New Roman"/>
                      <w:b/>
                      <w:bCs/>
                      <w:sz w:val="24"/>
                      <w:szCs w:val="24"/>
                      <w:lang w:eastAsia="en-GB"/>
                    </w:rPr>
                  </w:pPr>
                  <w:ins w:id="287" w:author="Author">
                    <w:r w:rsidRPr="2D4DAF54">
                      <w:rPr>
                        <w:rFonts w:ascii="inherit" w:eastAsia="Times New Roman" w:hAnsi="inherit" w:cs="Times New Roman"/>
                        <w:b/>
                        <w:bCs/>
                        <w:i/>
                        <w:iCs/>
                        <w:sz w:val="24"/>
                        <w:szCs w:val="24"/>
                        <w:lang w:eastAsia="en-GB"/>
                      </w:rPr>
                      <w:t>Figure 3</w:t>
                    </w:r>
                  </w:ins>
                </w:p>
                <w:p w14:paraId="7DF46C9C" w14:textId="77777777" w:rsidR="00870B7D" w:rsidRPr="003B7AE9" w:rsidRDefault="00870B7D" w:rsidP="00503A82">
                  <w:pPr>
                    <w:spacing w:before="240" w:after="120" w:line="240" w:lineRule="auto"/>
                    <w:jc w:val="both"/>
                    <w:rPr>
                      <w:ins w:id="288" w:author="Author"/>
                      <w:rFonts w:ascii="inherit" w:eastAsia="Times New Roman" w:hAnsi="inherit" w:cs="Times New Roman"/>
                      <w:b/>
                      <w:bCs/>
                      <w:sz w:val="24"/>
                      <w:szCs w:val="24"/>
                      <w:lang w:eastAsia="en-GB"/>
                    </w:rPr>
                  </w:pPr>
                  <w:ins w:id="289" w:author="Author">
                    <w:r w:rsidRPr="003B7AE9">
                      <w:rPr>
                        <w:rFonts w:ascii="inherit" w:eastAsia="Times New Roman" w:hAnsi="inherit" w:cs="Times New Roman"/>
                        <w:b/>
                        <w:bCs/>
                        <w:sz w:val="24"/>
                        <w:szCs w:val="24"/>
                        <w:lang w:eastAsia="en-GB"/>
                      </w:rPr>
                      <w:t>Fault-ride-through profile of a power-generating module</w:t>
                    </w:r>
                  </w:ins>
                </w:p>
                <w:p w14:paraId="24F7A4AB" w14:textId="77777777" w:rsidR="00870B7D" w:rsidRPr="003B7AE9" w:rsidRDefault="00870B7D" w:rsidP="00503A82">
                  <w:pPr>
                    <w:spacing w:after="0" w:line="240" w:lineRule="auto"/>
                    <w:rPr>
                      <w:ins w:id="290" w:author="Author"/>
                      <w:rFonts w:ascii="inherit" w:eastAsia="Times New Roman" w:hAnsi="inherit" w:cs="Times New Roman"/>
                      <w:sz w:val="24"/>
                      <w:szCs w:val="24"/>
                      <w:lang w:eastAsia="en-GB"/>
                    </w:rPr>
                  </w:pPr>
                  <w:ins w:id="291" w:author="Author">
                    <w:r w:rsidRPr="003B7AE9">
                      <w:rPr>
                        <w:rFonts w:ascii="inherit" w:eastAsia="Times New Roman" w:hAnsi="inherit" w:cs="Times New Roman"/>
                        <w:noProof/>
                        <w:sz w:val="24"/>
                        <w:szCs w:val="24"/>
                        <w:lang w:eastAsia="en-GB"/>
                      </w:rPr>
                      <w:lastRenderedPageBreak/>
                      <w:drawing>
                        <wp:inline distT="0" distB="0" distL="0" distR="0" wp14:anchorId="348EF086" wp14:editId="6AAE1BE5">
                          <wp:extent cx="4972050" cy="2952750"/>
                          <wp:effectExtent l="0" t="0" r="0" b="0"/>
                          <wp:docPr id="1"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ins>
                </w:p>
                <w:p w14:paraId="4B7501AC" w14:textId="77777777" w:rsidR="00870B7D" w:rsidRPr="003B7AE9" w:rsidRDefault="00870B7D" w:rsidP="00503A82">
                  <w:pPr>
                    <w:spacing w:before="120" w:after="0" w:line="240" w:lineRule="auto"/>
                    <w:jc w:val="both"/>
                    <w:rPr>
                      <w:ins w:id="292" w:author="Author"/>
                      <w:rFonts w:ascii="inherit" w:eastAsia="Times New Roman" w:hAnsi="inherit" w:cs="Times New Roman"/>
                      <w:sz w:val="24"/>
                      <w:szCs w:val="24"/>
                      <w:lang w:eastAsia="en-GB"/>
                    </w:rPr>
                  </w:pPr>
                  <w:ins w:id="293" w:author="Author">
                    <w:r w:rsidRPr="003B7AE9">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3B7AE9">
                      <w:rPr>
                        <w:rFonts w:ascii="inherit" w:eastAsia="Times New Roman" w:hAnsi="inherit" w:cs="Times New Roman"/>
                        <w:sz w:val="17"/>
                        <w:szCs w:val="17"/>
                        <w:vertAlign w:val="subscript"/>
                        <w:lang w:eastAsia="en-GB"/>
                      </w:rPr>
                      <w:t>ret</w:t>
                    </w:r>
                    <w:r w:rsidRPr="003B7AE9">
                      <w:rPr>
                        <w:rFonts w:ascii="inherit" w:eastAsia="Times New Roman" w:hAnsi="inherit" w:cs="Times New Roman"/>
                        <w:sz w:val="24"/>
                        <w:szCs w:val="24"/>
                        <w:lang w:eastAsia="en-GB"/>
                      </w:rPr>
                      <w:t> is the retained voltage at the connection point during a fault, t</w:t>
                    </w:r>
                    <w:r w:rsidRPr="003B7AE9">
                      <w:rPr>
                        <w:rFonts w:ascii="inherit" w:eastAsia="Times New Roman" w:hAnsi="inherit" w:cs="Times New Roman"/>
                        <w:sz w:val="17"/>
                        <w:szCs w:val="17"/>
                        <w:vertAlign w:val="subscript"/>
                        <w:lang w:eastAsia="en-GB"/>
                      </w:rPr>
                      <w:t>clear</w:t>
                    </w:r>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ins>
                </w:p>
                <w:p w14:paraId="62CDFD3F" w14:textId="77777777" w:rsidR="00870B7D" w:rsidRPr="003B7AE9" w:rsidRDefault="00870B7D" w:rsidP="00503A82">
                  <w:pPr>
                    <w:spacing w:before="120" w:after="120" w:line="240" w:lineRule="auto"/>
                    <w:jc w:val="center"/>
                    <w:rPr>
                      <w:ins w:id="294" w:author="Author"/>
                      <w:rFonts w:ascii="inherit" w:eastAsia="Times New Roman" w:hAnsi="inherit" w:cs="Times New Roman"/>
                      <w:sz w:val="24"/>
                      <w:szCs w:val="24"/>
                      <w:lang w:eastAsia="en-GB"/>
                    </w:rPr>
                  </w:pPr>
                  <w:ins w:id="295" w:author="Author">
                    <w:r w:rsidRPr="2D4DAF54">
                      <w:rPr>
                        <w:rFonts w:ascii="inherit" w:eastAsia="Times New Roman" w:hAnsi="inherit" w:cs="Times New Roman"/>
                        <w:i/>
                        <w:iCs/>
                        <w:sz w:val="24"/>
                        <w:szCs w:val="24"/>
                        <w:lang w:eastAsia="en-GB"/>
                      </w:rPr>
                      <w:t>Table 3.1</w:t>
                    </w:r>
                  </w:ins>
                </w:p>
                <w:p w14:paraId="13794AF5" w14:textId="77777777" w:rsidR="00870B7D" w:rsidRPr="003B7AE9" w:rsidRDefault="00870B7D" w:rsidP="00503A82">
                  <w:pPr>
                    <w:spacing w:before="120" w:after="120" w:line="240" w:lineRule="auto"/>
                    <w:jc w:val="center"/>
                    <w:rPr>
                      <w:ins w:id="296" w:author="Author"/>
                      <w:rFonts w:ascii="inherit" w:eastAsia="Times New Roman" w:hAnsi="inherit" w:cs="Times New Roman"/>
                      <w:sz w:val="24"/>
                      <w:szCs w:val="24"/>
                      <w:lang w:eastAsia="en-GB"/>
                    </w:rPr>
                  </w:pPr>
                  <w:ins w:id="297" w:author="Author">
                    <w:r w:rsidRPr="003B7AE9">
                      <w:rPr>
                        <w:rFonts w:ascii="inherit" w:eastAsia="Times New Roman" w:hAnsi="inherit" w:cs="Times New Roman"/>
                        <w:b/>
                        <w:bCs/>
                        <w:sz w:val="24"/>
                        <w:szCs w:val="24"/>
                        <w:lang w:eastAsia="en-GB"/>
                      </w:rPr>
                      <w:t>Parameters for Figure 3 for fault-ride-through capability of synchronous power-generating modules</w:t>
                    </w:r>
                  </w:ins>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Change w:id="298" w:author="Author">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PrChange>
                  </w:tblPr>
                  <w:tblGrid>
                    <w:gridCol w:w="5845"/>
                    <w:gridCol w:w="724"/>
                    <w:gridCol w:w="611"/>
                    <w:gridCol w:w="1224"/>
                    <w:tblGridChange w:id="299">
                      <w:tblGrid>
                        <w:gridCol w:w="360"/>
                        <w:gridCol w:w="360"/>
                        <w:gridCol w:w="360"/>
                        <w:gridCol w:w="360"/>
                      </w:tblGrid>
                    </w:tblGridChange>
                  </w:tblGrid>
                  <w:tr w:rsidR="00870B7D" w:rsidRPr="003B7AE9" w14:paraId="40ABAD17" w14:textId="77777777" w:rsidTr="0060282F">
                    <w:trPr>
                      <w:ins w:id="300" w:author="Author"/>
                    </w:trPr>
                    <w:tc>
                      <w:tcPr>
                        <w:tcW w:w="16961" w:type="dxa"/>
                        <w:gridSpan w:val="2"/>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01" w:author="Author">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2F3D5027" w14:textId="77777777" w:rsidR="00870B7D" w:rsidRPr="003B7AE9" w:rsidRDefault="00870B7D" w:rsidP="00503A82">
                        <w:pPr>
                          <w:spacing w:before="60" w:after="60" w:line="240" w:lineRule="auto"/>
                          <w:ind w:right="195"/>
                          <w:jc w:val="center"/>
                          <w:rPr>
                            <w:ins w:id="302" w:author="Author"/>
                            <w:rFonts w:ascii="inherit" w:eastAsia="Times New Roman" w:hAnsi="inherit" w:cs="Times New Roman"/>
                            <w:b/>
                            <w:bCs/>
                            <w:lang w:eastAsia="en-GB"/>
                          </w:rPr>
                        </w:pPr>
                        <w:ins w:id="303" w:author="Author">
                          <w:r w:rsidRPr="003B7AE9">
                            <w:rPr>
                              <w:rFonts w:ascii="inherit" w:eastAsia="Times New Roman" w:hAnsi="inherit" w:cs="Times New Roman"/>
                              <w:b/>
                              <w:bCs/>
                              <w:lang w:eastAsia="en-GB"/>
                            </w:rPr>
                            <w:t>Voltage parameters (pu)</w:t>
                          </w:r>
                        </w:ins>
                      </w:p>
                    </w:tc>
                    <w:tc>
                      <w:tcPr>
                        <w:tcW w:w="1800" w:type="dxa"/>
                        <w:gridSpan w:val="2"/>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04" w:author="Author">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5E38B604" w14:textId="77777777" w:rsidR="00870B7D" w:rsidRPr="003B7AE9" w:rsidRDefault="00870B7D" w:rsidP="00503A82">
                        <w:pPr>
                          <w:spacing w:before="60" w:after="60" w:line="240" w:lineRule="auto"/>
                          <w:ind w:right="195"/>
                          <w:jc w:val="center"/>
                          <w:rPr>
                            <w:ins w:id="305" w:author="Author"/>
                            <w:rFonts w:ascii="inherit" w:eastAsia="Times New Roman" w:hAnsi="inherit" w:cs="Times New Roman"/>
                            <w:b/>
                            <w:bCs/>
                            <w:lang w:eastAsia="en-GB"/>
                          </w:rPr>
                        </w:pPr>
                        <w:ins w:id="306" w:author="Author">
                          <w:r w:rsidRPr="003B7AE9">
                            <w:rPr>
                              <w:rFonts w:ascii="inherit" w:eastAsia="Times New Roman" w:hAnsi="inherit" w:cs="Times New Roman"/>
                              <w:b/>
                              <w:bCs/>
                              <w:lang w:eastAsia="en-GB"/>
                            </w:rPr>
                            <w:t>Time parameters (seconds)</w:t>
                          </w:r>
                        </w:ins>
                      </w:p>
                    </w:tc>
                  </w:tr>
                  <w:tr w:rsidR="00870B7D" w:rsidRPr="003B7AE9" w14:paraId="73146198" w14:textId="77777777" w:rsidTr="0060282F">
                    <w:trPr>
                      <w:ins w:id="307" w:author="Author"/>
                    </w:trPr>
                    <w:tc>
                      <w:tcPr>
                        <w:tcW w:w="16238"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08" w:author="Author">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151C2BF1" w14:textId="77777777" w:rsidR="00870B7D" w:rsidRPr="003B7AE9" w:rsidRDefault="00870B7D" w:rsidP="00503A82">
                        <w:pPr>
                          <w:spacing w:before="60" w:after="60" w:line="240" w:lineRule="auto"/>
                          <w:rPr>
                            <w:ins w:id="309" w:author="Author"/>
                            <w:rFonts w:ascii="inherit" w:eastAsia="Times New Roman" w:hAnsi="inherit" w:cs="Times New Roman"/>
                            <w:lang w:eastAsia="en-GB"/>
                          </w:rPr>
                        </w:pPr>
                        <w:ins w:id="310" w:author="Autho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ins>
                      </w:p>
                    </w:tc>
                    <w:tc>
                      <w:tcPr>
                        <w:tcW w:w="724"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11" w:author="Author">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74CE7532" w14:textId="77777777" w:rsidR="00870B7D" w:rsidRPr="003B7AE9" w:rsidRDefault="00870B7D" w:rsidP="00503A82">
                        <w:pPr>
                          <w:spacing w:before="60" w:after="60" w:line="240" w:lineRule="auto"/>
                          <w:rPr>
                            <w:ins w:id="312" w:author="Author"/>
                            <w:rFonts w:ascii="inherit" w:eastAsia="Times New Roman" w:hAnsi="inherit" w:cs="Times New Roman"/>
                            <w:lang w:eastAsia="en-GB"/>
                          </w:rPr>
                        </w:pPr>
                        <w:ins w:id="313" w:author="Author">
                          <w:r w:rsidRPr="003B7AE9">
                            <w:rPr>
                              <w:rFonts w:ascii="inherit" w:eastAsia="Times New Roman" w:hAnsi="inherit" w:cs="Times New Roman"/>
                              <w:lang w:eastAsia="en-GB"/>
                            </w:rPr>
                            <w:t>0,05-0,3</w:t>
                          </w:r>
                        </w:ins>
                      </w:p>
                    </w:tc>
                    <w:tc>
                      <w:tcPr>
                        <w:tcW w:w="669"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14" w:author="Author">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2F72E54B" w14:textId="77777777" w:rsidR="00870B7D" w:rsidRPr="003B7AE9" w:rsidRDefault="00870B7D" w:rsidP="00503A82">
                        <w:pPr>
                          <w:spacing w:before="60" w:after="60" w:line="240" w:lineRule="auto"/>
                          <w:rPr>
                            <w:ins w:id="315" w:author="Author"/>
                            <w:rFonts w:ascii="inherit" w:eastAsia="Times New Roman" w:hAnsi="inherit" w:cs="Times New Roman"/>
                            <w:lang w:eastAsia="en-GB"/>
                          </w:rPr>
                        </w:pPr>
                        <w:ins w:id="316" w:author="Autho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ins>
                      </w:p>
                    </w:tc>
                    <w:tc>
                      <w:tcPr>
                        <w:tcW w:w="1131"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17" w:author="Author">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65D337E6" w14:textId="77777777" w:rsidR="00870B7D" w:rsidRPr="003B7AE9" w:rsidRDefault="00870B7D" w:rsidP="00503A82">
                        <w:pPr>
                          <w:spacing w:before="60" w:after="60" w:line="240" w:lineRule="auto"/>
                          <w:rPr>
                            <w:ins w:id="318" w:author="Author"/>
                            <w:rFonts w:ascii="inherit" w:eastAsia="Times New Roman" w:hAnsi="inherit" w:cs="Times New Roman"/>
                            <w:lang w:eastAsia="en-GB"/>
                          </w:rPr>
                        </w:pPr>
                        <w:ins w:id="319" w:author="Author">
                          <w:r w:rsidRPr="003B7AE9">
                            <w:rPr>
                              <w:rFonts w:ascii="inherit" w:eastAsia="Times New Roman" w:hAnsi="inherit" w:cs="Times New Roman"/>
                              <w:lang w:eastAsia="en-GB"/>
                            </w:rPr>
                            <w:t>0,14-0,15 (or 0,14-0,25 if system protection and secure operation so require)</w:t>
                          </w:r>
                        </w:ins>
                      </w:p>
                    </w:tc>
                  </w:tr>
                  <w:tr w:rsidR="00870B7D" w:rsidRPr="003B7AE9" w14:paraId="5B858B20" w14:textId="77777777" w:rsidTr="0060282F">
                    <w:trPr>
                      <w:ins w:id="320" w:author="Author"/>
                    </w:trPr>
                    <w:tc>
                      <w:tcPr>
                        <w:tcW w:w="16238"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21" w:author="Author">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6FF10BC3" w14:textId="77777777" w:rsidR="00870B7D" w:rsidRPr="003B7AE9" w:rsidRDefault="00870B7D" w:rsidP="00503A82">
                        <w:pPr>
                          <w:spacing w:before="60" w:after="60" w:line="240" w:lineRule="auto"/>
                          <w:rPr>
                            <w:ins w:id="322" w:author="Author"/>
                            <w:rFonts w:ascii="inherit" w:eastAsia="Times New Roman" w:hAnsi="inherit" w:cs="Times New Roman"/>
                            <w:lang w:eastAsia="en-GB"/>
                          </w:rPr>
                        </w:pPr>
                        <w:ins w:id="323" w:author="Autho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ins>
                      </w:p>
                    </w:tc>
                    <w:tc>
                      <w:tcPr>
                        <w:tcW w:w="724"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24" w:author="Author">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0D5D2850" w14:textId="77777777" w:rsidR="00870B7D" w:rsidRPr="003B7AE9" w:rsidRDefault="00870B7D" w:rsidP="00503A82">
                        <w:pPr>
                          <w:spacing w:before="60" w:after="60" w:line="240" w:lineRule="auto"/>
                          <w:rPr>
                            <w:ins w:id="325" w:author="Author"/>
                            <w:rFonts w:ascii="inherit" w:eastAsia="Times New Roman" w:hAnsi="inherit" w:cs="Times New Roman"/>
                            <w:lang w:eastAsia="en-GB"/>
                          </w:rPr>
                        </w:pPr>
                        <w:ins w:id="326" w:author="Author">
                          <w:r w:rsidRPr="003B7AE9">
                            <w:rPr>
                              <w:rFonts w:ascii="inherit" w:eastAsia="Times New Roman" w:hAnsi="inherit" w:cs="Times New Roman"/>
                              <w:lang w:eastAsia="en-GB"/>
                            </w:rPr>
                            <w:t>0,7-0,9</w:t>
                          </w:r>
                        </w:ins>
                      </w:p>
                    </w:tc>
                    <w:tc>
                      <w:tcPr>
                        <w:tcW w:w="669"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27" w:author="Author">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49E02AE7" w14:textId="77777777" w:rsidR="00870B7D" w:rsidRPr="003B7AE9" w:rsidRDefault="00870B7D" w:rsidP="00503A82">
                        <w:pPr>
                          <w:spacing w:before="60" w:after="60" w:line="240" w:lineRule="auto"/>
                          <w:rPr>
                            <w:ins w:id="328" w:author="Author"/>
                            <w:rFonts w:ascii="inherit" w:eastAsia="Times New Roman" w:hAnsi="inherit" w:cs="Times New Roman"/>
                            <w:lang w:eastAsia="en-GB"/>
                          </w:rPr>
                        </w:pPr>
                        <w:ins w:id="329" w:author="Autho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ins>
                      </w:p>
                    </w:tc>
                    <w:tc>
                      <w:tcPr>
                        <w:tcW w:w="1131"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30" w:author="Author">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37DAAF58" w14:textId="77777777" w:rsidR="00870B7D" w:rsidRPr="003B7AE9" w:rsidRDefault="00870B7D" w:rsidP="00503A82">
                        <w:pPr>
                          <w:spacing w:before="60" w:after="60" w:line="240" w:lineRule="auto"/>
                          <w:rPr>
                            <w:ins w:id="331" w:author="Author"/>
                            <w:rFonts w:ascii="inherit" w:eastAsia="Times New Roman" w:hAnsi="inherit" w:cs="Times New Roman"/>
                            <w:lang w:eastAsia="en-GB"/>
                          </w:rPr>
                        </w:pPr>
                        <w:ins w:id="332" w:author="Autho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ins>
                      </w:p>
                    </w:tc>
                  </w:tr>
                  <w:tr w:rsidR="00870B7D" w:rsidRPr="003B7AE9" w14:paraId="1CA276B9" w14:textId="77777777" w:rsidTr="0060282F">
                    <w:trPr>
                      <w:ins w:id="333" w:author="Author"/>
                    </w:trPr>
                    <w:tc>
                      <w:tcPr>
                        <w:tcW w:w="16238"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34" w:author="Author">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2D372165" w14:textId="77777777" w:rsidR="00870B7D" w:rsidRPr="003B7AE9" w:rsidRDefault="00870B7D" w:rsidP="00503A82">
                        <w:pPr>
                          <w:spacing w:before="60" w:after="60" w:line="240" w:lineRule="auto"/>
                          <w:rPr>
                            <w:ins w:id="335" w:author="Author"/>
                            <w:rFonts w:ascii="inherit" w:eastAsia="Times New Roman" w:hAnsi="inherit" w:cs="Times New Roman"/>
                            <w:lang w:eastAsia="en-GB"/>
                          </w:rPr>
                        </w:pPr>
                        <w:ins w:id="336" w:author="Autho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ins>
                      </w:p>
                    </w:tc>
                    <w:tc>
                      <w:tcPr>
                        <w:tcW w:w="724"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37" w:author="Author">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3708E035" w14:textId="77777777" w:rsidR="00870B7D" w:rsidRPr="003B7AE9" w:rsidRDefault="00870B7D" w:rsidP="00503A82">
                        <w:pPr>
                          <w:spacing w:before="60" w:after="60" w:line="240" w:lineRule="auto"/>
                          <w:rPr>
                            <w:ins w:id="338" w:author="Author"/>
                            <w:rFonts w:ascii="inherit" w:eastAsia="Times New Roman" w:hAnsi="inherit" w:cs="Times New Roman"/>
                            <w:lang w:eastAsia="en-GB"/>
                          </w:rPr>
                        </w:pPr>
                        <w:ins w:id="339" w:author="Autho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ins>
                      </w:p>
                    </w:tc>
                    <w:tc>
                      <w:tcPr>
                        <w:tcW w:w="669"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40" w:author="Author">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6A8E13CA" w14:textId="77777777" w:rsidR="00870B7D" w:rsidRPr="003B7AE9" w:rsidRDefault="00870B7D" w:rsidP="00503A82">
                        <w:pPr>
                          <w:spacing w:before="60" w:after="60" w:line="240" w:lineRule="auto"/>
                          <w:rPr>
                            <w:ins w:id="341" w:author="Author"/>
                            <w:rFonts w:ascii="inherit" w:eastAsia="Times New Roman" w:hAnsi="inherit" w:cs="Times New Roman"/>
                            <w:lang w:eastAsia="en-GB"/>
                          </w:rPr>
                        </w:pPr>
                        <w:ins w:id="342" w:author="Autho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ins>
                      </w:p>
                    </w:tc>
                    <w:tc>
                      <w:tcPr>
                        <w:tcW w:w="1131"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43" w:author="Author">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679A119C" w14:textId="77777777" w:rsidR="00870B7D" w:rsidRPr="003B7AE9" w:rsidRDefault="00870B7D" w:rsidP="00503A82">
                        <w:pPr>
                          <w:spacing w:before="60" w:after="60" w:line="240" w:lineRule="auto"/>
                          <w:rPr>
                            <w:ins w:id="344" w:author="Author"/>
                            <w:rFonts w:ascii="inherit" w:eastAsia="Times New Roman" w:hAnsi="inherit" w:cs="Times New Roman"/>
                            <w:lang w:eastAsia="en-GB"/>
                          </w:rPr>
                        </w:pPr>
                        <w:ins w:id="345" w:author="Autho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ins>
                      </w:p>
                    </w:tc>
                  </w:tr>
                  <w:tr w:rsidR="00870B7D" w:rsidRPr="003B7AE9" w14:paraId="2ADDEB29" w14:textId="77777777" w:rsidTr="0060282F">
                    <w:trPr>
                      <w:ins w:id="346" w:author="Author"/>
                    </w:trPr>
                    <w:tc>
                      <w:tcPr>
                        <w:tcW w:w="16238"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47" w:author="Author">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1FB16403" w14:textId="77777777" w:rsidR="00870B7D" w:rsidRPr="003B7AE9" w:rsidRDefault="00870B7D" w:rsidP="00503A82">
                        <w:pPr>
                          <w:spacing w:before="60" w:after="60" w:line="240" w:lineRule="auto"/>
                          <w:rPr>
                            <w:ins w:id="348" w:author="Author"/>
                            <w:rFonts w:ascii="inherit" w:eastAsia="Times New Roman" w:hAnsi="inherit" w:cs="Times New Roman"/>
                            <w:lang w:eastAsia="en-GB"/>
                          </w:rPr>
                        </w:pPr>
                        <w:ins w:id="349" w:author="Autho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ins>
                      </w:p>
                    </w:tc>
                    <w:tc>
                      <w:tcPr>
                        <w:tcW w:w="724"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50" w:author="Author">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73568188" w14:textId="77777777" w:rsidR="00870B7D" w:rsidRPr="003B7AE9" w:rsidRDefault="00870B7D" w:rsidP="00503A82">
                        <w:pPr>
                          <w:spacing w:before="60" w:after="60" w:line="240" w:lineRule="auto"/>
                          <w:rPr>
                            <w:ins w:id="351" w:author="Author"/>
                            <w:rFonts w:ascii="inherit" w:eastAsia="Times New Roman" w:hAnsi="inherit" w:cs="Times New Roman"/>
                            <w:lang w:eastAsia="en-GB"/>
                          </w:rPr>
                        </w:pPr>
                        <w:ins w:id="352" w:author="Author">
                          <w:r w:rsidRPr="003B7AE9">
                            <w:rPr>
                              <w:rFonts w:ascii="inherit" w:eastAsia="Times New Roman" w:hAnsi="inherit" w:cs="Times New Roman"/>
                              <w:lang w:eastAsia="en-GB"/>
                            </w:rPr>
                            <w:t>0,85-0,9 and ≥ U</w:t>
                          </w:r>
                          <w:r w:rsidRPr="003B7AE9">
                            <w:rPr>
                              <w:rFonts w:ascii="inherit" w:eastAsia="Times New Roman" w:hAnsi="inherit" w:cs="Times New Roman"/>
                              <w:sz w:val="15"/>
                              <w:szCs w:val="15"/>
                              <w:vertAlign w:val="subscript"/>
                              <w:lang w:eastAsia="en-GB"/>
                            </w:rPr>
                            <w:t>clear</w:t>
                          </w:r>
                        </w:ins>
                      </w:p>
                    </w:tc>
                    <w:tc>
                      <w:tcPr>
                        <w:tcW w:w="669"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53" w:author="Author">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58B43252" w14:textId="77777777" w:rsidR="00870B7D" w:rsidRPr="003B7AE9" w:rsidRDefault="00870B7D" w:rsidP="00503A82">
                        <w:pPr>
                          <w:spacing w:before="60" w:after="60" w:line="240" w:lineRule="auto"/>
                          <w:rPr>
                            <w:ins w:id="354" w:author="Author"/>
                            <w:rFonts w:ascii="inherit" w:eastAsia="Times New Roman" w:hAnsi="inherit" w:cs="Times New Roman"/>
                            <w:lang w:eastAsia="en-GB"/>
                          </w:rPr>
                        </w:pPr>
                        <w:ins w:id="355" w:author="Autho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ins>
                      </w:p>
                    </w:tc>
                    <w:tc>
                      <w:tcPr>
                        <w:tcW w:w="1131"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56" w:author="Author">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13FB4DA2" w14:textId="77777777" w:rsidR="00870B7D" w:rsidRPr="003B7AE9" w:rsidRDefault="00870B7D" w:rsidP="00503A82">
                        <w:pPr>
                          <w:spacing w:before="60" w:after="60" w:line="240" w:lineRule="auto"/>
                          <w:rPr>
                            <w:ins w:id="357" w:author="Author"/>
                            <w:rFonts w:ascii="inherit" w:eastAsia="Times New Roman" w:hAnsi="inherit" w:cs="Times New Roman"/>
                            <w:lang w:eastAsia="en-GB"/>
                          </w:rPr>
                        </w:pPr>
                        <w:ins w:id="358" w:author="Autho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ins>
                      </w:p>
                    </w:tc>
                  </w:tr>
                </w:tbl>
                <w:p w14:paraId="1E935D49" w14:textId="77777777" w:rsidR="00870B7D" w:rsidRPr="003B7AE9" w:rsidRDefault="00870B7D" w:rsidP="00503A82">
                  <w:pPr>
                    <w:spacing w:after="150" w:line="240" w:lineRule="auto"/>
                    <w:rPr>
                      <w:ins w:id="359" w:author="Author"/>
                      <w:rFonts w:ascii="inherit" w:eastAsia="Times New Roman" w:hAnsi="inherit" w:cs="Times New Roman"/>
                      <w:sz w:val="24"/>
                      <w:szCs w:val="24"/>
                      <w:lang w:eastAsia="en-GB"/>
                    </w:rPr>
                  </w:pPr>
                </w:p>
                <w:p w14:paraId="166E87BF" w14:textId="77777777" w:rsidR="00870B7D" w:rsidRPr="003B7AE9" w:rsidRDefault="00870B7D" w:rsidP="00503A82">
                  <w:pPr>
                    <w:spacing w:before="120" w:after="120" w:line="240" w:lineRule="auto"/>
                    <w:jc w:val="center"/>
                    <w:rPr>
                      <w:ins w:id="360" w:author="Author"/>
                      <w:rFonts w:ascii="inherit" w:eastAsia="Times New Roman" w:hAnsi="inherit" w:cs="Times New Roman"/>
                      <w:sz w:val="24"/>
                      <w:szCs w:val="24"/>
                      <w:lang w:eastAsia="en-GB"/>
                    </w:rPr>
                  </w:pPr>
                  <w:commentRangeStart w:id="361"/>
                  <w:ins w:id="362" w:author="Author">
                    <w:r w:rsidRPr="2D4DAF54">
                      <w:rPr>
                        <w:rFonts w:ascii="inherit" w:eastAsia="Times New Roman" w:hAnsi="inherit" w:cs="Times New Roman"/>
                        <w:i/>
                        <w:iCs/>
                        <w:sz w:val="24"/>
                        <w:szCs w:val="24"/>
                        <w:lang w:eastAsia="en-GB"/>
                      </w:rPr>
                      <w:t>Table 3.2</w:t>
                    </w:r>
                  </w:ins>
                </w:p>
                <w:p w14:paraId="295A7624" w14:textId="77777777" w:rsidR="00870B7D" w:rsidRPr="003B7AE9" w:rsidRDefault="00870B7D" w:rsidP="00503A82">
                  <w:pPr>
                    <w:spacing w:before="120" w:after="120" w:line="240" w:lineRule="auto"/>
                    <w:jc w:val="center"/>
                    <w:rPr>
                      <w:ins w:id="363" w:author="Author"/>
                      <w:rFonts w:ascii="inherit" w:eastAsia="Times New Roman" w:hAnsi="inherit" w:cs="Times New Roman"/>
                      <w:sz w:val="24"/>
                      <w:szCs w:val="24"/>
                      <w:lang w:eastAsia="en-GB"/>
                    </w:rPr>
                  </w:pPr>
                  <w:ins w:id="364" w:author="Author">
                    <w:r w:rsidRPr="003B7AE9">
                      <w:rPr>
                        <w:rFonts w:ascii="inherit" w:eastAsia="Times New Roman" w:hAnsi="inherit" w:cs="Times New Roman"/>
                        <w:b/>
                        <w:bCs/>
                        <w:sz w:val="24"/>
                        <w:szCs w:val="24"/>
                        <w:lang w:eastAsia="en-GB"/>
                      </w:rPr>
                      <w:t>Parameters for Figure 3 for fault-ride-through capability of power park modules</w:t>
                    </w:r>
                    <w:commentRangeEnd w:id="361"/>
                    <w:r w:rsidR="00B47FD3">
                      <w:rPr>
                        <w:rStyle w:val="CommentReference"/>
                      </w:rPr>
                      <w:commentReference w:id="361"/>
                    </w:r>
                  </w:ins>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Change w:id="365" w:author="Author">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PrChange>
                  </w:tblPr>
                  <w:tblGrid>
                    <w:gridCol w:w="3645"/>
                    <w:gridCol w:w="1417"/>
                    <w:gridCol w:w="709"/>
                    <w:gridCol w:w="2633"/>
                    <w:tblGridChange w:id="366">
                      <w:tblGrid>
                        <w:gridCol w:w="360"/>
                        <w:gridCol w:w="360"/>
                        <w:gridCol w:w="360"/>
                        <w:gridCol w:w="360"/>
                      </w:tblGrid>
                    </w:tblGridChange>
                  </w:tblGrid>
                  <w:tr w:rsidR="00870B7D" w:rsidRPr="003B7AE9" w14:paraId="24023A9D" w14:textId="77777777" w:rsidTr="0060282F">
                    <w:trPr>
                      <w:ins w:id="367" w:author="Author"/>
                    </w:trPr>
                    <w:tc>
                      <w:tcPr>
                        <w:tcW w:w="5062" w:type="dxa"/>
                        <w:gridSpan w:val="2"/>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68" w:author="Author">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0E730F0F" w14:textId="77777777" w:rsidR="00870B7D" w:rsidRPr="003B7AE9" w:rsidRDefault="00870B7D" w:rsidP="00503A82">
                        <w:pPr>
                          <w:spacing w:before="60" w:after="60" w:line="240" w:lineRule="auto"/>
                          <w:ind w:right="195"/>
                          <w:jc w:val="center"/>
                          <w:rPr>
                            <w:ins w:id="369" w:author="Author"/>
                            <w:rFonts w:ascii="inherit" w:eastAsia="Times New Roman" w:hAnsi="inherit" w:cs="Times New Roman"/>
                            <w:b/>
                            <w:bCs/>
                            <w:lang w:eastAsia="en-GB"/>
                          </w:rPr>
                        </w:pPr>
                        <w:ins w:id="370" w:author="Author">
                          <w:r w:rsidRPr="003B7AE9">
                            <w:rPr>
                              <w:rFonts w:ascii="inherit" w:eastAsia="Times New Roman" w:hAnsi="inherit" w:cs="Times New Roman"/>
                              <w:b/>
                              <w:bCs/>
                              <w:lang w:eastAsia="en-GB"/>
                            </w:rPr>
                            <w:t>Voltage parameters (pu)</w:t>
                          </w:r>
                        </w:ins>
                      </w:p>
                    </w:tc>
                    <w:tc>
                      <w:tcPr>
                        <w:tcW w:w="3342" w:type="dxa"/>
                        <w:gridSpan w:val="2"/>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71" w:author="Author">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6F156CF7" w14:textId="77777777" w:rsidR="00870B7D" w:rsidRPr="003B7AE9" w:rsidRDefault="00870B7D" w:rsidP="00503A82">
                        <w:pPr>
                          <w:spacing w:before="60" w:after="60" w:line="240" w:lineRule="auto"/>
                          <w:ind w:right="195"/>
                          <w:jc w:val="center"/>
                          <w:rPr>
                            <w:ins w:id="372" w:author="Author"/>
                            <w:rFonts w:ascii="inherit" w:eastAsia="Times New Roman" w:hAnsi="inherit" w:cs="Times New Roman"/>
                            <w:b/>
                            <w:bCs/>
                            <w:lang w:eastAsia="en-GB"/>
                          </w:rPr>
                        </w:pPr>
                        <w:ins w:id="373" w:author="Author">
                          <w:r w:rsidRPr="003B7AE9">
                            <w:rPr>
                              <w:rFonts w:ascii="inherit" w:eastAsia="Times New Roman" w:hAnsi="inherit" w:cs="Times New Roman"/>
                              <w:b/>
                              <w:bCs/>
                              <w:lang w:eastAsia="en-GB"/>
                            </w:rPr>
                            <w:t>Time parameters (seconds)</w:t>
                          </w:r>
                        </w:ins>
                      </w:p>
                    </w:tc>
                  </w:tr>
                  <w:tr w:rsidR="00870B7D" w:rsidRPr="003B7AE9" w14:paraId="697A1AE8" w14:textId="77777777" w:rsidTr="0060282F">
                    <w:trPr>
                      <w:ins w:id="374" w:author="Author"/>
                    </w:trPr>
                    <w:tc>
                      <w:tcPr>
                        <w:tcW w:w="3645"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75" w:author="Author">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048F6EAF" w14:textId="77777777" w:rsidR="00870B7D" w:rsidRPr="003B7AE9" w:rsidRDefault="00870B7D" w:rsidP="00503A82">
                        <w:pPr>
                          <w:spacing w:before="60" w:after="60" w:line="240" w:lineRule="auto"/>
                          <w:rPr>
                            <w:ins w:id="376" w:author="Author"/>
                            <w:rFonts w:ascii="inherit" w:eastAsia="Times New Roman" w:hAnsi="inherit" w:cs="Times New Roman"/>
                            <w:lang w:eastAsia="en-GB"/>
                          </w:rPr>
                        </w:pPr>
                        <w:ins w:id="377" w:author="Autho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ins>
                      </w:p>
                    </w:tc>
                    <w:tc>
                      <w:tcPr>
                        <w:tcW w:w="1417"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78" w:author="Author">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0D95D44B" w14:textId="77777777" w:rsidR="00870B7D" w:rsidRPr="003B7AE9" w:rsidRDefault="00870B7D" w:rsidP="00503A82">
                        <w:pPr>
                          <w:spacing w:before="60" w:after="60" w:line="240" w:lineRule="auto"/>
                          <w:rPr>
                            <w:ins w:id="379" w:author="Author"/>
                            <w:rFonts w:ascii="inherit" w:eastAsia="Times New Roman" w:hAnsi="inherit" w:cs="Times New Roman"/>
                            <w:lang w:eastAsia="en-GB"/>
                          </w:rPr>
                        </w:pPr>
                        <w:ins w:id="380" w:author="Author">
                          <w:r w:rsidRPr="003B7AE9">
                            <w:rPr>
                              <w:rFonts w:ascii="inherit" w:eastAsia="Times New Roman" w:hAnsi="inherit" w:cs="Times New Roman"/>
                              <w:lang w:eastAsia="en-GB"/>
                            </w:rPr>
                            <w:t>0,05-0,15</w:t>
                          </w:r>
                        </w:ins>
                      </w:p>
                    </w:tc>
                    <w:tc>
                      <w:tcPr>
                        <w:tcW w:w="709"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81" w:author="Author">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47FDF4DF" w14:textId="77777777" w:rsidR="00870B7D" w:rsidRPr="003B7AE9" w:rsidRDefault="00870B7D" w:rsidP="00503A82">
                        <w:pPr>
                          <w:spacing w:before="60" w:after="60" w:line="240" w:lineRule="auto"/>
                          <w:rPr>
                            <w:ins w:id="382" w:author="Author"/>
                            <w:rFonts w:ascii="inherit" w:eastAsia="Times New Roman" w:hAnsi="inherit" w:cs="Times New Roman"/>
                            <w:lang w:eastAsia="en-GB"/>
                          </w:rPr>
                        </w:pPr>
                        <w:ins w:id="383" w:author="Autho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ins>
                      </w:p>
                    </w:tc>
                    <w:tc>
                      <w:tcPr>
                        <w:tcW w:w="2633"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84" w:author="Author">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74A7EE9E" w14:textId="77777777" w:rsidR="00870B7D" w:rsidRPr="003B7AE9" w:rsidRDefault="00870B7D" w:rsidP="00503A82">
                        <w:pPr>
                          <w:spacing w:before="60" w:after="60" w:line="240" w:lineRule="auto"/>
                          <w:rPr>
                            <w:ins w:id="385" w:author="Author"/>
                            <w:rFonts w:ascii="inherit" w:eastAsia="Times New Roman" w:hAnsi="inherit" w:cs="Times New Roman"/>
                            <w:lang w:eastAsia="en-GB"/>
                          </w:rPr>
                        </w:pPr>
                        <w:ins w:id="386" w:author="Author">
                          <w:r w:rsidRPr="003B7AE9">
                            <w:rPr>
                              <w:rFonts w:ascii="inherit" w:eastAsia="Times New Roman" w:hAnsi="inherit" w:cs="Times New Roman"/>
                              <w:lang w:eastAsia="en-GB"/>
                            </w:rPr>
                            <w:t>0,14-0,15 (or 0,14-0,25 if system protection and secure operation so require)</w:t>
                          </w:r>
                        </w:ins>
                      </w:p>
                    </w:tc>
                  </w:tr>
                  <w:tr w:rsidR="00870B7D" w:rsidRPr="003B7AE9" w14:paraId="3A8D68AB" w14:textId="77777777" w:rsidTr="0060282F">
                    <w:trPr>
                      <w:ins w:id="387" w:author="Author"/>
                    </w:trPr>
                    <w:tc>
                      <w:tcPr>
                        <w:tcW w:w="3645"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88" w:author="Author">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0C672BB3" w14:textId="77777777" w:rsidR="00870B7D" w:rsidRPr="003B7AE9" w:rsidRDefault="00870B7D" w:rsidP="00503A82">
                        <w:pPr>
                          <w:spacing w:before="60" w:after="60" w:line="240" w:lineRule="auto"/>
                          <w:rPr>
                            <w:ins w:id="389" w:author="Author"/>
                            <w:rFonts w:ascii="inherit" w:eastAsia="Times New Roman" w:hAnsi="inherit" w:cs="Times New Roman"/>
                            <w:lang w:eastAsia="en-GB"/>
                          </w:rPr>
                        </w:pPr>
                        <w:ins w:id="390" w:author="Autho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ins>
                      </w:p>
                    </w:tc>
                    <w:tc>
                      <w:tcPr>
                        <w:tcW w:w="1417"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91" w:author="Author">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6D041757" w14:textId="77777777" w:rsidR="00870B7D" w:rsidRPr="003B7AE9" w:rsidRDefault="00870B7D" w:rsidP="00503A82">
                        <w:pPr>
                          <w:spacing w:before="60" w:after="60" w:line="240" w:lineRule="auto"/>
                          <w:rPr>
                            <w:ins w:id="392" w:author="Author"/>
                            <w:rFonts w:ascii="inherit" w:eastAsia="Times New Roman" w:hAnsi="inherit" w:cs="Times New Roman"/>
                            <w:lang w:eastAsia="en-GB"/>
                          </w:rPr>
                        </w:pPr>
                        <w:ins w:id="393" w:author="Autho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ins>
                      </w:p>
                    </w:tc>
                    <w:tc>
                      <w:tcPr>
                        <w:tcW w:w="709"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94" w:author="Author">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51004FFA" w14:textId="77777777" w:rsidR="00870B7D" w:rsidRPr="003B7AE9" w:rsidRDefault="00870B7D" w:rsidP="00503A82">
                        <w:pPr>
                          <w:spacing w:before="60" w:after="60" w:line="240" w:lineRule="auto"/>
                          <w:rPr>
                            <w:ins w:id="395" w:author="Author"/>
                            <w:rFonts w:ascii="inherit" w:eastAsia="Times New Roman" w:hAnsi="inherit" w:cs="Times New Roman"/>
                            <w:lang w:eastAsia="en-GB"/>
                          </w:rPr>
                        </w:pPr>
                        <w:ins w:id="396" w:author="Autho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ins>
                      </w:p>
                    </w:tc>
                    <w:tc>
                      <w:tcPr>
                        <w:tcW w:w="2633"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397" w:author="Author">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14090EE7" w14:textId="77777777" w:rsidR="00870B7D" w:rsidRPr="003B7AE9" w:rsidRDefault="00870B7D" w:rsidP="00503A82">
                        <w:pPr>
                          <w:spacing w:before="60" w:after="60" w:line="240" w:lineRule="auto"/>
                          <w:rPr>
                            <w:ins w:id="398" w:author="Author"/>
                            <w:rFonts w:ascii="inherit" w:eastAsia="Times New Roman" w:hAnsi="inherit" w:cs="Times New Roman"/>
                            <w:lang w:eastAsia="en-GB"/>
                          </w:rPr>
                        </w:pPr>
                        <w:ins w:id="399" w:author="Autho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ins>
                      </w:p>
                    </w:tc>
                  </w:tr>
                  <w:tr w:rsidR="00870B7D" w:rsidRPr="003B7AE9" w14:paraId="24A34AEC" w14:textId="77777777" w:rsidTr="0060282F">
                    <w:trPr>
                      <w:ins w:id="400" w:author="Author"/>
                    </w:trPr>
                    <w:tc>
                      <w:tcPr>
                        <w:tcW w:w="3645"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401" w:author="Author">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5DF53D2A" w14:textId="77777777" w:rsidR="00870B7D" w:rsidRPr="003B7AE9" w:rsidRDefault="00870B7D" w:rsidP="00503A82">
                        <w:pPr>
                          <w:spacing w:before="60" w:after="60" w:line="240" w:lineRule="auto"/>
                          <w:rPr>
                            <w:ins w:id="402" w:author="Author"/>
                            <w:rFonts w:ascii="inherit" w:eastAsia="Times New Roman" w:hAnsi="inherit" w:cs="Times New Roman"/>
                            <w:lang w:eastAsia="en-GB"/>
                          </w:rPr>
                        </w:pPr>
                        <w:ins w:id="403" w:author="Autho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ins>
                      </w:p>
                    </w:tc>
                    <w:tc>
                      <w:tcPr>
                        <w:tcW w:w="1417"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404" w:author="Author">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24385451" w14:textId="77777777" w:rsidR="00870B7D" w:rsidRPr="003B7AE9" w:rsidRDefault="00870B7D" w:rsidP="00503A82">
                        <w:pPr>
                          <w:spacing w:before="60" w:after="60" w:line="240" w:lineRule="auto"/>
                          <w:rPr>
                            <w:ins w:id="405" w:author="Author"/>
                            <w:rFonts w:ascii="inherit" w:eastAsia="Times New Roman" w:hAnsi="inherit" w:cs="Times New Roman"/>
                            <w:lang w:eastAsia="en-GB"/>
                          </w:rPr>
                        </w:pPr>
                        <w:ins w:id="406" w:author="Autho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ins>
                      </w:p>
                    </w:tc>
                    <w:tc>
                      <w:tcPr>
                        <w:tcW w:w="709"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407" w:author="Author">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20077C06" w14:textId="77777777" w:rsidR="00870B7D" w:rsidRPr="003B7AE9" w:rsidRDefault="00870B7D" w:rsidP="00503A82">
                        <w:pPr>
                          <w:spacing w:before="60" w:after="60" w:line="240" w:lineRule="auto"/>
                          <w:rPr>
                            <w:ins w:id="408" w:author="Author"/>
                            <w:rFonts w:ascii="inherit" w:eastAsia="Times New Roman" w:hAnsi="inherit" w:cs="Times New Roman"/>
                            <w:lang w:eastAsia="en-GB"/>
                          </w:rPr>
                        </w:pPr>
                        <w:ins w:id="409" w:author="Autho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ins>
                      </w:p>
                    </w:tc>
                    <w:tc>
                      <w:tcPr>
                        <w:tcW w:w="2633"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410" w:author="Author">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5A2DA86D" w14:textId="77777777" w:rsidR="00870B7D" w:rsidRPr="003B7AE9" w:rsidRDefault="00870B7D" w:rsidP="00503A82">
                        <w:pPr>
                          <w:spacing w:before="60" w:after="60" w:line="240" w:lineRule="auto"/>
                          <w:rPr>
                            <w:ins w:id="411" w:author="Author"/>
                            <w:rFonts w:ascii="inherit" w:eastAsia="Times New Roman" w:hAnsi="inherit" w:cs="Times New Roman"/>
                            <w:lang w:eastAsia="en-GB"/>
                          </w:rPr>
                        </w:pPr>
                        <w:ins w:id="412" w:author="Autho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ins>
                      </w:p>
                    </w:tc>
                  </w:tr>
                  <w:tr w:rsidR="00870B7D" w:rsidRPr="003B7AE9" w14:paraId="4B287B5E" w14:textId="77777777" w:rsidTr="0060282F">
                    <w:trPr>
                      <w:ins w:id="413" w:author="Author"/>
                    </w:trPr>
                    <w:tc>
                      <w:tcPr>
                        <w:tcW w:w="3645"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414" w:author="Author">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277DF3BD" w14:textId="77777777" w:rsidR="00870B7D" w:rsidRPr="003B7AE9" w:rsidRDefault="00870B7D" w:rsidP="00503A82">
                        <w:pPr>
                          <w:spacing w:before="60" w:after="60" w:line="240" w:lineRule="auto"/>
                          <w:rPr>
                            <w:ins w:id="415" w:author="Author"/>
                            <w:rFonts w:ascii="inherit" w:eastAsia="Times New Roman" w:hAnsi="inherit" w:cs="Times New Roman"/>
                            <w:lang w:eastAsia="en-GB"/>
                          </w:rPr>
                        </w:pPr>
                        <w:ins w:id="416" w:author="Autho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ins>
                      </w:p>
                    </w:tc>
                    <w:tc>
                      <w:tcPr>
                        <w:tcW w:w="1417"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417" w:author="Author">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25FC4F63" w14:textId="77777777" w:rsidR="00870B7D" w:rsidRPr="003B7AE9" w:rsidRDefault="00870B7D" w:rsidP="00503A82">
                        <w:pPr>
                          <w:spacing w:before="60" w:after="60" w:line="240" w:lineRule="auto"/>
                          <w:rPr>
                            <w:ins w:id="418" w:author="Author"/>
                            <w:rFonts w:ascii="inherit" w:eastAsia="Times New Roman" w:hAnsi="inherit" w:cs="Times New Roman"/>
                            <w:lang w:eastAsia="en-GB"/>
                          </w:rPr>
                        </w:pPr>
                        <w:ins w:id="419" w:author="Author">
                          <w:r w:rsidRPr="003B7AE9">
                            <w:rPr>
                              <w:rFonts w:ascii="inherit" w:eastAsia="Times New Roman" w:hAnsi="inherit" w:cs="Times New Roman"/>
                              <w:lang w:eastAsia="en-GB"/>
                            </w:rPr>
                            <w:t>0,85</w:t>
                          </w:r>
                        </w:ins>
                      </w:p>
                    </w:tc>
                    <w:tc>
                      <w:tcPr>
                        <w:tcW w:w="709"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420" w:author="Author">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5B7E4581" w14:textId="77777777" w:rsidR="00870B7D" w:rsidRPr="003B7AE9" w:rsidRDefault="00870B7D" w:rsidP="00503A82">
                        <w:pPr>
                          <w:spacing w:before="60" w:after="60" w:line="240" w:lineRule="auto"/>
                          <w:rPr>
                            <w:ins w:id="421" w:author="Author"/>
                            <w:rFonts w:ascii="inherit" w:eastAsia="Times New Roman" w:hAnsi="inherit" w:cs="Times New Roman"/>
                            <w:lang w:eastAsia="en-GB"/>
                          </w:rPr>
                        </w:pPr>
                        <w:ins w:id="422" w:author="Autho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ins>
                      </w:p>
                    </w:tc>
                    <w:tc>
                      <w:tcPr>
                        <w:tcW w:w="2633" w:type="dxa"/>
                        <w:tcBorders>
                          <w:top w:val="single" w:sz="6" w:space="0" w:color="DDDDDD"/>
                          <w:left w:val="single" w:sz="6" w:space="0" w:color="000000" w:themeColor="text1"/>
                          <w:bottom w:val="single" w:sz="6" w:space="0" w:color="000000" w:themeColor="text1"/>
                          <w:right w:val="single" w:sz="6" w:space="0" w:color="000000" w:themeColor="text1"/>
                        </w:tcBorders>
                        <w:shd w:val="clear" w:color="auto" w:fill="FFFFFF" w:themeFill="background1"/>
                        <w:tcMar>
                          <w:top w:w="120" w:type="dxa"/>
                          <w:left w:w="120" w:type="dxa"/>
                          <w:bottom w:w="120" w:type="dxa"/>
                          <w:right w:w="120" w:type="dxa"/>
                        </w:tcMar>
                        <w:hideMark/>
                        <w:tcPrChange w:id="423" w:author="Author">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163D5D14" w14:textId="77777777" w:rsidR="00870B7D" w:rsidRPr="003B7AE9" w:rsidRDefault="00870B7D" w:rsidP="00503A82">
                        <w:pPr>
                          <w:spacing w:before="60" w:after="60" w:line="240" w:lineRule="auto"/>
                          <w:rPr>
                            <w:ins w:id="424" w:author="Author"/>
                            <w:rFonts w:ascii="inherit" w:eastAsia="Times New Roman" w:hAnsi="inherit" w:cs="Times New Roman"/>
                            <w:lang w:eastAsia="en-GB"/>
                          </w:rPr>
                        </w:pPr>
                        <w:ins w:id="425" w:author="Author">
                          <w:r w:rsidRPr="003B7AE9">
                            <w:rPr>
                              <w:rFonts w:ascii="inherit" w:eastAsia="Times New Roman" w:hAnsi="inherit" w:cs="Times New Roman"/>
                              <w:lang w:eastAsia="en-GB"/>
                            </w:rPr>
                            <w:t>1,5-3,0</w:t>
                          </w:r>
                        </w:ins>
                      </w:p>
                    </w:tc>
                  </w:tr>
                </w:tbl>
                <w:p w14:paraId="6B119A57" w14:textId="77777777" w:rsidR="00870B7D" w:rsidRPr="003B7AE9" w:rsidRDefault="00870B7D" w:rsidP="00503A82">
                  <w:pPr>
                    <w:spacing w:after="0" w:line="240" w:lineRule="auto"/>
                    <w:rPr>
                      <w:ins w:id="426" w:author="Author"/>
                      <w:rFonts w:ascii="inherit" w:eastAsia="Times New Roman" w:hAnsi="inherit" w:cs="Times New Roman"/>
                      <w:sz w:val="24"/>
                      <w:szCs w:val="24"/>
                      <w:lang w:eastAsia="en-GB"/>
                    </w:rPr>
                  </w:pPr>
                </w:p>
              </w:tc>
            </w:tr>
          </w:tbl>
          <w:p w14:paraId="43C0854C" w14:textId="77777777" w:rsidR="00870B7D" w:rsidRPr="003B7AE9" w:rsidRDefault="00870B7D" w:rsidP="00503A82">
            <w:pPr>
              <w:spacing w:after="0" w:line="240" w:lineRule="auto"/>
              <w:rPr>
                <w:ins w:id="427"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870B7D" w:rsidRPr="003B7AE9" w14:paraId="319FBD07" w14:textId="77777777" w:rsidTr="2D4DAF54">
              <w:trPr>
                <w:ins w:id="428" w:author="Author"/>
              </w:trPr>
              <w:tc>
                <w:tcPr>
                  <w:tcW w:w="0" w:type="auto"/>
                  <w:shd w:val="clear" w:color="auto" w:fill="auto"/>
                  <w:hideMark/>
                </w:tcPr>
                <w:p w14:paraId="4BC691F8" w14:textId="77777777" w:rsidR="00870B7D" w:rsidRPr="003B7AE9" w:rsidRDefault="00870B7D" w:rsidP="00503A82">
                  <w:pPr>
                    <w:spacing w:before="120" w:after="0" w:line="240" w:lineRule="auto"/>
                    <w:jc w:val="both"/>
                    <w:rPr>
                      <w:ins w:id="429" w:author="Author"/>
                      <w:rFonts w:ascii="inherit" w:eastAsia="Times New Roman" w:hAnsi="inherit" w:cs="Times New Roman"/>
                      <w:sz w:val="24"/>
                      <w:szCs w:val="24"/>
                      <w:lang w:eastAsia="en-GB"/>
                    </w:rPr>
                  </w:pPr>
                  <w:ins w:id="430" w:author="Author">
                    <w:r w:rsidRPr="003B7AE9">
                      <w:rPr>
                        <w:rFonts w:ascii="inherit" w:eastAsia="Times New Roman" w:hAnsi="inherit" w:cs="Times New Roman"/>
                        <w:sz w:val="24"/>
                        <w:szCs w:val="24"/>
                        <w:lang w:eastAsia="en-GB"/>
                      </w:rPr>
                      <w:t>(vi)</w:t>
                    </w:r>
                  </w:ins>
                </w:p>
              </w:tc>
              <w:tc>
                <w:tcPr>
                  <w:tcW w:w="0" w:type="auto"/>
                  <w:shd w:val="clear" w:color="auto" w:fill="auto"/>
                  <w:hideMark/>
                </w:tcPr>
                <w:p w14:paraId="1BDABD60" w14:textId="09C2585E" w:rsidR="00870B7D" w:rsidRPr="003B7AE9" w:rsidRDefault="003B71D2" w:rsidP="00503A82">
                  <w:pPr>
                    <w:spacing w:before="120" w:after="0" w:line="240" w:lineRule="auto"/>
                    <w:jc w:val="both"/>
                    <w:rPr>
                      <w:ins w:id="431" w:author="Author"/>
                      <w:rFonts w:ascii="inherit" w:eastAsia="Times New Roman" w:hAnsi="inherit" w:cs="Times New Roman"/>
                      <w:sz w:val="24"/>
                      <w:szCs w:val="24"/>
                      <w:lang w:eastAsia="en-GB"/>
                    </w:rPr>
                  </w:pPr>
                  <w:ins w:id="432" w:author="Author">
                    <w:r>
                      <w:rPr>
                        <w:rFonts w:ascii="inherit" w:eastAsia="Times New Roman" w:hAnsi="inherit" w:cs="Times New Roman"/>
                        <w:sz w:val="24"/>
                        <w:szCs w:val="24"/>
                        <w:lang w:eastAsia="en-GB"/>
                      </w:rPr>
                      <w:t xml:space="preserve"> </w:t>
                    </w:r>
                    <w:r w:rsidR="00870B7D" w:rsidRPr="003B7AE9">
                      <w:rPr>
                        <w:rFonts w:ascii="inherit" w:eastAsia="Times New Roman" w:hAnsi="inherit" w:cs="Times New Roman"/>
                        <w:sz w:val="24"/>
                        <w:szCs w:val="24"/>
                        <w:lang w:eastAsia="en-GB"/>
                      </w:rPr>
                      <w: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ins>
                </w:p>
              </w:tc>
            </w:tr>
          </w:tbl>
          <w:p w14:paraId="58239560" w14:textId="77777777" w:rsidR="00870B7D" w:rsidRPr="003B7AE9" w:rsidRDefault="00870B7D" w:rsidP="00503A82">
            <w:pPr>
              <w:spacing w:after="0" w:line="240" w:lineRule="auto"/>
              <w:rPr>
                <w:ins w:id="433"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870B7D" w:rsidRPr="003B7AE9" w14:paraId="2482A8BD" w14:textId="77777777" w:rsidTr="2D4DAF54">
              <w:trPr>
                <w:ins w:id="434" w:author="Author"/>
              </w:trPr>
              <w:tc>
                <w:tcPr>
                  <w:tcW w:w="0" w:type="auto"/>
                  <w:shd w:val="clear" w:color="auto" w:fill="auto"/>
                  <w:hideMark/>
                </w:tcPr>
                <w:p w14:paraId="682669ED" w14:textId="77777777" w:rsidR="00870B7D" w:rsidRPr="003B7AE9" w:rsidRDefault="00870B7D" w:rsidP="00503A82">
                  <w:pPr>
                    <w:spacing w:before="120" w:after="0" w:line="240" w:lineRule="auto"/>
                    <w:jc w:val="both"/>
                    <w:rPr>
                      <w:ins w:id="435" w:author="Author"/>
                      <w:rFonts w:ascii="inherit" w:eastAsia="Times New Roman" w:hAnsi="inherit" w:cs="Times New Roman"/>
                      <w:sz w:val="24"/>
                      <w:szCs w:val="24"/>
                      <w:lang w:eastAsia="en-GB"/>
                    </w:rPr>
                  </w:pPr>
                  <w:ins w:id="436" w:author="Author">
                    <w:r w:rsidRPr="003B7AE9">
                      <w:rPr>
                        <w:rFonts w:ascii="inherit" w:eastAsia="Times New Roman" w:hAnsi="inherit" w:cs="Times New Roman"/>
                        <w:sz w:val="24"/>
                        <w:szCs w:val="24"/>
                        <w:lang w:eastAsia="en-GB"/>
                      </w:rPr>
                      <w:t>(vii)</w:t>
                    </w:r>
                  </w:ins>
                </w:p>
              </w:tc>
              <w:tc>
                <w:tcPr>
                  <w:tcW w:w="0" w:type="auto"/>
                  <w:shd w:val="clear" w:color="auto" w:fill="auto"/>
                  <w:hideMark/>
                </w:tcPr>
                <w:p w14:paraId="032E3F7D" w14:textId="11E6F9EA" w:rsidR="00870B7D" w:rsidRDefault="003B71D2" w:rsidP="00503A82">
                  <w:pPr>
                    <w:spacing w:before="120" w:after="0" w:line="240" w:lineRule="auto"/>
                    <w:jc w:val="both"/>
                    <w:rPr>
                      <w:ins w:id="437" w:author="Author"/>
                      <w:rFonts w:ascii="inherit" w:eastAsia="Times New Roman" w:hAnsi="inherit" w:cs="Times New Roman"/>
                      <w:sz w:val="24"/>
                      <w:szCs w:val="24"/>
                      <w:lang w:eastAsia="en-GB"/>
                    </w:rPr>
                  </w:pPr>
                  <w:ins w:id="438" w:author="Author">
                    <w:r>
                      <w:rPr>
                        <w:rFonts w:ascii="inherit" w:eastAsia="Times New Roman" w:hAnsi="inherit" w:cs="Times New Roman"/>
                        <w:sz w:val="24"/>
                        <w:szCs w:val="24"/>
                        <w:lang w:eastAsia="en-GB"/>
                      </w:rPr>
                      <w:t xml:space="preserve"> </w:t>
                    </w:r>
                    <w:r w:rsidR="00870B7D" w:rsidRPr="003B7AE9">
                      <w:rPr>
                        <w:rFonts w:ascii="inherit" w:eastAsia="Times New Roman" w:hAnsi="inherit" w:cs="Times New Roman"/>
                        <w:sz w:val="24"/>
                        <w:szCs w:val="24"/>
                        <w:lang w:eastAsia="en-GB"/>
                      </w:rPr>
                      <w:t>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principle;</w:t>
                    </w:r>
                  </w:ins>
                </w:p>
                <w:p w14:paraId="24BA9213" w14:textId="2E465872" w:rsidR="00B574EC" w:rsidRPr="003B7AE9" w:rsidRDefault="00B574EC" w:rsidP="00503A82">
                  <w:pPr>
                    <w:spacing w:before="120" w:after="0" w:line="240" w:lineRule="auto"/>
                    <w:jc w:val="both"/>
                    <w:rPr>
                      <w:ins w:id="439" w:author="Author"/>
                      <w:rFonts w:ascii="inherit" w:eastAsia="Times New Roman" w:hAnsi="inherit" w:cs="Times New Roman"/>
                      <w:sz w:val="24"/>
                      <w:szCs w:val="24"/>
                      <w:lang w:eastAsia="en-GB"/>
                    </w:rPr>
                  </w:pPr>
                </w:p>
              </w:tc>
            </w:tr>
          </w:tbl>
          <w:p w14:paraId="4390193A" w14:textId="77777777" w:rsidR="00870B7D" w:rsidRPr="003B7AE9" w:rsidRDefault="00870B7D" w:rsidP="00503A82">
            <w:pPr>
              <w:spacing w:after="0" w:line="240" w:lineRule="auto"/>
              <w:rPr>
                <w:ins w:id="440" w:author="Author"/>
                <w:rFonts w:ascii="inherit" w:eastAsia="Times New Roman" w:hAnsi="inherit" w:cs="Times New Roman"/>
                <w:sz w:val="24"/>
                <w:szCs w:val="24"/>
                <w:lang w:eastAsia="en-GB"/>
              </w:rPr>
            </w:pPr>
          </w:p>
        </w:tc>
      </w:tr>
    </w:tbl>
    <w:p w14:paraId="3831B52C" w14:textId="77777777" w:rsidR="00870B7D" w:rsidRPr="003B7AE9" w:rsidRDefault="00870B7D" w:rsidP="00870B7D">
      <w:pPr>
        <w:shd w:val="clear" w:color="auto" w:fill="FFFFFF"/>
        <w:spacing w:after="0" w:line="240" w:lineRule="auto"/>
        <w:rPr>
          <w:ins w:id="441"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Change w:id="442" w:author="Author">
          <w:tblPr>
            <w:tblW w:w="5000" w:type="pct"/>
            <w:tblCellMar>
              <w:left w:w="0" w:type="dxa"/>
              <w:right w:w="0" w:type="dxa"/>
            </w:tblCellMar>
            <w:tblLook w:val="04A0" w:firstRow="1" w:lastRow="0" w:firstColumn="1" w:lastColumn="0" w:noHBand="0" w:noVBand="1"/>
          </w:tblPr>
        </w:tblPrChange>
      </w:tblPr>
      <w:tblGrid>
        <w:gridCol w:w="317"/>
        <w:gridCol w:w="8709"/>
        <w:tblGridChange w:id="443">
          <w:tblGrid>
            <w:gridCol w:w="315"/>
            <w:gridCol w:w="12"/>
            <w:gridCol w:w="8699"/>
          </w:tblGrid>
        </w:tblGridChange>
      </w:tblGrid>
      <w:tr w:rsidR="00870B7D" w:rsidRPr="003B7AE9" w14:paraId="0E036D90" w14:textId="77777777" w:rsidTr="0060282F">
        <w:trPr>
          <w:ins w:id="444" w:author="Author"/>
        </w:trPr>
        <w:tc>
          <w:tcPr>
            <w:tcW w:w="0" w:type="auto"/>
            <w:shd w:val="clear" w:color="auto" w:fill="auto"/>
            <w:hideMark/>
            <w:tcPrChange w:id="445" w:author="Author">
              <w:tcPr>
                <w:tcW w:w="0" w:type="auto"/>
                <w:shd w:val="clear" w:color="auto" w:fill="auto"/>
                <w:hideMark/>
              </w:tcPr>
            </w:tcPrChange>
          </w:tcPr>
          <w:p w14:paraId="6600384B" w14:textId="77777777" w:rsidR="00870B7D" w:rsidRPr="003B7AE9" w:rsidRDefault="00870B7D" w:rsidP="00503A82">
            <w:pPr>
              <w:spacing w:before="120" w:after="0" w:line="240" w:lineRule="auto"/>
              <w:jc w:val="both"/>
              <w:rPr>
                <w:ins w:id="446" w:author="Author"/>
                <w:rFonts w:ascii="inherit" w:eastAsia="Times New Roman" w:hAnsi="inherit" w:cs="Times New Roman"/>
                <w:sz w:val="24"/>
                <w:szCs w:val="24"/>
                <w:lang w:eastAsia="en-GB"/>
              </w:rPr>
            </w:pPr>
            <w:ins w:id="447" w:author="Author">
              <w:r w:rsidRPr="003B7AE9">
                <w:rPr>
                  <w:rFonts w:ascii="inherit" w:eastAsia="Times New Roman" w:hAnsi="inherit" w:cs="Times New Roman"/>
                  <w:sz w:val="24"/>
                  <w:szCs w:val="24"/>
                  <w:lang w:eastAsia="en-GB"/>
                </w:rPr>
                <w:t>(b)</w:t>
              </w:r>
            </w:ins>
          </w:p>
        </w:tc>
        <w:tc>
          <w:tcPr>
            <w:tcW w:w="0" w:type="auto"/>
            <w:shd w:val="clear" w:color="auto" w:fill="auto"/>
            <w:hideMark/>
            <w:tcPrChange w:id="448" w:author="Author">
              <w:tcPr>
                <w:tcW w:w="0" w:type="auto"/>
                <w:gridSpan w:val="2"/>
                <w:shd w:val="clear" w:color="auto" w:fill="auto"/>
                <w:hideMark/>
              </w:tcPr>
            </w:tcPrChange>
          </w:tcPr>
          <w:p w14:paraId="0AEFBCF8" w14:textId="7937FA9C" w:rsidR="00854ECD" w:rsidRPr="003B7AE9" w:rsidRDefault="00870B7D" w:rsidP="0060282F">
            <w:pPr>
              <w:spacing w:before="120" w:after="0" w:line="240" w:lineRule="auto"/>
              <w:jc w:val="both"/>
              <w:rPr>
                <w:ins w:id="449" w:author="Author"/>
                <w:rFonts w:ascii="inherit" w:eastAsia="Times New Roman" w:hAnsi="inherit" w:cs="Times New Roman"/>
                <w:vanish/>
                <w:sz w:val="24"/>
                <w:szCs w:val="24"/>
                <w:lang w:eastAsia="en-GB"/>
              </w:rPr>
              <w:pPrChange w:id="450" w:author="Author">
                <w:pPr>
                  <w:spacing w:after="0" w:line="240" w:lineRule="auto"/>
                </w:pPr>
              </w:pPrChange>
            </w:pPr>
            <w:ins w:id="451" w:author="Author">
              <w:r w:rsidRPr="003B7AE9">
                <w:rPr>
                  <w:rFonts w:ascii="inherit" w:eastAsia="Times New Roman" w:hAnsi="inherit" w:cs="Times New Roman"/>
                  <w:sz w:val="24"/>
                  <w:szCs w:val="24"/>
                  <w:lang w:eastAsia="en-GB"/>
                </w:rPr>
                <w:t>fault-ride-through capabilities in case of asymmetrical faults shall be specified by each TSO.</w:t>
              </w:r>
            </w:ins>
          </w:p>
          <w:p w14:paraId="14AEF2ED" w14:textId="708E2F55" w:rsidR="00391116" w:rsidRDefault="00391116" w:rsidP="00870B7D">
            <w:pPr>
              <w:spacing w:before="120" w:after="0" w:line="240" w:lineRule="auto"/>
              <w:jc w:val="both"/>
              <w:rPr>
                <w:ins w:id="452" w:author="Author"/>
                <w:rFonts w:ascii="inherit" w:eastAsia="Times New Roman" w:hAnsi="inherit" w:cs="Times New Roman"/>
                <w:sz w:val="24"/>
                <w:szCs w:val="24"/>
                <w:lang w:eastAsia="en-GB"/>
              </w:rPr>
            </w:pPr>
          </w:p>
          <w:p w14:paraId="317C70E2" w14:textId="6BFF40C1" w:rsidR="00870B7D" w:rsidRPr="003B7AE9" w:rsidRDefault="00870B7D" w:rsidP="00870B7D">
            <w:pPr>
              <w:spacing w:before="120" w:after="0" w:line="240" w:lineRule="auto"/>
              <w:jc w:val="both"/>
              <w:rPr>
                <w:ins w:id="453" w:author="Author"/>
                <w:rFonts w:ascii="inherit" w:eastAsia="Times New Roman" w:hAnsi="inherit" w:cs="Times New Roman"/>
                <w:sz w:val="24"/>
                <w:szCs w:val="24"/>
                <w:lang w:eastAsia="en-GB"/>
              </w:rPr>
            </w:pPr>
          </w:p>
        </w:tc>
      </w:tr>
      <w:tr w:rsidR="003B71D2" w:rsidRPr="003B7AE9" w14:paraId="5DBA026A" w14:textId="77777777" w:rsidTr="0060282F">
        <w:trPr>
          <w:ins w:id="454" w:author="Author"/>
        </w:trPr>
        <w:tc>
          <w:tcPr>
            <w:tcW w:w="0" w:type="auto"/>
            <w:shd w:val="clear" w:color="auto" w:fill="auto"/>
            <w:tcPrChange w:id="455" w:author="Author">
              <w:tcPr>
                <w:tcW w:w="0" w:type="auto"/>
                <w:gridSpan w:val="2"/>
                <w:tcBorders>
                  <w:top w:val="single" w:sz="4" w:space="0" w:color="auto"/>
                  <w:left w:val="single" w:sz="4" w:space="0" w:color="auto"/>
                  <w:bottom w:val="single" w:sz="4" w:space="0" w:color="auto"/>
                  <w:right w:val="single" w:sz="4" w:space="0" w:color="auto"/>
                </w:tcBorders>
                <w:shd w:val="clear" w:color="auto" w:fill="auto"/>
              </w:tcPr>
            </w:tcPrChange>
          </w:tcPr>
          <w:p w14:paraId="75CFD3DB" w14:textId="77777777" w:rsidR="003B71D2" w:rsidRPr="003B7AE9" w:rsidRDefault="003B71D2" w:rsidP="009756D4">
            <w:pPr>
              <w:spacing w:before="120" w:after="0" w:line="240" w:lineRule="auto"/>
              <w:jc w:val="both"/>
              <w:rPr>
                <w:ins w:id="456" w:author="Author"/>
                <w:rFonts w:ascii="inherit" w:eastAsia="Times New Roman" w:hAnsi="inherit" w:cs="Times New Roman"/>
                <w:sz w:val="24"/>
                <w:szCs w:val="24"/>
                <w:lang w:eastAsia="en-GB"/>
              </w:rPr>
            </w:pPr>
            <w:ins w:id="457" w:author="Author">
              <w:r>
                <w:rPr>
                  <w:rFonts w:ascii="inherit" w:eastAsia="Times New Roman" w:hAnsi="inherit" w:cs="Times New Roman"/>
                  <w:sz w:val="24"/>
                  <w:szCs w:val="24"/>
                  <w:lang w:eastAsia="en-GB"/>
                </w:rPr>
                <w:t>(c)</w:t>
              </w:r>
            </w:ins>
          </w:p>
        </w:tc>
        <w:tc>
          <w:tcPr>
            <w:tcW w:w="0" w:type="auto"/>
            <w:shd w:val="clear" w:color="auto" w:fill="auto"/>
            <w:tcPrChange w:id="458" w:author="Author">
              <w:tcPr>
                <w:tcW w:w="0" w:type="auto"/>
                <w:tcBorders>
                  <w:top w:val="single" w:sz="4" w:space="0" w:color="auto"/>
                  <w:left w:val="single" w:sz="4" w:space="0" w:color="auto"/>
                  <w:bottom w:val="single" w:sz="4" w:space="0" w:color="auto"/>
                  <w:right w:val="single" w:sz="4" w:space="0" w:color="auto"/>
                </w:tcBorders>
                <w:shd w:val="clear" w:color="auto" w:fill="auto"/>
              </w:tcPr>
            </w:tcPrChange>
          </w:tcPr>
          <w:p w14:paraId="40FF5C70" w14:textId="452E9102" w:rsidR="003B71D2" w:rsidRDefault="003B71D2" w:rsidP="009756D4">
            <w:pPr>
              <w:spacing w:before="120" w:after="0" w:line="240" w:lineRule="auto"/>
              <w:jc w:val="both"/>
              <w:rPr>
                <w:ins w:id="459" w:author="Author"/>
                <w:rFonts w:ascii="inherit" w:eastAsia="Times New Roman" w:hAnsi="inherit" w:cs="Times New Roman"/>
                <w:sz w:val="24"/>
                <w:szCs w:val="24"/>
                <w:lang w:eastAsia="en-GB"/>
              </w:rPr>
            </w:pPr>
            <w:ins w:id="460" w:author="Author">
              <w:r>
                <w:rPr>
                  <w:rFonts w:ascii="inherit" w:eastAsia="Times New Roman" w:hAnsi="inherit" w:cs="Times New Roman"/>
                  <w:sz w:val="24"/>
                  <w:szCs w:val="24"/>
                  <w:lang w:eastAsia="en-GB"/>
                </w:rPr>
                <w:t>e</w:t>
              </w:r>
              <w:r w:rsidRPr="003B7AE9">
                <w:rPr>
                  <w:rFonts w:ascii="inherit" w:eastAsia="Times New Roman" w:hAnsi="inherit" w:cs="Times New Roman"/>
                  <w:sz w:val="24"/>
                  <w:szCs w:val="24"/>
                  <w:lang w:eastAsia="en-GB"/>
                </w:rPr>
                <w:t>ach TSO shall specify a voltage-against-time-profile</w:t>
              </w:r>
              <w:r w:rsidR="00641147">
                <w:rPr>
                  <w:rFonts w:ascii="inherit" w:eastAsia="Times New Roman" w:hAnsi="inherit" w:cs="Times New Roman"/>
                  <w:sz w:val="24"/>
                  <w:szCs w:val="24"/>
                  <w:lang w:eastAsia="en-GB"/>
                </w:rPr>
                <w:t xml:space="preserve"> based on European Standards if available</w:t>
              </w:r>
              <w:r w:rsidRPr="003B7AE9">
                <w:rPr>
                  <w:rFonts w:ascii="inherit" w:eastAsia="Times New Roman" w:hAnsi="inherit" w:cs="Times New Roman"/>
                  <w:sz w:val="24"/>
                  <w:szCs w:val="24"/>
                  <w:lang w:eastAsia="en-GB"/>
                </w:rPr>
                <w:t xml:space="preserve"> at the connection point for </w:t>
              </w:r>
              <w:r>
                <w:rPr>
                  <w:rFonts w:ascii="inherit" w:eastAsia="Times New Roman" w:hAnsi="inherit" w:cs="Times New Roman"/>
                  <w:sz w:val="24"/>
                  <w:szCs w:val="24"/>
                  <w:lang w:eastAsia="en-GB"/>
                </w:rPr>
                <w:t>overvoltage events</w:t>
              </w:r>
              <w:r w:rsidRPr="003B7AE9">
                <w:rPr>
                  <w:rFonts w:ascii="inherit" w:eastAsia="Times New Roman" w:hAnsi="inherit" w:cs="Times New Roman"/>
                  <w:sz w:val="24"/>
                  <w:szCs w:val="24"/>
                  <w:lang w:eastAsia="en-GB"/>
                </w:rPr>
                <w:t xml:space="preserve">, which describes the conditions in which the power-generating module is capable of staying connected to </w:t>
              </w:r>
              <w:r w:rsidRPr="003B7AE9">
                <w:rPr>
                  <w:rFonts w:ascii="inherit" w:eastAsia="Times New Roman" w:hAnsi="inherit" w:cs="Times New Roman"/>
                  <w:sz w:val="24"/>
                  <w:szCs w:val="24"/>
                  <w:lang w:eastAsia="en-GB"/>
                </w:rPr>
                <w:lastRenderedPageBreak/>
                <w:t>the network and continuing to operate stably after the power system has been disturbed;</w:t>
              </w:r>
              <w:r>
                <w:rPr>
                  <w:rFonts w:ascii="inherit" w:eastAsia="Times New Roman" w:hAnsi="inherit" w:cs="Times New Roman"/>
                  <w:sz w:val="24"/>
                  <w:szCs w:val="24"/>
                  <w:lang w:eastAsia="en-GB"/>
                </w:rPr>
                <w:t xml:space="preserve"> </w:t>
              </w:r>
            </w:ins>
          </w:p>
          <w:tbl>
            <w:tblPr>
              <w:tblW w:w="5000" w:type="pct"/>
              <w:tblCellMar>
                <w:left w:w="0" w:type="dxa"/>
                <w:right w:w="0" w:type="dxa"/>
              </w:tblCellMar>
              <w:tblLook w:val="04A0" w:firstRow="1" w:lastRow="0" w:firstColumn="1" w:lastColumn="0" w:noHBand="0" w:noVBand="1"/>
            </w:tblPr>
            <w:tblGrid>
              <w:gridCol w:w="250"/>
              <w:gridCol w:w="8459"/>
            </w:tblGrid>
            <w:tr w:rsidR="003B71D2" w:rsidRPr="003B7AE9" w14:paraId="6DD3ECA7" w14:textId="77777777" w:rsidTr="009756D4">
              <w:trPr>
                <w:ins w:id="461" w:author="Author"/>
              </w:trPr>
              <w:tc>
                <w:tcPr>
                  <w:tcW w:w="0" w:type="auto"/>
                  <w:shd w:val="clear" w:color="auto" w:fill="auto"/>
                  <w:hideMark/>
                </w:tcPr>
                <w:p w14:paraId="1F8A1379" w14:textId="77777777" w:rsidR="003B71D2" w:rsidRPr="003B7AE9" w:rsidRDefault="003B71D2" w:rsidP="009756D4">
                  <w:pPr>
                    <w:spacing w:before="120" w:after="0" w:line="240" w:lineRule="auto"/>
                    <w:jc w:val="both"/>
                    <w:rPr>
                      <w:ins w:id="462" w:author="Author"/>
                      <w:rFonts w:ascii="inherit" w:eastAsia="Times New Roman" w:hAnsi="inherit" w:cs="Times New Roman"/>
                      <w:sz w:val="24"/>
                      <w:szCs w:val="24"/>
                      <w:lang w:eastAsia="en-GB"/>
                    </w:rPr>
                  </w:pPr>
                  <w:ins w:id="463" w:author="Author">
                    <w:r w:rsidRPr="003B7AE9">
                      <w:rPr>
                        <w:rFonts w:ascii="inherit" w:eastAsia="Times New Roman" w:hAnsi="inherit" w:cs="Times New Roman"/>
                        <w:sz w:val="24"/>
                        <w:szCs w:val="24"/>
                        <w:lang w:eastAsia="en-GB"/>
                      </w:rPr>
                      <w:t>(i)</w:t>
                    </w:r>
                  </w:ins>
                </w:p>
              </w:tc>
              <w:tc>
                <w:tcPr>
                  <w:tcW w:w="0" w:type="auto"/>
                  <w:shd w:val="clear" w:color="auto" w:fill="auto"/>
                  <w:hideMark/>
                </w:tcPr>
                <w:p w14:paraId="0F19DA2F" w14:textId="1DD0B750" w:rsidR="003B71D2" w:rsidRPr="003B7AE9" w:rsidRDefault="003B71D2" w:rsidP="009756D4">
                  <w:pPr>
                    <w:spacing w:before="120" w:after="0" w:line="240" w:lineRule="auto"/>
                    <w:jc w:val="both"/>
                    <w:rPr>
                      <w:ins w:id="464" w:author="Author"/>
                      <w:rFonts w:ascii="inherit" w:eastAsia="Times New Roman" w:hAnsi="inherit" w:cs="Times New Roman"/>
                      <w:sz w:val="24"/>
                      <w:szCs w:val="24"/>
                      <w:lang w:eastAsia="en-GB"/>
                    </w:rPr>
                  </w:pPr>
                  <w:ins w:id="465" w:author="Author">
                    <w:r w:rsidRPr="003B7AE9">
                      <w:rPr>
                        <w:rFonts w:ascii="inherit" w:eastAsia="Times New Roman" w:hAnsi="inherit" w:cs="Times New Roman"/>
                        <w:sz w:val="24"/>
                        <w:szCs w:val="24"/>
                        <w:lang w:eastAsia="en-GB"/>
                      </w:rPr>
                      <w:t>the voltage-against-time-profile shall express a</w:t>
                    </w:r>
                    <w:r>
                      <w:rPr>
                        <w:rFonts w:ascii="inherit" w:eastAsia="Times New Roman" w:hAnsi="inherit" w:cs="Times New Roman"/>
                        <w:sz w:val="24"/>
                        <w:szCs w:val="24"/>
                        <w:lang w:eastAsia="en-GB"/>
                      </w:rPr>
                      <w:t>n</w:t>
                    </w:r>
                    <w:r w:rsidRPr="003B7AE9">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upper</w:t>
                    </w:r>
                    <w:r w:rsidRPr="003B7AE9">
                      <w:rPr>
                        <w:rFonts w:ascii="inherit" w:eastAsia="Times New Roman" w:hAnsi="inherit" w:cs="Times New Roman"/>
                        <w:sz w:val="24"/>
                        <w:szCs w:val="24"/>
                        <w:lang w:eastAsia="en-GB"/>
                      </w:rPr>
                      <w:t xml:space="preserve"> limit of the actual course of the phase-to-phase voltages on the network voltage level at the connection point during a</w:t>
                    </w:r>
                    <w:r>
                      <w:rPr>
                        <w:rFonts w:ascii="inherit" w:eastAsia="Times New Roman" w:hAnsi="inherit" w:cs="Times New Roman"/>
                        <w:sz w:val="24"/>
                        <w:szCs w:val="24"/>
                        <w:lang w:eastAsia="en-GB"/>
                      </w:rPr>
                      <w:t>n overvoltage event</w:t>
                    </w:r>
                    <w:r w:rsidRPr="003B7AE9">
                      <w:rPr>
                        <w:rFonts w:ascii="inherit" w:eastAsia="Times New Roman" w:hAnsi="inherit" w:cs="Times New Roman"/>
                        <w:sz w:val="24"/>
                        <w:szCs w:val="24"/>
                        <w:lang w:eastAsia="en-GB"/>
                      </w:rPr>
                      <w:t xml:space="preserve">, as a function of time before, during and after the </w:t>
                    </w:r>
                    <w:r>
                      <w:rPr>
                        <w:rFonts w:ascii="inherit" w:eastAsia="Times New Roman" w:hAnsi="inherit" w:cs="Times New Roman"/>
                        <w:sz w:val="24"/>
                        <w:szCs w:val="24"/>
                        <w:lang w:eastAsia="en-GB"/>
                      </w:rPr>
                      <w:t>event</w:t>
                    </w:r>
                    <w:r w:rsidRPr="003B7AE9">
                      <w:rPr>
                        <w:rFonts w:ascii="inherit" w:eastAsia="Times New Roman" w:hAnsi="inherit" w:cs="Times New Roman"/>
                        <w:sz w:val="24"/>
                        <w:szCs w:val="24"/>
                        <w:lang w:eastAsia="en-GB"/>
                      </w:rPr>
                      <w:t>;</w:t>
                    </w:r>
                  </w:ins>
                </w:p>
              </w:tc>
            </w:tr>
          </w:tbl>
          <w:p w14:paraId="762AA99E" w14:textId="77777777" w:rsidR="003B71D2" w:rsidRDefault="003B71D2" w:rsidP="009756D4">
            <w:pPr>
              <w:spacing w:before="120" w:after="0" w:line="240" w:lineRule="auto"/>
              <w:jc w:val="both"/>
              <w:rPr>
                <w:ins w:id="466" w:author="Author"/>
                <w:rFonts w:ascii="inherit" w:eastAsia="Times New Roman" w:hAnsi="inherit" w:cs="Times New Roman"/>
                <w:sz w:val="24"/>
                <w:szCs w:val="24"/>
                <w:lang w:eastAsia="en-GB"/>
              </w:rPr>
            </w:pPr>
          </w:p>
        </w:tc>
      </w:tr>
      <w:tr w:rsidR="003B71D2" w:rsidRPr="003B7AE9" w14:paraId="4114885C" w14:textId="77777777" w:rsidTr="0060282F">
        <w:trPr>
          <w:ins w:id="467" w:author="Author"/>
        </w:trPr>
        <w:tc>
          <w:tcPr>
            <w:tcW w:w="0" w:type="auto"/>
            <w:shd w:val="clear" w:color="auto" w:fill="auto"/>
            <w:tcPrChange w:id="468" w:author="Author">
              <w:tcPr>
                <w:tcW w:w="0" w:type="auto"/>
                <w:shd w:val="clear" w:color="auto" w:fill="auto"/>
              </w:tcPr>
            </w:tcPrChange>
          </w:tcPr>
          <w:p w14:paraId="21BA6A4D" w14:textId="1E1E88D0" w:rsidR="003B71D2" w:rsidRPr="003B7AE9" w:rsidRDefault="003B71D2" w:rsidP="00503A82">
            <w:pPr>
              <w:spacing w:before="120" w:after="0" w:line="240" w:lineRule="auto"/>
              <w:jc w:val="both"/>
              <w:rPr>
                <w:ins w:id="469" w:author="Author"/>
                <w:rFonts w:ascii="inherit" w:eastAsia="Times New Roman" w:hAnsi="inherit" w:cs="Times New Roman"/>
                <w:sz w:val="24"/>
                <w:szCs w:val="24"/>
                <w:lang w:eastAsia="en-GB"/>
              </w:rPr>
            </w:pPr>
            <w:ins w:id="470" w:author="Author">
              <w:r>
                <w:rPr>
                  <w:rFonts w:ascii="inherit" w:eastAsia="Times New Roman" w:hAnsi="inherit" w:cs="Times New Roman"/>
                  <w:sz w:val="24"/>
                  <w:szCs w:val="24"/>
                  <w:lang w:eastAsia="en-GB"/>
                </w:rPr>
                <w:lastRenderedPageBreak/>
                <w:t>(d)</w:t>
              </w:r>
            </w:ins>
          </w:p>
        </w:tc>
        <w:tc>
          <w:tcPr>
            <w:tcW w:w="0" w:type="auto"/>
            <w:shd w:val="clear" w:color="auto" w:fill="auto"/>
            <w:tcPrChange w:id="471" w:author="Author">
              <w:tcPr>
                <w:tcW w:w="0" w:type="auto"/>
                <w:gridSpan w:val="2"/>
                <w:shd w:val="clear" w:color="auto" w:fill="auto"/>
              </w:tcPr>
            </w:tcPrChange>
          </w:tcPr>
          <w:p w14:paraId="652B0F21" w14:textId="5DF0C1B8" w:rsidR="003B71D2" w:rsidRPr="00870B7D" w:rsidRDefault="00FB4C92" w:rsidP="003B71D2">
            <w:pPr>
              <w:spacing w:before="120" w:after="0" w:line="240" w:lineRule="auto"/>
              <w:jc w:val="both"/>
              <w:rPr>
                <w:ins w:id="472" w:author="Author"/>
                <w:rFonts w:ascii="inherit" w:eastAsia="Times New Roman" w:hAnsi="inherit" w:cs="Times New Roman"/>
                <w:sz w:val="24"/>
                <w:szCs w:val="24"/>
                <w:lang w:eastAsia="en-GB"/>
              </w:rPr>
            </w:pPr>
            <w:ins w:id="473" w:author="Author">
              <w:r w:rsidRPr="0060282F">
                <w:rPr>
                  <w:rFonts w:ascii="inherit" w:eastAsia="Times New Roman" w:hAnsi="inherit" w:cs="Times New Roman"/>
                  <w:sz w:val="24"/>
                  <w:szCs w:val="24"/>
                  <w:lang w:eastAsia="en-GB"/>
                  <w:rPrChange w:id="474" w:author="Author">
                    <w:rPr>
                      <w:sz w:val="20"/>
                      <w:szCs w:val="20"/>
                    </w:rPr>
                  </w:rPrChange>
                </w:rPr>
                <w:t>Exempted from this requirement are small generating modules below 50 kW of the following generation</w:t>
              </w:r>
              <w:r w:rsidRPr="0060282F">
                <w:rPr>
                  <w:rFonts w:ascii="inherit" w:eastAsia="Times New Roman" w:hAnsi="inherit" w:cs="Times New Roman"/>
                  <w:sz w:val="24"/>
                  <w:szCs w:val="24"/>
                  <w:lang w:eastAsia="en-GB"/>
                  <w:rPrChange w:id="475" w:author="Author">
                    <w:rPr>
                      <w:rFonts w:ascii="Cambria" w:hAnsi="Cambria" w:cs="Cambria"/>
                    </w:rPr>
                  </w:rPrChange>
                </w:rPr>
                <w:t xml:space="preserve"> </w:t>
              </w:r>
              <w:r w:rsidRPr="0060282F">
                <w:rPr>
                  <w:rFonts w:ascii="inherit" w:eastAsia="Times New Roman" w:hAnsi="inherit" w:cs="Times New Roman"/>
                  <w:sz w:val="24"/>
                  <w:szCs w:val="24"/>
                  <w:lang w:eastAsia="en-GB"/>
                  <w:rPrChange w:id="476" w:author="Author">
                    <w:rPr>
                      <w:sz w:val="20"/>
                      <w:szCs w:val="20"/>
                    </w:rPr>
                  </w:rPrChange>
                </w:rPr>
                <w:t>technologies CHP, fuel cell, rotating machinery, hydro.</w:t>
              </w:r>
            </w:ins>
          </w:p>
          <w:p w14:paraId="078CD6AE" w14:textId="4AFD9F7B" w:rsidR="003B71D2" w:rsidRDefault="003B71D2" w:rsidP="003B71D2">
            <w:pPr>
              <w:spacing w:before="120" w:after="0" w:line="240" w:lineRule="auto"/>
              <w:jc w:val="both"/>
              <w:rPr>
                <w:ins w:id="477" w:author="Author"/>
                <w:rFonts w:ascii="inherit" w:eastAsia="Times New Roman" w:hAnsi="inherit" w:cs="Times New Roman"/>
                <w:sz w:val="24"/>
                <w:szCs w:val="24"/>
                <w:lang w:eastAsia="en-GB"/>
              </w:rPr>
            </w:pPr>
            <w:ins w:id="478" w:author="Author">
              <w:r w:rsidRPr="00870B7D">
                <w:rPr>
                  <w:rFonts w:ascii="inherit" w:eastAsia="Times New Roman" w:hAnsi="inherit" w:cs="Times New Roman"/>
                  <w:sz w:val="24"/>
                  <w:szCs w:val="24"/>
                  <w:lang w:eastAsia="en-GB"/>
                </w:rPr>
                <w:t xml:space="preserve">NOTE 4 </w:t>
              </w:r>
              <w:r>
                <w:rPr>
                  <w:rFonts w:ascii="inherit" w:eastAsia="Times New Roman" w:hAnsi="inherit" w:cs="Times New Roman"/>
                  <w:sz w:val="24"/>
                  <w:szCs w:val="24"/>
                  <w:lang w:eastAsia="en-GB"/>
                </w:rPr>
                <w:t>The Gas Appliance Regulation (2016/426) and consequently th</w:t>
              </w:r>
              <w:r w:rsidRPr="00870B7D">
                <w:rPr>
                  <w:rFonts w:ascii="inherit" w:eastAsia="Times New Roman" w:hAnsi="inherit" w:cs="Times New Roman"/>
                  <w:sz w:val="24"/>
                  <w:szCs w:val="24"/>
                  <w:lang w:eastAsia="en-GB"/>
                </w:rPr>
                <w:t>e standard for household appliances EN 60335 (all parts) require disconnection of the fuel supply of CHP systems in case of undervoltage or overvoltage.</w:t>
              </w:r>
            </w:ins>
          </w:p>
        </w:tc>
      </w:tr>
    </w:tbl>
    <w:p w14:paraId="23326C5B" w14:textId="3910CCBF" w:rsidR="00870B7D" w:rsidRPr="0060282F" w:rsidRDefault="00641147" w:rsidP="0060282F">
      <w:pPr>
        <w:spacing w:before="120" w:after="0" w:line="240" w:lineRule="auto"/>
        <w:jc w:val="both"/>
        <w:rPr>
          <w:rFonts w:ascii="inherit" w:eastAsia="Times New Roman" w:hAnsi="inherit" w:cs="Times New Roman"/>
          <w:sz w:val="24"/>
          <w:szCs w:val="24"/>
          <w:lang w:eastAsia="en-GB"/>
          <w:rPrChange w:id="479" w:author="Author">
            <w:rPr>
              <w:rFonts w:ascii="inherit" w:eastAsia="Times New Roman" w:hAnsi="inherit" w:cs="Times New Roman"/>
              <w:color w:val="000000"/>
              <w:sz w:val="24"/>
              <w:szCs w:val="24"/>
              <w:lang w:eastAsia="en-GB"/>
            </w:rPr>
          </w:rPrChange>
        </w:rPr>
        <w:pPrChange w:id="480" w:author="Author">
          <w:pPr>
            <w:shd w:val="clear" w:color="auto" w:fill="FFFFFF"/>
            <w:spacing w:before="120" w:after="0" w:line="240" w:lineRule="auto"/>
            <w:jc w:val="both"/>
          </w:pPr>
        </w:pPrChange>
      </w:pPr>
      <w:ins w:id="481" w:author="Author">
        <w:r>
          <w:rPr>
            <w:rFonts w:ascii="inherit" w:eastAsia="Times New Roman" w:hAnsi="inherit" w:cs="Times New Roman"/>
            <w:color w:val="000000"/>
            <w:sz w:val="24"/>
            <w:szCs w:val="24"/>
            <w:lang w:eastAsia="en-GB"/>
          </w:rPr>
          <w:t>(e)</w:t>
        </w:r>
        <w:r w:rsidRPr="00641147">
          <w:rPr>
            <w:rFonts w:ascii="inherit" w:eastAsia="Times New Roman" w:hAnsi="inherit" w:cs="Times New Roman"/>
            <w:sz w:val="24"/>
            <w:szCs w:val="24"/>
            <w:lang w:eastAsia="en-GB"/>
          </w:rPr>
          <w:t xml:space="preserve"> </w:t>
        </w:r>
        <w:r w:rsidRPr="003B7AE9">
          <w:rPr>
            <w:rFonts w:ascii="inherit" w:eastAsia="Times New Roman" w:hAnsi="inherit" w:cs="Times New Roman"/>
            <w:sz w:val="24"/>
            <w:szCs w:val="24"/>
            <w:lang w:eastAsia="en-GB"/>
          </w:rPr>
          <w:t xml:space="preserve">With regard to the </w:t>
        </w:r>
        <w:r>
          <w:rPr>
            <w:rFonts w:ascii="inherit" w:eastAsia="Times New Roman" w:hAnsi="inherit" w:cs="Times New Roman"/>
            <w:sz w:val="24"/>
            <w:szCs w:val="24"/>
            <w:lang w:eastAsia="en-GB"/>
          </w:rPr>
          <w:t>phase jump</w:t>
        </w:r>
        <w:r w:rsidRPr="003B7AE9">
          <w:rPr>
            <w:rFonts w:ascii="inherit" w:eastAsia="Times New Roman" w:hAnsi="inherit" w:cs="Times New Roman"/>
            <w:sz w:val="24"/>
            <w:szCs w:val="24"/>
            <w:lang w:eastAsia="en-GB"/>
          </w:rPr>
          <w:t xml:space="preserve"> withstand capability, a power-generating module shall be capable of staying connected to the network and operate </w:t>
        </w:r>
        <w:r>
          <w:rPr>
            <w:rFonts w:ascii="inherit" w:eastAsia="Times New Roman" w:hAnsi="inherit" w:cs="Times New Roman"/>
            <w:sz w:val="24"/>
            <w:szCs w:val="24"/>
            <w:lang w:eastAsia="en-GB"/>
          </w:rPr>
          <w:t>in case of a phase jump</w:t>
        </w:r>
        <w:r w:rsidRPr="003B7AE9">
          <w:rPr>
            <w:rFonts w:ascii="inherit" w:eastAsia="Times New Roman" w:hAnsi="inherit" w:cs="Times New Roman"/>
            <w:sz w:val="24"/>
            <w:szCs w:val="24"/>
            <w:lang w:eastAsia="en-GB"/>
          </w:rPr>
          <w:t xml:space="preserve"> up to a value specified by the relevant TSO</w:t>
        </w:r>
        <w:r>
          <w:rPr>
            <w:rFonts w:ascii="inherit" w:eastAsia="Times New Roman" w:hAnsi="inherit" w:cs="Times New Roman"/>
            <w:sz w:val="24"/>
            <w:szCs w:val="24"/>
            <w:lang w:eastAsia="en-GB"/>
          </w:rPr>
          <w:t xml:space="preserve"> based on European Standards if available</w:t>
        </w:r>
        <w:r w:rsidRPr="003B7AE9">
          <w:rPr>
            <w:rFonts w:ascii="inherit" w:eastAsia="Times New Roman" w:hAnsi="inherit" w:cs="Times New Roman"/>
            <w:sz w:val="24"/>
            <w:szCs w:val="24"/>
            <w:lang w:eastAsia="en-GB"/>
          </w:rPr>
          <w:t xml:space="preserve">. </w:t>
        </w:r>
      </w:ins>
    </w:p>
    <w:p w14:paraId="6175B119"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482" w:author="Author">
            <w:rPr/>
          </w:rPrChange>
        </w:rPr>
        <w:pPrChange w:id="483"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14</w:t>
      </w:r>
    </w:p>
    <w:p w14:paraId="7B17F055"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484" w:author="Author">
          <w:pPr>
            <w:shd w:val="clear" w:color="auto" w:fill="FFFFFF"/>
            <w:jc w:val="center"/>
          </w:pPr>
        </w:pPrChange>
      </w:pPr>
      <w:r w:rsidRPr="003B7AE9">
        <w:rPr>
          <w:rFonts w:ascii="inherit" w:eastAsia="Times New Roman" w:hAnsi="inherit" w:cs="Times New Roman"/>
          <w:b/>
          <w:bCs/>
          <w:color w:val="000000"/>
          <w:sz w:val="24"/>
          <w:szCs w:val="24"/>
          <w:lang w:eastAsia="en-GB"/>
        </w:rPr>
        <w:t>General requirements for type B power-generating modules</w:t>
      </w:r>
    </w:p>
    <w:p w14:paraId="606BEE6E"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485" w:author="Author">
          <w:pPr>
            <w:shd w:val="clear" w:color="auto" w:fill="FFFFFF"/>
            <w:jc w:val="both"/>
          </w:pPr>
        </w:pPrChange>
      </w:pPr>
      <w:r w:rsidRPr="003B7AE9">
        <w:rPr>
          <w:rFonts w:ascii="inherit" w:eastAsia="Times New Roman" w:hAnsi="inherit" w:cs="Times New Roman"/>
          <w:color w:val="000000"/>
          <w:sz w:val="24"/>
          <w:szCs w:val="24"/>
          <w:lang w:eastAsia="en-GB"/>
        </w:rPr>
        <w:t>1.   Type B power-generating modules shall fulfil the requirements set out in Article 13, except for Article 13(2)(b).</w:t>
      </w:r>
    </w:p>
    <w:p w14:paraId="27A6CE0D"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486" w:author="Author">
          <w:pPr>
            <w:shd w:val="clear" w:color="auto" w:fill="FFFFFF"/>
            <w:jc w:val="both"/>
          </w:pPr>
        </w:pPrChange>
      </w:pPr>
      <w:r w:rsidRPr="003B7AE9">
        <w:rPr>
          <w:rFonts w:ascii="inherit" w:eastAsia="Times New Roman" w:hAnsi="inherit" w:cs="Times New Roman"/>
          <w:color w:val="000000"/>
          <w:sz w:val="24"/>
          <w:szCs w:val="24"/>
          <w:lang w:eastAsia="en-GB"/>
        </w:rPr>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15"/>
        <w:gridCol w:w="8711"/>
      </w:tblGrid>
      <w:tr w:rsidR="0086131E" w:rsidRPr="003B7AE9" w14:paraId="3E46D0B7" w14:textId="77777777" w:rsidTr="009756D4">
        <w:tc>
          <w:tcPr>
            <w:tcW w:w="0" w:type="auto"/>
            <w:shd w:val="clear" w:color="auto" w:fill="auto"/>
            <w:hideMark/>
          </w:tcPr>
          <w:p w14:paraId="5AA854A8" w14:textId="77777777" w:rsidR="0086131E" w:rsidRPr="003B7AE9" w:rsidRDefault="0086131E" w:rsidP="009756D4">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C492F7" w14:textId="77777777" w:rsidR="0086131E" w:rsidRPr="003B7AE9" w:rsidRDefault="0086131E" w:rsidP="009756D4">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control active power output, the power-generating module shall be equipped with an interface (input port) in order to be able to reduce active power output following an instruction at the input port; and</w:t>
            </w:r>
          </w:p>
        </w:tc>
      </w:tr>
      <w:tr w:rsidR="0086131E" w:rsidRPr="003B7AE9" w14:paraId="648FC4AF" w14:textId="77777777" w:rsidTr="003B7AE9">
        <w:tc>
          <w:tcPr>
            <w:tcW w:w="0" w:type="auto"/>
            <w:shd w:val="clear" w:color="auto" w:fill="auto"/>
            <w:hideMark/>
          </w:tcPr>
          <w:p w14:paraId="453B8544" w14:textId="4A1413A8" w:rsidR="0086131E" w:rsidRPr="003B7AE9" w:rsidRDefault="0086131E" w:rsidP="0086131E">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4528E" w14:textId="6B9CE40C" w:rsidR="0086131E" w:rsidRPr="003B7AE9" w:rsidRDefault="0086131E" w:rsidP="0086131E">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the requirements for further equipment to allow active power output to be remotely operated.</w:t>
            </w:r>
          </w:p>
        </w:tc>
      </w:tr>
    </w:tbl>
    <w:p w14:paraId="7A7969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Change w:id="487" w:author="Author">
          <w:tblPr>
            <w:tblW w:w="5000" w:type="pct"/>
            <w:tblCellMar>
              <w:left w:w="0" w:type="dxa"/>
              <w:right w:w="0" w:type="dxa"/>
            </w:tblCellMar>
            <w:tblLook w:val="04A0" w:firstRow="1" w:lastRow="0" w:firstColumn="1" w:lastColumn="0" w:noHBand="0" w:noVBand="1"/>
          </w:tblPr>
        </w:tblPrChange>
      </w:tblPr>
      <w:tblGrid>
        <w:gridCol w:w="4513"/>
        <w:gridCol w:w="4513"/>
        <w:tblGridChange w:id="488">
          <w:tblGrid>
            <w:gridCol w:w="300"/>
            <w:gridCol w:w="8726"/>
          </w:tblGrid>
        </w:tblGridChange>
      </w:tblGrid>
      <w:tr w:rsidR="0086131E" w:rsidRPr="003B7AE9" w:rsidDel="000F1BDB" w14:paraId="1D28D987" w14:textId="0A2B7979" w:rsidTr="0060282F">
        <w:trPr>
          <w:del w:id="489" w:author="Author"/>
        </w:trPr>
        <w:tc>
          <w:tcPr>
            <w:tcW w:w="0" w:type="auto"/>
            <w:shd w:val="clear" w:color="auto" w:fill="auto"/>
            <w:hideMark/>
            <w:tcPrChange w:id="490" w:author="Author">
              <w:tcPr>
                <w:tcW w:w="0" w:type="auto"/>
                <w:shd w:val="clear" w:color="auto" w:fill="auto"/>
                <w:hideMark/>
              </w:tcPr>
            </w:tcPrChange>
          </w:tcPr>
          <w:p w14:paraId="4231E826" w14:textId="69F7524C" w:rsidR="0086131E" w:rsidRPr="003B7AE9" w:rsidDel="000F1BDB" w:rsidRDefault="0086131E" w:rsidP="009756D4">
            <w:pPr>
              <w:spacing w:before="120" w:after="0" w:line="240" w:lineRule="auto"/>
              <w:jc w:val="both"/>
              <w:rPr>
                <w:del w:id="491" w:author="Author"/>
                <w:rFonts w:ascii="inherit" w:eastAsia="Times New Roman" w:hAnsi="inherit" w:cs="Times New Roman"/>
                <w:sz w:val="24"/>
                <w:szCs w:val="24"/>
                <w:lang w:eastAsia="en-GB"/>
              </w:rPr>
            </w:pPr>
          </w:p>
        </w:tc>
        <w:tc>
          <w:tcPr>
            <w:tcW w:w="0" w:type="auto"/>
            <w:shd w:val="clear" w:color="auto" w:fill="auto"/>
            <w:hideMark/>
            <w:tcPrChange w:id="492" w:author="Author">
              <w:tcPr>
                <w:tcW w:w="0" w:type="auto"/>
                <w:shd w:val="clear" w:color="auto" w:fill="auto"/>
                <w:hideMark/>
              </w:tcPr>
            </w:tcPrChange>
          </w:tcPr>
          <w:p w14:paraId="0FA3E22F" w14:textId="501D2BF0" w:rsidR="0086131E" w:rsidRPr="003B7AE9" w:rsidDel="000F1BDB" w:rsidRDefault="0086131E" w:rsidP="009756D4">
            <w:pPr>
              <w:spacing w:before="120" w:after="0" w:line="240" w:lineRule="auto"/>
              <w:jc w:val="both"/>
              <w:rPr>
                <w:del w:id="493" w:author="Author"/>
                <w:rFonts w:ascii="inherit" w:eastAsia="Times New Roman" w:hAnsi="inherit" w:cs="Times New Roman"/>
                <w:sz w:val="24"/>
                <w:szCs w:val="24"/>
                <w:lang w:eastAsia="en-GB"/>
              </w:rPr>
            </w:pPr>
          </w:p>
        </w:tc>
      </w:tr>
      <w:tr w:rsidR="003B7AE9" w:rsidRPr="003B7AE9" w:rsidDel="000F1BDB" w14:paraId="1AD96BEB" w14:textId="41E05D49" w:rsidTr="006028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494" w:author="Autho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del w:id="495" w:author="Author"/>
        </w:trPr>
        <w:tc>
          <w:tcPr>
            <w:tcW w:w="0" w:type="auto"/>
            <w:tcBorders>
              <w:top w:val="nil"/>
            </w:tcBorders>
            <w:shd w:val="clear" w:color="auto" w:fill="auto"/>
            <w:hideMark/>
            <w:tcPrChange w:id="496" w:author="Author">
              <w:tcPr>
                <w:tcW w:w="0" w:type="auto"/>
                <w:shd w:val="clear" w:color="auto" w:fill="auto"/>
                <w:hideMark/>
              </w:tcPr>
            </w:tcPrChange>
          </w:tcPr>
          <w:p w14:paraId="1EC304FC" w14:textId="40DFBDEC" w:rsidR="003B7AE9" w:rsidRPr="003B7AE9" w:rsidDel="000F1BDB" w:rsidRDefault="003B7AE9" w:rsidP="003B7AE9">
            <w:pPr>
              <w:spacing w:before="120" w:after="0" w:line="240" w:lineRule="auto"/>
              <w:jc w:val="both"/>
              <w:rPr>
                <w:del w:id="497" w:author="Author"/>
                <w:rFonts w:ascii="inherit" w:eastAsia="Times New Roman" w:hAnsi="inherit" w:cs="Times New Roman"/>
                <w:sz w:val="24"/>
                <w:szCs w:val="24"/>
                <w:lang w:eastAsia="en-GB"/>
              </w:rPr>
            </w:pPr>
          </w:p>
        </w:tc>
        <w:tc>
          <w:tcPr>
            <w:tcW w:w="0" w:type="auto"/>
            <w:tcBorders>
              <w:top w:val="nil"/>
            </w:tcBorders>
            <w:shd w:val="clear" w:color="auto" w:fill="auto"/>
            <w:hideMark/>
            <w:tcPrChange w:id="498" w:author="Author">
              <w:tcPr>
                <w:tcW w:w="0" w:type="auto"/>
                <w:shd w:val="clear" w:color="auto" w:fill="auto"/>
                <w:hideMark/>
              </w:tcPr>
            </w:tcPrChange>
          </w:tcPr>
          <w:p w14:paraId="3AA303E6" w14:textId="6285CB97" w:rsidR="00B70454" w:rsidRPr="003B7AE9" w:rsidDel="000F1BDB" w:rsidRDefault="00B70454" w:rsidP="003B7AE9">
            <w:pPr>
              <w:spacing w:before="120" w:after="0" w:line="240" w:lineRule="auto"/>
              <w:jc w:val="both"/>
              <w:rPr>
                <w:del w:id="499" w:author="Author"/>
                <w:rFonts w:ascii="inherit" w:eastAsia="Times New Roman" w:hAnsi="inherit" w:cs="Times New Roman"/>
                <w:sz w:val="24"/>
                <w:szCs w:val="24"/>
                <w:lang w:eastAsia="en-GB"/>
              </w:rPr>
            </w:pPr>
          </w:p>
        </w:tc>
      </w:tr>
    </w:tbl>
    <w:p w14:paraId="220DD649" w14:textId="430A3B5A" w:rsidR="003B7AE9" w:rsidRPr="003B7AE9" w:rsidDel="000F1BDB" w:rsidRDefault="003B7AE9" w:rsidP="0060282F">
      <w:pPr>
        <w:shd w:val="clear" w:color="auto" w:fill="FFFFFF" w:themeFill="background1"/>
        <w:spacing w:before="120" w:after="0" w:line="240" w:lineRule="auto"/>
        <w:jc w:val="both"/>
        <w:rPr>
          <w:del w:id="500" w:author="Author"/>
          <w:rFonts w:ascii="inherit" w:eastAsia="Times New Roman" w:hAnsi="inherit" w:cs="Times New Roman"/>
          <w:color w:val="000000"/>
          <w:sz w:val="24"/>
          <w:szCs w:val="24"/>
          <w:lang w:eastAsia="en-GB"/>
        </w:rPr>
        <w:pPrChange w:id="501" w:author="Author">
          <w:pPr>
            <w:shd w:val="clear" w:color="auto" w:fill="FFFFFF"/>
            <w:jc w:val="both"/>
          </w:pPr>
        </w:pPrChange>
      </w:pPr>
      <w:del w:id="502" w:author="Author">
        <w:r w:rsidRPr="003B7AE9" w:rsidDel="000F1BDB">
          <w:rPr>
            <w:rFonts w:ascii="inherit" w:eastAsia="Times New Roman" w:hAnsi="inherit" w:cs="Times New Roman"/>
            <w:color w:val="000000"/>
            <w:sz w:val="24"/>
            <w:szCs w:val="24"/>
            <w:lang w:eastAsia="en-GB"/>
          </w:rPr>
          <w:delText>3.   </w:delText>
        </w:r>
      </w:del>
      <w:ins w:id="503" w:author="Author">
        <w:del w:id="504" w:author="Author">
          <w:r w:rsidR="00EC2DAE" w:rsidRPr="003B7AE9" w:rsidDel="000F1BDB">
            <w:rPr>
              <w:rFonts w:ascii="inherit" w:eastAsia="Times New Roman" w:hAnsi="inherit" w:cs="Times New Roman"/>
              <w:color w:val="000000"/>
              <w:sz w:val="24"/>
              <w:szCs w:val="24"/>
              <w:lang w:eastAsia="en-GB"/>
            </w:rPr>
            <w:delText xml:space="preserve"> </w:delText>
          </w:r>
        </w:del>
      </w:ins>
      <w:del w:id="505" w:author="Author">
        <w:r w:rsidRPr="003B7AE9" w:rsidDel="000F1BDB">
          <w:rPr>
            <w:rFonts w:ascii="inherit" w:eastAsia="Times New Roman" w:hAnsi="inherit" w:cs="Times New Roman"/>
            <w:color w:val="000000"/>
            <w:sz w:val="24"/>
            <w:szCs w:val="24"/>
            <w:lang w:eastAsia="en-GB"/>
          </w:rPr>
          <w:delText>Type B power-generating modules shall fulfil the following requirements in relation to robustness:</w:delText>
        </w:r>
      </w:del>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rsidDel="000F1BDB" w14:paraId="5B89BD04" w14:textId="56010B93" w:rsidTr="2D4DAF54">
        <w:trPr>
          <w:del w:id="506" w:author="Author"/>
        </w:trPr>
        <w:tc>
          <w:tcPr>
            <w:tcW w:w="0" w:type="auto"/>
            <w:shd w:val="clear" w:color="auto" w:fill="auto"/>
            <w:hideMark/>
          </w:tcPr>
          <w:p w14:paraId="07E2860A" w14:textId="1438B17C" w:rsidR="003B7AE9" w:rsidRPr="003B7AE9" w:rsidDel="000F1BDB" w:rsidRDefault="003B7AE9" w:rsidP="0060282F">
            <w:pPr>
              <w:shd w:val="clear" w:color="auto" w:fill="FFFFFF" w:themeFill="background1"/>
              <w:spacing w:before="120" w:after="0" w:line="240" w:lineRule="auto"/>
              <w:jc w:val="both"/>
              <w:rPr>
                <w:del w:id="507" w:author="Author"/>
                <w:rFonts w:ascii="inherit" w:eastAsia="Times New Roman" w:hAnsi="inherit" w:cs="Times New Roman"/>
                <w:sz w:val="24"/>
                <w:szCs w:val="24"/>
                <w:lang w:eastAsia="en-GB"/>
              </w:rPr>
              <w:pPrChange w:id="508" w:author="Author">
                <w:pPr>
                  <w:spacing w:before="120" w:after="0" w:line="240" w:lineRule="auto"/>
                  <w:jc w:val="both"/>
                </w:pPr>
              </w:pPrChange>
            </w:pPr>
            <w:del w:id="509" w:author="Author">
              <w:r w:rsidRPr="003B7AE9" w:rsidDel="000F1BDB">
                <w:rPr>
                  <w:rFonts w:ascii="inherit" w:eastAsia="Times New Roman" w:hAnsi="inherit" w:cs="Times New Roman"/>
                  <w:sz w:val="24"/>
                  <w:szCs w:val="24"/>
                  <w:lang w:eastAsia="en-GB"/>
                </w:rPr>
                <w:delText>(a)</w:delText>
              </w:r>
            </w:del>
          </w:p>
        </w:tc>
        <w:tc>
          <w:tcPr>
            <w:tcW w:w="0" w:type="auto"/>
            <w:shd w:val="clear" w:color="auto" w:fill="auto"/>
            <w:hideMark/>
          </w:tcPr>
          <w:p w14:paraId="183CE71B" w14:textId="65D97647" w:rsidR="003B7AE9" w:rsidRPr="003B7AE9" w:rsidDel="000F1BDB" w:rsidRDefault="003B7AE9" w:rsidP="0060282F">
            <w:pPr>
              <w:shd w:val="clear" w:color="auto" w:fill="FFFFFF" w:themeFill="background1"/>
              <w:spacing w:before="120" w:after="0" w:line="240" w:lineRule="auto"/>
              <w:jc w:val="both"/>
              <w:rPr>
                <w:del w:id="510" w:author="Author"/>
                <w:rFonts w:ascii="inherit" w:eastAsia="Times New Roman" w:hAnsi="inherit" w:cs="Times New Roman"/>
                <w:sz w:val="24"/>
                <w:szCs w:val="24"/>
                <w:lang w:eastAsia="en-GB"/>
              </w:rPr>
              <w:pPrChange w:id="511" w:author="Author">
                <w:pPr>
                  <w:spacing w:before="120" w:after="0" w:line="240" w:lineRule="auto"/>
                  <w:jc w:val="both"/>
                </w:pPr>
              </w:pPrChange>
            </w:pPr>
            <w:del w:id="512" w:author="Author">
              <w:r w:rsidRPr="003B7AE9" w:rsidDel="000F1BDB">
                <w:rPr>
                  <w:rFonts w:ascii="inherit" w:eastAsia="Times New Roman" w:hAnsi="inherit" w:cs="Times New Roman"/>
                  <w:sz w:val="24"/>
                  <w:szCs w:val="24"/>
                  <w:lang w:eastAsia="en-GB"/>
                </w:rPr>
                <w:delText>with regard to fault-ride-through capability of power-generating modules:</w:delText>
              </w:r>
            </w:del>
          </w:p>
          <w:tbl>
            <w:tblPr>
              <w:tblW w:w="8725" w:type="dxa"/>
              <w:tblCellMar>
                <w:left w:w="0" w:type="dxa"/>
                <w:right w:w="0" w:type="dxa"/>
              </w:tblCellMar>
              <w:tblLook w:val="04A0" w:firstRow="1" w:lastRow="0" w:firstColumn="1" w:lastColumn="0" w:noHBand="0" w:noVBand="1"/>
              <w:tblPrChange w:id="513" w:author="Author">
                <w:tblPr>
                  <w:tblW w:w="8725" w:type="dxa"/>
                  <w:tblCellMar>
                    <w:left w:w="0" w:type="dxa"/>
                    <w:right w:w="0" w:type="dxa"/>
                  </w:tblCellMar>
                  <w:tblLook w:val="04A0" w:firstRow="1" w:lastRow="0" w:firstColumn="1" w:lastColumn="0" w:noHBand="0" w:noVBand="1"/>
                </w:tblPr>
              </w:tblPrChange>
            </w:tblPr>
            <w:tblGrid>
              <w:gridCol w:w="250"/>
              <w:gridCol w:w="8475"/>
              <w:tblGridChange w:id="514">
                <w:tblGrid>
                  <w:gridCol w:w="250"/>
                  <w:gridCol w:w="8475"/>
                </w:tblGrid>
              </w:tblGridChange>
            </w:tblGrid>
            <w:tr w:rsidR="003B7AE9" w:rsidRPr="003B7AE9" w:rsidDel="000F1BDB" w14:paraId="41289172" w14:textId="41696D8B" w:rsidTr="0060282F">
              <w:trPr>
                <w:del w:id="515" w:author="Author"/>
              </w:trPr>
              <w:tc>
                <w:tcPr>
                  <w:tcW w:w="135" w:type="dxa"/>
                  <w:shd w:val="clear" w:color="auto" w:fill="auto"/>
                  <w:hideMark/>
                  <w:tcPrChange w:id="516" w:author="Author">
                    <w:tcPr>
                      <w:tcW w:w="0" w:type="auto"/>
                      <w:shd w:val="clear" w:color="auto" w:fill="auto"/>
                      <w:hideMark/>
                    </w:tcPr>
                  </w:tcPrChange>
                </w:tcPr>
                <w:p w14:paraId="737AB67F" w14:textId="01BD31FD" w:rsidR="003B7AE9" w:rsidRPr="003B7AE9" w:rsidDel="000F1BDB" w:rsidRDefault="003B7AE9" w:rsidP="0060282F">
                  <w:pPr>
                    <w:shd w:val="clear" w:color="auto" w:fill="FFFFFF" w:themeFill="background1"/>
                    <w:spacing w:before="120" w:after="0" w:line="240" w:lineRule="auto"/>
                    <w:jc w:val="both"/>
                    <w:rPr>
                      <w:del w:id="517" w:author="Author"/>
                      <w:rFonts w:ascii="inherit" w:eastAsia="Times New Roman" w:hAnsi="inherit" w:cs="Times New Roman"/>
                      <w:sz w:val="24"/>
                      <w:szCs w:val="24"/>
                      <w:lang w:eastAsia="en-GB"/>
                    </w:rPr>
                    <w:pPrChange w:id="518" w:author="Author">
                      <w:pPr>
                        <w:spacing w:before="120" w:after="0" w:line="240" w:lineRule="auto"/>
                        <w:jc w:val="both"/>
                      </w:pPr>
                    </w:pPrChange>
                  </w:pPr>
                  <w:del w:id="519" w:author="Author">
                    <w:r w:rsidRPr="003B7AE9" w:rsidDel="000F1BDB">
                      <w:rPr>
                        <w:rFonts w:ascii="inherit" w:eastAsia="Times New Roman" w:hAnsi="inherit" w:cs="Times New Roman"/>
                        <w:sz w:val="24"/>
                        <w:szCs w:val="24"/>
                        <w:lang w:eastAsia="en-GB"/>
                      </w:rPr>
                      <w:delText>(i)</w:delText>
                    </w:r>
                  </w:del>
                </w:p>
              </w:tc>
              <w:tc>
                <w:tcPr>
                  <w:tcW w:w="8590" w:type="dxa"/>
                  <w:shd w:val="clear" w:color="auto" w:fill="auto"/>
                  <w:hideMark/>
                  <w:tcPrChange w:id="520" w:author="Author">
                    <w:tcPr>
                      <w:tcW w:w="0" w:type="auto"/>
                      <w:shd w:val="clear" w:color="auto" w:fill="auto"/>
                      <w:hideMark/>
                    </w:tcPr>
                  </w:tcPrChange>
                </w:tcPr>
                <w:p w14:paraId="45B80F1C" w14:textId="5064ADB9" w:rsidR="003B7AE9" w:rsidRPr="003B7AE9" w:rsidDel="000F1BDB" w:rsidRDefault="003B7AE9" w:rsidP="0060282F">
                  <w:pPr>
                    <w:shd w:val="clear" w:color="auto" w:fill="FFFFFF" w:themeFill="background1"/>
                    <w:spacing w:before="120" w:after="0" w:line="240" w:lineRule="auto"/>
                    <w:jc w:val="both"/>
                    <w:rPr>
                      <w:del w:id="521" w:author="Author"/>
                      <w:rFonts w:ascii="inherit" w:eastAsia="Times New Roman" w:hAnsi="inherit" w:cs="Times New Roman"/>
                      <w:sz w:val="24"/>
                      <w:szCs w:val="24"/>
                      <w:lang w:eastAsia="en-GB"/>
                    </w:rPr>
                    <w:pPrChange w:id="522" w:author="Author">
                      <w:pPr>
                        <w:spacing w:before="120" w:after="0" w:line="240" w:lineRule="auto"/>
                        <w:jc w:val="both"/>
                      </w:pPr>
                    </w:pPrChange>
                  </w:pPr>
                  <w:del w:id="523" w:author="Author">
                    <w:r w:rsidRPr="003B7AE9" w:rsidDel="000F1BDB">
                      <w:rPr>
                        <w:rFonts w:ascii="inherit" w:eastAsia="Times New Roman" w:hAnsi="inherit" w:cs="Times New Roman"/>
                        <w:sz w:val="24"/>
                        <w:szCs w:val="24"/>
                        <w:lang w:eastAsia="en-GB"/>
                      </w:rPr>
                      <w:delTex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delText>
                    </w:r>
                  </w:del>
                </w:p>
              </w:tc>
            </w:tr>
          </w:tbl>
          <w:p w14:paraId="4C6087F2" w14:textId="049C5773" w:rsidR="003B7AE9" w:rsidRPr="003B7AE9" w:rsidDel="000F1BDB" w:rsidRDefault="003B7AE9" w:rsidP="0060282F">
            <w:pPr>
              <w:shd w:val="clear" w:color="auto" w:fill="FFFFFF" w:themeFill="background1"/>
              <w:spacing w:before="120" w:after="0" w:line="240" w:lineRule="auto"/>
              <w:jc w:val="both"/>
              <w:rPr>
                <w:del w:id="524" w:author="Author"/>
                <w:rFonts w:ascii="inherit" w:eastAsia="Times New Roman" w:hAnsi="inherit" w:cs="Times New Roman"/>
                <w:vanish/>
                <w:sz w:val="24"/>
                <w:szCs w:val="24"/>
                <w:lang w:eastAsia="en-GB"/>
              </w:rPr>
              <w:pPrChange w:id="525" w:author="Author">
                <w:pPr>
                  <w:spacing w:after="0" w:line="240" w:lineRule="auto"/>
                </w:pPr>
              </w:pPrChange>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rsidDel="000F1BDB" w14:paraId="25ED29EC" w14:textId="0F2740EE">
              <w:trPr>
                <w:del w:id="526" w:author="Author"/>
              </w:trPr>
              <w:tc>
                <w:tcPr>
                  <w:tcW w:w="0" w:type="auto"/>
                  <w:shd w:val="clear" w:color="auto" w:fill="auto"/>
                  <w:hideMark/>
                </w:tcPr>
                <w:p w14:paraId="2E4C3E55" w14:textId="597FFBE3" w:rsidR="003B7AE9" w:rsidRPr="003B7AE9" w:rsidDel="000F1BDB" w:rsidRDefault="003B7AE9" w:rsidP="0060282F">
                  <w:pPr>
                    <w:shd w:val="clear" w:color="auto" w:fill="FFFFFF" w:themeFill="background1"/>
                    <w:spacing w:before="120" w:after="0" w:line="240" w:lineRule="auto"/>
                    <w:jc w:val="both"/>
                    <w:rPr>
                      <w:del w:id="527" w:author="Author"/>
                      <w:rFonts w:ascii="inherit" w:eastAsia="Times New Roman" w:hAnsi="inherit" w:cs="Times New Roman"/>
                      <w:sz w:val="24"/>
                      <w:szCs w:val="24"/>
                      <w:lang w:eastAsia="en-GB"/>
                    </w:rPr>
                    <w:pPrChange w:id="528" w:author="Author">
                      <w:pPr>
                        <w:spacing w:before="120" w:after="0" w:line="240" w:lineRule="auto"/>
                        <w:jc w:val="both"/>
                      </w:pPr>
                    </w:pPrChange>
                  </w:pPr>
                  <w:del w:id="529" w:author="Author">
                    <w:r w:rsidRPr="003B7AE9" w:rsidDel="000F1BDB">
                      <w:rPr>
                        <w:rFonts w:ascii="inherit" w:eastAsia="Times New Roman" w:hAnsi="inherit" w:cs="Times New Roman"/>
                        <w:sz w:val="24"/>
                        <w:szCs w:val="24"/>
                        <w:lang w:eastAsia="en-GB"/>
                      </w:rPr>
                      <w:delText>(ii)</w:delText>
                    </w:r>
                  </w:del>
                </w:p>
              </w:tc>
              <w:tc>
                <w:tcPr>
                  <w:tcW w:w="0" w:type="auto"/>
                  <w:shd w:val="clear" w:color="auto" w:fill="auto"/>
                  <w:hideMark/>
                </w:tcPr>
                <w:p w14:paraId="3E00208A" w14:textId="06C35883" w:rsidR="003B7AE9" w:rsidRPr="003B7AE9" w:rsidDel="000F1BDB" w:rsidRDefault="003B7AE9" w:rsidP="0060282F">
                  <w:pPr>
                    <w:shd w:val="clear" w:color="auto" w:fill="FFFFFF" w:themeFill="background1"/>
                    <w:spacing w:before="120" w:after="0" w:line="240" w:lineRule="auto"/>
                    <w:jc w:val="both"/>
                    <w:rPr>
                      <w:del w:id="530" w:author="Author"/>
                      <w:rFonts w:ascii="inherit" w:eastAsia="Times New Roman" w:hAnsi="inherit" w:cs="Times New Roman"/>
                      <w:sz w:val="24"/>
                      <w:szCs w:val="24"/>
                      <w:lang w:eastAsia="en-GB"/>
                    </w:rPr>
                    <w:pPrChange w:id="531" w:author="Author">
                      <w:pPr>
                        <w:spacing w:before="120" w:after="0" w:line="240" w:lineRule="auto"/>
                        <w:jc w:val="both"/>
                      </w:pPr>
                    </w:pPrChange>
                  </w:pPr>
                  <w:del w:id="532" w:author="Author">
                    <w:r w:rsidRPr="003B7AE9" w:rsidDel="000F1BDB">
                      <w:rPr>
                        <w:rFonts w:ascii="inherit" w:eastAsia="Times New Roman" w:hAnsi="inherit" w:cs="Times New Roman"/>
                        <w:sz w:val="24"/>
                        <w:szCs w:val="24"/>
                        <w:lang w:eastAsia="en-GB"/>
                      </w:rPr>
                      <w:delText>the voltage-against-time-profile shall express a lower limit of the actual course of the phase-to-phase voltages on the network voltage level at the connection point during a symmetrical fault, as a function of time before, during and after the fault;</w:delText>
                    </w:r>
                  </w:del>
                </w:p>
              </w:tc>
            </w:tr>
          </w:tbl>
          <w:p w14:paraId="166E09C5" w14:textId="6FF2ABCC" w:rsidR="003B7AE9" w:rsidRPr="003B7AE9" w:rsidDel="000F1BDB" w:rsidRDefault="003B7AE9" w:rsidP="0060282F">
            <w:pPr>
              <w:shd w:val="clear" w:color="auto" w:fill="FFFFFF" w:themeFill="background1"/>
              <w:spacing w:before="120" w:after="0" w:line="240" w:lineRule="auto"/>
              <w:jc w:val="both"/>
              <w:rPr>
                <w:del w:id="533" w:author="Author"/>
                <w:rFonts w:ascii="inherit" w:eastAsia="Times New Roman" w:hAnsi="inherit" w:cs="Times New Roman"/>
                <w:vanish/>
                <w:sz w:val="24"/>
                <w:szCs w:val="24"/>
                <w:lang w:eastAsia="en-GB"/>
              </w:rPr>
              <w:pPrChange w:id="534" w:author="Author">
                <w:pPr>
                  <w:spacing w:after="0" w:line="240" w:lineRule="auto"/>
                </w:pPr>
              </w:pPrChange>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rsidDel="000F1BDB" w14:paraId="01FCFF95" w14:textId="4B471616">
              <w:trPr>
                <w:del w:id="535" w:author="Author"/>
              </w:trPr>
              <w:tc>
                <w:tcPr>
                  <w:tcW w:w="0" w:type="auto"/>
                  <w:shd w:val="clear" w:color="auto" w:fill="auto"/>
                  <w:hideMark/>
                </w:tcPr>
                <w:p w14:paraId="1679858A" w14:textId="10DF442A" w:rsidR="003B7AE9" w:rsidRPr="003B7AE9" w:rsidDel="000F1BDB" w:rsidRDefault="003B7AE9" w:rsidP="0060282F">
                  <w:pPr>
                    <w:shd w:val="clear" w:color="auto" w:fill="FFFFFF" w:themeFill="background1"/>
                    <w:spacing w:before="120" w:after="0" w:line="240" w:lineRule="auto"/>
                    <w:jc w:val="both"/>
                    <w:rPr>
                      <w:del w:id="536" w:author="Author"/>
                      <w:rFonts w:ascii="inherit" w:eastAsia="Times New Roman" w:hAnsi="inherit" w:cs="Times New Roman"/>
                      <w:sz w:val="24"/>
                      <w:szCs w:val="24"/>
                      <w:lang w:eastAsia="en-GB"/>
                    </w:rPr>
                    <w:pPrChange w:id="537" w:author="Author">
                      <w:pPr>
                        <w:spacing w:before="120" w:after="0" w:line="240" w:lineRule="auto"/>
                        <w:jc w:val="both"/>
                      </w:pPr>
                    </w:pPrChange>
                  </w:pPr>
                  <w:del w:id="538" w:author="Author">
                    <w:r w:rsidRPr="003B7AE9" w:rsidDel="000F1BDB">
                      <w:rPr>
                        <w:rFonts w:ascii="inherit" w:eastAsia="Times New Roman" w:hAnsi="inherit" w:cs="Times New Roman"/>
                        <w:sz w:val="24"/>
                        <w:szCs w:val="24"/>
                        <w:lang w:eastAsia="en-GB"/>
                      </w:rPr>
                      <w:delText>(iii)</w:delText>
                    </w:r>
                  </w:del>
                </w:p>
              </w:tc>
              <w:tc>
                <w:tcPr>
                  <w:tcW w:w="0" w:type="auto"/>
                  <w:shd w:val="clear" w:color="auto" w:fill="auto"/>
                  <w:hideMark/>
                </w:tcPr>
                <w:p w14:paraId="4F04B0BC" w14:textId="1174DCCB" w:rsidR="003B7AE9" w:rsidRPr="003B7AE9" w:rsidDel="000F1BDB" w:rsidRDefault="003B7AE9" w:rsidP="0060282F">
                  <w:pPr>
                    <w:shd w:val="clear" w:color="auto" w:fill="FFFFFF" w:themeFill="background1"/>
                    <w:spacing w:before="120" w:after="0" w:line="240" w:lineRule="auto"/>
                    <w:jc w:val="both"/>
                    <w:rPr>
                      <w:del w:id="539" w:author="Author"/>
                      <w:rFonts w:ascii="inherit" w:eastAsia="Times New Roman" w:hAnsi="inherit" w:cs="Times New Roman"/>
                      <w:sz w:val="24"/>
                      <w:szCs w:val="24"/>
                      <w:lang w:eastAsia="en-GB"/>
                    </w:rPr>
                    <w:pPrChange w:id="540" w:author="Author">
                      <w:pPr>
                        <w:spacing w:before="120" w:after="0" w:line="240" w:lineRule="auto"/>
                        <w:jc w:val="both"/>
                      </w:pPr>
                    </w:pPrChange>
                  </w:pPr>
                  <w:del w:id="541" w:author="Author">
                    <w:r w:rsidRPr="003B7AE9" w:rsidDel="000F1BDB">
                      <w:rPr>
                        <w:rFonts w:ascii="inherit" w:eastAsia="Times New Roman" w:hAnsi="inherit" w:cs="Times New Roman"/>
                        <w:sz w:val="24"/>
                        <w:szCs w:val="24"/>
                        <w:lang w:eastAsia="en-GB"/>
                      </w:rPr>
                      <w:delText>the lower limit referred to in point (ii) shall be specified by the relevant TSO using the parameters set out in Figure 3, and within the ranges set out in Tables 3.1 and 3.2;</w:delText>
                    </w:r>
                  </w:del>
                </w:p>
              </w:tc>
            </w:tr>
          </w:tbl>
          <w:p w14:paraId="61E59E17" w14:textId="012728A1" w:rsidR="003B7AE9" w:rsidRPr="003B7AE9" w:rsidDel="000F1BDB" w:rsidRDefault="003B7AE9" w:rsidP="0060282F">
            <w:pPr>
              <w:shd w:val="clear" w:color="auto" w:fill="FFFFFF" w:themeFill="background1"/>
              <w:spacing w:before="120" w:after="0" w:line="240" w:lineRule="auto"/>
              <w:jc w:val="both"/>
              <w:rPr>
                <w:del w:id="542" w:author="Author"/>
                <w:rFonts w:ascii="inherit" w:eastAsia="Times New Roman" w:hAnsi="inherit" w:cs="Times New Roman"/>
                <w:vanish/>
                <w:sz w:val="24"/>
                <w:szCs w:val="24"/>
                <w:lang w:eastAsia="en-GB"/>
              </w:rPr>
              <w:pPrChange w:id="543" w:author="Author">
                <w:pPr>
                  <w:spacing w:after="0" w:line="240" w:lineRule="auto"/>
                </w:pPr>
              </w:pPrChange>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rsidDel="000F1BDB" w14:paraId="623C08D3" w14:textId="1EA92467">
              <w:trPr>
                <w:del w:id="544" w:author="Author"/>
              </w:trPr>
              <w:tc>
                <w:tcPr>
                  <w:tcW w:w="0" w:type="auto"/>
                  <w:shd w:val="clear" w:color="auto" w:fill="auto"/>
                  <w:hideMark/>
                </w:tcPr>
                <w:p w14:paraId="40EEC395" w14:textId="1989691E" w:rsidR="003B7AE9" w:rsidRPr="003B7AE9" w:rsidDel="000F1BDB" w:rsidRDefault="003B7AE9" w:rsidP="0060282F">
                  <w:pPr>
                    <w:shd w:val="clear" w:color="auto" w:fill="FFFFFF" w:themeFill="background1"/>
                    <w:spacing w:before="120" w:after="0" w:line="240" w:lineRule="auto"/>
                    <w:jc w:val="both"/>
                    <w:rPr>
                      <w:del w:id="545" w:author="Author"/>
                      <w:rFonts w:ascii="inherit" w:eastAsia="Times New Roman" w:hAnsi="inherit" w:cs="Times New Roman"/>
                      <w:sz w:val="24"/>
                      <w:szCs w:val="24"/>
                      <w:lang w:eastAsia="en-GB"/>
                    </w:rPr>
                    <w:pPrChange w:id="546" w:author="Author">
                      <w:pPr>
                        <w:spacing w:before="120" w:after="0" w:line="240" w:lineRule="auto"/>
                        <w:jc w:val="both"/>
                      </w:pPr>
                    </w:pPrChange>
                  </w:pPr>
                  <w:del w:id="547" w:author="Author">
                    <w:r w:rsidRPr="003B7AE9" w:rsidDel="000F1BDB">
                      <w:rPr>
                        <w:rFonts w:ascii="inherit" w:eastAsia="Times New Roman" w:hAnsi="inherit" w:cs="Times New Roman"/>
                        <w:sz w:val="24"/>
                        <w:szCs w:val="24"/>
                        <w:lang w:eastAsia="en-GB"/>
                      </w:rPr>
                      <w:delText>(iv)</w:delText>
                    </w:r>
                  </w:del>
                </w:p>
              </w:tc>
              <w:tc>
                <w:tcPr>
                  <w:tcW w:w="0" w:type="auto"/>
                  <w:shd w:val="clear" w:color="auto" w:fill="auto"/>
                  <w:hideMark/>
                </w:tcPr>
                <w:p w14:paraId="22D1F2D6" w14:textId="1E54907B" w:rsidR="003B7AE9" w:rsidRPr="003B7AE9" w:rsidDel="000F1BDB" w:rsidRDefault="003B7AE9" w:rsidP="0060282F">
                  <w:pPr>
                    <w:shd w:val="clear" w:color="auto" w:fill="FFFFFF" w:themeFill="background1"/>
                    <w:spacing w:before="120" w:after="0" w:line="240" w:lineRule="auto"/>
                    <w:jc w:val="both"/>
                    <w:rPr>
                      <w:del w:id="548" w:author="Author"/>
                      <w:rFonts w:ascii="inherit" w:eastAsia="Times New Roman" w:hAnsi="inherit" w:cs="Times New Roman"/>
                      <w:sz w:val="24"/>
                      <w:szCs w:val="24"/>
                      <w:lang w:eastAsia="en-GB"/>
                    </w:rPr>
                    <w:pPrChange w:id="549" w:author="Author">
                      <w:pPr>
                        <w:spacing w:before="120" w:after="0" w:line="240" w:lineRule="auto"/>
                        <w:jc w:val="both"/>
                      </w:pPr>
                    </w:pPrChange>
                  </w:pPr>
                  <w:del w:id="550" w:author="Author">
                    <w:r w:rsidRPr="003B7AE9" w:rsidDel="000F1BDB">
                      <w:rPr>
                        <w:rFonts w:ascii="inherit" w:eastAsia="Times New Roman" w:hAnsi="inherit" w:cs="Times New Roman"/>
                        <w:sz w:val="24"/>
                        <w:szCs w:val="24"/>
                        <w:lang w:eastAsia="en-GB"/>
                      </w:rPr>
                      <w:delText>each TSO shall specify and make publicly available the pre-fault and post-fault conditions for the fault-ride-through capability in terms of:</w:delText>
                    </w:r>
                  </w:del>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rsidDel="000F1BDB" w14:paraId="326D4373" w14:textId="2F60C5D4">
                    <w:trPr>
                      <w:del w:id="551" w:author="Author"/>
                    </w:trPr>
                    <w:tc>
                      <w:tcPr>
                        <w:tcW w:w="0" w:type="auto"/>
                        <w:shd w:val="clear" w:color="auto" w:fill="auto"/>
                        <w:hideMark/>
                      </w:tcPr>
                      <w:p w14:paraId="6B5DCF0F" w14:textId="47C0CB6A" w:rsidR="003B7AE9" w:rsidRPr="003B7AE9" w:rsidDel="000F1BDB" w:rsidRDefault="003B7AE9" w:rsidP="0060282F">
                        <w:pPr>
                          <w:shd w:val="clear" w:color="auto" w:fill="FFFFFF" w:themeFill="background1"/>
                          <w:spacing w:before="120" w:after="0" w:line="240" w:lineRule="auto"/>
                          <w:jc w:val="both"/>
                          <w:rPr>
                            <w:del w:id="552" w:author="Author"/>
                            <w:rFonts w:ascii="inherit" w:eastAsia="Times New Roman" w:hAnsi="inherit" w:cs="Times New Roman"/>
                            <w:sz w:val="24"/>
                            <w:szCs w:val="24"/>
                            <w:lang w:eastAsia="en-GB"/>
                          </w:rPr>
                          <w:pPrChange w:id="553" w:author="Author">
                            <w:pPr>
                              <w:spacing w:before="120" w:after="0" w:line="240" w:lineRule="auto"/>
                              <w:jc w:val="both"/>
                            </w:pPr>
                          </w:pPrChange>
                        </w:pPr>
                        <w:del w:id="554" w:author="Author">
                          <w:r w:rsidRPr="003B7AE9" w:rsidDel="000F1BDB">
                            <w:rPr>
                              <w:rFonts w:ascii="inherit" w:eastAsia="Times New Roman" w:hAnsi="inherit" w:cs="Times New Roman"/>
                              <w:sz w:val="24"/>
                              <w:szCs w:val="24"/>
                              <w:lang w:eastAsia="en-GB"/>
                            </w:rPr>
                            <w:lastRenderedPageBreak/>
                            <w:delText>—</w:delText>
                          </w:r>
                        </w:del>
                      </w:p>
                    </w:tc>
                    <w:tc>
                      <w:tcPr>
                        <w:tcW w:w="0" w:type="auto"/>
                        <w:shd w:val="clear" w:color="auto" w:fill="auto"/>
                        <w:hideMark/>
                      </w:tcPr>
                      <w:p w14:paraId="08DD720E" w14:textId="58C241BD" w:rsidR="003B7AE9" w:rsidRPr="003B7AE9" w:rsidDel="000F1BDB" w:rsidRDefault="003B7AE9" w:rsidP="0060282F">
                        <w:pPr>
                          <w:shd w:val="clear" w:color="auto" w:fill="FFFFFF" w:themeFill="background1"/>
                          <w:spacing w:before="120" w:after="0" w:line="240" w:lineRule="auto"/>
                          <w:jc w:val="both"/>
                          <w:rPr>
                            <w:del w:id="555" w:author="Author"/>
                            <w:rFonts w:ascii="inherit" w:eastAsia="Times New Roman" w:hAnsi="inherit" w:cs="Times New Roman"/>
                            <w:sz w:val="24"/>
                            <w:szCs w:val="24"/>
                            <w:lang w:eastAsia="en-GB"/>
                          </w:rPr>
                          <w:pPrChange w:id="556" w:author="Author">
                            <w:pPr>
                              <w:spacing w:before="120" w:after="0" w:line="240" w:lineRule="auto"/>
                              <w:jc w:val="both"/>
                            </w:pPr>
                          </w:pPrChange>
                        </w:pPr>
                        <w:del w:id="557" w:author="Author">
                          <w:r w:rsidRPr="003B7AE9" w:rsidDel="000F1BDB">
                            <w:rPr>
                              <w:rFonts w:ascii="inherit" w:eastAsia="Times New Roman" w:hAnsi="inherit" w:cs="Times New Roman"/>
                              <w:sz w:val="24"/>
                              <w:szCs w:val="24"/>
                              <w:lang w:eastAsia="en-GB"/>
                            </w:rPr>
                            <w:delText>the calculation of the pre-fault minimum short circuit capacity at the connection point,</w:delText>
                          </w:r>
                        </w:del>
                      </w:p>
                    </w:tc>
                  </w:tr>
                </w:tbl>
                <w:p w14:paraId="24C16DBE" w14:textId="2E922B83" w:rsidR="003B7AE9" w:rsidRPr="003B7AE9" w:rsidDel="000F1BDB" w:rsidRDefault="003B7AE9" w:rsidP="0060282F">
                  <w:pPr>
                    <w:shd w:val="clear" w:color="auto" w:fill="FFFFFF" w:themeFill="background1"/>
                    <w:spacing w:before="120" w:after="0" w:line="240" w:lineRule="auto"/>
                    <w:jc w:val="both"/>
                    <w:rPr>
                      <w:del w:id="558" w:author="Author"/>
                      <w:rFonts w:ascii="inherit" w:eastAsia="Times New Roman" w:hAnsi="inherit" w:cs="Times New Roman"/>
                      <w:vanish/>
                      <w:sz w:val="24"/>
                      <w:szCs w:val="24"/>
                      <w:lang w:eastAsia="en-GB"/>
                    </w:rPr>
                    <w:pPrChange w:id="559" w:author="Author">
                      <w:pPr>
                        <w:spacing w:after="0" w:line="240" w:lineRule="auto"/>
                      </w:pPr>
                    </w:pPrChange>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rsidDel="000F1BDB" w14:paraId="4A827DBA" w14:textId="7D0F1BAC">
                    <w:trPr>
                      <w:del w:id="560" w:author="Author"/>
                    </w:trPr>
                    <w:tc>
                      <w:tcPr>
                        <w:tcW w:w="0" w:type="auto"/>
                        <w:shd w:val="clear" w:color="auto" w:fill="auto"/>
                        <w:hideMark/>
                      </w:tcPr>
                      <w:p w14:paraId="2B9BD922" w14:textId="5361D12A" w:rsidR="003B7AE9" w:rsidRPr="003B7AE9" w:rsidDel="000F1BDB" w:rsidRDefault="003B7AE9" w:rsidP="0060282F">
                        <w:pPr>
                          <w:shd w:val="clear" w:color="auto" w:fill="FFFFFF" w:themeFill="background1"/>
                          <w:spacing w:before="120" w:after="0" w:line="240" w:lineRule="auto"/>
                          <w:jc w:val="both"/>
                          <w:rPr>
                            <w:del w:id="561" w:author="Author"/>
                            <w:rFonts w:ascii="inherit" w:eastAsia="Times New Roman" w:hAnsi="inherit" w:cs="Times New Roman"/>
                            <w:sz w:val="24"/>
                            <w:szCs w:val="24"/>
                            <w:lang w:eastAsia="en-GB"/>
                          </w:rPr>
                          <w:pPrChange w:id="562" w:author="Author">
                            <w:pPr>
                              <w:spacing w:before="120" w:after="0" w:line="240" w:lineRule="auto"/>
                              <w:jc w:val="both"/>
                            </w:pPr>
                          </w:pPrChange>
                        </w:pPr>
                        <w:del w:id="563" w:author="Author">
                          <w:r w:rsidRPr="003B7AE9" w:rsidDel="000F1BDB">
                            <w:rPr>
                              <w:rFonts w:ascii="inherit" w:eastAsia="Times New Roman" w:hAnsi="inherit" w:cs="Times New Roman"/>
                              <w:sz w:val="24"/>
                              <w:szCs w:val="24"/>
                              <w:lang w:eastAsia="en-GB"/>
                            </w:rPr>
                            <w:delText>—</w:delText>
                          </w:r>
                        </w:del>
                      </w:p>
                    </w:tc>
                    <w:tc>
                      <w:tcPr>
                        <w:tcW w:w="0" w:type="auto"/>
                        <w:shd w:val="clear" w:color="auto" w:fill="auto"/>
                        <w:hideMark/>
                      </w:tcPr>
                      <w:p w14:paraId="14E5AF4B" w14:textId="1085EE2E" w:rsidR="003B7AE9" w:rsidRPr="003B7AE9" w:rsidDel="000F1BDB" w:rsidRDefault="003B7AE9" w:rsidP="0060282F">
                        <w:pPr>
                          <w:shd w:val="clear" w:color="auto" w:fill="FFFFFF" w:themeFill="background1"/>
                          <w:spacing w:before="120" w:after="0" w:line="240" w:lineRule="auto"/>
                          <w:jc w:val="both"/>
                          <w:rPr>
                            <w:del w:id="564" w:author="Author"/>
                            <w:rFonts w:ascii="inherit" w:eastAsia="Times New Roman" w:hAnsi="inherit" w:cs="Times New Roman"/>
                            <w:sz w:val="24"/>
                            <w:szCs w:val="24"/>
                            <w:lang w:eastAsia="en-GB"/>
                          </w:rPr>
                          <w:pPrChange w:id="565" w:author="Author">
                            <w:pPr>
                              <w:spacing w:before="120" w:after="0" w:line="240" w:lineRule="auto"/>
                              <w:jc w:val="both"/>
                            </w:pPr>
                          </w:pPrChange>
                        </w:pPr>
                        <w:del w:id="566" w:author="Author">
                          <w:r w:rsidRPr="003B7AE9" w:rsidDel="000F1BDB">
                            <w:rPr>
                              <w:rFonts w:ascii="inherit" w:eastAsia="Times New Roman" w:hAnsi="inherit" w:cs="Times New Roman"/>
                              <w:sz w:val="24"/>
                              <w:szCs w:val="24"/>
                              <w:lang w:eastAsia="en-GB"/>
                            </w:rPr>
                            <w:delText>pre-fault active and reactive power operating point of the power-generating module at the connection point and voltage at the connection point, and</w:delText>
                          </w:r>
                        </w:del>
                      </w:p>
                    </w:tc>
                  </w:tr>
                </w:tbl>
                <w:p w14:paraId="0B1E2C3A" w14:textId="47A581D5" w:rsidR="003B7AE9" w:rsidRPr="003B7AE9" w:rsidDel="000F1BDB" w:rsidRDefault="003B7AE9" w:rsidP="0060282F">
                  <w:pPr>
                    <w:shd w:val="clear" w:color="auto" w:fill="FFFFFF" w:themeFill="background1"/>
                    <w:spacing w:before="120" w:after="0" w:line="240" w:lineRule="auto"/>
                    <w:jc w:val="both"/>
                    <w:rPr>
                      <w:del w:id="567" w:author="Author"/>
                      <w:rFonts w:ascii="inherit" w:eastAsia="Times New Roman" w:hAnsi="inherit" w:cs="Times New Roman"/>
                      <w:vanish/>
                      <w:sz w:val="24"/>
                      <w:szCs w:val="24"/>
                      <w:lang w:eastAsia="en-GB"/>
                    </w:rPr>
                    <w:pPrChange w:id="568" w:author="Author">
                      <w:pPr>
                        <w:spacing w:after="0" w:line="240" w:lineRule="auto"/>
                      </w:pPr>
                    </w:pPrChange>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rsidDel="000F1BDB" w14:paraId="113DFA37" w14:textId="549B3579">
                    <w:trPr>
                      <w:del w:id="569" w:author="Author"/>
                    </w:trPr>
                    <w:tc>
                      <w:tcPr>
                        <w:tcW w:w="0" w:type="auto"/>
                        <w:shd w:val="clear" w:color="auto" w:fill="auto"/>
                        <w:hideMark/>
                      </w:tcPr>
                      <w:p w14:paraId="1F9376E1" w14:textId="4DCC26C7" w:rsidR="003B7AE9" w:rsidRPr="003B7AE9" w:rsidDel="000F1BDB" w:rsidRDefault="003B7AE9" w:rsidP="0060282F">
                        <w:pPr>
                          <w:shd w:val="clear" w:color="auto" w:fill="FFFFFF" w:themeFill="background1"/>
                          <w:spacing w:before="120" w:after="0" w:line="240" w:lineRule="auto"/>
                          <w:jc w:val="both"/>
                          <w:rPr>
                            <w:del w:id="570" w:author="Author"/>
                            <w:rFonts w:ascii="inherit" w:eastAsia="Times New Roman" w:hAnsi="inherit" w:cs="Times New Roman"/>
                            <w:sz w:val="24"/>
                            <w:szCs w:val="24"/>
                            <w:lang w:eastAsia="en-GB"/>
                          </w:rPr>
                          <w:pPrChange w:id="571" w:author="Author">
                            <w:pPr>
                              <w:spacing w:before="120" w:after="0" w:line="240" w:lineRule="auto"/>
                              <w:jc w:val="both"/>
                            </w:pPr>
                          </w:pPrChange>
                        </w:pPr>
                        <w:del w:id="572" w:author="Author">
                          <w:r w:rsidRPr="003B7AE9" w:rsidDel="000F1BDB">
                            <w:rPr>
                              <w:rFonts w:ascii="inherit" w:eastAsia="Times New Roman" w:hAnsi="inherit" w:cs="Times New Roman"/>
                              <w:sz w:val="24"/>
                              <w:szCs w:val="24"/>
                              <w:lang w:eastAsia="en-GB"/>
                            </w:rPr>
                            <w:delText>—</w:delText>
                          </w:r>
                        </w:del>
                      </w:p>
                    </w:tc>
                    <w:tc>
                      <w:tcPr>
                        <w:tcW w:w="0" w:type="auto"/>
                        <w:shd w:val="clear" w:color="auto" w:fill="auto"/>
                        <w:hideMark/>
                      </w:tcPr>
                      <w:p w14:paraId="774445FD" w14:textId="75D70301" w:rsidR="003B7AE9" w:rsidRPr="003B7AE9" w:rsidDel="000F1BDB" w:rsidRDefault="003B7AE9" w:rsidP="0060282F">
                        <w:pPr>
                          <w:shd w:val="clear" w:color="auto" w:fill="FFFFFF" w:themeFill="background1"/>
                          <w:spacing w:before="120" w:after="0" w:line="240" w:lineRule="auto"/>
                          <w:jc w:val="both"/>
                          <w:rPr>
                            <w:del w:id="573" w:author="Author"/>
                            <w:rFonts w:ascii="inherit" w:eastAsia="Times New Roman" w:hAnsi="inherit" w:cs="Times New Roman"/>
                            <w:sz w:val="24"/>
                            <w:szCs w:val="24"/>
                            <w:lang w:eastAsia="en-GB"/>
                          </w:rPr>
                          <w:pPrChange w:id="574" w:author="Author">
                            <w:pPr>
                              <w:spacing w:before="120" w:after="0" w:line="240" w:lineRule="auto"/>
                              <w:jc w:val="both"/>
                            </w:pPr>
                          </w:pPrChange>
                        </w:pPr>
                        <w:del w:id="575" w:author="Author">
                          <w:r w:rsidRPr="003B7AE9" w:rsidDel="000F1BDB">
                            <w:rPr>
                              <w:rFonts w:ascii="inherit" w:eastAsia="Times New Roman" w:hAnsi="inherit" w:cs="Times New Roman"/>
                              <w:sz w:val="24"/>
                              <w:szCs w:val="24"/>
                              <w:lang w:eastAsia="en-GB"/>
                            </w:rPr>
                            <w:delText>calculation of the post-fault minimum short circuit capacity at the connection point;</w:delText>
                          </w:r>
                        </w:del>
                      </w:p>
                    </w:tc>
                  </w:tr>
                </w:tbl>
                <w:p w14:paraId="11B4DAD6" w14:textId="615F4363" w:rsidR="003B7AE9" w:rsidRPr="003B7AE9" w:rsidDel="000F1BDB" w:rsidRDefault="003B7AE9" w:rsidP="0060282F">
                  <w:pPr>
                    <w:shd w:val="clear" w:color="auto" w:fill="FFFFFF" w:themeFill="background1"/>
                    <w:spacing w:before="120" w:after="0" w:line="240" w:lineRule="auto"/>
                    <w:jc w:val="both"/>
                    <w:rPr>
                      <w:del w:id="576" w:author="Author"/>
                      <w:rFonts w:ascii="inherit" w:eastAsia="Times New Roman" w:hAnsi="inherit" w:cs="Times New Roman"/>
                      <w:sz w:val="24"/>
                      <w:szCs w:val="24"/>
                      <w:lang w:eastAsia="en-GB"/>
                    </w:rPr>
                    <w:pPrChange w:id="577" w:author="Author">
                      <w:pPr>
                        <w:spacing w:after="0" w:line="240" w:lineRule="auto"/>
                      </w:pPr>
                    </w:pPrChange>
                  </w:pPr>
                </w:p>
              </w:tc>
            </w:tr>
          </w:tbl>
          <w:p w14:paraId="342B72A0" w14:textId="59E64B6C" w:rsidR="003B7AE9" w:rsidRPr="003B7AE9" w:rsidDel="000F1BDB" w:rsidRDefault="003B7AE9" w:rsidP="0060282F">
            <w:pPr>
              <w:shd w:val="clear" w:color="auto" w:fill="FFFFFF" w:themeFill="background1"/>
              <w:spacing w:before="120" w:after="0" w:line="240" w:lineRule="auto"/>
              <w:jc w:val="both"/>
              <w:rPr>
                <w:del w:id="578" w:author="Author"/>
                <w:rFonts w:ascii="inherit" w:eastAsia="Times New Roman" w:hAnsi="inherit" w:cs="Times New Roman"/>
                <w:vanish/>
                <w:sz w:val="24"/>
                <w:szCs w:val="24"/>
                <w:lang w:eastAsia="en-GB"/>
              </w:rPr>
              <w:pPrChange w:id="579" w:author="Author">
                <w:pPr>
                  <w:spacing w:after="0" w:line="240" w:lineRule="auto"/>
                </w:pPr>
              </w:pPrChange>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rsidDel="000F1BDB" w14:paraId="18FF6CA5" w14:textId="6E638ACB">
              <w:trPr>
                <w:del w:id="580" w:author="Author"/>
              </w:trPr>
              <w:tc>
                <w:tcPr>
                  <w:tcW w:w="0" w:type="auto"/>
                  <w:shd w:val="clear" w:color="auto" w:fill="auto"/>
                  <w:hideMark/>
                </w:tcPr>
                <w:p w14:paraId="01D93427" w14:textId="57550DB7" w:rsidR="003B7AE9" w:rsidRPr="003B7AE9" w:rsidDel="000F1BDB" w:rsidRDefault="003B7AE9" w:rsidP="0060282F">
                  <w:pPr>
                    <w:shd w:val="clear" w:color="auto" w:fill="FFFFFF" w:themeFill="background1"/>
                    <w:spacing w:before="120" w:after="0" w:line="240" w:lineRule="auto"/>
                    <w:jc w:val="both"/>
                    <w:rPr>
                      <w:del w:id="581" w:author="Author"/>
                      <w:rFonts w:ascii="inherit" w:eastAsia="Times New Roman" w:hAnsi="inherit" w:cs="Times New Roman"/>
                      <w:sz w:val="24"/>
                      <w:szCs w:val="24"/>
                      <w:lang w:eastAsia="en-GB"/>
                    </w:rPr>
                    <w:pPrChange w:id="582" w:author="Author">
                      <w:pPr>
                        <w:spacing w:before="120" w:after="0" w:line="240" w:lineRule="auto"/>
                        <w:jc w:val="both"/>
                      </w:pPr>
                    </w:pPrChange>
                  </w:pPr>
                  <w:del w:id="583" w:author="Author">
                    <w:r w:rsidRPr="003B7AE9" w:rsidDel="000F1BDB">
                      <w:rPr>
                        <w:rFonts w:ascii="inherit" w:eastAsia="Times New Roman" w:hAnsi="inherit" w:cs="Times New Roman"/>
                        <w:sz w:val="24"/>
                        <w:szCs w:val="24"/>
                        <w:lang w:eastAsia="en-GB"/>
                      </w:rPr>
                      <w:delText>(v)</w:delText>
                    </w:r>
                  </w:del>
                </w:p>
              </w:tc>
              <w:tc>
                <w:tcPr>
                  <w:tcW w:w="0" w:type="auto"/>
                  <w:shd w:val="clear" w:color="auto" w:fill="auto"/>
                  <w:hideMark/>
                </w:tcPr>
                <w:p w14:paraId="04B26F59" w14:textId="082CF96B" w:rsidR="003B7AE9" w:rsidRPr="003B7AE9" w:rsidDel="000F1BDB" w:rsidRDefault="003B7AE9" w:rsidP="0060282F">
                  <w:pPr>
                    <w:shd w:val="clear" w:color="auto" w:fill="FFFFFF" w:themeFill="background1"/>
                    <w:spacing w:before="120" w:after="0" w:line="240" w:lineRule="auto"/>
                    <w:jc w:val="both"/>
                    <w:rPr>
                      <w:del w:id="584" w:author="Author"/>
                      <w:rFonts w:ascii="inherit" w:eastAsia="Times New Roman" w:hAnsi="inherit" w:cs="Times New Roman"/>
                      <w:sz w:val="24"/>
                      <w:szCs w:val="24"/>
                      <w:lang w:eastAsia="en-GB"/>
                    </w:rPr>
                    <w:pPrChange w:id="585" w:author="Author">
                      <w:pPr>
                        <w:spacing w:before="120" w:after="0" w:line="240" w:lineRule="auto"/>
                        <w:jc w:val="both"/>
                      </w:pPr>
                    </w:pPrChange>
                  </w:pPr>
                  <w:del w:id="586" w:author="Author">
                    <w:r w:rsidRPr="003B7AE9" w:rsidDel="000F1BDB">
                      <w:rPr>
                        <w:rFonts w:ascii="inherit" w:eastAsia="Times New Roman" w:hAnsi="inherit" w:cs="Times New Roman"/>
                        <w:sz w:val="24"/>
                        <w:szCs w:val="24"/>
                        <w:lang w:eastAsia="en-GB"/>
                      </w:rPr>
                      <w:delText>at the request of a power-generating facility owner, the relevant system operator shall provide the pre-fault and post-fault conditions to be considered for fault-ride-through capability as an outcome of the calculations at the connection point as specified in point (iv) regarding:</w:delText>
                    </w:r>
                  </w:del>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rsidDel="000F1BDB" w14:paraId="0C222D4D" w14:textId="0D4B607D">
                    <w:trPr>
                      <w:del w:id="587" w:author="Author"/>
                    </w:trPr>
                    <w:tc>
                      <w:tcPr>
                        <w:tcW w:w="0" w:type="auto"/>
                        <w:shd w:val="clear" w:color="auto" w:fill="auto"/>
                        <w:hideMark/>
                      </w:tcPr>
                      <w:p w14:paraId="4C665F22" w14:textId="1E381946" w:rsidR="003B7AE9" w:rsidRPr="003B7AE9" w:rsidDel="000F1BDB" w:rsidRDefault="003B7AE9" w:rsidP="0060282F">
                        <w:pPr>
                          <w:shd w:val="clear" w:color="auto" w:fill="FFFFFF" w:themeFill="background1"/>
                          <w:spacing w:before="120" w:after="0" w:line="240" w:lineRule="auto"/>
                          <w:jc w:val="both"/>
                          <w:rPr>
                            <w:del w:id="588" w:author="Author"/>
                            <w:rFonts w:ascii="inherit" w:eastAsia="Times New Roman" w:hAnsi="inherit" w:cs="Times New Roman"/>
                            <w:sz w:val="24"/>
                            <w:szCs w:val="24"/>
                            <w:lang w:eastAsia="en-GB"/>
                          </w:rPr>
                          <w:pPrChange w:id="589" w:author="Author">
                            <w:pPr>
                              <w:spacing w:before="120" w:after="0" w:line="240" w:lineRule="auto"/>
                              <w:jc w:val="both"/>
                            </w:pPr>
                          </w:pPrChange>
                        </w:pPr>
                        <w:del w:id="590" w:author="Author">
                          <w:r w:rsidRPr="003B7AE9" w:rsidDel="000F1BDB">
                            <w:rPr>
                              <w:rFonts w:ascii="inherit" w:eastAsia="Times New Roman" w:hAnsi="inherit" w:cs="Times New Roman"/>
                              <w:sz w:val="24"/>
                              <w:szCs w:val="24"/>
                              <w:lang w:eastAsia="en-GB"/>
                            </w:rPr>
                            <w:delText>—</w:delText>
                          </w:r>
                        </w:del>
                      </w:p>
                    </w:tc>
                    <w:tc>
                      <w:tcPr>
                        <w:tcW w:w="0" w:type="auto"/>
                        <w:shd w:val="clear" w:color="auto" w:fill="auto"/>
                        <w:hideMark/>
                      </w:tcPr>
                      <w:p w14:paraId="0E5C75DC" w14:textId="5DF4A42E" w:rsidR="003B7AE9" w:rsidRPr="003B7AE9" w:rsidDel="000F1BDB" w:rsidRDefault="003B7AE9" w:rsidP="0060282F">
                        <w:pPr>
                          <w:shd w:val="clear" w:color="auto" w:fill="FFFFFF" w:themeFill="background1"/>
                          <w:spacing w:before="120" w:after="0" w:line="240" w:lineRule="auto"/>
                          <w:jc w:val="both"/>
                          <w:rPr>
                            <w:del w:id="591" w:author="Author"/>
                            <w:rFonts w:ascii="inherit" w:eastAsia="Times New Roman" w:hAnsi="inherit" w:cs="Times New Roman"/>
                            <w:sz w:val="24"/>
                            <w:szCs w:val="24"/>
                            <w:lang w:eastAsia="en-GB"/>
                          </w:rPr>
                          <w:pPrChange w:id="592" w:author="Author">
                            <w:pPr>
                              <w:spacing w:before="120" w:after="0" w:line="240" w:lineRule="auto"/>
                              <w:jc w:val="both"/>
                            </w:pPr>
                          </w:pPrChange>
                        </w:pPr>
                        <w:del w:id="593" w:author="Author">
                          <w:r w:rsidRPr="003B7AE9" w:rsidDel="000F1BDB">
                            <w:rPr>
                              <w:rFonts w:ascii="inherit" w:eastAsia="Times New Roman" w:hAnsi="inherit" w:cs="Times New Roman"/>
                              <w:sz w:val="24"/>
                              <w:szCs w:val="24"/>
                              <w:lang w:eastAsia="en-GB"/>
                            </w:rPr>
                            <w:delText>pre-fault minimum short circuit capacity at each connection point expressed in MVA,</w:delText>
                          </w:r>
                        </w:del>
                      </w:p>
                    </w:tc>
                  </w:tr>
                </w:tbl>
                <w:p w14:paraId="1630952D" w14:textId="1FC164D8" w:rsidR="003B7AE9" w:rsidRPr="003B7AE9" w:rsidDel="000F1BDB" w:rsidRDefault="003B7AE9" w:rsidP="0060282F">
                  <w:pPr>
                    <w:shd w:val="clear" w:color="auto" w:fill="FFFFFF" w:themeFill="background1"/>
                    <w:spacing w:before="120" w:after="0" w:line="240" w:lineRule="auto"/>
                    <w:jc w:val="both"/>
                    <w:rPr>
                      <w:del w:id="594" w:author="Author"/>
                      <w:rFonts w:ascii="inherit" w:eastAsia="Times New Roman" w:hAnsi="inherit" w:cs="Times New Roman"/>
                      <w:vanish/>
                      <w:sz w:val="24"/>
                      <w:szCs w:val="24"/>
                      <w:lang w:eastAsia="en-GB"/>
                    </w:rPr>
                    <w:pPrChange w:id="595" w:author="Author">
                      <w:pPr>
                        <w:spacing w:after="0" w:line="240" w:lineRule="auto"/>
                      </w:pPr>
                    </w:pPrChange>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rsidDel="000F1BDB" w14:paraId="6761B066" w14:textId="5798249D">
                    <w:trPr>
                      <w:del w:id="596" w:author="Author"/>
                    </w:trPr>
                    <w:tc>
                      <w:tcPr>
                        <w:tcW w:w="0" w:type="auto"/>
                        <w:shd w:val="clear" w:color="auto" w:fill="auto"/>
                        <w:hideMark/>
                      </w:tcPr>
                      <w:p w14:paraId="60D7ADA5" w14:textId="7CCD4611" w:rsidR="003B7AE9" w:rsidRPr="003B7AE9" w:rsidDel="000F1BDB" w:rsidRDefault="003B7AE9" w:rsidP="0060282F">
                        <w:pPr>
                          <w:shd w:val="clear" w:color="auto" w:fill="FFFFFF" w:themeFill="background1"/>
                          <w:spacing w:before="120" w:after="0" w:line="240" w:lineRule="auto"/>
                          <w:jc w:val="both"/>
                          <w:rPr>
                            <w:del w:id="597" w:author="Author"/>
                            <w:rFonts w:ascii="inherit" w:eastAsia="Times New Roman" w:hAnsi="inherit" w:cs="Times New Roman"/>
                            <w:sz w:val="24"/>
                            <w:szCs w:val="24"/>
                            <w:lang w:eastAsia="en-GB"/>
                          </w:rPr>
                          <w:pPrChange w:id="598" w:author="Author">
                            <w:pPr>
                              <w:spacing w:before="120" w:after="0" w:line="240" w:lineRule="auto"/>
                              <w:jc w:val="both"/>
                            </w:pPr>
                          </w:pPrChange>
                        </w:pPr>
                        <w:del w:id="599" w:author="Author">
                          <w:r w:rsidRPr="003B7AE9" w:rsidDel="000F1BDB">
                            <w:rPr>
                              <w:rFonts w:ascii="inherit" w:eastAsia="Times New Roman" w:hAnsi="inherit" w:cs="Times New Roman"/>
                              <w:sz w:val="24"/>
                              <w:szCs w:val="24"/>
                              <w:lang w:eastAsia="en-GB"/>
                            </w:rPr>
                            <w:delText>—</w:delText>
                          </w:r>
                        </w:del>
                      </w:p>
                    </w:tc>
                    <w:tc>
                      <w:tcPr>
                        <w:tcW w:w="0" w:type="auto"/>
                        <w:shd w:val="clear" w:color="auto" w:fill="auto"/>
                        <w:hideMark/>
                      </w:tcPr>
                      <w:p w14:paraId="4D2D8C06" w14:textId="7FD98A36" w:rsidR="003B7AE9" w:rsidRPr="003B7AE9" w:rsidDel="000F1BDB" w:rsidRDefault="003B7AE9" w:rsidP="0060282F">
                        <w:pPr>
                          <w:shd w:val="clear" w:color="auto" w:fill="FFFFFF" w:themeFill="background1"/>
                          <w:spacing w:before="120" w:after="0" w:line="240" w:lineRule="auto"/>
                          <w:jc w:val="both"/>
                          <w:rPr>
                            <w:del w:id="600" w:author="Author"/>
                            <w:rFonts w:ascii="inherit" w:eastAsia="Times New Roman" w:hAnsi="inherit" w:cs="Times New Roman"/>
                            <w:sz w:val="24"/>
                            <w:szCs w:val="24"/>
                            <w:lang w:eastAsia="en-GB"/>
                          </w:rPr>
                          <w:pPrChange w:id="601" w:author="Author">
                            <w:pPr>
                              <w:spacing w:before="120" w:after="0" w:line="240" w:lineRule="auto"/>
                              <w:jc w:val="both"/>
                            </w:pPr>
                          </w:pPrChange>
                        </w:pPr>
                        <w:del w:id="602" w:author="Author">
                          <w:r w:rsidRPr="003B7AE9" w:rsidDel="000F1BDB">
                            <w:rPr>
                              <w:rFonts w:ascii="inherit" w:eastAsia="Times New Roman" w:hAnsi="inherit" w:cs="Times New Roman"/>
                              <w:sz w:val="24"/>
                              <w:szCs w:val="24"/>
                              <w:lang w:eastAsia="en-GB"/>
                            </w:rPr>
                            <w:delText>pre-fault operating point of the power-generating module expressed in active power output and reactive power output at the connection point and voltage at the connection point, and</w:delText>
                          </w:r>
                        </w:del>
                      </w:p>
                    </w:tc>
                  </w:tr>
                </w:tbl>
                <w:p w14:paraId="29B91A50" w14:textId="02C18390" w:rsidR="003B7AE9" w:rsidRPr="003B7AE9" w:rsidDel="000F1BDB" w:rsidRDefault="003B7AE9" w:rsidP="0060282F">
                  <w:pPr>
                    <w:shd w:val="clear" w:color="auto" w:fill="FFFFFF" w:themeFill="background1"/>
                    <w:spacing w:before="120" w:after="0" w:line="240" w:lineRule="auto"/>
                    <w:jc w:val="both"/>
                    <w:rPr>
                      <w:del w:id="603" w:author="Author"/>
                      <w:rFonts w:ascii="inherit" w:eastAsia="Times New Roman" w:hAnsi="inherit" w:cs="Times New Roman"/>
                      <w:vanish/>
                      <w:sz w:val="24"/>
                      <w:szCs w:val="24"/>
                      <w:lang w:eastAsia="en-GB"/>
                    </w:rPr>
                    <w:pPrChange w:id="604" w:author="Author">
                      <w:pPr>
                        <w:spacing w:after="0" w:line="240" w:lineRule="auto"/>
                      </w:pPr>
                    </w:pPrChange>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rsidDel="000F1BDB" w14:paraId="52CF8625" w14:textId="0874BEA6">
                    <w:trPr>
                      <w:del w:id="605" w:author="Author"/>
                    </w:trPr>
                    <w:tc>
                      <w:tcPr>
                        <w:tcW w:w="0" w:type="auto"/>
                        <w:shd w:val="clear" w:color="auto" w:fill="auto"/>
                        <w:hideMark/>
                      </w:tcPr>
                      <w:p w14:paraId="3D33400F" w14:textId="540BC352" w:rsidR="003B7AE9" w:rsidRPr="003B7AE9" w:rsidDel="000F1BDB" w:rsidRDefault="003B7AE9" w:rsidP="0060282F">
                        <w:pPr>
                          <w:shd w:val="clear" w:color="auto" w:fill="FFFFFF" w:themeFill="background1"/>
                          <w:spacing w:before="120" w:after="0" w:line="240" w:lineRule="auto"/>
                          <w:jc w:val="both"/>
                          <w:rPr>
                            <w:del w:id="606" w:author="Author"/>
                            <w:rFonts w:ascii="inherit" w:eastAsia="Times New Roman" w:hAnsi="inherit" w:cs="Times New Roman"/>
                            <w:sz w:val="24"/>
                            <w:szCs w:val="24"/>
                            <w:lang w:eastAsia="en-GB"/>
                          </w:rPr>
                          <w:pPrChange w:id="607" w:author="Author">
                            <w:pPr>
                              <w:spacing w:before="120" w:after="0" w:line="240" w:lineRule="auto"/>
                              <w:jc w:val="both"/>
                            </w:pPr>
                          </w:pPrChange>
                        </w:pPr>
                        <w:del w:id="608" w:author="Author">
                          <w:r w:rsidRPr="003B7AE9" w:rsidDel="000F1BDB">
                            <w:rPr>
                              <w:rFonts w:ascii="inherit" w:eastAsia="Times New Roman" w:hAnsi="inherit" w:cs="Times New Roman"/>
                              <w:sz w:val="24"/>
                              <w:szCs w:val="24"/>
                              <w:lang w:eastAsia="en-GB"/>
                            </w:rPr>
                            <w:delText>—</w:delText>
                          </w:r>
                        </w:del>
                      </w:p>
                    </w:tc>
                    <w:tc>
                      <w:tcPr>
                        <w:tcW w:w="0" w:type="auto"/>
                        <w:shd w:val="clear" w:color="auto" w:fill="auto"/>
                        <w:hideMark/>
                      </w:tcPr>
                      <w:p w14:paraId="722D66D9" w14:textId="7945DE79" w:rsidR="003B7AE9" w:rsidRPr="003B7AE9" w:rsidDel="000F1BDB" w:rsidRDefault="003B7AE9" w:rsidP="0060282F">
                        <w:pPr>
                          <w:shd w:val="clear" w:color="auto" w:fill="FFFFFF" w:themeFill="background1"/>
                          <w:spacing w:before="120" w:after="0" w:line="240" w:lineRule="auto"/>
                          <w:jc w:val="both"/>
                          <w:rPr>
                            <w:del w:id="609" w:author="Author"/>
                            <w:rFonts w:ascii="inherit" w:eastAsia="Times New Roman" w:hAnsi="inherit" w:cs="Times New Roman"/>
                            <w:sz w:val="24"/>
                            <w:szCs w:val="24"/>
                            <w:lang w:eastAsia="en-GB"/>
                          </w:rPr>
                          <w:pPrChange w:id="610" w:author="Author">
                            <w:pPr>
                              <w:spacing w:before="120" w:after="0" w:line="240" w:lineRule="auto"/>
                              <w:jc w:val="both"/>
                            </w:pPr>
                          </w:pPrChange>
                        </w:pPr>
                        <w:del w:id="611" w:author="Author">
                          <w:r w:rsidRPr="003B7AE9" w:rsidDel="000F1BDB">
                            <w:rPr>
                              <w:rFonts w:ascii="inherit" w:eastAsia="Times New Roman" w:hAnsi="inherit" w:cs="Times New Roman"/>
                              <w:sz w:val="24"/>
                              <w:szCs w:val="24"/>
                              <w:lang w:eastAsia="en-GB"/>
                            </w:rPr>
                            <w:delText>post-fault minimum short circuit capacity at each connection point expressed in MVA.</w:delText>
                          </w:r>
                        </w:del>
                      </w:p>
                    </w:tc>
                  </w:tr>
                </w:tbl>
                <w:p w14:paraId="7E5A2842" w14:textId="1FF471F4" w:rsidR="003B7AE9" w:rsidRPr="003B7AE9" w:rsidDel="000F1BDB" w:rsidRDefault="003B7AE9" w:rsidP="0060282F">
                  <w:pPr>
                    <w:shd w:val="clear" w:color="auto" w:fill="FFFFFF" w:themeFill="background1"/>
                    <w:spacing w:before="120" w:after="0" w:line="240" w:lineRule="auto"/>
                    <w:jc w:val="both"/>
                    <w:rPr>
                      <w:del w:id="612" w:author="Author"/>
                      <w:rFonts w:ascii="inherit" w:eastAsia="Times New Roman" w:hAnsi="inherit" w:cs="Times New Roman"/>
                      <w:sz w:val="24"/>
                      <w:szCs w:val="24"/>
                      <w:lang w:eastAsia="en-GB"/>
                    </w:rPr>
                    <w:pPrChange w:id="613" w:author="Author">
                      <w:pPr>
                        <w:spacing w:before="120" w:after="0" w:line="240" w:lineRule="auto"/>
                        <w:jc w:val="both"/>
                      </w:pPr>
                    </w:pPrChange>
                  </w:pPr>
                  <w:del w:id="614" w:author="Author">
                    <w:r w:rsidRPr="003B7AE9" w:rsidDel="000F1BDB">
                      <w:rPr>
                        <w:rFonts w:ascii="inherit" w:eastAsia="Times New Roman" w:hAnsi="inherit" w:cs="Times New Roman"/>
                        <w:sz w:val="24"/>
                        <w:szCs w:val="24"/>
                        <w:lang w:eastAsia="en-GB"/>
                      </w:rPr>
                      <w:delText>Alternatively, the relevant system operator may provide generic values derived from typical cases;</w:delText>
                    </w:r>
                  </w:del>
                </w:p>
                <w:p w14:paraId="63C75E9D" w14:textId="2C097650" w:rsidR="003B7AE9" w:rsidRPr="003B7AE9" w:rsidDel="000F1BDB" w:rsidRDefault="003B7AE9" w:rsidP="0060282F">
                  <w:pPr>
                    <w:shd w:val="clear" w:color="auto" w:fill="FFFFFF" w:themeFill="background1"/>
                    <w:spacing w:before="120" w:after="0" w:line="240" w:lineRule="auto"/>
                    <w:jc w:val="both"/>
                    <w:rPr>
                      <w:del w:id="615" w:author="Author"/>
                      <w:rFonts w:ascii="inherit" w:eastAsia="Times New Roman" w:hAnsi="inherit" w:cs="Times New Roman"/>
                      <w:b/>
                      <w:bCs/>
                      <w:sz w:val="24"/>
                      <w:szCs w:val="24"/>
                      <w:lang w:eastAsia="en-GB"/>
                    </w:rPr>
                    <w:pPrChange w:id="616" w:author="Author">
                      <w:pPr>
                        <w:spacing w:before="240" w:after="120" w:line="240" w:lineRule="auto"/>
                        <w:jc w:val="both"/>
                      </w:pPr>
                    </w:pPrChange>
                  </w:pPr>
                  <w:del w:id="617" w:author="Author">
                    <w:r w:rsidRPr="003B7AE9" w:rsidDel="000F1BDB">
                      <w:rPr>
                        <w:rFonts w:ascii="inherit" w:eastAsia="Times New Roman" w:hAnsi="inherit" w:cs="Times New Roman"/>
                        <w:b/>
                        <w:bCs/>
                        <w:i/>
                        <w:iCs/>
                        <w:sz w:val="24"/>
                        <w:szCs w:val="24"/>
                        <w:lang w:eastAsia="en-GB"/>
                      </w:rPr>
                      <w:delText>Figure 3</w:delText>
                    </w:r>
                  </w:del>
                </w:p>
                <w:p w14:paraId="7285A9F0" w14:textId="3A516CF0" w:rsidR="003B7AE9" w:rsidRPr="003B7AE9" w:rsidDel="000F1BDB" w:rsidRDefault="003B7AE9" w:rsidP="0060282F">
                  <w:pPr>
                    <w:shd w:val="clear" w:color="auto" w:fill="FFFFFF" w:themeFill="background1"/>
                    <w:spacing w:before="120" w:after="0" w:line="240" w:lineRule="auto"/>
                    <w:jc w:val="both"/>
                    <w:rPr>
                      <w:del w:id="618" w:author="Author"/>
                      <w:rFonts w:ascii="inherit" w:eastAsia="Times New Roman" w:hAnsi="inherit" w:cs="Times New Roman"/>
                      <w:b/>
                      <w:bCs/>
                      <w:sz w:val="24"/>
                      <w:szCs w:val="24"/>
                      <w:lang w:eastAsia="en-GB"/>
                    </w:rPr>
                    <w:pPrChange w:id="619" w:author="Author">
                      <w:pPr>
                        <w:spacing w:before="240" w:after="120" w:line="240" w:lineRule="auto"/>
                        <w:jc w:val="both"/>
                      </w:pPr>
                    </w:pPrChange>
                  </w:pPr>
                  <w:del w:id="620" w:author="Author">
                    <w:r w:rsidRPr="003B7AE9" w:rsidDel="000F1BDB">
                      <w:rPr>
                        <w:rFonts w:ascii="inherit" w:eastAsia="Times New Roman" w:hAnsi="inherit" w:cs="Times New Roman"/>
                        <w:b/>
                        <w:bCs/>
                        <w:sz w:val="24"/>
                        <w:szCs w:val="24"/>
                        <w:lang w:eastAsia="en-GB"/>
                      </w:rPr>
                      <w:delText>Fault-ride-through profile of a power-generating module</w:delText>
                    </w:r>
                  </w:del>
                </w:p>
                <w:p w14:paraId="0CD55487" w14:textId="5E302EB5" w:rsidR="003B7AE9" w:rsidRPr="003B7AE9" w:rsidDel="000F1BDB" w:rsidRDefault="003B7AE9" w:rsidP="0060282F">
                  <w:pPr>
                    <w:shd w:val="clear" w:color="auto" w:fill="FFFFFF" w:themeFill="background1"/>
                    <w:spacing w:before="120" w:after="0" w:line="240" w:lineRule="auto"/>
                    <w:jc w:val="both"/>
                    <w:rPr>
                      <w:del w:id="621" w:author="Author"/>
                      <w:rFonts w:ascii="inherit" w:eastAsia="Times New Roman" w:hAnsi="inherit" w:cs="Times New Roman"/>
                      <w:sz w:val="24"/>
                      <w:szCs w:val="24"/>
                      <w:lang w:eastAsia="en-GB"/>
                    </w:rPr>
                    <w:pPrChange w:id="622" w:author="Author">
                      <w:pPr>
                        <w:spacing w:after="0" w:line="240" w:lineRule="auto"/>
                      </w:pPr>
                    </w:pPrChange>
                  </w:pPr>
                  <w:del w:id="623" w:author="Author">
                    <w:r w:rsidRPr="003B7AE9" w:rsidDel="000F1BDB">
                      <w:rPr>
                        <w:rFonts w:ascii="inherit" w:eastAsia="Times New Roman" w:hAnsi="inherit" w:cs="Times New Roman"/>
                        <w:noProof/>
                        <w:sz w:val="24"/>
                        <w:szCs w:val="24"/>
                        <w:lang w:eastAsia="en-GB"/>
                      </w:rPr>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del>
                </w:p>
                <w:p w14:paraId="6F1867BA" w14:textId="76747944" w:rsidR="003B7AE9" w:rsidRPr="003B7AE9" w:rsidDel="000F1BDB" w:rsidRDefault="003B7AE9" w:rsidP="0060282F">
                  <w:pPr>
                    <w:shd w:val="clear" w:color="auto" w:fill="FFFFFF" w:themeFill="background1"/>
                    <w:spacing w:before="120" w:after="0" w:line="240" w:lineRule="auto"/>
                    <w:jc w:val="both"/>
                    <w:rPr>
                      <w:del w:id="624" w:author="Author"/>
                      <w:rFonts w:ascii="inherit" w:eastAsia="Times New Roman" w:hAnsi="inherit" w:cs="Times New Roman"/>
                      <w:sz w:val="24"/>
                      <w:szCs w:val="24"/>
                      <w:lang w:eastAsia="en-GB"/>
                    </w:rPr>
                    <w:pPrChange w:id="625" w:author="Author">
                      <w:pPr>
                        <w:spacing w:before="120" w:after="0" w:line="240" w:lineRule="auto"/>
                        <w:jc w:val="both"/>
                      </w:pPr>
                    </w:pPrChange>
                  </w:pPr>
                  <w:del w:id="626" w:author="Author">
                    <w:r w:rsidRPr="003B7AE9" w:rsidDel="000F1BDB">
                      <w:rPr>
                        <w:rFonts w:ascii="inherit" w:eastAsia="Times New Roman" w:hAnsi="inherit" w:cs="Times New Roman"/>
                        <w:sz w:val="24"/>
                        <w:szCs w:val="24"/>
                        <w:lang w:eastAsia="en-GB"/>
                      </w:rPr>
                      <w:delText>The diagram represents the lower limit of a voltage-against-time profile of the voltage at the connection point, expressed as the ratio of its actual value and its reference 1 pu value before, during and after a fault. U</w:delText>
                    </w:r>
                    <w:r w:rsidRPr="003B7AE9" w:rsidDel="000F1BDB">
                      <w:rPr>
                        <w:rFonts w:ascii="inherit" w:eastAsia="Times New Roman" w:hAnsi="inherit" w:cs="Times New Roman"/>
                        <w:sz w:val="17"/>
                        <w:szCs w:val="17"/>
                        <w:vertAlign w:val="subscript"/>
                        <w:lang w:eastAsia="en-GB"/>
                      </w:rPr>
                      <w:delText>ret</w:delText>
                    </w:r>
                    <w:r w:rsidRPr="003B7AE9" w:rsidDel="000F1BDB">
                      <w:rPr>
                        <w:rFonts w:ascii="inherit" w:eastAsia="Times New Roman" w:hAnsi="inherit" w:cs="Times New Roman"/>
                        <w:sz w:val="24"/>
                        <w:szCs w:val="24"/>
                        <w:lang w:eastAsia="en-GB"/>
                      </w:rPr>
                      <w:delText> is the retained voltage at the connection point during a fault, t</w:delText>
                    </w:r>
                    <w:r w:rsidRPr="003B7AE9" w:rsidDel="000F1BDB">
                      <w:rPr>
                        <w:rFonts w:ascii="inherit" w:eastAsia="Times New Roman" w:hAnsi="inherit" w:cs="Times New Roman"/>
                        <w:sz w:val="17"/>
                        <w:szCs w:val="17"/>
                        <w:vertAlign w:val="subscript"/>
                        <w:lang w:eastAsia="en-GB"/>
                      </w:rPr>
                      <w:delText>clear</w:delText>
                    </w:r>
                    <w:r w:rsidRPr="003B7AE9" w:rsidDel="000F1BDB">
                      <w:rPr>
                        <w:rFonts w:ascii="inherit" w:eastAsia="Times New Roman" w:hAnsi="inherit" w:cs="Times New Roman"/>
                        <w:sz w:val="24"/>
                        <w:szCs w:val="24"/>
                        <w:lang w:eastAsia="en-GB"/>
                      </w:rPr>
                      <w:delText> is the instant when the fault has been cleared. U</w:delText>
                    </w:r>
                    <w:r w:rsidRPr="003B7AE9" w:rsidDel="000F1BDB">
                      <w:rPr>
                        <w:rFonts w:ascii="inherit" w:eastAsia="Times New Roman" w:hAnsi="inherit" w:cs="Times New Roman"/>
                        <w:sz w:val="17"/>
                        <w:szCs w:val="17"/>
                        <w:vertAlign w:val="subscript"/>
                        <w:lang w:eastAsia="en-GB"/>
                      </w:rPr>
                      <w:delText>rec1</w:delText>
                    </w:r>
                    <w:r w:rsidRPr="003B7AE9" w:rsidDel="000F1BDB">
                      <w:rPr>
                        <w:rFonts w:ascii="inherit" w:eastAsia="Times New Roman" w:hAnsi="inherit" w:cs="Times New Roman"/>
                        <w:sz w:val="24"/>
                        <w:szCs w:val="24"/>
                        <w:lang w:eastAsia="en-GB"/>
                      </w:rPr>
                      <w:delText>, U</w:delText>
                    </w:r>
                    <w:r w:rsidRPr="003B7AE9" w:rsidDel="000F1BDB">
                      <w:rPr>
                        <w:rFonts w:ascii="inherit" w:eastAsia="Times New Roman" w:hAnsi="inherit" w:cs="Times New Roman"/>
                        <w:sz w:val="17"/>
                        <w:szCs w:val="17"/>
                        <w:vertAlign w:val="subscript"/>
                        <w:lang w:eastAsia="en-GB"/>
                      </w:rPr>
                      <w:delText>rec2</w:delText>
                    </w:r>
                    <w:r w:rsidRPr="003B7AE9" w:rsidDel="000F1BDB">
                      <w:rPr>
                        <w:rFonts w:ascii="inherit" w:eastAsia="Times New Roman" w:hAnsi="inherit" w:cs="Times New Roman"/>
                        <w:sz w:val="24"/>
                        <w:szCs w:val="24"/>
                        <w:lang w:eastAsia="en-GB"/>
                      </w:rPr>
                      <w:delText>, t</w:delText>
                    </w:r>
                    <w:r w:rsidRPr="003B7AE9" w:rsidDel="000F1BDB">
                      <w:rPr>
                        <w:rFonts w:ascii="inherit" w:eastAsia="Times New Roman" w:hAnsi="inherit" w:cs="Times New Roman"/>
                        <w:sz w:val="17"/>
                        <w:szCs w:val="17"/>
                        <w:vertAlign w:val="subscript"/>
                        <w:lang w:eastAsia="en-GB"/>
                      </w:rPr>
                      <w:delText>rec1</w:delText>
                    </w:r>
                    <w:r w:rsidRPr="003B7AE9" w:rsidDel="000F1BDB">
                      <w:rPr>
                        <w:rFonts w:ascii="inherit" w:eastAsia="Times New Roman" w:hAnsi="inherit" w:cs="Times New Roman"/>
                        <w:sz w:val="24"/>
                        <w:szCs w:val="24"/>
                        <w:lang w:eastAsia="en-GB"/>
                      </w:rPr>
                      <w:delText>, t</w:delText>
                    </w:r>
                    <w:r w:rsidRPr="003B7AE9" w:rsidDel="000F1BDB">
                      <w:rPr>
                        <w:rFonts w:ascii="inherit" w:eastAsia="Times New Roman" w:hAnsi="inherit" w:cs="Times New Roman"/>
                        <w:sz w:val="17"/>
                        <w:szCs w:val="17"/>
                        <w:vertAlign w:val="subscript"/>
                        <w:lang w:eastAsia="en-GB"/>
                      </w:rPr>
                      <w:delText>rec2</w:delText>
                    </w:r>
                    <w:r w:rsidRPr="003B7AE9" w:rsidDel="000F1BDB">
                      <w:rPr>
                        <w:rFonts w:ascii="inherit" w:eastAsia="Times New Roman" w:hAnsi="inherit" w:cs="Times New Roman"/>
                        <w:sz w:val="24"/>
                        <w:szCs w:val="24"/>
                        <w:lang w:eastAsia="en-GB"/>
                      </w:rPr>
                      <w:delText> and t</w:delText>
                    </w:r>
                    <w:r w:rsidRPr="003B7AE9" w:rsidDel="000F1BDB">
                      <w:rPr>
                        <w:rFonts w:ascii="inherit" w:eastAsia="Times New Roman" w:hAnsi="inherit" w:cs="Times New Roman"/>
                        <w:sz w:val="17"/>
                        <w:szCs w:val="17"/>
                        <w:vertAlign w:val="subscript"/>
                        <w:lang w:eastAsia="en-GB"/>
                      </w:rPr>
                      <w:delText>rec3</w:delText>
                    </w:r>
                    <w:r w:rsidRPr="003B7AE9" w:rsidDel="000F1BDB">
                      <w:rPr>
                        <w:rFonts w:ascii="inherit" w:eastAsia="Times New Roman" w:hAnsi="inherit" w:cs="Times New Roman"/>
                        <w:sz w:val="24"/>
                        <w:szCs w:val="24"/>
                        <w:lang w:eastAsia="en-GB"/>
                      </w:rPr>
                      <w:delText> specify certain points of lower limits of voltage recovery after fault clearance.</w:delText>
                    </w:r>
                  </w:del>
                </w:p>
                <w:p w14:paraId="16503C9D" w14:textId="27EEB957" w:rsidR="003B7AE9" w:rsidRPr="003B7AE9" w:rsidDel="000F1BDB" w:rsidRDefault="003B7AE9" w:rsidP="0060282F">
                  <w:pPr>
                    <w:shd w:val="clear" w:color="auto" w:fill="FFFFFF" w:themeFill="background1"/>
                    <w:spacing w:before="120" w:after="0" w:line="240" w:lineRule="auto"/>
                    <w:jc w:val="both"/>
                    <w:rPr>
                      <w:del w:id="627" w:author="Author"/>
                      <w:rFonts w:ascii="inherit" w:eastAsia="Times New Roman" w:hAnsi="inherit" w:cs="Times New Roman"/>
                      <w:sz w:val="24"/>
                      <w:szCs w:val="24"/>
                      <w:lang w:eastAsia="en-GB"/>
                    </w:rPr>
                    <w:pPrChange w:id="628" w:author="Author">
                      <w:pPr>
                        <w:spacing w:before="120" w:after="120" w:line="240" w:lineRule="auto"/>
                        <w:jc w:val="center"/>
                      </w:pPr>
                    </w:pPrChange>
                  </w:pPr>
                  <w:del w:id="629" w:author="Author">
                    <w:r w:rsidRPr="003B7AE9" w:rsidDel="000F1BDB">
                      <w:rPr>
                        <w:rFonts w:ascii="inherit" w:eastAsia="Times New Roman" w:hAnsi="inherit" w:cs="Times New Roman"/>
                        <w:i/>
                        <w:iCs/>
                        <w:sz w:val="24"/>
                        <w:szCs w:val="24"/>
                        <w:lang w:eastAsia="en-GB"/>
                      </w:rPr>
                      <w:lastRenderedPageBreak/>
                      <w:delText>Table 3.1</w:delText>
                    </w:r>
                  </w:del>
                </w:p>
                <w:p w14:paraId="1F321832" w14:textId="22E90460" w:rsidR="003B7AE9" w:rsidRPr="003B7AE9" w:rsidDel="000F1BDB" w:rsidRDefault="003B7AE9" w:rsidP="0060282F">
                  <w:pPr>
                    <w:shd w:val="clear" w:color="auto" w:fill="FFFFFF" w:themeFill="background1"/>
                    <w:spacing w:before="120" w:after="0" w:line="240" w:lineRule="auto"/>
                    <w:jc w:val="both"/>
                    <w:rPr>
                      <w:del w:id="630" w:author="Author"/>
                      <w:rFonts w:ascii="inherit" w:eastAsia="Times New Roman" w:hAnsi="inherit" w:cs="Times New Roman"/>
                      <w:sz w:val="24"/>
                      <w:szCs w:val="24"/>
                      <w:lang w:eastAsia="en-GB"/>
                    </w:rPr>
                    <w:pPrChange w:id="631" w:author="Author">
                      <w:pPr>
                        <w:spacing w:before="120" w:after="120" w:line="240" w:lineRule="auto"/>
                        <w:jc w:val="center"/>
                      </w:pPr>
                    </w:pPrChange>
                  </w:pPr>
                  <w:del w:id="632" w:author="Author">
                    <w:r w:rsidRPr="003B7AE9" w:rsidDel="000F1BDB">
                      <w:rPr>
                        <w:rFonts w:ascii="inherit" w:eastAsia="Times New Roman" w:hAnsi="inherit" w:cs="Times New Roman"/>
                        <w:b/>
                        <w:bCs/>
                        <w:sz w:val="24"/>
                        <w:szCs w:val="24"/>
                        <w:lang w:eastAsia="en-GB"/>
                      </w:rPr>
                      <w:delText>Parameters for Figure 3 for fault-ride-through capability of synchronous power-generating modules</w:delText>
                    </w:r>
                  </w:del>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45"/>
                    <w:gridCol w:w="724"/>
                    <w:gridCol w:w="611"/>
                    <w:gridCol w:w="1224"/>
                  </w:tblGrid>
                  <w:tr w:rsidR="003B7AE9" w:rsidRPr="003B7AE9" w:rsidDel="000F1BDB" w14:paraId="1390A404" w14:textId="55CD7071">
                    <w:trPr>
                      <w:del w:id="633" w:author="Author"/>
                    </w:trPr>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673FC34E" w:rsidR="003B7AE9" w:rsidRPr="003B7AE9" w:rsidDel="000F1BDB" w:rsidRDefault="003B7AE9" w:rsidP="0060282F">
                        <w:pPr>
                          <w:shd w:val="clear" w:color="auto" w:fill="FFFFFF" w:themeFill="background1"/>
                          <w:spacing w:before="120" w:after="0" w:line="240" w:lineRule="auto"/>
                          <w:jc w:val="both"/>
                          <w:rPr>
                            <w:del w:id="634" w:author="Author"/>
                            <w:rFonts w:ascii="inherit" w:eastAsia="Times New Roman" w:hAnsi="inherit" w:cs="Times New Roman"/>
                            <w:b/>
                            <w:bCs/>
                            <w:lang w:eastAsia="en-GB"/>
                          </w:rPr>
                          <w:pPrChange w:id="635" w:author="Author">
                            <w:pPr>
                              <w:spacing w:before="60" w:after="60" w:line="240" w:lineRule="auto"/>
                              <w:ind w:right="195"/>
                              <w:jc w:val="center"/>
                            </w:pPr>
                          </w:pPrChange>
                        </w:pPr>
                        <w:del w:id="636" w:author="Author">
                          <w:r w:rsidRPr="003B7AE9" w:rsidDel="000F1BDB">
                            <w:rPr>
                              <w:rFonts w:ascii="inherit" w:eastAsia="Times New Roman" w:hAnsi="inherit" w:cs="Times New Roman"/>
                              <w:b/>
                              <w:bCs/>
                              <w:lang w:eastAsia="en-GB"/>
                            </w:rPr>
                            <w:delText>Voltage parameters (pu)</w:delText>
                          </w:r>
                        </w:del>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394CE3D7" w:rsidR="003B7AE9" w:rsidRPr="003B7AE9" w:rsidDel="000F1BDB" w:rsidRDefault="003B7AE9" w:rsidP="0060282F">
                        <w:pPr>
                          <w:shd w:val="clear" w:color="auto" w:fill="FFFFFF" w:themeFill="background1"/>
                          <w:spacing w:before="120" w:after="0" w:line="240" w:lineRule="auto"/>
                          <w:jc w:val="both"/>
                          <w:rPr>
                            <w:del w:id="637" w:author="Author"/>
                            <w:rFonts w:ascii="inherit" w:eastAsia="Times New Roman" w:hAnsi="inherit" w:cs="Times New Roman"/>
                            <w:b/>
                            <w:bCs/>
                            <w:lang w:eastAsia="en-GB"/>
                          </w:rPr>
                          <w:pPrChange w:id="638" w:author="Author">
                            <w:pPr>
                              <w:spacing w:before="60" w:after="60" w:line="240" w:lineRule="auto"/>
                              <w:ind w:right="195"/>
                              <w:jc w:val="center"/>
                            </w:pPr>
                          </w:pPrChange>
                        </w:pPr>
                        <w:del w:id="639" w:author="Author">
                          <w:r w:rsidRPr="003B7AE9" w:rsidDel="000F1BDB">
                            <w:rPr>
                              <w:rFonts w:ascii="inherit" w:eastAsia="Times New Roman" w:hAnsi="inherit" w:cs="Times New Roman"/>
                              <w:b/>
                              <w:bCs/>
                              <w:lang w:eastAsia="en-GB"/>
                            </w:rPr>
                            <w:delText>Time parameters (seconds)</w:delText>
                          </w:r>
                        </w:del>
                      </w:p>
                    </w:tc>
                  </w:tr>
                  <w:tr w:rsidR="003B7AE9" w:rsidRPr="003B7AE9" w:rsidDel="000F1BDB" w14:paraId="582E3D19" w14:textId="7A34D87E">
                    <w:trPr>
                      <w:del w:id="640" w:author="Author"/>
                    </w:trPr>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2F0760AF" w:rsidR="003B7AE9" w:rsidRPr="003B7AE9" w:rsidDel="000F1BDB" w:rsidRDefault="003B7AE9" w:rsidP="0060282F">
                        <w:pPr>
                          <w:shd w:val="clear" w:color="auto" w:fill="FFFFFF" w:themeFill="background1"/>
                          <w:spacing w:before="120" w:after="0" w:line="240" w:lineRule="auto"/>
                          <w:jc w:val="both"/>
                          <w:rPr>
                            <w:del w:id="641" w:author="Author"/>
                            <w:rFonts w:ascii="inherit" w:eastAsia="Times New Roman" w:hAnsi="inherit" w:cs="Times New Roman"/>
                            <w:lang w:eastAsia="en-GB"/>
                          </w:rPr>
                          <w:pPrChange w:id="642" w:author="Author">
                            <w:pPr>
                              <w:spacing w:before="60" w:after="60" w:line="240" w:lineRule="auto"/>
                            </w:pPr>
                          </w:pPrChange>
                        </w:pPr>
                        <w:del w:id="643" w:author="Author">
                          <w:r w:rsidRPr="003B7AE9" w:rsidDel="000F1BDB">
                            <w:rPr>
                              <w:rFonts w:ascii="inherit" w:eastAsia="Times New Roman" w:hAnsi="inherit" w:cs="Times New Roman"/>
                              <w:lang w:eastAsia="en-GB"/>
                            </w:rPr>
                            <w:delText>U</w:delText>
                          </w:r>
                          <w:r w:rsidRPr="003B7AE9" w:rsidDel="000F1BDB">
                            <w:rPr>
                              <w:rFonts w:ascii="inherit" w:eastAsia="Times New Roman" w:hAnsi="inherit" w:cs="Times New Roman"/>
                              <w:sz w:val="15"/>
                              <w:szCs w:val="15"/>
                              <w:vertAlign w:val="subscript"/>
                              <w:lang w:eastAsia="en-GB"/>
                            </w:rPr>
                            <w:delText>ret</w:delText>
                          </w:r>
                          <w:r w:rsidRPr="003B7AE9" w:rsidDel="000F1BDB">
                            <w:rPr>
                              <w:rFonts w:ascii="inherit" w:eastAsia="Times New Roman" w:hAnsi="inherit" w:cs="Times New Roman"/>
                              <w:lang w:eastAsia="en-GB"/>
                            </w:rPr>
                            <w:delText>:</w:delText>
                          </w:r>
                        </w:del>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40A8FF43" w:rsidR="003B7AE9" w:rsidRPr="003B7AE9" w:rsidDel="000F1BDB" w:rsidRDefault="003B7AE9" w:rsidP="0060282F">
                        <w:pPr>
                          <w:shd w:val="clear" w:color="auto" w:fill="FFFFFF" w:themeFill="background1"/>
                          <w:spacing w:before="120" w:after="0" w:line="240" w:lineRule="auto"/>
                          <w:jc w:val="both"/>
                          <w:rPr>
                            <w:del w:id="644" w:author="Author"/>
                            <w:rFonts w:ascii="inherit" w:eastAsia="Times New Roman" w:hAnsi="inherit" w:cs="Times New Roman"/>
                            <w:lang w:eastAsia="en-GB"/>
                          </w:rPr>
                          <w:pPrChange w:id="645" w:author="Author">
                            <w:pPr>
                              <w:spacing w:before="60" w:after="60" w:line="240" w:lineRule="auto"/>
                            </w:pPr>
                          </w:pPrChange>
                        </w:pPr>
                        <w:del w:id="646" w:author="Author">
                          <w:r w:rsidRPr="003B7AE9" w:rsidDel="000F1BDB">
                            <w:rPr>
                              <w:rFonts w:ascii="inherit" w:eastAsia="Times New Roman" w:hAnsi="inherit" w:cs="Times New Roman"/>
                              <w:lang w:eastAsia="en-GB"/>
                            </w:rPr>
                            <w:delText>0,05-0,3</w:delText>
                          </w:r>
                        </w:del>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5D1C3B3D" w:rsidR="003B7AE9" w:rsidRPr="003B7AE9" w:rsidDel="000F1BDB" w:rsidRDefault="003B7AE9" w:rsidP="0060282F">
                        <w:pPr>
                          <w:shd w:val="clear" w:color="auto" w:fill="FFFFFF" w:themeFill="background1"/>
                          <w:spacing w:before="120" w:after="0" w:line="240" w:lineRule="auto"/>
                          <w:jc w:val="both"/>
                          <w:rPr>
                            <w:del w:id="647" w:author="Author"/>
                            <w:rFonts w:ascii="inherit" w:eastAsia="Times New Roman" w:hAnsi="inherit" w:cs="Times New Roman"/>
                            <w:lang w:eastAsia="en-GB"/>
                          </w:rPr>
                          <w:pPrChange w:id="648" w:author="Author">
                            <w:pPr>
                              <w:spacing w:before="60" w:after="60" w:line="240" w:lineRule="auto"/>
                            </w:pPr>
                          </w:pPrChange>
                        </w:pPr>
                        <w:del w:id="649" w:author="Author">
                          <w:r w:rsidRPr="003B7AE9" w:rsidDel="000F1BDB">
                            <w:rPr>
                              <w:rFonts w:ascii="inherit" w:eastAsia="Times New Roman" w:hAnsi="inherit" w:cs="Times New Roman"/>
                              <w:lang w:eastAsia="en-GB"/>
                            </w:rPr>
                            <w:delText>t</w:delText>
                          </w:r>
                          <w:r w:rsidRPr="003B7AE9" w:rsidDel="000F1BDB">
                            <w:rPr>
                              <w:rFonts w:ascii="inherit" w:eastAsia="Times New Roman" w:hAnsi="inherit" w:cs="Times New Roman"/>
                              <w:sz w:val="15"/>
                              <w:szCs w:val="15"/>
                              <w:vertAlign w:val="subscript"/>
                              <w:lang w:eastAsia="en-GB"/>
                            </w:rPr>
                            <w:delText>clear</w:delText>
                          </w:r>
                          <w:r w:rsidRPr="003B7AE9" w:rsidDel="000F1BDB">
                            <w:rPr>
                              <w:rFonts w:ascii="inherit" w:eastAsia="Times New Roman" w:hAnsi="inherit" w:cs="Times New Roman"/>
                              <w:lang w:eastAsia="en-GB"/>
                            </w:rPr>
                            <w:delText>:</w:delText>
                          </w:r>
                        </w:del>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30B0658E" w:rsidR="003B7AE9" w:rsidRPr="003B7AE9" w:rsidDel="000F1BDB" w:rsidRDefault="003B7AE9" w:rsidP="0060282F">
                        <w:pPr>
                          <w:shd w:val="clear" w:color="auto" w:fill="FFFFFF" w:themeFill="background1"/>
                          <w:spacing w:before="120" w:after="0" w:line="240" w:lineRule="auto"/>
                          <w:jc w:val="both"/>
                          <w:rPr>
                            <w:del w:id="650" w:author="Author"/>
                            <w:rFonts w:ascii="inherit" w:eastAsia="Times New Roman" w:hAnsi="inherit" w:cs="Times New Roman"/>
                            <w:lang w:eastAsia="en-GB"/>
                          </w:rPr>
                          <w:pPrChange w:id="651" w:author="Author">
                            <w:pPr>
                              <w:spacing w:before="60" w:after="60" w:line="240" w:lineRule="auto"/>
                            </w:pPr>
                          </w:pPrChange>
                        </w:pPr>
                        <w:del w:id="652" w:author="Author">
                          <w:r w:rsidRPr="003B7AE9" w:rsidDel="000F1BDB">
                            <w:rPr>
                              <w:rFonts w:ascii="inherit" w:eastAsia="Times New Roman" w:hAnsi="inherit" w:cs="Times New Roman"/>
                              <w:lang w:eastAsia="en-GB"/>
                            </w:rPr>
                            <w:delText>0,14-0,15 (or 0,14-0,25 if system protection and secure operation so require)</w:delText>
                          </w:r>
                        </w:del>
                      </w:p>
                    </w:tc>
                  </w:tr>
                  <w:tr w:rsidR="003B7AE9" w:rsidRPr="003B7AE9" w:rsidDel="000F1BDB" w14:paraId="3DFE7D7E" w14:textId="5CC94443">
                    <w:trPr>
                      <w:del w:id="653" w:author="Author"/>
                    </w:trPr>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69688377" w:rsidR="003B7AE9" w:rsidRPr="003B7AE9" w:rsidDel="000F1BDB" w:rsidRDefault="003B7AE9" w:rsidP="0060282F">
                        <w:pPr>
                          <w:shd w:val="clear" w:color="auto" w:fill="FFFFFF" w:themeFill="background1"/>
                          <w:spacing w:before="120" w:after="0" w:line="240" w:lineRule="auto"/>
                          <w:jc w:val="both"/>
                          <w:rPr>
                            <w:del w:id="654" w:author="Author"/>
                            <w:rFonts w:ascii="inherit" w:eastAsia="Times New Roman" w:hAnsi="inherit" w:cs="Times New Roman"/>
                            <w:lang w:eastAsia="en-GB"/>
                          </w:rPr>
                          <w:pPrChange w:id="655" w:author="Author">
                            <w:pPr>
                              <w:spacing w:before="60" w:after="60" w:line="240" w:lineRule="auto"/>
                            </w:pPr>
                          </w:pPrChange>
                        </w:pPr>
                        <w:del w:id="656" w:author="Author">
                          <w:r w:rsidRPr="003B7AE9" w:rsidDel="000F1BDB">
                            <w:rPr>
                              <w:rFonts w:ascii="inherit" w:eastAsia="Times New Roman" w:hAnsi="inherit" w:cs="Times New Roman"/>
                              <w:lang w:eastAsia="en-GB"/>
                            </w:rPr>
                            <w:delText>U</w:delText>
                          </w:r>
                          <w:r w:rsidRPr="003B7AE9" w:rsidDel="000F1BDB">
                            <w:rPr>
                              <w:rFonts w:ascii="inherit" w:eastAsia="Times New Roman" w:hAnsi="inherit" w:cs="Times New Roman"/>
                              <w:sz w:val="15"/>
                              <w:szCs w:val="15"/>
                              <w:vertAlign w:val="subscript"/>
                              <w:lang w:eastAsia="en-GB"/>
                            </w:rPr>
                            <w:delText>clear</w:delText>
                          </w:r>
                          <w:r w:rsidRPr="003B7AE9" w:rsidDel="000F1BDB">
                            <w:rPr>
                              <w:rFonts w:ascii="inherit" w:eastAsia="Times New Roman" w:hAnsi="inherit" w:cs="Times New Roman"/>
                              <w:lang w:eastAsia="en-GB"/>
                            </w:rPr>
                            <w:delText>:</w:delText>
                          </w:r>
                        </w:del>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2CC6C8C6" w:rsidR="003B7AE9" w:rsidRPr="003B7AE9" w:rsidDel="000F1BDB" w:rsidRDefault="003B7AE9" w:rsidP="0060282F">
                        <w:pPr>
                          <w:shd w:val="clear" w:color="auto" w:fill="FFFFFF" w:themeFill="background1"/>
                          <w:spacing w:before="120" w:after="0" w:line="240" w:lineRule="auto"/>
                          <w:jc w:val="both"/>
                          <w:rPr>
                            <w:del w:id="657" w:author="Author"/>
                            <w:rFonts w:ascii="inherit" w:eastAsia="Times New Roman" w:hAnsi="inherit" w:cs="Times New Roman"/>
                            <w:lang w:eastAsia="en-GB"/>
                          </w:rPr>
                          <w:pPrChange w:id="658" w:author="Author">
                            <w:pPr>
                              <w:spacing w:before="60" w:after="60" w:line="240" w:lineRule="auto"/>
                            </w:pPr>
                          </w:pPrChange>
                        </w:pPr>
                        <w:del w:id="659" w:author="Author">
                          <w:r w:rsidRPr="003B7AE9" w:rsidDel="000F1BDB">
                            <w:rPr>
                              <w:rFonts w:ascii="inherit" w:eastAsia="Times New Roman" w:hAnsi="inherit" w:cs="Times New Roman"/>
                              <w:lang w:eastAsia="en-GB"/>
                            </w:rPr>
                            <w:delText>0,7-0,9</w:delText>
                          </w:r>
                        </w:del>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B5F1FD6" w:rsidR="003B7AE9" w:rsidRPr="003B7AE9" w:rsidDel="000F1BDB" w:rsidRDefault="003B7AE9" w:rsidP="0060282F">
                        <w:pPr>
                          <w:shd w:val="clear" w:color="auto" w:fill="FFFFFF" w:themeFill="background1"/>
                          <w:spacing w:before="120" w:after="0" w:line="240" w:lineRule="auto"/>
                          <w:jc w:val="both"/>
                          <w:rPr>
                            <w:del w:id="660" w:author="Author"/>
                            <w:rFonts w:ascii="inherit" w:eastAsia="Times New Roman" w:hAnsi="inherit" w:cs="Times New Roman"/>
                            <w:lang w:eastAsia="en-GB"/>
                          </w:rPr>
                          <w:pPrChange w:id="661" w:author="Author">
                            <w:pPr>
                              <w:spacing w:before="60" w:after="60" w:line="240" w:lineRule="auto"/>
                            </w:pPr>
                          </w:pPrChange>
                        </w:pPr>
                        <w:del w:id="662" w:author="Author">
                          <w:r w:rsidRPr="003B7AE9" w:rsidDel="000F1BDB">
                            <w:rPr>
                              <w:rFonts w:ascii="inherit" w:eastAsia="Times New Roman" w:hAnsi="inherit" w:cs="Times New Roman"/>
                              <w:lang w:eastAsia="en-GB"/>
                            </w:rPr>
                            <w:delText>t</w:delText>
                          </w:r>
                          <w:r w:rsidRPr="003B7AE9" w:rsidDel="000F1BDB">
                            <w:rPr>
                              <w:rFonts w:ascii="inherit" w:eastAsia="Times New Roman" w:hAnsi="inherit" w:cs="Times New Roman"/>
                              <w:sz w:val="15"/>
                              <w:szCs w:val="15"/>
                              <w:vertAlign w:val="subscript"/>
                              <w:lang w:eastAsia="en-GB"/>
                            </w:rPr>
                            <w:delText>rec1</w:delText>
                          </w:r>
                          <w:r w:rsidRPr="003B7AE9" w:rsidDel="000F1BDB">
                            <w:rPr>
                              <w:rFonts w:ascii="inherit" w:eastAsia="Times New Roman" w:hAnsi="inherit" w:cs="Times New Roman"/>
                              <w:lang w:eastAsia="en-GB"/>
                            </w:rPr>
                            <w:delText>:</w:delText>
                          </w:r>
                        </w:del>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32E6D6C0" w:rsidR="003B7AE9" w:rsidRPr="003B7AE9" w:rsidDel="000F1BDB" w:rsidRDefault="003B7AE9" w:rsidP="0060282F">
                        <w:pPr>
                          <w:shd w:val="clear" w:color="auto" w:fill="FFFFFF" w:themeFill="background1"/>
                          <w:spacing w:before="120" w:after="0" w:line="240" w:lineRule="auto"/>
                          <w:jc w:val="both"/>
                          <w:rPr>
                            <w:del w:id="663" w:author="Author"/>
                            <w:rFonts w:ascii="inherit" w:eastAsia="Times New Roman" w:hAnsi="inherit" w:cs="Times New Roman"/>
                            <w:lang w:eastAsia="en-GB"/>
                          </w:rPr>
                          <w:pPrChange w:id="664" w:author="Author">
                            <w:pPr>
                              <w:spacing w:before="60" w:after="60" w:line="240" w:lineRule="auto"/>
                            </w:pPr>
                          </w:pPrChange>
                        </w:pPr>
                        <w:del w:id="665" w:author="Author">
                          <w:r w:rsidRPr="003B7AE9" w:rsidDel="000F1BDB">
                            <w:rPr>
                              <w:rFonts w:ascii="inherit" w:eastAsia="Times New Roman" w:hAnsi="inherit" w:cs="Times New Roman"/>
                              <w:lang w:eastAsia="en-GB"/>
                            </w:rPr>
                            <w:delText>t</w:delText>
                          </w:r>
                          <w:r w:rsidRPr="003B7AE9" w:rsidDel="000F1BDB">
                            <w:rPr>
                              <w:rFonts w:ascii="inherit" w:eastAsia="Times New Roman" w:hAnsi="inherit" w:cs="Times New Roman"/>
                              <w:sz w:val="15"/>
                              <w:szCs w:val="15"/>
                              <w:vertAlign w:val="subscript"/>
                              <w:lang w:eastAsia="en-GB"/>
                            </w:rPr>
                            <w:delText>clear</w:delText>
                          </w:r>
                        </w:del>
                      </w:p>
                    </w:tc>
                  </w:tr>
                  <w:tr w:rsidR="003B7AE9" w:rsidRPr="003B7AE9" w:rsidDel="000F1BDB" w14:paraId="109A0932" w14:textId="2291C56E">
                    <w:trPr>
                      <w:del w:id="666" w:author="Author"/>
                    </w:trPr>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4B651D41" w:rsidR="003B7AE9" w:rsidRPr="003B7AE9" w:rsidDel="000F1BDB" w:rsidRDefault="003B7AE9" w:rsidP="0060282F">
                        <w:pPr>
                          <w:shd w:val="clear" w:color="auto" w:fill="FFFFFF" w:themeFill="background1"/>
                          <w:spacing w:before="120" w:after="0" w:line="240" w:lineRule="auto"/>
                          <w:jc w:val="both"/>
                          <w:rPr>
                            <w:del w:id="667" w:author="Author"/>
                            <w:rFonts w:ascii="inherit" w:eastAsia="Times New Roman" w:hAnsi="inherit" w:cs="Times New Roman"/>
                            <w:lang w:eastAsia="en-GB"/>
                          </w:rPr>
                          <w:pPrChange w:id="668" w:author="Author">
                            <w:pPr>
                              <w:spacing w:before="60" w:after="60" w:line="240" w:lineRule="auto"/>
                            </w:pPr>
                          </w:pPrChange>
                        </w:pPr>
                        <w:del w:id="669" w:author="Author">
                          <w:r w:rsidRPr="003B7AE9" w:rsidDel="000F1BDB">
                            <w:rPr>
                              <w:rFonts w:ascii="inherit" w:eastAsia="Times New Roman" w:hAnsi="inherit" w:cs="Times New Roman"/>
                              <w:lang w:eastAsia="en-GB"/>
                            </w:rPr>
                            <w:delText>U</w:delText>
                          </w:r>
                          <w:r w:rsidRPr="003B7AE9" w:rsidDel="000F1BDB">
                            <w:rPr>
                              <w:rFonts w:ascii="inherit" w:eastAsia="Times New Roman" w:hAnsi="inherit" w:cs="Times New Roman"/>
                              <w:sz w:val="15"/>
                              <w:szCs w:val="15"/>
                              <w:vertAlign w:val="subscript"/>
                              <w:lang w:eastAsia="en-GB"/>
                            </w:rPr>
                            <w:delText>rec1</w:delText>
                          </w:r>
                          <w:r w:rsidRPr="003B7AE9" w:rsidDel="000F1BDB">
                            <w:rPr>
                              <w:rFonts w:ascii="inherit" w:eastAsia="Times New Roman" w:hAnsi="inherit" w:cs="Times New Roman"/>
                              <w:lang w:eastAsia="en-GB"/>
                            </w:rPr>
                            <w:delText>:</w:delText>
                          </w:r>
                        </w:del>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A2423C8" w:rsidR="003B7AE9" w:rsidRPr="003B7AE9" w:rsidDel="000F1BDB" w:rsidRDefault="003B7AE9" w:rsidP="0060282F">
                        <w:pPr>
                          <w:shd w:val="clear" w:color="auto" w:fill="FFFFFF" w:themeFill="background1"/>
                          <w:spacing w:before="120" w:after="0" w:line="240" w:lineRule="auto"/>
                          <w:jc w:val="both"/>
                          <w:rPr>
                            <w:del w:id="670" w:author="Author"/>
                            <w:rFonts w:ascii="inherit" w:eastAsia="Times New Roman" w:hAnsi="inherit" w:cs="Times New Roman"/>
                            <w:lang w:eastAsia="en-GB"/>
                          </w:rPr>
                          <w:pPrChange w:id="671" w:author="Author">
                            <w:pPr>
                              <w:spacing w:before="60" w:after="60" w:line="240" w:lineRule="auto"/>
                            </w:pPr>
                          </w:pPrChange>
                        </w:pPr>
                        <w:del w:id="672" w:author="Author">
                          <w:r w:rsidRPr="003B7AE9" w:rsidDel="000F1BDB">
                            <w:rPr>
                              <w:rFonts w:ascii="inherit" w:eastAsia="Times New Roman" w:hAnsi="inherit" w:cs="Times New Roman"/>
                              <w:lang w:eastAsia="en-GB"/>
                            </w:rPr>
                            <w:delText>U</w:delText>
                          </w:r>
                          <w:r w:rsidRPr="003B7AE9" w:rsidDel="000F1BDB">
                            <w:rPr>
                              <w:rFonts w:ascii="inherit" w:eastAsia="Times New Roman" w:hAnsi="inherit" w:cs="Times New Roman"/>
                              <w:sz w:val="15"/>
                              <w:szCs w:val="15"/>
                              <w:vertAlign w:val="subscript"/>
                              <w:lang w:eastAsia="en-GB"/>
                            </w:rPr>
                            <w:delText>clear</w:delText>
                          </w:r>
                        </w:del>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3A4B04BE" w:rsidR="003B7AE9" w:rsidRPr="003B7AE9" w:rsidDel="000F1BDB" w:rsidRDefault="003B7AE9" w:rsidP="0060282F">
                        <w:pPr>
                          <w:shd w:val="clear" w:color="auto" w:fill="FFFFFF" w:themeFill="background1"/>
                          <w:spacing w:before="120" w:after="0" w:line="240" w:lineRule="auto"/>
                          <w:jc w:val="both"/>
                          <w:rPr>
                            <w:del w:id="673" w:author="Author"/>
                            <w:rFonts w:ascii="inherit" w:eastAsia="Times New Roman" w:hAnsi="inherit" w:cs="Times New Roman"/>
                            <w:lang w:eastAsia="en-GB"/>
                          </w:rPr>
                          <w:pPrChange w:id="674" w:author="Author">
                            <w:pPr>
                              <w:spacing w:before="60" w:after="60" w:line="240" w:lineRule="auto"/>
                            </w:pPr>
                          </w:pPrChange>
                        </w:pPr>
                        <w:del w:id="675" w:author="Author">
                          <w:r w:rsidRPr="003B7AE9" w:rsidDel="000F1BDB">
                            <w:rPr>
                              <w:rFonts w:ascii="inherit" w:eastAsia="Times New Roman" w:hAnsi="inherit" w:cs="Times New Roman"/>
                              <w:lang w:eastAsia="en-GB"/>
                            </w:rPr>
                            <w:delText>t</w:delText>
                          </w:r>
                          <w:r w:rsidRPr="003B7AE9" w:rsidDel="000F1BDB">
                            <w:rPr>
                              <w:rFonts w:ascii="inherit" w:eastAsia="Times New Roman" w:hAnsi="inherit" w:cs="Times New Roman"/>
                              <w:sz w:val="15"/>
                              <w:szCs w:val="15"/>
                              <w:vertAlign w:val="subscript"/>
                              <w:lang w:eastAsia="en-GB"/>
                            </w:rPr>
                            <w:delText>rec2</w:delText>
                          </w:r>
                          <w:r w:rsidRPr="003B7AE9" w:rsidDel="000F1BDB">
                            <w:rPr>
                              <w:rFonts w:ascii="inherit" w:eastAsia="Times New Roman" w:hAnsi="inherit" w:cs="Times New Roman"/>
                              <w:lang w:eastAsia="en-GB"/>
                            </w:rPr>
                            <w:delText>:</w:delText>
                          </w:r>
                        </w:del>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12B0C567" w:rsidR="003B7AE9" w:rsidRPr="003B7AE9" w:rsidDel="000F1BDB" w:rsidRDefault="003B7AE9" w:rsidP="0060282F">
                        <w:pPr>
                          <w:shd w:val="clear" w:color="auto" w:fill="FFFFFF" w:themeFill="background1"/>
                          <w:spacing w:before="120" w:after="0" w:line="240" w:lineRule="auto"/>
                          <w:jc w:val="both"/>
                          <w:rPr>
                            <w:del w:id="676" w:author="Author"/>
                            <w:rFonts w:ascii="inherit" w:eastAsia="Times New Roman" w:hAnsi="inherit" w:cs="Times New Roman"/>
                            <w:lang w:eastAsia="en-GB"/>
                          </w:rPr>
                          <w:pPrChange w:id="677" w:author="Author">
                            <w:pPr>
                              <w:spacing w:before="60" w:after="60" w:line="240" w:lineRule="auto"/>
                            </w:pPr>
                          </w:pPrChange>
                        </w:pPr>
                        <w:del w:id="678" w:author="Author">
                          <w:r w:rsidRPr="003B7AE9" w:rsidDel="000F1BDB">
                            <w:rPr>
                              <w:rFonts w:ascii="inherit" w:eastAsia="Times New Roman" w:hAnsi="inherit" w:cs="Times New Roman"/>
                              <w:lang w:eastAsia="en-GB"/>
                            </w:rPr>
                            <w:delText>t</w:delText>
                          </w:r>
                          <w:r w:rsidRPr="003B7AE9" w:rsidDel="000F1BDB">
                            <w:rPr>
                              <w:rFonts w:ascii="inherit" w:eastAsia="Times New Roman" w:hAnsi="inherit" w:cs="Times New Roman"/>
                              <w:sz w:val="15"/>
                              <w:szCs w:val="15"/>
                              <w:vertAlign w:val="subscript"/>
                              <w:lang w:eastAsia="en-GB"/>
                            </w:rPr>
                            <w:delText>rec1</w:delText>
                          </w:r>
                          <w:r w:rsidRPr="003B7AE9" w:rsidDel="000F1BDB">
                            <w:rPr>
                              <w:rFonts w:ascii="inherit" w:eastAsia="Times New Roman" w:hAnsi="inherit" w:cs="Times New Roman"/>
                              <w:lang w:eastAsia="en-GB"/>
                            </w:rPr>
                            <w:delText>-0,7</w:delText>
                          </w:r>
                        </w:del>
                      </w:p>
                    </w:tc>
                  </w:tr>
                  <w:tr w:rsidR="003B7AE9" w:rsidRPr="003B7AE9" w:rsidDel="000F1BDB" w14:paraId="164E014D" w14:textId="3BC79F16">
                    <w:trPr>
                      <w:del w:id="679" w:author="Author"/>
                    </w:trPr>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6ECE2BFF" w:rsidR="003B7AE9" w:rsidRPr="003B7AE9" w:rsidDel="000F1BDB" w:rsidRDefault="003B7AE9" w:rsidP="0060282F">
                        <w:pPr>
                          <w:shd w:val="clear" w:color="auto" w:fill="FFFFFF" w:themeFill="background1"/>
                          <w:spacing w:before="120" w:after="0" w:line="240" w:lineRule="auto"/>
                          <w:jc w:val="both"/>
                          <w:rPr>
                            <w:del w:id="680" w:author="Author"/>
                            <w:rFonts w:ascii="inherit" w:eastAsia="Times New Roman" w:hAnsi="inherit" w:cs="Times New Roman"/>
                            <w:lang w:eastAsia="en-GB"/>
                          </w:rPr>
                          <w:pPrChange w:id="681" w:author="Author">
                            <w:pPr>
                              <w:spacing w:before="60" w:after="60" w:line="240" w:lineRule="auto"/>
                            </w:pPr>
                          </w:pPrChange>
                        </w:pPr>
                        <w:del w:id="682" w:author="Author">
                          <w:r w:rsidRPr="003B7AE9" w:rsidDel="000F1BDB">
                            <w:rPr>
                              <w:rFonts w:ascii="inherit" w:eastAsia="Times New Roman" w:hAnsi="inherit" w:cs="Times New Roman"/>
                              <w:lang w:eastAsia="en-GB"/>
                            </w:rPr>
                            <w:delText>U</w:delText>
                          </w:r>
                          <w:r w:rsidRPr="003B7AE9" w:rsidDel="000F1BDB">
                            <w:rPr>
                              <w:rFonts w:ascii="inherit" w:eastAsia="Times New Roman" w:hAnsi="inherit" w:cs="Times New Roman"/>
                              <w:sz w:val="15"/>
                              <w:szCs w:val="15"/>
                              <w:vertAlign w:val="subscript"/>
                              <w:lang w:eastAsia="en-GB"/>
                            </w:rPr>
                            <w:delText>rec2</w:delText>
                          </w:r>
                          <w:r w:rsidRPr="003B7AE9" w:rsidDel="000F1BDB">
                            <w:rPr>
                              <w:rFonts w:ascii="inherit" w:eastAsia="Times New Roman" w:hAnsi="inherit" w:cs="Times New Roman"/>
                              <w:lang w:eastAsia="en-GB"/>
                            </w:rPr>
                            <w:delText>:</w:delText>
                          </w:r>
                        </w:del>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623BAA45" w:rsidR="003B7AE9" w:rsidRPr="003B7AE9" w:rsidDel="000F1BDB" w:rsidRDefault="003B7AE9" w:rsidP="0060282F">
                        <w:pPr>
                          <w:shd w:val="clear" w:color="auto" w:fill="FFFFFF" w:themeFill="background1"/>
                          <w:spacing w:before="120" w:after="0" w:line="240" w:lineRule="auto"/>
                          <w:jc w:val="both"/>
                          <w:rPr>
                            <w:del w:id="683" w:author="Author"/>
                            <w:rFonts w:ascii="inherit" w:eastAsia="Times New Roman" w:hAnsi="inherit" w:cs="Times New Roman"/>
                            <w:lang w:eastAsia="en-GB"/>
                          </w:rPr>
                          <w:pPrChange w:id="684" w:author="Author">
                            <w:pPr>
                              <w:spacing w:before="60" w:after="60" w:line="240" w:lineRule="auto"/>
                            </w:pPr>
                          </w:pPrChange>
                        </w:pPr>
                        <w:del w:id="685" w:author="Author">
                          <w:r w:rsidRPr="003B7AE9" w:rsidDel="000F1BDB">
                            <w:rPr>
                              <w:rFonts w:ascii="inherit" w:eastAsia="Times New Roman" w:hAnsi="inherit" w:cs="Times New Roman"/>
                              <w:lang w:eastAsia="en-GB"/>
                            </w:rPr>
                            <w:delText>0,85-0,9 and ≥ U</w:delText>
                          </w:r>
                          <w:r w:rsidRPr="003B7AE9" w:rsidDel="000F1BDB">
                            <w:rPr>
                              <w:rFonts w:ascii="inherit" w:eastAsia="Times New Roman" w:hAnsi="inherit" w:cs="Times New Roman"/>
                              <w:sz w:val="15"/>
                              <w:szCs w:val="15"/>
                              <w:vertAlign w:val="subscript"/>
                              <w:lang w:eastAsia="en-GB"/>
                            </w:rPr>
                            <w:delText>clear</w:delText>
                          </w:r>
                        </w:del>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0072E0E" w:rsidR="003B7AE9" w:rsidRPr="003B7AE9" w:rsidDel="000F1BDB" w:rsidRDefault="003B7AE9" w:rsidP="0060282F">
                        <w:pPr>
                          <w:shd w:val="clear" w:color="auto" w:fill="FFFFFF" w:themeFill="background1"/>
                          <w:spacing w:before="120" w:after="0" w:line="240" w:lineRule="auto"/>
                          <w:jc w:val="both"/>
                          <w:rPr>
                            <w:del w:id="686" w:author="Author"/>
                            <w:rFonts w:ascii="inherit" w:eastAsia="Times New Roman" w:hAnsi="inherit" w:cs="Times New Roman"/>
                            <w:lang w:eastAsia="en-GB"/>
                          </w:rPr>
                          <w:pPrChange w:id="687" w:author="Author">
                            <w:pPr>
                              <w:spacing w:before="60" w:after="60" w:line="240" w:lineRule="auto"/>
                            </w:pPr>
                          </w:pPrChange>
                        </w:pPr>
                        <w:del w:id="688" w:author="Author">
                          <w:r w:rsidRPr="003B7AE9" w:rsidDel="000F1BDB">
                            <w:rPr>
                              <w:rFonts w:ascii="inherit" w:eastAsia="Times New Roman" w:hAnsi="inherit" w:cs="Times New Roman"/>
                              <w:lang w:eastAsia="en-GB"/>
                            </w:rPr>
                            <w:delText>t</w:delText>
                          </w:r>
                          <w:r w:rsidRPr="003B7AE9" w:rsidDel="000F1BDB">
                            <w:rPr>
                              <w:rFonts w:ascii="inherit" w:eastAsia="Times New Roman" w:hAnsi="inherit" w:cs="Times New Roman"/>
                              <w:sz w:val="15"/>
                              <w:szCs w:val="15"/>
                              <w:vertAlign w:val="subscript"/>
                              <w:lang w:eastAsia="en-GB"/>
                            </w:rPr>
                            <w:delText>rec3</w:delText>
                          </w:r>
                          <w:r w:rsidRPr="003B7AE9" w:rsidDel="000F1BDB">
                            <w:rPr>
                              <w:rFonts w:ascii="inherit" w:eastAsia="Times New Roman" w:hAnsi="inherit" w:cs="Times New Roman"/>
                              <w:lang w:eastAsia="en-GB"/>
                            </w:rPr>
                            <w:delText>:</w:delText>
                          </w:r>
                        </w:del>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25F4CF76" w:rsidR="003B7AE9" w:rsidRPr="003B7AE9" w:rsidDel="000F1BDB" w:rsidRDefault="003B7AE9" w:rsidP="0060282F">
                        <w:pPr>
                          <w:shd w:val="clear" w:color="auto" w:fill="FFFFFF" w:themeFill="background1"/>
                          <w:spacing w:before="120" w:after="0" w:line="240" w:lineRule="auto"/>
                          <w:jc w:val="both"/>
                          <w:rPr>
                            <w:del w:id="689" w:author="Author"/>
                            <w:rFonts w:ascii="inherit" w:eastAsia="Times New Roman" w:hAnsi="inherit" w:cs="Times New Roman"/>
                            <w:lang w:eastAsia="en-GB"/>
                          </w:rPr>
                          <w:pPrChange w:id="690" w:author="Author">
                            <w:pPr>
                              <w:spacing w:before="60" w:after="60" w:line="240" w:lineRule="auto"/>
                            </w:pPr>
                          </w:pPrChange>
                        </w:pPr>
                        <w:del w:id="691" w:author="Author">
                          <w:r w:rsidRPr="003B7AE9" w:rsidDel="000F1BDB">
                            <w:rPr>
                              <w:rFonts w:ascii="inherit" w:eastAsia="Times New Roman" w:hAnsi="inherit" w:cs="Times New Roman"/>
                              <w:lang w:eastAsia="en-GB"/>
                            </w:rPr>
                            <w:delText>t</w:delText>
                          </w:r>
                          <w:r w:rsidRPr="003B7AE9" w:rsidDel="000F1BDB">
                            <w:rPr>
                              <w:rFonts w:ascii="inherit" w:eastAsia="Times New Roman" w:hAnsi="inherit" w:cs="Times New Roman"/>
                              <w:sz w:val="15"/>
                              <w:szCs w:val="15"/>
                              <w:vertAlign w:val="subscript"/>
                              <w:lang w:eastAsia="en-GB"/>
                            </w:rPr>
                            <w:delText>rec2</w:delText>
                          </w:r>
                          <w:r w:rsidRPr="003B7AE9" w:rsidDel="000F1BDB">
                            <w:rPr>
                              <w:rFonts w:ascii="inherit" w:eastAsia="Times New Roman" w:hAnsi="inherit" w:cs="Times New Roman"/>
                              <w:lang w:eastAsia="en-GB"/>
                            </w:rPr>
                            <w:delText>-1,5</w:delText>
                          </w:r>
                        </w:del>
                      </w:p>
                    </w:tc>
                  </w:tr>
                </w:tbl>
                <w:p w14:paraId="49949D4C" w14:textId="742ED1D3" w:rsidR="003B7AE9" w:rsidRPr="003B7AE9" w:rsidDel="000F1BDB" w:rsidRDefault="003B7AE9" w:rsidP="0060282F">
                  <w:pPr>
                    <w:shd w:val="clear" w:color="auto" w:fill="FFFFFF" w:themeFill="background1"/>
                    <w:spacing w:before="120" w:after="0" w:line="240" w:lineRule="auto"/>
                    <w:jc w:val="both"/>
                    <w:rPr>
                      <w:del w:id="692" w:author="Author"/>
                      <w:rFonts w:ascii="inherit" w:eastAsia="Times New Roman" w:hAnsi="inherit" w:cs="Times New Roman"/>
                      <w:sz w:val="24"/>
                      <w:szCs w:val="24"/>
                      <w:lang w:eastAsia="en-GB"/>
                    </w:rPr>
                    <w:pPrChange w:id="693" w:author="Author">
                      <w:pPr>
                        <w:spacing w:after="150" w:line="240" w:lineRule="auto"/>
                      </w:pPr>
                    </w:pPrChange>
                  </w:pPr>
                </w:p>
                <w:p w14:paraId="65635189" w14:textId="5208A0C1" w:rsidR="003B7AE9" w:rsidRPr="003B7AE9" w:rsidDel="000F1BDB" w:rsidRDefault="003B7AE9" w:rsidP="0060282F">
                  <w:pPr>
                    <w:shd w:val="clear" w:color="auto" w:fill="FFFFFF" w:themeFill="background1"/>
                    <w:spacing w:before="120" w:after="0" w:line="240" w:lineRule="auto"/>
                    <w:jc w:val="both"/>
                    <w:rPr>
                      <w:del w:id="694" w:author="Author"/>
                      <w:rFonts w:ascii="inherit" w:eastAsia="Times New Roman" w:hAnsi="inherit" w:cs="Times New Roman"/>
                      <w:sz w:val="24"/>
                      <w:szCs w:val="24"/>
                      <w:lang w:eastAsia="en-GB"/>
                    </w:rPr>
                    <w:pPrChange w:id="695" w:author="Author">
                      <w:pPr>
                        <w:spacing w:before="120" w:after="120" w:line="240" w:lineRule="auto"/>
                        <w:jc w:val="center"/>
                      </w:pPr>
                    </w:pPrChange>
                  </w:pPr>
                  <w:del w:id="696" w:author="Author">
                    <w:r w:rsidRPr="003B7AE9" w:rsidDel="000F1BDB">
                      <w:rPr>
                        <w:rFonts w:ascii="inherit" w:eastAsia="Times New Roman" w:hAnsi="inherit" w:cs="Times New Roman"/>
                        <w:i/>
                        <w:iCs/>
                        <w:sz w:val="24"/>
                        <w:szCs w:val="24"/>
                        <w:lang w:eastAsia="en-GB"/>
                      </w:rPr>
                      <w:delText>Table 3.2</w:delText>
                    </w:r>
                  </w:del>
                </w:p>
                <w:p w14:paraId="2E3BE84F" w14:textId="52D23B33" w:rsidR="003B7AE9" w:rsidRPr="003B7AE9" w:rsidDel="000F1BDB" w:rsidRDefault="003B7AE9" w:rsidP="0060282F">
                  <w:pPr>
                    <w:shd w:val="clear" w:color="auto" w:fill="FFFFFF" w:themeFill="background1"/>
                    <w:spacing w:before="120" w:after="0" w:line="240" w:lineRule="auto"/>
                    <w:jc w:val="both"/>
                    <w:rPr>
                      <w:del w:id="697" w:author="Author"/>
                      <w:rFonts w:ascii="inherit" w:eastAsia="Times New Roman" w:hAnsi="inherit" w:cs="Times New Roman"/>
                      <w:sz w:val="24"/>
                      <w:szCs w:val="24"/>
                      <w:lang w:eastAsia="en-GB"/>
                    </w:rPr>
                    <w:pPrChange w:id="698" w:author="Author">
                      <w:pPr>
                        <w:spacing w:before="120" w:after="120" w:line="240" w:lineRule="auto"/>
                        <w:jc w:val="center"/>
                      </w:pPr>
                    </w:pPrChange>
                  </w:pPr>
                  <w:del w:id="699" w:author="Author">
                    <w:r w:rsidRPr="003B7AE9" w:rsidDel="000F1BDB">
                      <w:rPr>
                        <w:rFonts w:ascii="inherit" w:eastAsia="Times New Roman" w:hAnsi="inherit" w:cs="Times New Roman"/>
                        <w:b/>
                        <w:bCs/>
                        <w:sz w:val="24"/>
                        <w:szCs w:val="24"/>
                        <w:lang w:eastAsia="en-GB"/>
                      </w:rPr>
                      <w:delText>Parameters for Figure 3 for fault-ride-through capability of power park modules</w:delText>
                    </w:r>
                  </w:del>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3B7AE9" w:rsidDel="000F1BDB" w14:paraId="7C959A31" w14:textId="1BA4F3A8" w:rsidTr="00E1013D">
                    <w:trPr>
                      <w:del w:id="700" w:author="Author"/>
                    </w:trPr>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40FC3CFF" w:rsidR="003B7AE9" w:rsidRPr="003B7AE9" w:rsidDel="000F1BDB" w:rsidRDefault="003B7AE9" w:rsidP="0060282F">
                        <w:pPr>
                          <w:shd w:val="clear" w:color="auto" w:fill="FFFFFF" w:themeFill="background1"/>
                          <w:spacing w:before="120" w:after="0" w:line="240" w:lineRule="auto"/>
                          <w:jc w:val="both"/>
                          <w:rPr>
                            <w:del w:id="701" w:author="Author"/>
                            <w:rFonts w:ascii="inherit" w:eastAsia="Times New Roman" w:hAnsi="inherit" w:cs="Times New Roman"/>
                            <w:b/>
                            <w:bCs/>
                            <w:lang w:eastAsia="en-GB"/>
                          </w:rPr>
                          <w:pPrChange w:id="702" w:author="Author">
                            <w:pPr>
                              <w:spacing w:before="60" w:after="60" w:line="240" w:lineRule="auto"/>
                              <w:ind w:right="195"/>
                              <w:jc w:val="center"/>
                            </w:pPr>
                          </w:pPrChange>
                        </w:pPr>
                        <w:del w:id="703" w:author="Author">
                          <w:r w:rsidRPr="003B7AE9" w:rsidDel="000F1BDB">
                            <w:rPr>
                              <w:rFonts w:ascii="inherit" w:eastAsia="Times New Roman" w:hAnsi="inherit" w:cs="Times New Roman"/>
                              <w:b/>
                              <w:bCs/>
                              <w:lang w:eastAsia="en-GB"/>
                            </w:rPr>
                            <w:delText>Voltage parameters (pu)</w:delText>
                          </w:r>
                        </w:del>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14B9169B" w:rsidR="003B7AE9" w:rsidRPr="003B7AE9" w:rsidDel="000F1BDB" w:rsidRDefault="003B7AE9" w:rsidP="0060282F">
                        <w:pPr>
                          <w:shd w:val="clear" w:color="auto" w:fill="FFFFFF" w:themeFill="background1"/>
                          <w:spacing w:before="120" w:after="0" w:line="240" w:lineRule="auto"/>
                          <w:jc w:val="both"/>
                          <w:rPr>
                            <w:del w:id="704" w:author="Author"/>
                            <w:rFonts w:ascii="inherit" w:eastAsia="Times New Roman" w:hAnsi="inherit" w:cs="Times New Roman"/>
                            <w:b/>
                            <w:bCs/>
                            <w:lang w:eastAsia="en-GB"/>
                          </w:rPr>
                          <w:pPrChange w:id="705" w:author="Author">
                            <w:pPr>
                              <w:spacing w:before="60" w:after="60" w:line="240" w:lineRule="auto"/>
                              <w:ind w:right="195"/>
                              <w:jc w:val="center"/>
                            </w:pPr>
                          </w:pPrChange>
                        </w:pPr>
                        <w:del w:id="706" w:author="Author">
                          <w:r w:rsidRPr="003B7AE9" w:rsidDel="000F1BDB">
                            <w:rPr>
                              <w:rFonts w:ascii="inherit" w:eastAsia="Times New Roman" w:hAnsi="inherit" w:cs="Times New Roman"/>
                              <w:b/>
                              <w:bCs/>
                              <w:lang w:eastAsia="en-GB"/>
                            </w:rPr>
                            <w:delText>Time parameters (seconds)</w:delText>
                          </w:r>
                        </w:del>
                      </w:p>
                    </w:tc>
                  </w:tr>
                  <w:tr w:rsidR="00E1013D" w:rsidRPr="003B7AE9" w:rsidDel="000F1BDB" w14:paraId="5B47D998" w14:textId="56EE5401" w:rsidTr="00E1013D">
                    <w:trPr>
                      <w:del w:id="707" w:author="Author"/>
                    </w:trPr>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A6F0289" w:rsidR="003B7AE9" w:rsidRPr="003B7AE9" w:rsidDel="000F1BDB" w:rsidRDefault="003B7AE9" w:rsidP="0060282F">
                        <w:pPr>
                          <w:shd w:val="clear" w:color="auto" w:fill="FFFFFF" w:themeFill="background1"/>
                          <w:spacing w:before="120" w:after="0" w:line="240" w:lineRule="auto"/>
                          <w:jc w:val="both"/>
                          <w:rPr>
                            <w:del w:id="708" w:author="Author"/>
                            <w:rFonts w:ascii="inherit" w:eastAsia="Times New Roman" w:hAnsi="inherit" w:cs="Times New Roman"/>
                            <w:lang w:eastAsia="en-GB"/>
                          </w:rPr>
                          <w:pPrChange w:id="709" w:author="Author">
                            <w:pPr>
                              <w:spacing w:before="60" w:after="60" w:line="240" w:lineRule="auto"/>
                            </w:pPr>
                          </w:pPrChange>
                        </w:pPr>
                        <w:del w:id="710" w:author="Author">
                          <w:r w:rsidRPr="003B7AE9" w:rsidDel="000F1BDB">
                            <w:rPr>
                              <w:rFonts w:ascii="inherit" w:eastAsia="Times New Roman" w:hAnsi="inherit" w:cs="Times New Roman"/>
                              <w:lang w:eastAsia="en-GB"/>
                            </w:rPr>
                            <w:delText>U</w:delText>
                          </w:r>
                          <w:r w:rsidRPr="003B7AE9" w:rsidDel="000F1BDB">
                            <w:rPr>
                              <w:rFonts w:ascii="inherit" w:eastAsia="Times New Roman" w:hAnsi="inherit" w:cs="Times New Roman"/>
                              <w:sz w:val="15"/>
                              <w:szCs w:val="15"/>
                              <w:vertAlign w:val="subscript"/>
                              <w:lang w:eastAsia="en-GB"/>
                            </w:rPr>
                            <w:delText>ret</w:delText>
                          </w:r>
                          <w:r w:rsidRPr="003B7AE9" w:rsidDel="000F1BDB">
                            <w:rPr>
                              <w:rFonts w:ascii="inherit" w:eastAsia="Times New Roman" w:hAnsi="inherit" w:cs="Times New Roman"/>
                              <w:lang w:eastAsia="en-GB"/>
                            </w:rPr>
                            <w:delText>:</w:delText>
                          </w:r>
                        </w:del>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05712F2C" w:rsidR="003B7AE9" w:rsidRPr="003B7AE9" w:rsidDel="000F1BDB" w:rsidRDefault="003B7AE9" w:rsidP="0060282F">
                        <w:pPr>
                          <w:shd w:val="clear" w:color="auto" w:fill="FFFFFF" w:themeFill="background1"/>
                          <w:spacing w:before="120" w:after="0" w:line="240" w:lineRule="auto"/>
                          <w:jc w:val="both"/>
                          <w:rPr>
                            <w:del w:id="711" w:author="Author"/>
                            <w:rFonts w:ascii="inherit" w:eastAsia="Times New Roman" w:hAnsi="inherit" w:cs="Times New Roman"/>
                            <w:lang w:eastAsia="en-GB"/>
                          </w:rPr>
                          <w:pPrChange w:id="712" w:author="Author">
                            <w:pPr>
                              <w:spacing w:before="60" w:after="60" w:line="240" w:lineRule="auto"/>
                            </w:pPr>
                          </w:pPrChange>
                        </w:pPr>
                        <w:del w:id="713" w:author="Author">
                          <w:r w:rsidRPr="003B7AE9" w:rsidDel="000F1BDB">
                            <w:rPr>
                              <w:rFonts w:ascii="inherit" w:eastAsia="Times New Roman" w:hAnsi="inherit" w:cs="Times New Roman"/>
                              <w:lang w:eastAsia="en-GB"/>
                            </w:rPr>
                            <w:delText>0,05-0,15</w:delText>
                          </w:r>
                        </w:del>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0820244C" w:rsidR="003B7AE9" w:rsidRPr="003B7AE9" w:rsidDel="000F1BDB" w:rsidRDefault="003B7AE9" w:rsidP="0060282F">
                        <w:pPr>
                          <w:shd w:val="clear" w:color="auto" w:fill="FFFFFF" w:themeFill="background1"/>
                          <w:spacing w:before="120" w:after="0" w:line="240" w:lineRule="auto"/>
                          <w:jc w:val="both"/>
                          <w:rPr>
                            <w:del w:id="714" w:author="Author"/>
                            <w:rFonts w:ascii="inherit" w:eastAsia="Times New Roman" w:hAnsi="inherit" w:cs="Times New Roman"/>
                            <w:lang w:eastAsia="en-GB"/>
                          </w:rPr>
                          <w:pPrChange w:id="715" w:author="Author">
                            <w:pPr>
                              <w:spacing w:before="60" w:after="60" w:line="240" w:lineRule="auto"/>
                            </w:pPr>
                          </w:pPrChange>
                        </w:pPr>
                        <w:del w:id="716" w:author="Author">
                          <w:r w:rsidRPr="003B7AE9" w:rsidDel="000F1BDB">
                            <w:rPr>
                              <w:rFonts w:ascii="inherit" w:eastAsia="Times New Roman" w:hAnsi="inherit" w:cs="Times New Roman"/>
                              <w:lang w:eastAsia="en-GB"/>
                            </w:rPr>
                            <w:delText>t</w:delText>
                          </w:r>
                          <w:r w:rsidRPr="003B7AE9" w:rsidDel="000F1BDB">
                            <w:rPr>
                              <w:rFonts w:ascii="inherit" w:eastAsia="Times New Roman" w:hAnsi="inherit" w:cs="Times New Roman"/>
                              <w:sz w:val="15"/>
                              <w:szCs w:val="15"/>
                              <w:vertAlign w:val="subscript"/>
                              <w:lang w:eastAsia="en-GB"/>
                            </w:rPr>
                            <w:delText>clear</w:delText>
                          </w:r>
                          <w:r w:rsidRPr="003B7AE9" w:rsidDel="000F1BDB">
                            <w:rPr>
                              <w:rFonts w:ascii="inherit" w:eastAsia="Times New Roman" w:hAnsi="inherit" w:cs="Times New Roman"/>
                              <w:lang w:eastAsia="en-GB"/>
                            </w:rPr>
                            <w:delText>:</w:delText>
                          </w:r>
                        </w:del>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14DF55E1" w:rsidR="003B7AE9" w:rsidRPr="003B7AE9" w:rsidDel="000F1BDB" w:rsidRDefault="003B7AE9" w:rsidP="0060282F">
                        <w:pPr>
                          <w:shd w:val="clear" w:color="auto" w:fill="FFFFFF" w:themeFill="background1"/>
                          <w:spacing w:before="120" w:after="0" w:line="240" w:lineRule="auto"/>
                          <w:jc w:val="both"/>
                          <w:rPr>
                            <w:del w:id="717" w:author="Author"/>
                            <w:rFonts w:ascii="inherit" w:eastAsia="Times New Roman" w:hAnsi="inherit" w:cs="Times New Roman"/>
                            <w:lang w:eastAsia="en-GB"/>
                          </w:rPr>
                          <w:pPrChange w:id="718" w:author="Author">
                            <w:pPr>
                              <w:spacing w:before="60" w:after="60" w:line="240" w:lineRule="auto"/>
                            </w:pPr>
                          </w:pPrChange>
                        </w:pPr>
                        <w:del w:id="719" w:author="Author">
                          <w:r w:rsidRPr="003B7AE9" w:rsidDel="000F1BDB">
                            <w:rPr>
                              <w:rFonts w:ascii="inherit" w:eastAsia="Times New Roman" w:hAnsi="inherit" w:cs="Times New Roman"/>
                              <w:lang w:eastAsia="en-GB"/>
                            </w:rPr>
                            <w:delText>0,14-0,15 (or 0,14-0,25 if system protection and secure operation so require)</w:delText>
                          </w:r>
                        </w:del>
                      </w:p>
                    </w:tc>
                  </w:tr>
                  <w:tr w:rsidR="00E1013D" w:rsidRPr="003B7AE9" w:rsidDel="000F1BDB" w14:paraId="164E9633" w14:textId="20B70240" w:rsidTr="00E1013D">
                    <w:trPr>
                      <w:del w:id="720" w:author="Author"/>
                    </w:trPr>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54226F9" w:rsidR="003B7AE9" w:rsidRPr="003B7AE9" w:rsidDel="000F1BDB" w:rsidRDefault="003B7AE9" w:rsidP="0060282F">
                        <w:pPr>
                          <w:shd w:val="clear" w:color="auto" w:fill="FFFFFF" w:themeFill="background1"/>
                          <w:spacing w:before="120" w:after="0" w:line="240" w:lineRule="auto"/>
                          <w:jc w:val="both"/>
                          <w:rPr>
                            <w:del w:id="721" w:author="Author"/>
                            <w:rFonts w:ascii="inherit" w:eastAsia="Times New Roman" w:hAnsi="inherit" w:cs="Times New Roman"/>
                            <w:lang w:eastAsia="en-GB"/>
                          </w:rPr>
                          <w:pPrChange w:id="722" w:author="Author">
                            <w:pPr>
                              <w:spacing w:before="60" w:after="60" w:line="240" w:lineRule="auto"/>
                            </w:pPr>
                          </w:pPrChange>
                        </w:pPr>
                        <w:del w:id="723" w:author="Author">
                          <w:r w:rsidRPr="003B7AE9" w:rsidDel="000F1BDB">
                            <w:rPr>
                              <w:rFonts w:ascii="inherit" w:eastAsia="Times New Roman" w:hAnsi="inherit" w:cs="Times New Roman"/>
                              <w:lang w:eastAsia="en-GB"/>
                            </w:rPr>
                            <w:delText>U</w:delText>
                          </w:r>
                          <w:r w:rsidRPr="003B7AE9" w:rsidDel="000F1BDB">
                            <w:rPr>
                              <w:rFonts w:ascii="inherit" w:eastAsia="Times New Roman" w:hAnsi="inherit" w:cs="Times New Roman"/>
                              <w:sz w:val="15"/>
                              <w:szCs w:val="15"/>
                              <w:vertAlign w:val="subscript"/>
                              <w:lang w:eastAsia="en-GB"/>
                            </w:rPr>
                            <w:delText>clear</w:delText>
                          </w:r>
                          <w:r w:rsidRPr="003B7AE9" w:rsidDel="000F1BDB">
                            <w:rPr>
                              <w:rFonts w:ascii="inherit" w:eastAsia="Times New Roman" w:hAnsi="inherit" w:cs="Times New Roman"/>
                              <w:lang w:eastAsia="en-GB"/>
                            </w:rPr>
                            <w:delText>:</w:delText>
                          </w:r>
                        </w:del>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29A63015" w:rsidR="003B7AE9" w:rsidRPr="003B7AE9" w:rsidDel="000F1BDB" w:rsidRDefault="003B7AE9" w:rsidP="0060282F">
                        <w:pPr>
                          <w:shd w:val="clear" w:color="auto" w:fill="FFFFFF" w:themeFill="background1"/>
                          <w:spacing w:before="120" w:after="0" w:line="240" w:lineRule="auto"/>
                          <w:jc w:val="both"/>
                          <w:rPr>
                            <w:del w:id="724" w:author="Author"/>
                            <w:rFonts w:ascii="inherit" w:eastAsia="Times New Roman" w:hAnsi="inherit" w:cs="Times New Roman"/>
                            <w:lang w:eastAsia="en-GB"/>
                          </w:rPr>
                          <w:pPrChange w:id="725" w:author="Author">
                            <w:pPr>
                              <w:spacing w:before="60" w:after="60" w:line="240" w:lineRule="auto"/>
                            </w:pPr>
                          </w:pPrChange>
                        </w:pPr>
                        <w:del w:id="726" w:author="Author">
                          <w:r w:rsidRPr="003B7AE9" w:rsidDel="000F1BDB">
                            <w:rPr>
                              <w:rFonts w:ascii="inherit" w:eastAsia="Times New Roman" w:hAnsi="inherit" w:cs="Times New Roman"/>
                              <w:lang w:eastAsia="en-GB"/>
                            </w:rPr>
                            <w:delText>U</w:delText>
                          </w:r>
                          <w:r w:rsidRPr="003B7AE9" w:rsidDel="000F1BDB">
                            <w:rPr>
                              <w:rFonts w:ascii="inherit" w:eastAsia="Times New Roman" w:hAnsi="inherit" w:cs="Times New Roman"/>
                              <w:sz w:val="15"/>
                              <w:szCs w:val="15"/>
                              <w:vertAlign w:val="subscript"/>
                              <w:lang w:eastAsia="en-GB"/>
                            </w:rPr>
                            <w:delText>ret</w:delText>
                          </w:r>
                          <w:r w:rsidRPr="003B7AE9" w:rsidDel="000F1BDB">
                            <w:rPr>
                              <w:rFonts w:ascii="inherit" w:eastAsia="Times New Roman" w:hAnsi="inherit" w:cs="Times New Roman"/>
                              <w:lang w:eastAsia="en-GB"/>
                            </w:rPr>
                            <w:delText>-0,15</w:delText>
                          </w:r>
                        </w:del>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6A57F109" w:rsidR="003B7AE9" w:rsidRPr="003B7AE9" w:rsidDel="000F1BDB" w:rsidRDefault="003B7AE9" w:rsidP="0060282F">
                        <w:pPr>
                          <w:shd w:val="clear" w:color="auto" w:fill="FFFFFF" w:themeFill="background1"/>
                          <w:spacing w:before="120" w:after="0" w:line="240" w:lineRule="auto"/>
                          <w:jc w:val="both"/>
                          <w:rPr>
                            <w:del w:id="727" w:author="Author"/>
                            <w:rFonts w:ascii="inherit" w:eastAsia="Times New Roman" w:hAnsi="inherit" w:cs="Times New Roman"/>
                            <w:lang w:eastAsia="en-GB"/>
                          </w:rPr>
                          <w:pPrChange w:id="728" w:author="Author">
                            <w:pPr>
                              <w:spacing w:before="60" w:after="60" w:line="240" w:lineRule="auto"/>
                            </w:pPr>
                          </w:pPrChange>
                        </w:pPr>
                        <w:del w:id="729" w:author="Author">
                          <w:r w:rsidRPr="003B7AE9" w:rsidDel="000F1BDB">
                            <w:rPr>
                              <w:rFonts w:ascii="inherit" w:eastAsia="Times New Roman" w:hAnsi="inherit" w:cs="Times New Roman"/>
                              <w:lang w:eastAsia="en-GB"/>
                            </w:rPr>
                            <w:delText>t</w:delText>
                          </w:r>
                          <w:r w:rsidRPr="003B7AE9" w:rsidDel="000F1BDB">
                            <w:rPr>
                              <w:rFonts w:ascii="inherit" w:eastAsia="Times New Roman" w:hAnsi="inherit" w:cs="Times New Roman"/>
                              <w:sz w:val="15"/>
                              <w:szCs w:val="15"/>
                              <w:vertAlign w:val="subscript"/>
                              <w:lang w:eastAsia="en-GB"/>
                            </w:rPr>
                            <w:delText>rec1</w:delText>
                          </w:r>
                          <w:r w:rsidRPr="003B7AE9" w:rsidDel="000F1BDB">
                            <w:rPr>
                              <w:rFonts w:ascii="inherit" w:eastAsia="Times New Roman" w:hAnsi="inherit" w:cs="Times New Roman"/>
                              <w:lang w:eastAsia="en-GB"/>
                            </w:rPr>
                            <w:delText>:</w:delText>
                          </w:r>
                        </w:del>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1C9524F1" w:rsidR="003B7AE9" w:rsidRPr="003B7AE9" w:rsidDel="000F1BDB" w:rsidRDefault="003B7AE9" w:rsidP="0060282F">
                        <w:pPr>
                          <w:shd w:val="clear" w:color="auto" w:fill="FFFFFF" w:themeFill="background1"/>
                          <w:spacing w:before="120" w:after="0" w:line="240" w:lineRule="auto"/>
                          <w:jc w:val="both"/>
                          <w:rPr>
                            <w:del w:id="730" w:author="Author"/>
                            <w:rFonts w:ascii="inherit" w:eastAsia="Times New Roman" w:hAnsi="inherit" w:cs="Times New Roman"/>
                            <w:lang w:eastAsia="en-GB"/>
                          </w:rPr>
                          <w:pPrChange w:id="731" w:author="Author">
                            <w:pPr>
                              <w:spacing w:before="60" w:after="60" w:line="240" w:lineRule="auto"/>
                            </w:pPr>
                          </w:pPrChange>
                        </w:pPr>
                        <w:del w:id="732" w:author="Author">
                          <w:r w:rsidRPr="003B7AE9" w:rsidDel="000F1BDB">
                            <w:rPr>
                              <w:rFonts w:ascii="inherit" w:eastAsia="Times New Roman" w:hAnsi="inherit" w:cs="Times New Roman"/>
                              <w:lang w:eastAsia="en-GB"/>
                            </w:rPr>
                            <w:delText>t</w:delText>
                          </w:r>
                          <w:r w:rsidRPr="003B7AE9" w:rsidDel="000F1BDB">
                            <w:rPr>
                              <w:rFonts w:ascii="inherit" w:eastAsia="Times New Roman" w:hAnsi="inherit" w:cs="Times New Roman"/>
                              <w:sz w:val="15"/>
                              <w:szCs w:val="15"/>
                              <w:vertAlign w:val="subscript"/>
                              <w:lang w:eastAsia="en-GB"/>
                            </w:rPr>
                            <w:delText>clear</w:delText>
                          </w:r>
                        </w:del>
                      </w:p>
                    </w:tc>
                  </w:tr>
                  <w:tr w:rsidR="00E1013D" w:rsidRPr="003B7AE9" w:rsidDel="000F1BDB" w14:paraId="0930456D" w14:textId="070B280D" w:rsidTr="00E1013D">
                    <w:trPr>
                      <w:del w:id="733" w:author="Author"/>
                    </w:trPr>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51333452" w:rsidR="003B7AE9" w:rsidRPr="003B7AE9" w:rsidDel="000F1BDB" w:rsidRDefault="003B7AE9" w:rsidP="0060282F">
                        <w:pPr>
                          <w:shd w:val="clear" w:color="auto" w:fill="FFFFFF" w:themeFill="background1"/>
                          <w:spacing w:before="120" w:after="0" w:line="240" w:lineRule="auto"/>
                          <w:jc w:val="both"/>
                          <w:rPr>
                            <w:del w:id="734" w:author="Author"/>
                            <w:rFonts w:ascii="inherit" w:eastAsia="Times New Roman" w:hAnsi="inherit" w:cs="Times New Roman"/>
                            <w:lang w:eastAsia="en-GB"/>
                          </w:rPr>
                          <w:pPrChange w:id="735" w:author="Author">
                            <w:pPr>
                              <w:spacing w:before="60" w:after="60" w:line="240" w:lineRule="auto"/>
                            </w:pPr>
                          </w:pPrChange>
                        </w:pPr>
                        <w:del w:id="736" w:author="Author">
                          <w:r w:rsidRPr="003B7AE9" w:rsidDel="000F1BDB">
                            <w:rPr>
                              <w:rFonts w:ascii="inherit" w:eastAsia="Times New Roman" w:hAnsi="inherit" w:cs="Times New Roman"/>
                              <w:lang w:eastAsia="en-GB"/>
                            </w:rPr>
                            <w:delText>U</w:delText>
                          </w:r>
                          <w:r w:rsidRPr="003B7AE9" w:rsidDel="000F1BDB">
                            <w:rPr>
                              <w:rFonts w:ascii="inherit" w:eastAsia="Times New Roman" w:hAnsi="inherit" w:cs="Times New Roman"/>
                              <w:sz w:val="15"/>
                              <w:szCs w:val="15"/>
                              <w:vertAlign w:val="subscript"/>
                              <w:lang w:eastAsia="en-GB"/>
                            </w:rPr>
                            <w:delText>rec1</w:delText>
                          </w:r>
                          <w:r w:rsidRPr="003B7AE9" w:rsidDel="000F1BDB">
                            <w:rPr>
                              <w:rFonts w:ascii="inherit" w:eastAsia="Times New Roman" w:hAnsi="inherit" w:cs="Times New Roman"/>
                              <w:lang w:eastAsia="en-GB"/>
                            </w:rPr>
                            <w:delText>:</w:delText>
                          </w:r>
                        </w:del>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6445F9E1" w:rsidR="003B7AE9" w:rsidRPr="003B7AE9" w:rsidDel="000F1BDB" w:rsidRDefault="003B7AE9" w:rsidP="0060282F">
                        <w:pPr>
                          <w:shd w:val="clear" w:color="auto" w:fill="FFFFFF" w:themeFill="background1"/>
                          <w:spacing w:before="120" w:after="0" w:line="240" w:lineRule="auto"/>
                          <w:jc w:val="both"/>
                          <w:rPr>
                            <w:del w:id="737" w:author="Author"/>
                            <w:rFonts w:ascii="inherit" w:eastAsia="Times New Roman" w:hAnsi="inherit" w:cs="Times New Roman"/>
                            <w:lang w:eastAsia="en-GB"/>
                          </w:rPr>
                          <w:pPrChange w:id="738" w:author="Author">
                            <w:pPr>
                              <w:spacing w:before="60" w:after="60" w:line="240" w:lineRule="auto"/>
                            </w:pPr>
                          </w:pPrChange>
                        </w:pPr>
                        <w:del w:id="739" w:author="Author">
                          <w:r w:rsidRPr="003B7AE9" w:rsidDel="000F1BDB">
                            <w:rPr>
                              <w:rFonts w:ascii="inherit" w:eastAsia="Times New Roman" w:hAnsi="inherit" w:cs="Times New Roman"/>
                              <w:lang w:eastAsia="en-GB"/>
                            </w:rPr>
                            <w:delText>U</w:delText>
                          </w:r>
                          <w:r w:rsidRPr="003B7AE9" w:rsidDel="000F1BDB">
                            <w:rPr>
                              <w:rFonts w:ascii="inherit" w:eastAsia="Times New Roman" w:hAnsi="inherit" w:cs="Times New Roman"/>
                              <w:sz w:val="15"/>
                              <w:szCs w:val="15"/>
                              <w:vertAlign w:val="subscript"/>
                              <w:lang w:eastAsia="en-GB"/>
                            </w:rPr>
                            <w:delText>clear</w:delText>
                          </w:r>
                        </w:del>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5C1A041F" w:rsidR="003B7AE9" w:rsidRPr="003B7AE9" w:rsidDel="000F1BDB" w:rsidRDefault="003B7AE9" w:rsidP="0060282F">
                        <w:pPr>
                          <w:shd w:val="clear" w:color="auto" w:fill="FFFFFF" w:themeFill="background1"/>
                          <w:spacing w:before="120" w:after="0" w:line="240" w:lineRule="auto"/>
                          <w:jc w:val="both"/>
                          <w:rPr>
                            <w:del w:id="740" w:author="Author"/>
                            <w:rFonts w:ascii="inherit" w:eastAsia="Times New Roman" w:hAnsi="inherit" w:cs="Times New Roman"/>
                            <w:lang w:eastAsia="en-GB"/>
                          </w:rPr>
                          <w:pPrChange w:id="741" w:author="Author">
                            <w:pPr>
                              <w:spacing w:before="60" w:after="60" w:line="240" w:lineRule="auto"/>
                            </w:pPr>
                          </w:pPrChange>
                        </w:pPr>
                        <w:del w:id="742" w:author="Author">
                          <w:r w:rsidRPr="003B7AE9" w:rsidDel="000F1BDB">
                            <w:rPr>
                              <w:rFonts w:ascii="inherit" w:eastAsia="Times New Roman" w:hAnsi="inherit" w:cs="Times New Roman"/>
                              <w:lang w:eastAsia="en-GB"/>
                            </w:rPr>
                            <w:delText>t</w:delText>
                          </w:r>
                          <w:r w:rsidRPr="003B7AE9" w:rsidDel="000F1BDB">
                            <w:rPr>
                              <w:rFonts w:ascii="inherit" w:eastAsia="Times New Roman" w:hAnsi="inherit" w:cs="Times New Roman"/>
                              <w:sz w:val="15"/>
                              <w:szCs w:val="15"/>
                              <w:vertAlign w:val="subscript"/>
                              <w:lang w:eastAsia="en-GB"/>
                            </w:rPr>
                            <w:delText>rec2</w:delText>
                          </w:r>
                          <w:r w:rsidRPr="003B7AE9" w:rsidDel="000F1BDB">
                            <w:rPr>
                              <w:rFonts w:ascii="inherit" w:eastAsia="Times New Roman" w:hAnsi="inherit" w:cs="Times New Roman"/>
                              <w:lang w:eastAsia="en-GB"/>
                            </w:rPr>
                            <w:delText>:</w:delText>
                          </w:r>
                        </w:del>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4B0B2EB1" w:rsidR="003B7AE9" w:rsidRPr="003B7AE9" w:rsidDel="000F1BDB" w:rsidRDefault="003B7AE9" w:rsidP="0060282F">
                        <w:pPr>
                          <w:shd w:val="clear" w:color="auto" w:fill="FFFFFF" w:themeFill="background1"/>
                          <w:spacing w:before="120" w:after="0" w:line="240" w:lineRule="auto"/>
                          <w:jc w:val="both"/>
                          <w:rPr>
                            <w:del w:id="743" w:author="Author"/>
                            <w:rFonts w:ascii="inherit" w:eastAsia="Times New Roman" w:hAnsi="inherit" w:cs="Times New Roman"/>
                            <w:lang w:eastAsia="en-GB"/>
                          </w:rPr>
                          <w:pPrChange w:id="744" w:author="Author">
                            <w:pPr>
                              <w:spacing w:before="60" w:after="60" w:line="240" w:lineRule="auto"/>
                            </w:pPr>
                          </w:pPrChange>
                        </w:pPr>
                        <w:del w:id="745" w:author="Author">
                          <w:r w:rsidRPr="003B7AE9" w:rsidDel="000F1BDB">
                            <w:rPr>
                              <w:rFonts w:ascii="inherit" w:eastAsia="Times New Roman" w:hAnsi="inherit" w:cs="Times New Roman"/>
                              <w:lang w:eastAsia="en-GB"/>
                            </w:rPr>
                            <w:delText>t</w:delText>
                          </w:r>
                          <w:r w:rsidRPr="003B7AE9" w:rsidDel="000F1BDB">
                            <w:rPr>
                              <w:rFonts w:ascii="inherit" w:eastAsia="Times New Roman" w:hAnsi="inherit" w:cs="Times New Roman"/>
                              <w:sz w:val="15"/>
                              <w:szCs w:val="15"/>
                              <w:vertAlign w:val="subscript"/>
                              <w:lang w:eastAsia="en-GB"/>
                            </w:rPr>
                            <w:delText>rec1</w:delText>
                          </w:r>
                        </w:del>
                      </w:p>
                    </w:tc>
                  </w:tr>
                  <w:tr w:rsidR="00E1013D" w:rsidRPr="003B7AE9" w:rsidDel="000F1BDB" w14:paraId="1B56E888" w14:textId="05244D51" w:rsidTr="00E1013D">
                    <w:trPr>
                      <w:del w:id="746" w:author="Author"/>
                    </w:trPr>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3CF2EF47" w:rsidR="003B7AE9" w:rsidRPr="003B7AE9" w:rsidDel="000F1BDB" w:rsidRDefault="003B7AE9" w:rsidP="0060282F">
                        <w:pPr>
                          <w:shd w:val="clear" w:color="auto" w:fill="FFFFFF" w:themeFill="background1"/>
                          <w:spacing w:before="120" w:after="0" w:line="240" w:lineRule="auto"/>
                          <w:jc w:val="both"/>
                          <w:rPr>
                            <w:del w:id="747" w:author="Author"/>
                            <w:rFonts w:ascii="inherit" w:eastAsia="Times New Roman" w:hAnsi="inherit" w:cs="Times New Roman"/>
                            <w:lang w:eastAsia="en-GB"/>
                          </w:rPr>
                          <w:pPrChange w:id="748" w:author="Author">
                            <w:pPr>
                              <w:spacing w:before="60" w:after="60" w:line="240" w:lineRule="auto"/>
                            </w:pPr>
                          </w:pPrChange>
                        </w:pPr>
                        <w:del w:id="749" w:author="Author">
                          <w:r w:rsidRPr="003B7AE9" w:rsidDel="000F1BDB">
                            <w:rPr>
                              <w:rFonts w:ascii="inherit" w:eastAsia="Times New Roman" w:hAnsi="inherit" w:cs="Times New Roman"/>
                              <w:lang w:eastAsia="en-GB"/>
                            </w:rPr>
                            <w:delText>U</w:delText>
                          </w:r>
                          <w:r w:rsidRPr="003B7AE9" w:rsidDel="000F1BDB">
                            <w:rPr>
                              <w:rFonts w:ascii="inherit" w:eastAsia="Times New Roman" w:hAnsi="inherit" w:cs="Times New Roman"/>
                              <w:sz w:val="15"/>
                              <w:szCs w:val="15"/>
                              <w:vertAlign w:val="subscript"/>
                              <w:lang w:eastAsia="en-GB"/>
                            </w:rPr>
                            <w:delText>rec2</w:delText>
                          </w:r>
                          <w:r w:rsidRPr="003B7AE9" w:rsidDel="000F1BDB">
                            <w:rPr>
                              <w:rFonts w:ascii="inherit" w:eastAsia="Times New Roman" w:hAnsi="inherit" w:cs="Times New Roman"/>
                              <w:lang w:eastAsia="en-GB"/>
                            </w:rPr>
                            <w:delText>:</w:delText>
                          </w:r>
                        </w:del>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6F8D6AC" w:rsidR="003B7AE9" w:rsidRPr="003B7AE9" w:rsidDel="000F1BDB" w:rsidRDefault="003B7AE9" w:rsidP="0060282F">
                        <w:pPr>
                          <w:shd w:val="clear" w:color="auto" w:fill="FFFFFF" w:themeFill="background1"/>
                          <w:spacing w:before="120" w:after="0" w:line="240" w:lineRule="auto"/>
                          <w:jc w:val="both"/>
                          <w:rPr>
                            <w:del w:id="750" w:author="Author"/>
                            <w:rFonts w:ascii="inherit" w:eastAsia="Times New Roman" w:hAnsi="inherit" w:cs="Times New Roman"/>
                            <w:lang w:eastAsia="en-GB"/>
                          </w:rPr>
                          <w:pPrChange w:id="751" w:author="Author">
                            <w:pPr>
                              <w:spacing w:before="60" w:after="60" w:line="240" w:lineRule="auto"/>
                            </w:pPr>
                          </w:pPrChange>
                        </w:pPr>
                        <w:del w:id="752" w:author="Author">
                          <w:r w:rsidRPr="003B7AE9" w:rsidDel="000F1BDB">
                            <w:rPr>
                              <w:rFonts w:ascii="inherit" w:eastAsia="Times New Roman" w:hAnsi="inherit" w:cs="Times New Roman"/>
                              <w:lang w:eastAsia="en-GB"/>
                            </w:rPr>
                            <w:delText>0,85</w:delText>
                          </w:r>
                        </w:del>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2ECA0DF6" w:rsidR="003B7AE9" w:rsidRPr="003B7AE9" w:rsidDel="000F1BDB" w:rsidRDefault="003B7AE9" w:rsidP="0060282F">
                        <w:pPr>
                          <w:shd w:val="clear" w:color="auto" w:fill="FFFFFF" w:themeFill="background1"/>
                          <w:spacing w:before="120" w:after="0" w:line="240" w:lineRule="auto"/>
                          <w:jc w:val="both"/>
                          <w:rPr>
                            <w:del w:id="753" w:author="Author"/>
                            <w:rFonts w:ascii="inherit" w:eastAsia="Times New Roman" w:hAnsi="inherit" w:cs="Times New Roman"/>
                            <w:lang w:eastAsia="en-GB"/>
                          </w:rPr>
                          <w:pPrChange w:id="754" w:author="Author">
                            <w:pPr>
                              <w:spacing w:before="60" w:after="60" w:line="240" w:lineRule="auto"/>
                            </w:pPr>
                          </w:pPrChange>
                        </w:pPr>
                        <w:del w:id="755" w:author="Author">
                          <w:r w:rsidRPr="003B7AE9" w:rsidDel="000F1BDB">
                            <w:rPr>
                              <w:rFonts w:ascii="inherit" w:eastAsia="Times New Roman" w:hAnsi="inherit" w:cs="Times New Roman"/>
                              <w:lang w:eastAsia="en-GB"/>
                            </w:rPr>
                            <w:delText>t</w:delText>
                          </w:r>
                          <w:r w:rsidRPr="003B7AE9" w:rsidDel="000F1BDB">
                            <w:rPr>
                              <w:rFonts w:ascii="inherit" w:eastAsia="Times New Roman" w:hAnsi="inherit" w:cs="Times New Roman"/>
                              <w:sz w:val="15"/>
                              <w:szCs w:val="15"/>
                              <w:vertAlign w:val="subscript"/>
                              <w:lang w:eastAsia="en-GB"/>
                            </w:rPr>
                            <w:delText>rec3</w:delText>
                          </w:r>
                          <w:r w:rsidRPr="003B7AE9" w:rsidDel="000F1BDB">
                            <w:rPr>
                              <w:rFonts w:ascii="inherit" w:eastAsia="Times New Roman" w:hAnsi="inherit" w:cs="Times New Roman"/>
                              <w:lang w:eastAsia="en-GB"/>
                            </w:rPr>
                            <w:delText>:</w:delText>
                          </w:r>
                        </w:del>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826D773" w:rsidR="003B7AE9" w:rsidRPr="003B7AE9" w:rsidDel="000F1BDB" w:rsidRDefault="003B7AE9" w:rsidP="0060282F">
                        <w:pPr>
                          <w:shd w:val="clear" w:color="auto" w:fill="FFFFFF" w:themeFill="background1"/>
                          <w:spacing w:before="120" w:after="0" w:line="240" w:lineRule="auto"/>
                          <w:jc w:val="both"/>
                          <w:rPr>
                            <w:del w:id="756" w:author="Author"/>
                            <w:rFonts w:ascii="inherit" w:eastAsia="Times New Roman" w:hAnsi="inherit" w:cs="Times New Roman"/>
                            <w:lang w:eastAsia="en-GB"/>
                          </w:rPr>
                          <w:pPrChange w:id="757" w:author="Author">
                            <w:pPr>
                              <w:spacing w:before="60" w:after="60" w:line="240" w:lineRule="auto"/>
                            </w:pPr>
                          </w:pPrChange>
                        </w:pPr>
                        <w:del w:id="758" w:author="Author">
                          <w:r w:rsidRPr="003B7AE9" w:rsidDel="000F1BDB">
                            <w:rPr>
                              <w:rFonts w:ascii="inherit" w:eastAsia="Times New Roman" w:hAnsi="inherit" w:cs="Times New Roman"/>
                              <w:lang w:eastAsia="en-GB"/>
                            </w:rPr>
                            <w:delText>1,5-3,0</w:delText>
                          </w:r>
                        </w:del>
                      </w:p>
                    </w:tc>
                  </w:tr>
                </w:tbl>
                <w:p w14:paraId="702365A5" w14:textId="5CB6DDB0" w:rsidR="003B7AE9" w:rsidRPr="003B7AE9" w:rsidDel="000F1BDB" w:rsidRDefault="003B7AE9" w:rsidP="0060282F">
                  <w:pPr>
                    <w:shd w:val="clear" w:color="auto" w:fill="FFFFFF" w:themeFill="background1"/>
                    <w:spacing w:before="120" w:after="0" w:line="240" w:lineRule="auto"/>
                    <w:jc w:val="both"/>
                    <w:rPr>
                      <w:del w:id="759" w:author="Author"/>
                      <w:rFonts w:ascii="inherit" w:eastAsia="Times New Roman" w:hAnsi="inherit" w:cs="Times New Roman"/>
                      <w:sz w:val="24"/>
                      <w:szCs w:val="24"/>
                      <w:lang w:eastAsia="en-GB"/>
                    </w:rPr>
                    <w:pPrChange w:id="760" w:author="Author">
                      <w:pPr>
                        <w:spacing w:after="0" w:line="240" w:lineRule="auto"/>
                      </w:pPr>
                    </w:pPrChange>
                  </w:pPr>
                </w:p>
              </w:tc>
            </w:tr>
          </w:tbl>
          <w:p w14:paraId="19F7B99B" w14:textId="7BD07020" w:rsidR="003B7AE9" w:rsidRPr="003B7AE9" w:rsidDel="000F1BDB" w:rsidRDefault="003B7AE9" w:rsidP="0060282F">
            <w:pPr>
              <w:shd w:val="clear" w:color="auto" w:fill="FFFFFF" w:themeFill="background1"/>
              <w:spacing w:before="120" w:after="0" w:line="240" w:lineRule="auto"/>
              <w:jc w:val="both"/>
              <w:rPr>
                <w:del w:id="761" w:author="Author"/>
                <w:rFonts w:ascii="inherit" w:eastAsia="Times New Roman" w:hAnsi="inherit" w:cs="Times New Roman"/>
                <w:vanish/>
                <w:sz w:val="24"/>
                <w:szCs w:val="24"/>
                <w:lang w:eastAsia="en-GB"/>
              </w:rPr>
              <w:pPrChange w:id="762" w:author="Author">
                <w:pPr>
                  <w:spacing w:after="0" w:line="240" w:lineRule="auto"/>
                </w:pPr>
              </w:pPrChange>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rsidDel="000F1BDB" w14:paraId="43F3CE7D" w14:textId="702B3BCA">
              <w:trPr>
                <w:del w:id="763" w:author="Author"/>
              </w:trPr>
              <w:tc>
                <w:tcPr>
                  <w:tcW w:w="0" w:type="auto"/>
                  <w:shd w:val="clear" w:color="auto" w:fill="auto"/>
                  <w:hideMark/>
                </w:tcPr>
                <w:p w14:paraId="4F98239C" w14:textId="3B37A721" w:rsidR="003B7AE9" w:rsidRPr="003B7AE9" w:rsidDel="000F1BDB" w:rsidRDefault="003B7AE9" w:rsidP="0060282F">
                  <w:pPr>
                    <w:shd w:val="clear" w:color="auto" w:fill="FFFFFF" w:themeFill="background1"/>
                    <w:spacing w:before="120" w:after="0" w:line="240" w:lineRule="auto"/>
                    <w:jc w:val="both"/>
                    <w:rPr>
                      <w:del w:id="764" w:author="Author"/>
                      <w:rFonts w:ascii="inherit" w:eastAsia="Times New Roman" w:hAnsi="inherit" w:cs="Times New Roman"/>
                      <w:sz w:val="24"/>
                      <w:szCs w:val="24"/>
                      <w:lang w:eastAsia="en-GB"/>
                    </w:rPr>
                    <w:pPrChange w:id="765" w:author="Author">
                      <w:pPr>
                        <w:spacing w:before="120" w:after="0" w:line="240" w:lineRule="auto"/>
                        <w:jc w:val="both"/>
                      </w:pPr>
                    </w:pPrChange>
                  </w:pPr>
                  <w:del w:id="766" w:author="Author">
                    <w:r w:rsidRPr="003B7AE9" w:rsidDel="000F1BDB">
                      <w:rPr>
                        <w:rFonts w:ascii="inherit" w:eastAsia="Times New Roman" w:hAnsi="inherit" w:cs="Times New Roman"/>
                        <w:sz w:val="24"/>
                        <w:szCs w:val="24"/>
                        <w:lang w:eastAsia="en-GB"/>
                      </w:rPr>
                      <w:lastRenderedPageBreak/>
                      <w:delText>(vi)</w:delText>
                    </w:r>
                  </w:del>
                </w:p>
              </w:tc>
              <w:tc>
                <w:tcPr>
                  <w:tcW w:w="0" w:type="auto"/>
                  <w:shd w:val="clear" w:color="auto" w:fill="auto"/>
                  <w:hideMark/>
                </w:tcPr>
                <w:p w14:paraId="1A9AE945" w14:textId="5375FB01" w:rsidR="003B7AE9" w:rsidRPr="003B7AE9" w:rsidDel="000F1BDB" w:rsidRDefault="003B7AE9" w:rsidP="0060282F">
                  <w:pPr>
                    <w:shd w:val="clear" w:color="auto" w:fill="FFFFFF" w:themeFill="background1"/>
                    <w:spacing w:before="120" w:after="0" w:line="240" w:lineRule="auto"/>
                    <w:jc w:val="both"/>
                    <w:rPr>
                      <w:del w:id="767" w:author="Author"/>
                      <w:rFonts w:ascii="inherit" w:eastAsia="Times New Roman" w:hAnsi="inherit" w:cs="Times New Roman"/>
                      <w:sz w:val="24"/>
                      <w:szCs w:val="24"/>
                      <w:lang w:eastAsia="en-GB"/>
                    </w:rPr>
                    <w:pPrChange w:id="768" w:author="Author">
                      <w:pPr>
                        <w:spacing w:before="120" w:after="0" w:line="240" w:lineRule="auto"/>
                        <w:jc w:val="both"/>
                      </w:pPr>
                    </w:pPrChange>
                  </w:pPr>
                  <w:del w:id="769" w:author="Author">
                    <w:r w:rsidRPr="003B7AE9" w:rsidDel="000F1BDB">
                      <w:rPr>
                        <w:rFonts w:ascii="inherit" w:eastAsia="Times New Roman" w:hAnsi="inherit" w:cs="Times New Roman"/>
                        <w:sz w:val="24"/>
                        <w:szCs w:val="24"/>
                        <w:lang w:eastAsia="en-GB"/>
                      </w:rPr>
                      <w:delTex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delText>
                    </w:r>
                  </w:del>
                </w:p>
              </w:tc>
            </w:tr>
          </w:tbl>
          <w:p w14:paraId="7B4563C1" w14:textId="45A199D6" w:rsidR="003B7AE9" w:rsidRPr="003B7AE9" w:rsidDel="000F1BDB" w:rsidRDefault="003B7AE9" w:rsidP="0060282F">
            <w:pPr>
              <w:shd w:val="clear" w:color="auto" w:fill="FFFFFF" w:themeFill="background1"/>
              <w:spacing w:before="120" w:after="0" w:line="240" w:lineRule="auto"/>
              <w:jc w:val="both"/>
              <w:rPr>
                <w:del w:id="770" w:author="Author"/>
                <w:rFonts w:ascii="inherit" w:eastAsia="Times New Roman" w:hAnsi="inherit" w:cs="Times New Roman"/>
                <w:vanish/>
                <w:sz w:val="24"/>
                <w:szCs w:val="24"/>
                <w:lang w:eastAsia="en-GB"/>
              </w:rPr>
              <w:pPrChange w:id="771" w:author="Author">
                <w:pPr>
                  <w:spacing w:after="0" w:line="240" w:lineRule="auto"/>
                </w:pPr>
              </w:pPrChange>
            </w:pPr>
          </w:p>
          <w:tbl>
            <w:tblPr>
              <w:tblW w:w="5000" w:type="pct"/>
              <w:tblCellMar>
                <w:left w:w="0" w:type="dxa"/>
                <w:right w:w="0" w:type="dxa"/>
              </w:tblCellMar>
              <w:tblLook w:val="04A0" w:firstRow="1" w:lastRow="0" w:firstColumn="1" w:lastColumn="0" w:noHBand="0" w:noVBand="1"/>
            </w:tblPr>
            <w:tblGrid>
              <w:gridCol w:w="438"/>
              <w:gridCol w:w="8287"/>
            </w:tblGrid>
            <w:tr w:rsidR="003B7AE9" w:rsidRPr="003B7AE9" w:rsidDel="000F1BDB" w14:paraId="1648BF51" w14:textId="113BA2A0">
              <w:trPr>
                <w:del w:id="772" w:author="Author"/>
              </w:trPr>
              <w:tc>
                <w:tcPr>
                  <w:tcW w:w="0" w:type="auto"/>
                  <w:shd w:val="clear" w:color="auto" w:fill="auto"/>
                  <w:hideMark/>
                </w:tcPr>
                <w:p w14:paraId="3010D4DB" w14:textId="45DC296C" w:rsidR="003B7AE9" w:rsidRPr="003B7AE9" w:rsidDel="000F1BDB" w:rsidRDefault="003B7AE9" w:rsidP="0060282F">
                  <w:pPr>
                    <w:shd w:val="clear" w:color="auto" w:fill="FFFFFF" w:themeFill="background1"/>
                    <w:spacing w:before="120" w:after="0" w:line="240" w:lineRule="auto"/>
                    <w:jc w:val="both"/>
                    <w:rPr>
                      <w:del w:id="773" w:author="Author"/>
                      <w:rFonts w:ascii="inherit" w:eastAsia="Times New Roman" w:hAnsi="inherit" w:cs="Times New Roman"/>
                      <w:sz w:val="24"/>
                      <w:szCs w:val="24"/>
                      <w:lang w:eastAsia="en-GB"/>
                    </w:rPr>
                    <w:pPrChange w:id="774" w:author="Author">
                      <w:pPr>
                        <w:spacing w:before="120" w:after="0" w:line="240" w:lineRule="auto"/>
                        <w:jc w:val="both"/>
                      </w:pPr>
                    </w:pPrChange>
                  </w:pPr>
                  <w:del w:id="775" w:author="Author">
                    <w:r w:rsidRPr="003B7AE9" w:rsidDel="000F1BDB">
                      <w:rPr>
                        <w:rFonts w:ascii="inherit" w:eastAsia="Times New Roman" w:hAnsi="inherit" w:cs="Times New Roman"/>
                        <w:sz w:val="24"/>
                        <w:szCs w:val="24"/>
                        <w:lang w:eastAsia="en-GB"/>
                      </w:rPr>
                      <w:delText>(vii)</w:delText>
                    </w:r>
                  </w:del>
                </w:p>
              </w:tc>
              <w:tc>
                <w:tcPr>
                  <w:tcW w:w="0" w:type="auto"/>
                  <w:shd w:val="clear" w:color="auto" w:fill="auto"/>
                  <w:hideMark/>
                </w:tcPr>
                <w:p w14:paraId="10C2A536" w14:textId="22221991" w:rsidR="003B7AE9" w:rsidRPr="003B7AE9" w:rsidDel="000F1BDB" w:rsidRDefault="003B7AE9" w:rsidP="0060282F">
                  <w:pPr>
                    <w:shd w:val="clear" w:color="auto" w:fill="FFFFFF" w:themeFill="background1"/>
                    <w:spacing w:before="120" w:after="0" w:line="240" w:lineRule="auto"/>
                    <w:jc w:val="both"/>
                    <w:rPr>
                      <w:del w:id="776" w:author="Author"/>
                      <w:rFonts w:ascii="inherit" w:eastAsia="Times New Roman" w:hAnsi="inherit" w:cs="Times New Roman"/>
                      <w:sz w:val="24"/>
                      <w:szCs w:val="24"/>
                      <w:lang w:eastAsia="en-GB"/>
                    </w:rPr>
                    <w:pPrChange w:id="777" w:author="Author">
                      <w:pPr>
                        <w:spacing w:before="120" w:after="0" w:line="240" w:lineRule="auto"/>
                        <w:jc w:val="both"/>
                      </w:pPr>
                    </w:pPrChange>
                  </w:pPr>
                  <w:del w:id="778" w:author="Author">
                    <w:r w:rsidRPr="003B7AE9" w:rsidDel="000F1BDB">
                      <w:rPr>
                        <w:rFonts w:ascii="inherit" w:eastAsia="Times New Roman" w:hAnsi="inherit" w:cs="Times New Roman"/>
                        <w:sz w:val="24"/>
                        <w:szCs w:val="24"/>
                        <w:lang w:eastAsia="en-GB"/>
                      </w:rPr>
                      <w:delText>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principle;</w:delText>
                    </w:r>
                  </w:del>
                </w:p>
              </w:tc>
            </w:tr>
          </w:tbl>
          <w:p w14:paraId="7FE050D3" w14:textId="37DA8A86" w:rsidR="003B7AE9" w:rsidRPr="003B7AE9" w:rsidDel="000F1BDB" w:rsidRDefault="003B7AE9" w:rsidP="0060282F">
            <w:pPr>
              <w:shd w:val="clear" w:color="auto" w:fill="FFFFFF" w:themeFill="background1"/>
              <w:spacing w:before="120" w:after="0" w:line="240" w:lineRule="auto"/>
              <w:jc w:val="both"/>
              <w:rPr>
                <w:del w:id="779" w:author="Author"/>
                <w:rFonts w:ascii="inherit" w:eastAsia="Times New Roman" w:hAnsi="inherit" w:cs="Times New Roman"/>
                <w:sz w:val="24"/>
                <w:szCs w:val="24"/>
                <w:lang w:eastAsia="en-GB"/>
              </w:rPr>
              <w:pPrChange w:id="780" w:author="Author">
                <w:pPr>
                  <w:spacing w:after="0" w:line="240" w:lineRule="auto"/>
                </w:pPr>
              </w:pPrChange>
            </w:pPr>
          </w:p>
        </w:tc>
      </w:tr>
    </w:tbl>
    <w:p w14:paraId="4E2520CA" w14:textId="45B14C31" w:rsidR="003B7AE9" w:rsidRPr="003B7AE9" w:rsidDel="00EC2DAE" w:rsidRDefault="003B7AE9" w:rsidP="0060282F">
      <w:pPr>
        <w:shd w:val="clear" w:color="auto" w:fill="FFFFFF" w:themeFill="background1"/>
        <w:spacing w:before="120" w:after="0" w:line="240" w:lineRule="auto"/>
        <w:jc w:val="both"/>
        <w:rPr>
          <w:del w:id="781" w:author="Author"/>
          <w:rFonts w:ascii="Times New Roman" w:eastAsia="Times New Roman" w:hAnsi="Times New Roman" w:cs="Times New Roman"/>
          <w:vanish/>
          <w:color w:val="000000"/>
          <w:sz w:val="24"/>
          <w:szCs w:val="24"/>
          <w:lang w:eastAsia="en-GB"/>
        </w:rPr>
        <w:pPrChange w:id="782" w:author="Author">
          <w:pPr>
            <w:shd w:val="clear" w:color="auto" w:fill="FFFFFF"/>
            <w:spacing w:after="0" w:line="240" w:lineRule="auto"/>
          </w:pPr>
        </w:pPrChange>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rsidDel="00EC2DAE" w14:paraId="76B52D3B" w14:textId="262EC862" w:rsidTr="003B7AE9">
        <w:trPr>
          <w:del w:id="783" w:author="Author"/>
        </w:trPr>
        <w:tc>
          <w:tcPr>
            <w:tcW w:w="0" w:type="auto"/>
            <w:shd w:val="clear" w:color="auto" w:fill="auto"/>
            <w:hideMark/>
          </w:tcPr>
          <w:p w14:paraId="0167B32A" w14:textId="4328B1B5" w:rsidR="003B7AE9" w:rsidRPr="003B7AE9" w:rsidDel="00EC2DAE" w:rsidRDefault="003B7AE9" w:rsidP="0060282F">
            <w:pPr>
              <w:shd w:val="clear" w:color="auto" w:fill="FFFFFF" w:themeFill="background1"/>
              <w:spacing w:before="120" w:after="0" w:line="240" w:lineRule="auto"/>
              <w:jc w:val="both"/>
              <w:rPr>
                <w:del w:id="784" w:author="Author"/>
                <w:rFonts w:ascii="inherit" w:eastAsia="Times New Roman" w:hAnsi="inherit" w:cs="Times New Roman"/>
                <w:sz w:val="24"/>
                <w:szCs w:val="24"/>
                <w:lang w:eastAsia="en-GB"/>
              </w:rPr>
              <w:pPrChange w:id="785" w:author="Author">
                <w:pPr>
                  <w:spacing w:before="120" w:after="0" w:line="240" w:lineRule="auto"/>
                  <w:jc w:val="both"/>
                </w:pPr>
              </w:pPrChange>
            </w:pPr>
            <w:del w:id="786" w:author="Author">
              <w:r w:rsidRPr="003B7AE9" w:rsidDel="00EC2DAE">
                <w:rPr>
                  <w:rFonts w:ascii="inherit" w:eastAsia="Times New Roman" w:hAnsi="inherit" w:cs="Times New Roman"/>
                  <w:sz w:val="24"/>
                  <w:szCs w:val="24"/>
                  <w:lang w:eastAsia="en-GB"/>
                </w:rPr>
                <w:delText>(b)</w:delText>
              </w:r>
            </w:del>
          </w:p>
        </w:tc>
        <w:tc>
          <w:tcPr>
            <w:tcW w:w="0" w:type="auto"/>
            <w:shd w:val="clear" w:color="auto" w:fill="auto"/>
            <w:hideMark/>
          </w:tcPr>
          <w:p w14:paraId="0250F434" w14:textId="39C3C379" w:rsidR="003B7AE9" w:rsidRPr="003B7AE9" w:rsidDel="00EC2DAE" w:rsidRDefault="003B7AE9" w:rsidP="0060282F">
            <w:pPr>
              <w:shd w:val="clear" w:color="auto" w:fill="FFFFFF" w:themeFill="background1"/>
              <w:spacing w:before="120" w:after="0" w:line="240" w:lineRule="auto"/>
              <w:jc w:val="both"/>
              <w:rPr>
                <w:del w:id="787" w:author="Author"/>
                <w:rFonts w:ascii="inherit" w:eastAsia="Times New Roman" w:hAnsi="inherit" w:cs="Times New Roman"/>
                <w:sz w:val="24"/>
                <w:szCs w:val="24"/>
                <w:lang w:eastAsia="en-GB"/>
              </w:rPr>
              <w:pPrChange w:id="788" w:author="Author">
                <w:pPr>
                  <w:spacing w:before="120" w:after="0" w:line="240" w:lineRule="auto"/>
                  <w:jc w:val="both"/>
                </w:pPr>
              </w:pPrChange>
            </w:pPr>
            <w:del w:id="789" w:author="Author">
              <w:r w:rsidRPr="003B7AE9" w:rsidDel="00EC2DAE">
                <w:rPr>
                  <w:rFonts w:ascii="inherit" w:eastAsia="Times New Roman" w:hAnsi="inherit" w:cs="Times New Roman"/>
                  <w:sz w:val="24"/>
                  <w:szCs w:val="24"/>
                  <w:lang w:eastAsia="en-GB"/>
                </w:rPr>
                <w:delText>fault-ride-through capabilities in case of asymmetrical faults shall be specified by each TSO.</w:delText>
              </w:r>
            </w:del>
          </w:p>
        </w:tc>
      </w:tr>
    </w:tbl>
    <w:p w14:paraId="1F951A92"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90" w:author="Author">
          <w:pPr>
            <w:shd w:val="clear" w:color="auto" w:fill="FFFFFF"/>
            <w:jc w:val="both"/>
          </w:pPr>
        </w:pPrChange>
      </w:pPr>
      <w:r w:rsidRPr="003B7AE9">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9D77B95" w14:textId="77777777" w:rsidTr="003B7AE9">
        <w:tc>
          <w:tcPr>
            <w:tcW w:w="0" w:type="auto"/>
            <w:shd w:val="clear" w:color="auto" w:fill="auto"/>
            <w:hideMark/>
          </w:tcPr>
          <w:p w14:paraId="36290E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0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1CEFA94" w14:textId="77777777" w:rsidTr="003B7AE9">
        <w:tc>
          <w:tcPr>
            <w:tcW w:w="0" w:type="auto"/>
            <w:shd w:val="clear" w:color="auto" w:fill="auto"/>
            <w:hideMark/>
          </w:tcPr>
          <w:p w14:paraId="62C5DD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91" w:author="Author">
          <w:pPr>
            <w:shd w:val="clear" w:color="auto" w:fill="FFFFFF"/>
            <w:jc w:val="both"/>
          </w:pPr>
        </w:pPrChange>
      </w:pPr>
      <w:r w:rsidRPr="003B7AE9">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F5415F" w14:textId="77777777" w:rsidTr="003B7AE9">
        <w:tc>
          <w:tcPr>
            <w:tcW w:w="0" w:type="auto"/>
            <w:shd w:val="clear" w:color="auto" w:fill="auto"/>
            <w:hideMark/>
          </w:tcPr>
          <w:p w14:paraId="5F8501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3FF1660" w14:textId="77777777">
              <w:tc>
                <w:tcPr>
                  <w:tcW w:w="0" w:type="auto"/>
                  <w:shd w:val="clear" w:color="auto" w:fill="auto"/>
                  <w:hideMark/>
                </w:tcPr>
                <w:p w14:paraId="0F1507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4D114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6924439B" w14:textId="77777777">
              <w:tc>
                <w:tcPr>
                  <w:tcW w:w="0" w:type="auto"/>
                  <w:shd w:val="clear" w:color="auto" w:fill="auto"/>
                  <w:hideMark/>
                </w:tcPr>
                <w:p w14:paraId="30F3DF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any changes to the schemes and settings, mentioned in point (i), of the different control devices of the power-generating module shall be coordinated and agreed between the relevant TSO, the relevant system operator and the power-generating facility owner, in particular if they apply in the circumstances referred to in point (i) of paragraph 5(a);</w:t>
                  </w:r>
                </w:p>
              </w:tc>
            </w:tr>
          </w:tbl>
          <w:p w14:paraId="2F427E5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9C98107" w14:textId="77777777" w:rsidTr="003B7AE9">
        <w:tc>
          <w:tcPr>
            <w:tcW w:w="0" w:type="auto"/>
            <w:shd w:val="clear" w:color="auto" w:fill="auto"/>
            <w:hideMark/>
          </w:tcPr>
          <w:p w14:paraId="0AD137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72209DD6" w14:textId="77777777">
              <w:tc>
                <w:tcPr>
                  <w:tcW w:w="0" w:type="auto"/>
                  <w:shd w:val="clear" w:color="auto" w:fill="auto"/>
                  <w:hideMark/>
                </w:tcPr>
                <w:p w14:paraId="449FF7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7DC8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w:t>
                  </w:r>
                  <w:r w:rsidRPr="003B7AE9">
                    <w:rPr>
                      <w:rFonts w:ascii="inherit" w:eastAsia="Times New Roman" w:hAnsi="inherit" w:cs="Times New Roman"/>
                      <w:sz w:val="24"/>
                      <w:szCs w:val="24"/>
                      <w:lang w:eastAsia="en-GB"/>
                    </w:rPr>
                    <w:lastRenderedPageBreak/>
                    <w:t>generating facility owner. The protection schemes and settings for internal electrical faults must not jeopardise the performance of a power-generating module, in line with the requirements set out in this Regulation;</w:t>
                  </w:r>
                </w:p>
              </w:tc>
            </w:tr>
          </w:tbl>
          <w:p w14:paraId="6854039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B997D1C" w14:textId="77777777">
              <w:tc>
                <w:tcPr>
                  <w:tcW w:w="0" w:type="auto"/>
                  <w:shd w:val="clear" w:color="auto" w:fill="auto"/>
                  <w:hideMark/>
                </w:tcPr>
                <w:p w14:paraId="7A19B0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68230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24B7BB0" w14:textId="77777777">
              <w:tc>
                <w:tcPr>
                  <w:tcW w:w="0" w:type="auto"/>
                  <w:shd w:val="clear" w:color="auto" w:fill="auto"/>
                  <w:hideMark/>
                </w:tcPr>
                <w:p w14:paraId="200AB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3B7AE9" w14:paraId="29BA5E9F" w14:textId="77777777">
                    <w:tc>
                      <w:tcPr>
                        <w:tcW w:w="0" w:type="auto"/>
                        <w:shd w:val="clear" w:color="auto" w:fill="auto"/>
                        <w:hideMark/>
                      </w:tcPr>
                      <w:p w14:paraId="2562C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87208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external and internal short circuit,</w:t>
                        </w:r>
                      </w:p>
                    </w:tc>
                  </w:tr>
                </w:tbl>
                <w:p w14:paraId="6DCCBA7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3B7AE9" w14:paraId="4F91998D" w14:textId="77777777">
                    <w:tc>
                      <w:tcPr>
                        <w:tcW w:w="0" w:type="auto"/>
                        <w:shd w:val="clear" w:color="auto" w:fill="auto"/>
                        <w:hideMark/>
                      </w:tcPr>
                      <w:p w14:paraId="621B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asymmetric load (negative phase sequence),</w:t>
                        </w:r>
                      </w:p>
                    </w:tc>
                  </w:tr>
                </w:tbl>
                <w:p w14:paraId="1FBC9A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3B7AE9" w14:paraId="16ED08B5" w14:textId="77777777">
                    <w:tc>
                      <w:tcPr>
                        <w:tcW w:w="0" w:type="auto"/>
                        <w:shd w:val="clear" w:color="auto" w:fill="auto"/>
                        <w:hideMark/>
                      </w:tcPr>
                      <w:p w14:paraId="2187B5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E3C35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and rotor overload,</w:t>
                        </w:r>
                      </w:p>
                    </w:tc>
                  </w:tr>
                </w:tbl>
                <w:p w14:paraId="1E73D24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3B7AE9" w14:paraId="66277A34" w14:textId="77777777">
                    <w:tc>
                      <w:tcPr>
                        <w:tcW w:w="0" w:type="auto"/>
                        <w:shd w:val="clear" w:color="auto" w:fill="auto"/>
                        <w:hideMark/>
                      </w:tcPr>
                      <w:p w14:paraId="5C57F0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A983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over-/underexcitation,</w:t>
                        </w:r>
                      </w:p>
                    </w:tc>
                  </w:tr>
                </w:tbl>
                <w:p w14:paraId="1388048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3B7AE9" w14:paraId="6F91CA8F" w14:textId="77777777">
                    <w:tc>
                      <w:tcPr>
                        <w:tcW w:w="0" w:type="auto"/>
                        <w:shd w:val="clear" w:color="auto" w:fill="auto"/>
                        <w:hideMark/>
                      </w:tcPr>
                      <w:p w14:paraId="64221D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DE70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connection point,</w:t>
                        </w:r>
                      </w:p>
                    </w:tc>
                  </w:tr>
                </w:tbl>
                <w:p w14:paraId="4714C64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3B7AE9" w14:paraId="1B45D37E" w14:textId="77777777">
                    <w:tc>
                      <w:tcPr>
                        <w:tcW w:w="0" w:type="auto"/>
                        <w:shd w:val="clear" w:color="auto" w:fill="auto"/>
                        <w:hideMark/>
                      </w:tcPr>
                      <w:p w14:paraId="0306CA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alternator terminals,</w:t>
                        </w:r>
                      </w:p>
                    </w:tc>
                  </w:tr>
                </w:tbl>
                <w:p w14:paraId="60CF4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3B7AE9" w14:paraId="28E50E29" w14:textId="77777777">
                    <w:tc>
                      <w:tcPr>
                        <w:tcW w:w="0" w:type="auto"/>
                        <w:shd w:val="clear" w:color="auto" w:fill="auto"/>
                        <w:hideMark/>
                      </w:tcPr>
                      <w:p w14:paraId="0B581D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inter-area oscillations,</w:t>
                        </w:r>
                      </w:p>
                    </w:tc>
                  </w:tr>
                </w:tbl>
                <w:p w14:paraId="765D0A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3B7AE9" w14:paraId="11D1E840" w14:textId="77777777">
                    <w:tc>
                      <w:tcPr>
                        <w:tcW w:w="0" w:type="auto"/>
                        <w:shd w:val="clear" w:color="auto" w:fill="auto"/>
                        <w:hideMark/>
                      </w:tcPr>
                      <w:p w14:paraId="6A75D3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inrush current,</w:t>
                        </w:r>
                      </w:p>
                    </w:tc>
                  </w:tr>
                </w:tbl>
                <w:p w14:paraId="3CC7A7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3B7AE9" w14:paraId="1FB040CB" w14:textId="77777777">
                    <w:tc>
                      <w:tcPr>
                        <w:tcW w:w="0" w:type="auto"/>
                        <w:shd w:val="clear" w:color="auto" w:fill="auto"/>
                        <w:hideMark/>
                      </w:tcPr>
                      <w:p w14:paraId="52685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7FD68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asynchronous operation (pole slip),</w:t>
                        </w:r>
                      </w:p>
                    </w:tc>
                  </w:tr>
                </w:tbl>
                <w:p w14:paraId="47B271A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3B7AE9" w14:paraId="6A5DB197" w14:textId="77777777">
                    <w:tc>
                      <w:tcPr>
                        <w:tcW w:w="0" w:type="auto"/>
                        <w:shd w:val="clear" w:color="auto" w:fill="auto"/>
                        <w:hideMark/>
                      </w:tcPr>
                      <w:p w14:paraId="23BEFF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15F26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against inadmissible shaft torsions (for example, subsynchronous resonance),</w:t>
                        </w:r>
                      </w:p>
                    </w:tc>
                  </w:tr>
                </w:tbl>
                <w:p w14:paraId="2772F0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3B7AE9" w14:paraId="2C1D5FA6" w14:textId="77777777">
                    <w:tc>
                      <w:tcPr>
                        <w:tcW w:w="0" w:type="auto"/>
                        <w:shd w:val="clear" w:color="auto" w:fill="auto"/>
                        <w:hideMark/>
                      </w:tcPr>
                      <w:p w14:paraId="7F7403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line protection,</w:t>
                        </w:r>
                      </w:p>
                    </w:tc>
                  </w:tr>
                </w:tbl>
                <w:p w14:paraId="7DEB202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3B7AE9" w14:paraId="38AEF6B9" w14:textId="77777777">
                    <w:tc>
                      <w:tcPr>
                        <w:tcW w:w="0" w:type="auto"/>
                        <w:shd w:val="clear" w:color="auto" w:fill="auto"/>
                        <w:hideMark/>
                      </w:tcPr>
                      <w:p w14:paraId="403D18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unit transformer protection,</w:t>
                        </w:r>
                      </w:p>
                    </w:tc>
                  </w:tr>
                </w:tbl>
                <w:p w14:paraId="2B3BF3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3B7AE9" w14:paraId="53BF728A" w14:textId="77777777">
                    <w:tc>
                      <w:tcPr>
                        <w:tcW w:w="0" w:type="auto"/>
                        <w:shd w:val="clear" w:color="auto" w:fill="auto"/>
                        <w:hideMark/>
                      </w:tcPr>
                      <w:p w14:paraId="35E5FE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back-up against protection and switchgear malfunction,</w:t>
                        </w:r>
                      </w:p>
                    </w:tc>
                  </w:tr>
                </w:tbl>
                <w:p w14:paraId="7299FB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B7AE9" w14:paraId="10BA86AF" w14:textId="77777777">
                    <w:tc>
                      <w:tcPr>
                        <w:tcW w:w="0" w:type="auto"/>
                        <w:shd w:val="clear" w:color="auto" w:fill="auto"/>
                        <w:hideMark/>
                      </w:tcPr>
                      <w:p w14:paraId="184BF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overfluxing (U/f),</w:t>
                        </w:r>
                      </w:p>
                    </w:tc>
                  </w:tr>
                </w:tbl>
                <w:p w14:paraId="5ECD9C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3B7AE9" w14:paraId="0ECA9021" w14:textId="77777777">
                    <w:tc>
                      <w:tcPr>
                        <w:tcW w:w="0" w:type="auto"/>
                        <w:shd w:val="clear" w:color="auto" w:fill="auto"/>
                        <w:hideMark/>
                      </w:tcPr>
                      <w:p w14:paraId="110CD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395A4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inverse power,</w:t>
                        </w:r>
                      </w:p>
                    </w:tc>
                  </w:tr>
                </w:tbl>
                <w:p w14:paraId="0C07FE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B7AE9" w14:paraId="4EBE7879" w14:textId="77777777">
                    <w:tc>
                      <w:tcPr>
                        <w:tcW w:w="0" w:type="auto"/>
                        <w:shd w:val="clear" w:color="auto" w:fill="auto"/>
                        <w:hideMark/>
                      </w:tcPr>
                      <w:p w14:paraId="29CAD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7C2096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B7AE9" w14:paraId="078E257B" w14:textId="77777777">
                    <w:tc>
                      <w:tcPr>
                        <w:tcW w:w="0" w:type="auto"/>
                        <w:shd w:val="clear" w:color="auto" w:fill="auto"/>
                        <w:hideMark/>
                      </w:tcPr>
                      <w:p w14:paraId="093486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neutral voltage displacement.</w:t>
                        </w:r>
                      </w:p>
                    </w:tc>
                  </w:tr>
                </w:tbl>
                <w:p w14:paraId="7340A6C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3C28732" w14:textId="77777777">
              <w:tc>
                <w:tcPr>
                  <w:tcW w:w="0" w:type="auto"/>
                  <w:shd w:val="clear" w:color="auto" w:fill="auto"/>
                  <w:hideMark/>
                </w:tcPr>
                <w:p w14:paraId="204D3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8183FD7" w14:textId="77777777" w:rsidTr="003B7AE9">
        <w:tc>
          <w:tcPr>
            <w:tcW w:w="0" w:type="auto"/>
            <w:shd w:val="clear" w:color="auto" w:fill="auto"/>
            <w:hideMark/>
          </w:tcPr>
          <w:p w14:paraId="624952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3B7AE9" w14:paraId="4B2156AC" w14:textId="77777777">
              <w:tc>
                <w:tcPr>
                  <w:tcW w:w="0" w:type="auto"/>
                  <w:shd w:val="clear" w:color="auto" w:fill="auto"/>
                  <w:hideMark/>
                </w:tcPr>
                <w:p w14:paraId="32EDBD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58219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and power-generating module protection;</w:t>
                  </w:r>
                </w:p>
              </w:tc>
            </w:tr>
          </w:tbl>
          <w:p w14:paraId="5906F27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B7AE9" w14:paraId="0A99B1EB" w14:textId="77777777">
              <w:tc>
                <w:tcPr>
                  <w:tcW w:w="0" w:type="auto"/>
                  <w:shd w:val="clear" w:color="auto" w:fill="auto"/>
                  <w:hideMark/>
                </w:tcPr>
                <w:p w14:paraId="7A912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454B437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B7AE9" w14:paraId="27566A45" w14:textId="77777777">
              <w:tc>
                <w:tcPr>
                  <w:tcW w:w="0" w:type="auto"/>
                  <w:shd w:val="clear" w:color="auto" w:fill="auto"/>
                  <w:hideMark/>
                </w:tcPr>
                <w:p w14:paraId="7367DD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39379C2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B7AE9" w14:paraId="62A1BC7D" w14:textId="77777777">
              <w:tc>
                <w:tcPr>
                  <w:tcW w:w="0" w:type="auto"/>
                  <w:shd w:val="clear" w:color="auto" w:fill="auto"/>
                  <w:hideMark/>
                </w:tcPr>
                <w:p w14:paraId="256D67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71C8F5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B7AE9" w14:paraId="351FD98E" w14:textId="77777777">
              <w:tc>
                <w:tcPr>
                  <w:tcW w:w="0" w:type="auto"/>
                  <w:shd w:val="clear" w:color="auto" w:fill="auto"/>
                  <w:hideMark/>
                </w:tcPr>
                <w:p w14:paraId="458F82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21E9F9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15EF4E" w14:textId="77777777" w:rsidTr="003B7AE9">
        <w:tc>
          <w:tcPr>
            <w:tcW w:w="0" w:type="auto"/>
            <w:shd w:val="clear" w:color="auto" w:fill="auto"/>
            <w:hideMark/>
          </w:tcPr>
          <w:p w14:paraId="0AA05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13F661E" w14:textId="77777777">
              <w:tc>
                <w:tcPr>
                  <w:tcW w:w="0" w:type="auto"/>
                  <w:shd w:val="clear" w:color="auto" w:fill="auto"/>
                  <w:hideMark/>
                </w:tcPr>
                <w:p w14:paraId="1FCA1D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27ED2F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26528F6F" w14:textId="77777777">
              <w:tc>
                <w:tcPr>
                  <w:tcW w:w="0" w:type="auto"/>
                  <w:shd w:val="clear" w:color="auto" w:fill="auto"/>
                  <w:hideMark/>
                </w:tcPr>
                <w:p w14:paraId="372AE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A76E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content of information exchanges including a precise list of data to be provided by the power-generating facility.</w:t>
                  </w:r>
                </w:p>
              </w:tc>
            </w:tr>
          </w:tbl>
          <w:p w14:paraId="48554A7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8A286C"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792" w:author="Author">
            <w:rPr/>
          </w:rPrChange>
        </w:rPr>
        <w:pPrChange w:id="793" w:author="Author">
          <w:pPr>
            <w:shd w:val="clear" w:color="auto" w:fill="FFFFFF"/>
            <w:jc w:val="center"/>
          </w:pPr>
        </w:pPrChange>
      </w:pPr>
      <w:r w:rsidRPr="2D4DAF54">
        <w:rPr>
          <w:rFonts w:ascii="inherit" w:eastAsia="Times New Roman" w:hAnsi="inherit" w:cs="Times New Roman"/>
          <w:i/>
          <w:iCs/>
          <w:color w:val="000000"/>
          <w:sz w:val="24"/>
          <w:szCs w:val="24"/>
          <w:lang w:eastAsia="en-GB"/>
        </w:rPr>
        <w:lastRenderedPageBreak/>
        <w:t>Article 15</w:t>
      </w:r>
    </w:p>
    <w:p w14:paraId="463DB411"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794" w:author="Author">
          <w:pPr>
            <w:shd w:val="clear" w:color="auto" w:fill="FFFFFF"/>
            <w:jc w:val="center"/>
          </w:pPr>
        </w:pPrChange>
      </w:pPr>
      <w:r w:rsidRPr="003B7AE9">
        <w:rPr>
          <w:rFonts w:ascii="inherit" w:eastAsia="Times New Roman" w:hAnsi="inherit" w:cs="Times New Roman"/>
          <w:b/>
          <w:bCs/>
          <w:color w:val="000000"/>
          <w:sz w:val="24"/>
          <w:szCs w:val="24"/>
          <w:lang w:eastAsia="en-GB"/>
        </w:rPr>
        <w:t>General requirements for type C power-generating modules</w:t>
      </w:r>
    </w:p>
    <w:p w14:paraId="4831BB2E"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95" w:author="Author">
          <w:pPr>
            <w:shd w:val="clear" w:color="auto" w:fill="FFFFFF"/>
            <w:jc w:val="both"/>
          </w:pPr>
        </w:pPrChange>
      </w:pPr>
      <w:r w:rsidRPr="003B7AE9">
        <w:rPr>
          <w:rFonts w:ascii="inherit" w:eastAsia="Times New Roman" w:hAnsi="inherit" w:cs="Times New Roman"/>
          <w:color w:val="000000"/>
          <w:sz w:val="24"/>
          <w:szCs w:val="24"/>
          <w:lang w:eastAsia="en-GB"/>
        </w:rPr>
        <w:t>1.   Type C power-generating modules shall fulfil the requirements laid down in Articles 13 and 14, except for Article 13(2)(b) and (6) and Article 14(2).</w:t>
      </w:r>
    </w:p>
    <w:p w14:paraId="36E6A6BB"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96" w:author="Author">
          <w:pPr>
            <w:shd w:val="clear" w:color="auto" w:fill="FFFFFF"/>
            <w:jc w:val="both"/>
          </w:pPr>
        </w:pPrChange>
      </w:pPr>
      <w:r w:rsidRPr="003B7AE9">
        <w:rPr>
          <w:rFonts w:ascii="inherit" w:eastAsia="Times New Roman" w:hAnsi="inherit" w:cs="Times New Roman"/>
          <w:color w:val="000000"/>
          <w:sz w:val="24"/>
          <w:szCs w:val="24"/>
          <w:lang w:eastAsia="en-GB"/>
        </w:rPr>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76F2B3C" w14:textId="77777777" w:rsidTr="003B7AE9">
        <w:tc>
          <w:tcPr>
            <w:tcW w:w="0" w:type="auto"/>
            <w:shd w:val="clear" w:color="auto" w:fill="auto"/>
            <w:hideMark/>
          </w:tcPr>
          <w:p w14:paraId="499737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7A1B43" w14:textId="77777777" w:rsidTr="003B7AE9">
        <w:tc>
          <w:tcPr>
            <w:tcW w:w="0" w:type="auto"/>
            <w:shd w:val="clear" w:color="auto" w:fill="auto"/>
            <w:hideMark/>
          </w:tcPr>
          <w:p w14:paraId="3B3D3C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manual local measures shall be allowed in cases where the automatic remote control devices are out of service.</w:t>
            </w:r>
          </w:p>
          <w:p w14:paraId="578C32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B22C02" w14:textId="77777777" w:rsidTr="003B7AE9">
        <w:tc>
          <w:tcPr>
            <w:tcW w:w="0" w:type="auto"/>
            <w:shd w:val="clear" w:color="auto" w:fill="auto"/>
            <w:hideMark/>
          </w:tcPr>
          <w:p w14:paraId="7A21E7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C8B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Article 13(2), the following requirements shall apply to type C power-generating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3431608" w14:textId="77777777">
              <w:tc>
                <w:tcPr>
                  <w:tcW w:w="0" w:type="auto"/>
                  <w:shd w:val="clear" w:color="auto" w:fill="auto"/>
                  <w:hideMark/>
                </w:tcPr>
                <w:p w14:paraId="0B354B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68DF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3B7AE9" w14:paraId="7780E68C" w14:textId="77777777">
                    <w:tc>
                      <w:tcPr>
                        <w:tcW w:w="0" w:type="auto"/>
                        <w:shd w:val="clear" w:color="auto" w:fill="auto"/>
                        <w:hideMark/>
                      </w:tcPr>
                      <w:p w14:paraId="5EE48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09537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specified by the TSO shall be between 49,8 Hz and 49,5 Hz inclusive,</w:t>
                        </w:r>
                      </w:p>
                    </w:tc>
                  </w:tr>
                </w:tbl>
                <w:p w14:paraId="271990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3B7AE9" w14:paraId="4631996E" w14:textId="77777777">
                    <w:tc>
                      <w:tcPr>
                        <w:tcW w:w="0" w:type="auto"/>
                        <w:shd w:val="clear" w:color="auto" w:fill="auto"/>
                        <w:hideMark/>
                      </w:tcPr>
                      <w:p w14:paraId="1ABFFB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273B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specified by the TSO shall be in the range 2-12 %.</w:t>
                        </w:r>
                      </w:p>
                    </w:tc>
                  </w:tr>
                </w:tbl>
                <w:p w14:paraId="77D7F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is represented graphically in Figure 4;</w:t>
                  </w:r>
                </w:p>
              </w:tc>
            </w:tr>
          </w:tbl>
          <w:p w14:paraId="2FB0FC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5FD4015A" w14:textId="77777777">
              <w:tc>
                <w:tcPr>
                  <w:tcW w:w="0" w:type="auto"/>
                  <w:shd w:val="clear" w:color="auto" w:fill="auto"/>
                  <w:hideMark/>
                </w:tcPr>
                <w:p w14:paraId="33C86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3B7AE9" w14:paraId="777A77FA" w14:textId="77777777">
                    <w:tc>
                      <w:tcPr>
                        <w:tcW w:w="0" w:type="auto"/>
                        <w:shd w:val="clear" w:color="auto" w:fill="auto"/>
                        <w:hideMark/>
                      </w:tcPr>
                      <w:p w14:paraId="649FE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ambient conditions when the response is to be triggered,</w:t>
                        </w:r>
                      </w:p>
                    </w:tc>
                  </w:tr>
                </w:tbl>
                <w:p w14:paraId="3059A6E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641C71BF" w14:textId="77777777">
                    <w:tc>
                      <w:tcPr>
                        <w:tcW w:w="0" w:type="auto"/>
                        <w:shd w:val="clear" w:color="auto" w:fill="auto"/>
                        <w:hideMark/>
                      </w:tcPr>
                      <w:p w14:paraId="7A65F5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69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operating conditions of the power-generating module, in particular limitations on operation near maximum capacity at low frequencies and the </w:t>
                        </w:r>
                        <w:r w:rsidRPr="003B7AE9">
                          <w:rPr>
                            <w:rFonts w:ascii="inherit" w:eastAsia="Times New Roman" w:hAnsi="inherit" w:cs="Times New Roman"/>
                            <w:sz w:val="24"/>
                            <w:szCs w:val="24"/>
                            <w:lang w:eastAsia="en-GB"/>
                          </w:rPr>
                          <w:lastRenderedPageBreak/>
                          <w:t>respective impact of ambient conditions according to paragraphs 4 and 5 of Article 13, and</w:t>
                        </w:r>
                      </w:p>
                    </w:tc>
                  </w:tr>
                </w:tbl>
                <w:p w14:paraId="32449CE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3B7AE9" w14:paraId="1B82182C" w14:textId="77777777">
                    <w:tc>
                      <w:tcPr>
                        <w:tcW w:w="0" w:type="auto"/>
                        <w:shd w:val="clear" w:color="auto" w:fill="auto"/>
                        <w:hideMark/>
                      </w:tcPr>
                      <w:p w14:paraId="0D452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availability of the primary energy sources.</w:t>
                        </w:r>
                      </w:p>
                    </w:tc>
                  </w:tr>
                </w:tbl>
                <w:p w14:paraId="68E622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46B530C" w14:textId="77777777">
              <w:tc>
                <w:tcPr>
                  <w:tcW w:w="0" w:type="auto"/>
                  <w:shd w:val="clear" w:color="auto" w:fill="auto"/>
                  <w:hideMark/>
                </w:tcPr>
                <w:p w14:paraId="5D88C1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2821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p>
              </w:tc>
            </w:tr>
          </w:tbl>
          <w:p w14:paraId="145DBF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2DCDC0A4" w14:textId="77777777">
              <w:tc>
                <w:tcPr>
                  <w:tcW w:w="0" w:type="auto"/>
                  <w:shd w:val="clear" w:color="auto" w:fill="auto"/>
                  <w:hideMark/>
                </w:tcPr>
                <w:p w14:paraId="6B87E6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7B09E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583DFF42" w14:textId="77777777">
              <w:tc>
                <w:tcPr>
                  <w:tcW w:w="0" w:type="auto"/>
                  <w:shd w:val="clear" w:color="auto" w:fill="auto"/>
                  <w:hideMark/>
                </w:tcPr>
                <w:p w14:paraId="220161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9F7C6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stable operation of the power-generating module during LFSM-U operation shall be ensured;</w:t>
                  </w:r>
                </w:p>
                <w:p w14:paraId="2181D167"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4</w:t>
                  </w:r>
                </w:p>
                <w:p w14:paraId="0C4B1A5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LFSM-U</w:t>
                  </w:r>
                </w:p>
                <w:p w14:paraId="383D23E3"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1C9697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underfrequencies where Δf is below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positive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D765BF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7F5E5D" w14:textId="77777777" w:rsidTr="003B7AE9">
        <w:tc>
          <w:tcPr>
            <w:tcW w:w="0" w:type="auto"/>
            <w:shd w:val="clear" w:color="auto" w:fill="auto"/>
            <w:hideMark/>
          </w:tcPr>
          <w:p w14:paraId="67030A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AB6C1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7B7BE730" w14:textId="77777777">
              <w:tc>
                <w:tcPr>
                  <w:tcW w:w="0" w:type="auto"/>
                  <w:shd w:val="clear" w:color="auto" w:fill="auto"/>
                  <w:hideMark/>
                </w:tcPr>
                <w:p w14:paraId="5026F5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1A2EC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1D52B69A" w14:textId="77777777">
                    <w:tc>
                      <w:tcPr>
                        <w:tcW w:w="0" w:type="auto"/>
                        <w:shd w:val="clear" w:color="auto" w:fill="auto"/>
                        <w:hideMark/>
                      </w:tcPr>
                      <w:p w14:paraId="625DC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6E52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overfrequency, the active power frequency response is limited by the minimum regulating level,</w:t>
                        </w:r>
                      </w:p>
                    </w:tc>
                  </w:tr>
                </w:tbl>
                <w:p w14:paraId="0934054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1223CE3" w14:textId="77777777">
                    <w:tc>
                      <w:tcPr>
                        <w:tcW w:w="0" w:type="auto"/>
                        <w:shd w:val="clear" w:color="auto" w:fill="auto"/>
                        <w:hideMark/>
                      </w:tcPr>
                      <w:p w14:paraId="2BBADA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3A6E3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underfrequency, the active power frequency response is limited by maximum capacity,</w:t>
                        </w:r>
                      </w:p>
                    </w:tc>
                  </w:tr>
                </w:tbl>
                <w:p w14:paraId="09869B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E046796" w14:textId="77777777">
                    <w:tc>
                      <w:tcPr>
                        <w:tcW w:w="0" w:type="auto"/>
                        <w:shd w:val="clear" w:color="auto" w:fill="auto"/>
                        <w:hideMark/>
                      </w:tcPr>
                      <w:p w14:paraId="0C0FBD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DB31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depends on the operating and ambient conditions of the power-generating module when this response is triggered, in particular limitations on operation near maximum capacity at low frequencies according to paragraphs 4 and 5 of Article 13 and available primary energy sources;</w:t>
                        </w:r>
                      </w:p>
                    </w:tc>
                  </w:tr>
                </w:tbl>
                <w:p w14:paraId="4A06AD6C"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4</w:t>
                  </w:r>
                </w:p>
                <w:p w14:paraId="7D37F07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71"/>
                    <w:gridCol w:w="1008"/>
                    <w:gridCol w:w="1164"/>
                  </w:tblGrid>
                  <w:tr w:rsidR="003B7AE9" w:rsidRPr="003B7AE9"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w:t>
                        </w:r>
                      </w:p>
                    </w:tc>
                  </w:tr>
                  <w:tr w:rsidR="003B7AE9" w:rsidRPr="003B7AE9"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w:t>
                        </w:r>
                      </w:p>
                      <w:p w14:paraId="2353030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10-30 mHz</w:t>
                        </w:r>
                      </w:p>
                    </w:tc>
                  </w:tr>
                  <w:tr w:rsidR="003B7AE9" w:rsidRPr="003B7AE9"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3B7AE9" w:rsidRDefault="003B7AE9" w:rsidP="003B7AE9">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0,02-0,06 %</w:t>
                        </w:r>
                      </w:p>
                    </w:tc>
                  </w:tr>
                  <w:tr w:rsidR="003B7AE9" w:rsidRPr="003B7AE9"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deadband</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0-500 mHz</w:t>
                        </w:r>
                      </w:p>
                    </w:tc>
                  </w:tr>
                  <w:tr w:rsidR="003B7AE9" w:rsidRPr="003B7AE9"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Droop </w:t>
                        </w:r>
                        <w:r w:rsidRPr="003B7AE9">
                          <w:rPr>
                            <w:rFonts w:ascii="inherit" w:eastAsia="Times New Roman" w:hAnsi="inherit" w:cs="Times New Roman"/>
                            <w:i/>
                            <w:iCs/>
                            <w:lang w:eastAsia="en-GB"/>
                          </w:rPr>
                          <w:t>s</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2-12 %</w:t>
                        </w:r>
                      </w:p>
                    </w:tc>
                  </w:tr>
                </w:tbl>
                <w:p w14:paraId="60523F01"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5</w:t>
                  </w:r>
                </w:p>
                <w:p w14:paraId="4E47ED64"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FSM illustrating the case of zero deadband and insensitivity</w:t>
                  </w:r>
                </w:p>
                <w:p w14:paraId="386B01F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w:t>
                  </w:r>
                </w:p>
              </w:tc>
            </w:tr>
          </w:tbl>
          <w:p w14:paraId="5B61225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318D241B" w14:textId="77777777">
              <w:tc>
                <w:tcPr>
                  <w:tcW w:w="0" w:type="auto"/>
                  <w:shd w:val="clear" w:color="auto" w:fill="auto"/>
                  <w:hideMark/>
                </w:tcPr>
                <w:p w14:paraId="386F07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response deadband of frequency deviation and droop must be able to be reselected repeatedly;</w:t>
                  </w:r>
                </w:p>
              </w:tc>
            </w:tr>
          </w:tbl>
          <w:p w14:paraId="0EAEEC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2A7A392C" w14:textId="77777777">
              <w:tc>
                <w:tcPr>
                  <w:tcW w:w="0" w:type="auto"/>
                  <w:shd w:val="clear" w:color="auto" w:fill="auto"/>
                  <w:hideMark/>
                </w:tcPr>
                <w:p w14:paraId="67C09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3576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65B66B26" w14:textId="77777777">
              <w:tc>
                <w:tcPr>
                  <w:tcW w:w="0" w:type="auto"/>
                  <w:shd w:val="clear" w:color="auto" w:fill="auto"/>
                  <w:hideMark/>
                </w:tcPr>
                <w:p w14:paraId="6D344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activation of active power frequency response required shall not be unduly delayed.</w:t>
                  </w:r>
                </w:p>
                <w:p w14:paraId="52DC60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response;</w:t>
                  </w:r>
                </w:p>
                <w:p w14:paraId="1326093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6</w:t>
                  </w:r>
                </w:p>
                <w:p w14:paraId="353C6E5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w:t>
                  </w:r>
                </w:p>
                <w:p w14:paraId="6A6257B2"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P</w:t>
                  </w:r>
                  <w:r w:rsidRPr="003B7AE9">
                    <w:rPr>
                      <w:rFonts w:ascii="inherit" w:eastAsia="Times New Roman" w:hAnsi="inherit" w:cs="Times New Roman"/>
                      <w:i/>
                      <w:iCs/>
                      <w:sz w:val="17"/>
                      <w:szCs w:val="17"/>
                      <w:vertAlign w:val="subscript"/>
                      <w:lang w:eastAsia="en-GB"/>
                    </w:rPr>
                    <w:t>max</w:t>
                  </w:r>
                  <w:r w:rsidRPr="003B7AE9">
                    <w:rPr>
                      <w:rFonts w:ascii="inherit" w:eastAsia="Times New Roman" w:hAnsi="inherit" w:cs="Times New Roman"/>
                      <w:i/>
                      <w:iCs/>
                      <w:sz w:val="24"/>
                      <w:szCs w:val="24"/>
                      <w:lang w:eastAsia="en-GB"/>
                    </w:rPr>
                    <w:t> </w:t>
                  </w:r>
                  <w:r w:rsidRPr="003B7AE9">
                    <w:rPr>
                      <w:rFonts w:ascii="inherit" w:eastAsia="Times New Roman" w:hAnsi="inherit" w:cs="Times New Roman"/>
                      <w:sz w:val="24"/>
                      <w:szCs w:val="24"/>
                      <w:lang w:eastAsia="en-GB"/>
                    </w:rPr>
                    <w:t>is the maximum capacity to which Δ</w:t>
                  </w:r>
                  <w:r w:rsidRPr="003B7AE9">
                    <w:rPr>
                      <w:rFonts w:ascii="inherit" w:eastAsia="Times New Roman" w:hAnsi="inherit" w:cs="Times New Roman"/>
                      <w:i/>
                      <w:iCs/>
                      <w:sz w:val="24"/>
                      <w:szCs w:val="24"/>
                      <w:lang w:eastAsia="en-GB"/>
                    </w:rPr>
                    <w:t>Ρ</w:t>
                  </w:r>
                  <w:r w:rsidRPr="003B7AE9">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in accordance with the times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with the values of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being specified by the relevant TSO according to Table 5.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is the initial delay.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is the time for full activation.</w:t>
                  </w:r>
                </w:p>
              </w:tc>
            </w:tr>
          </w:tbl>
          <w:p w14:paraId="2239707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7FDCA8A3" w14:textId="77777777">
              <w:tc>
                <w:tcPr>
                  <w:tcW w:w="0" w:type="auto"/>
                  <w:shd w:val="clear" w:color="auto" w:fill="auto"/>
                  <w:hideMark/>
                </w:tcPr>
                <w:p w14:paraId="109D43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7C345C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full active power frequency response for a period of between 15 and 30 minutes as specified by the relevant TSO. In specifying the period, the TSO shall have regard to active power headroom and primary energy source of the power-generating module;</w:t>
                  </w:r>
                </w:p>
              </w:tc>
            </w:tr>
          </w:tbl>
          <w:p w14:paraId="4F3E61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73B4923D" w14:textId="77777777">
              <w:tc>
                <w:tcPr>
                  <w:tcW w:w="0" w:type="auto"/>
                  <w:shd w:val="clear" w:color="auto" w:fill="auto"/>
                  <w:hideMark/>
                </w:tcPr>
                <w:p w14:paraId="2728FE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38F6D2F" w14:textId="77777777">
              <w:tc>
                <w:tcPr>
                  <w:tcW w:w="0" w:type="auto"/>
                  <w:shd w:val="clear" w:color="auto" w:fill="auto"/>
                  <w:hideMark/>
                </w:tcPr>
                <w:p w14:paraId="4DB609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specified by the relevant TSO in accordance with points (i), (ii), (iii) and (v) shall be notified to the relevant regulatory authority. The modalities of that notification shall be specified in accordance with the applicable national regulatory framework;</w:t>
                  </w:r>
                </w:p>
                <w:p w14:paraId="5F7A6CD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5</w:t>
                  </w:r>
                </w:p>
                <w:p w14:paraId="76AD69B6"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91"/>
                    <w:gridCol w:w="1164"/>
                  </w:tblGrid>
                  <w:tr w:rsidR="003B7AE9" w:rsidRPr="003B7AE9"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 or values</w:t>
                        </w:r>
                      </w:p>
                    </w:tc>
                  </w:tr>
                  <w:tr w:rsidR="003B7AE9" w:rsidRPr="003B7AE9"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1,5-10 %</w:t>
                        </w:r>
                      </w:p>
                    </w:tc>
                  </w:tr>
                  <w:tr w:rsidR="003B7AE9" w:rsidRPr="003B7AE9"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 seconds</w:t>
                        </w:r>
                      </w:p>
                    </w:tc>
                  </w:tr>
                  <w:tr w:rsidR="003B7AE9" w:rsidRPr="003B7AE9"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without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as specified by the relevant TSO.</w:t>
                        </w:r>
                      </w:p>
                    </w:tc>
                  </w:tr>
                  <w:tr w:rsidR="003B7AE9" w:rsidRPr="003B7AE9"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Maximum admissible choice of full activation time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2</w:t>
                        </w:r>
                        <w:r w:rsidRPr="003B7AE9">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seconds</w:t>
                        </w:r>
                      </w:p>
                    </w:tc>
                  </w:tr>
                </w:tbl>
                <w:p w14:paraId="553D811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A54A00" w14:textId="77777777" w:rsidTr="003B7AE9">
        <w:tc>
          <w:tcPr>
            <w:tcW w:w="0" w:type="auto"/>
            <w:shd w:val="clear" w:color="auto" w:fill="auto"/>
            <w:hideMark/>
          </w:tcPr>
          <w:p w14:paraId="4DECC6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F76E7B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60804E7" w14:textId="77777777" w:rsidTr="003B7AE9">
        <w:tc>
          <w:tcPr>
            <w:tcW w:w="0" w:type="auto"/>
            <w:shd w:val="clear" w:color="auto" w:fill="auto"/>
            <w:hideMark/>
          </w:tcPr>
          <w:p w14:paraId="2EB04A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C2DD9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disconnection due to underfrequency, power-generating facilities capable of acting as a load, including hydro pump-storage power-generating facilities, shall be capable of disconnecting their load in case of underfrequency. The requirement referred to in this point does not extend to auxiliary supply;</w:t>
            </w:r>
          </w:p>
        </w:tc>
      </w:tr>
    </w:tbl>
    <w:p w14:paraId="3CB0DD7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79FDA553" w14:textId="77777777" w:rsidTr="003B7AE9">
        <w:tc>
          <w:tcPr>
            <w:tcW w:w="0" w:type="auto"/>
            <w:shd w:val="clear" w:color="auto" w:fill="auto"/>
            <w:hideMark/>
          </w:tcPr>
          <w:p w14:paraId="682C3B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B7AE9" w14:paraId="090C4A91" w14:textId="77777777">
              <w:tc>
                <w:tcPr>
                  <w:tcW w:w="0" w:type="auto"/>
                  <w:shd w:val="clear" w:color="auto" w:fill="auto"/>
                  <w:hideMark/>
                </w:tcPr>
                <w:p w14:paraId="30C78F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2DF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B7AE9" w14:paraId="5F853DF3" w14:textId="77777777">
                    <w:tc>
                      <w:tcPr>
                        <w:tcW w:w="0" w:type="auto"/>
                        <w:shd w:val="clear" w:color="auto" w:fill="auto"/>
                        <w:hideMark/>
                      </w:tcPr>
                      <w:p w14:paraId="75D8C4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status signal of FSM (on/off),</w:t>
                        </w:r>
                      </w:p>
                    </w:tc>
                  </w:tr>
                </w:tbl>
                <w:p w14:paraId="15A68FD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B7AE9" w14:paraId="166BDB12" w14:textId="77777777">
                    <w:tc>
                      <w:tcPr>
                        <w:tcW w:w="0" w:type="auto"/>
                        <w:shd w:val="clear" w:color="auto" w:fill="auto"/>
                        <w:hideMark/>
                      </w:tcPr>
                      <w:p w14:paraId="31E7CD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scheduled active power output,</w:t>
                        </w:r>
                      </w:p>
                    </w:tc>
                  </w:tr>
                </w:tbl>
                <w:p w14:paraId="42BFF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B7AE9" w14:paraId="1A9D2244" w14:textId="77777777">
                    <w:tc>
                      <w:tcPr>
                        <w:tcW w:w="0" w:type="auto"/>
                        <w:shd w:val="clear" w:color="auto" w:fill="auto"/>
                        <w:hideMark/>
                      </w:tcPr>
                      <w:p w14:paraId="59E803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value of the active power output,</w:t>
                        </w:r>
                      </w:p>
                    </w:tc>
                  </w:tr>
                </w:tbl>
                <w:p w14:paraId="193850B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B7AE9" w14:paraId="5B65C495" w14:textId="77777777">
                    <w:tc>
                      <w:tcPr>
                        <w:tcW w:w="0" w:type="auto"/>
                        <w:shd w:val="clear" w:color="auto" w:fill="auto"/>
                        <w:hideMark/>
                      </w:tcPr>
                      <w:p w14:paraId="207C3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B7AE9" w14:paraId="27DD5130" w14:textId="77777777">
                    <w:tc>
                      <w:tcPr>
                        <w:tcW w:w="0" w:type="auto"/>
                        <w:shd w:val="clear" w:color="auto" w:fill="auto"/>
                        <w:hideMark/>
                      </w:tcPr>
                      <w:p w14:paraId="5005D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and deadband;</w:t>
                        </w:r>
                      </w:p>
                    </w:tc>
                  </w:tr>
                </w:tbl>
                <w:p w14:paraId="7080676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B7AE9" w14:paraId="054CF511" w14:textId="77777777">
              <w:tc>
                <w:tcPr>
                  <w:tcW w:w="0" w:type="auto"/>
                  <w:shd w:val="clear" w:color="auto" w:fill="auto"/>
                  <w:hideMark/>
                </w:tcPr>
                <w:p w14:paraId="771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97" w:author="Author">
          <w:pPr>
            <w:shd w:val="clear" w:color="auto" w:fill="FFFFFF"/>
            <w:jc w:val="both"/>
          </w:pPr>
        </w:pPrChange>
      </w:pPr>
      <w:r w:rsidRPr="003B7AE9">
        <w:rPr>
          <w:rFonts w:ascii="inherit" w:eastAsia="Times New Roman" w:hAnsi="inherit" w:cs="Times New Roman"/>
          <w:color w:val="000000"/>
          <w:sz w:val="24"/>
          <w:szCs w:val="24"/>
          <w:lang w:eastAsia="en-GB"/>
        </w:rPr>
        <w:t>3.   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98" w:author="Author">
          <w:pPr>
            <w:shd w:val="clear" w:color="auto" w:fill="FFFFFF"/>
            <w:jc w:val="both"/>
          </w:pPr>
        </w:pPrChange>
      </w:pPr>
      <w:r w:rsidRPr="003B7AE9">
        <w:rPr>
          <w:rFonts w:ascii="inherit" w:eastAsia="Times New Roman" w:hAnsi="inherit" w:cs="Times New Roman"/>
          <w:color w:val="000000"/>
          <w:sz w:val="24"/>
          <w:szCs w:val="24"/>
          <w:lang w:eastAsia="en-GB"/>
        </w:rPr>
        <w:lastRenderedPageBreak/>
        <w:t>The terms and settings for actual automatic disconnection of power-generating modules shall be specified by the relevant system operator in coordination with the relevant TSO.</w:t>
      </w:r>
    </w:p>
    <w:p w14:paraId="79933D0A"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799" w:author="Author">
          <w:pPr>
            <w:shd w:val="clear" w:color="auto" w:fill="FFFFFF"/>
            <w:jc w:val="both"/>
          </w:pPr>
        </w:pPrChange>
      </w:pPr>
      <w:r w:rsidRPr="003B7AE9">
        <w:rPr>
          <w:rFonts w:ascii="inherit" w:eastAsia="Times New Roman" w:hAnsi="inherit" w:cs="Times New Roman"/>
          <w:color w:val="000000"/>
          <w:sz w:val="24"/>
          <w:szCs w:val="24"/>
          <w:lang w:eastAsia="en-GB"/>
        </w:rPr>
        <w:t>4.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37D49F3" w14:textId="77777777" w:rsidTr="003B7AE9">
        <w:tc>
          <w:tcPr>
            <w:tcW w:w="0" w:type="auto"/>
            <w:shd w:val="clear" w:color="auto" w:fill="auto"/>
            <w:hideMark/>
          </w:tcPr>
          <w:p w14:paraId="209998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power oscillations, power-generating modules shall retain steady-state stability when operating at any operating point of the P-Q-capability diagram;</w:t>
            </w:r>
          </w:p>
        </w:tc>
      </w:tr>
    </w:tbl>
    <w:p w14:paraId="688AB6A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67874E" w14:textId="77777777" w:rsidTr="003B7AE9">
        <w:tc>
          <w:tcPr>
            <w:tcW w:w="0" w:type="auto"/>
            <w:shd w:val="clear" w:color="auto" w:fill="auto"/>
            <w:hideMark/>
          </w:tcPr>
          <w:p w14:paraId="2C8F35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52C3C8" w14:textId="77777777" w:rsidTr="003B7AE9">
        <w:tc>
          <w:tcPr>
            <w:tcW w:w="0" w:type="auto"/>
            <w:shd w:val="clear" w:color="auto" w:fill="auto"/>
            <w:hideMark/>
          </w:tcPr>
          <w:p w14:paraId="4FA9E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bl>
    <w:p w14:paraId="6B2DBE06"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00" w:author="Author">
          <w:pPr>
            <w:shd w:val="clear" w:color="auto" w:fill="FFFFFF"/>
            <w:jc w:val="both"/>
          </w:pPr>
        </w:pPrChange>
      </w:pPr>
      <w:r w:rsidRPr="003B7AE9">
        <w:rPr>
          <w:rFonts w:ascii="inherit" w:eastAsia="Times New Roman" w:hAnsi="inherit" w:cs="Times New Roman"/>
          <w:color w:val="000000"/>
          <w:sz w:val="24"/>
          <w:szCs w:val="24"/>
          <w:lang w:eastAsia="en-GB"/>
        </w:rPr>
        <w:t>5.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9CDCC06" w14:textId="77777777" w:rsidTr="003B7AE9">
        <w:tc>
          <w:tcPr>
            <w:tcW w:w="0" w:type="auto"/>
            <w:shd w:val="clear" w:color="auto" w:fill="auto"/>
            <w:hideMark/>
          </w:tcPr>
          <w:p w14:paraId="54DFDB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9CDE785" w14:textId="77777777">
              <w:tc>
                <w:tcPr>
                  <w:tcW w:w="0" w:type="auto"/>
                  <w:shd w:val="clear" w:color="auto" w:fill="auto"/>
                  <w:hideMark/>
                </w:tcPr>
                <w:p w14:paraId="3820E4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0E705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6FECC0" w14:textId="77777777">
              <w:tc>
                <w:tcPr>
                  <w:tcW w:w="0" w:type="auto"/>
                  <w:shd w:val="clear" w:color="auto" w:fill="auto"/>
                  <w:hideMark/>
                </w:tcPr>
                <w:p w14:paraId="6CBF5D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7EE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0FD3F0A" w14:textId="77777777">
              <w:tc>
                <w:tcPr>
                  <w:tcW w:w="0" w:type="auto"/>
                  <w:shd w:val="clear" w:color="auto" w:fill="auto"/>
                  <w:hideMark/>
                </w:tcPr>
                <w:p w14:paraId="18D9E8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AA683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529036A5" w14:textId="77777777">
              <w:tc>
                <w:tcPr>
                  <w:tcW w:w="0" w:type="auto"/>
                  <w:shd w:val="clear" w:color="auto" w:fill="auto"/>
                  <w:hideMark/>
                </w:tcPr>
                <w:p w14:paraId="33B613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78DD55E7" w14:textId="77777777">
              <w:tc>
                <w:tcPr>
                  <w:tcW w:w="0" w:type="auto"/>
                  <w:shd w:val="clear" w:color="auto" w:fill="auto"/>
                  <w:hideMark/>
                </w:tcPr>
                <w:p w14:paraId="21F209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7C385C33" w14:textId="77777777">
              <w:tc>
                <w:tcPr>
                  <w:tcW w:w="0" w:type="auto"/>
                  <w:shd w:val="clear" w:color="auto" w:fill="auto"/>
                  <w:hideMark/>
                </w:tcPr>
                <w:p w14:paraId="45ED33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B7AE9" w14:paraId="1DF06BAC" w14:textId="77777777">
                    <w:tc>
                      <w:tcPr>
                        <w:tcW w:w="0" w:type="auto"/>
                        <w:shd w:val="clear" w:color="auto" w:fill="auto"/>
                        <w:hideMark/>
                      </w:tcPr>
                      <w:p w14:paraId="37D6BD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7BD056A7" w14:textId="77777777">
                    <w:tc>
                      <w:tcPr>
                        <w:tcW w:w="0" w:type="auto"/>
                        <w:shd w:val="clear" w:color="auto" w:fill="auto"/>
                        <w:hideMark/>
                      </w:tcPr>
                      <w:p w14:paraId="07571F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5A0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68FADC4" w14:textId="77777777">
                    <w:tc>
                      <w:tcPr>
                        <w:tcW w:w="0" w:type="auto"/>
                        <w:shd w:val="clear" w:color="auto" w:fill="auto"/>
                        <w:hideMark/>
                      </w:tcPr>
                      <w:p w14:paraId="49CC35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20C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frequency in case of overfrequency and underfrequency within the whole active power output range between minimum regulating level and maximum capacity as well as at houseload level,</w:t>
                        </w:r>
                      </w:p>
                    </w:tc>
                  </w:tr>
                </w:tbl>
                <w:p w14:paraId="2109F3C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081A9BE7" w14:textId="77777777">
                    <w:tc>
                      <w:tcPr>
                        <w:tcW w:w="0" w:type="auto"/>
                        <w:shd w:val="clear" w:color="auto" w:fill="auto"/>
                        <w:hideMark/>
                      </w:tcPr>
                      <w:p w14:paraId="15D9B5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C24B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B7AE9" w14:paraId="7F1DE81D" w14:textId="77777777">
                    <w:tc>
                      <w:tcPr>
                        <w:tcW w:w="0" w:type="auto"/>
                        <w:shd w:val="clear" w:color="auto" w:fill="auto"/>
                        <w:hideMark/>
                      </w:tcPr>
                      <w:p w14:paraId="26072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7B6F7D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84BEA1" w14:textId="77777777" w:rsidTr="003B7AE9">
        <w:tc>
          <w:tcPr>
            <w:tcW w:w="0" w:type="auto"/>
            <w:shd w:val="clear" w:color="auto" w:fill="auto"/>
            <w:hideMark/>
          </w:tcPr>
          <w:p w14:paraId="0F25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09D7FAB" w14:textId="77777777">
              <w:tc>
                <w:tcPr>
                  <w:tcW w:w="0" w:type="auto"/>
                  <w:shd w:val="clear" w:color="auto" w:fill="auto"/>
                  <w:hideMark/>
                </w:tcPr>
                <w:p w14:paraId="7AE2B4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3FC5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46CDA4B0" w14:textId="77777777">
                    <w:tc>
                      <w:tcPr>
                        <w:tcW w:w="0" w:type="auto"/>
                        <w:shd w:val="clear" w:color="auto" w:fill="auto"/>
                        <w:hideMark/>
                      </w:tcPr>
                      <w:p w14:paraId="3779C7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5F3225E3" w14:textId="77777777">
                    <w:tc>
                      <w:tcPr>
                        <w:tcW w:w="0" w:type="auto"/>
                        <w:shd w:val="clear" w:color="auto" w:fill="auto"/>
                        <w:hideMark/>
                      </w:tcPr>
                      <w:p w14:paraId="120AEA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B74175A" w14:textId="77777777">
              <w:tc>
                <w:tcPr>
                  <w:tcW w:w="0" w:type="auto"/>
                  <w:shd w:val="clear" w:color="auto" w:fill="auto"/>
                  <w:hideMark/>
                </w:tcPr>
                <w:p w14:paraId="031169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FSM during island operation, as specified in point (d) of paragraph 2.</w:t>
                  </w:r>
                </w:p>
                <w:p w14:paraId="46E3C7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09D98021" w14:textId="77777777">
              <w:tc>
                <w:tcPr>
                  <w:tcW w:w="0" w:type="auto"/>
                  <w:shd w:val="clear" w:color="auto" w:fill="auto"/>
                  <w:hideMark/>
                </w:tcPr>
                <w:p w14:paraId="57F98D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B856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method for detecting a change from interconnected system operation to island operation shall be agreed between the power-generating facility owner and the relevant system operator in coordination with the relevant TSO. The agreed method of detection must not rely solely on the system operator's switchgear position signals;</w:t>
                  </w:r>
                </w:p>
              </w:tc>
            </w:tr>
          </w:tbl>
          <w:p w14:paraId="78151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F5CBDBF" w14:textId="77777777">
              <w:tc>
                <w:tcPr>
                  <w:tcW w:w="0" w:type="auto"/>
                  <w:shd w:val="clear" w:color="auto" w:fill="auto"/>
                  <w:hideMark/>
                </w:tcPr>
                <w:p w14:paraId="5C768C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CEDCD" w14:textId="77777777" w:rsidTr="003B7AE9">
        <w:tc>
          <w:tcPr>
            <w:tcW w:w="0" w:type="auto"/>
            <w:shd w:val="clear" w:color="auto" w:fill="auto"/>
            <w:hideMark/>
          </w:tcPr>
          <w:p w14:paraId="02272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412B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6F2609C" w14:textId="77777777">
              <w:tc>
                <w:tcPr>
                  <w:tcW w:w="0" w:type="auto"/>
                  <w:shd w:val="clear" w:color="auto" w:fill="auto"/>
                  <w:hideMark/>
                </w:tcPr>
                <w:p w14:paraId="0929C3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232EE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8A4D6C2" w14:textId="77777777">
              <w:tc>
                <w:tcPr>
                  <w:tcW w:w="0" w:type="auto"/>
                  <w:shd w:val="clear" w:color="auto" w:fill="auto"/>
                  <w:hideMark/>
                </w:tcPr>
                <w:p w14:paraId="6A5864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C1B91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a minimum re-synchronisation time greater than 15 minutes after its disconnection from any external power supply must be designed to trip to houseload from any operating point in its P-Q-capability diagram. In this case, the identification of houseload operation must not be based solely on the system operator's switchgear position signals;</w:t>
                  </w:r>
                </w:p>
              </w:tc>
            </w:tr>
          </w:tbl>
          <w:p w14:paraId="56CFA3D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566AE5D1" w14:textId="77777777">
              <w:tc>
                <w:tcPr>
                  <w:tcW w:w="0" w:type="auto"/>
                  <w:shd w:val="clear" w:color="auto" w:fill="auto"/>
                  <w:hideMark/>
                </w:tcPr>
                <w:p w14:paraId="76CE82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continuing operation following tripping to houseload,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01" w:author="Author">
          <w:pPr>
            <w:shd w:val="clear" w:color="auto" w:fill="FFFFFF"/>
            <w:jc w:val="both"/>
          </w:pPr>
        </w:pPrChange>
      </w:pPr>
      <w:r w:rsidRPr="003B7AE9">
        <w:rPr>
          <w:rFonts w:ascii="inherit" w:eastAsia="Times New Roman" w:hAnsi="inherit" w:cs="Times New Roman"/>
          <w:color w:val="000000"/>
          <w:sz w:val="24"/>
          <w:szCs w:val="24"/>
          <w:lang w:eastAsia="en-GB"/>
        </w:rPr>
        <w:t>6.   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D83F3E7" w14:textId="77777777" w:rsidTr="003B7AE9">
        <w:tc>
          <w:tcPr>
            <w:tcW w:w="0" w:type="auto"/>
            <w:shd w:val="clear" w:color="auto" w:fill="auto"/>
            <w:hideMark/>
          </w:tcPr>
          <w:p w14:paraId="02B135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loss of angular stability or loss of control, a power-generating module shall be capable of disconnecting automatically from the network in order to help preserve system security or to prevent damage to the power-generating module. The </w:t>
            </w:r>
            <w:r w:rsidRPr="003B7AE9">
              <w:rPr>
                <w:rFonts w:ascii="inherit" w:eastAsia="Times New Roman" w:hAnsi="inherit" w:cs="Times New Roman"/>
                <w:sz w:val="24"/>
                <w:szCs w:val="24"/>
                <w:lang w:eastAsia="en-GB"/>
              </w:rPr>
              <w:lastRenderedPageBreak/>
              <w:t>power-generating facility owner and the relevant system operator in coordination with the relevant TSO shall agree on the criteria for detecting loss of angular stability or loss of control;</w:t>
            </w:r>
          </w:p>
        </w:tc>
      </w:tr>
    </w:tbl>
    <w:p w14:paraId="3A30B4C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28BF4EE" w14:textId="77777777" w:rsidTr="003B7AE9">
        <w:tc>
          <w:tcPr>
            <w:tcW w:w="0" w:type="auto"/>
            <w:shd w:val="clear" w:color="auto" w:fill="auto"/>
            <w:hideMark/>
          </w:tcPr>
          <w:p w14:paraId="79949B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88B7F8" w14:textId="77777777">
              <w:tc>
                <w:tcPr>
                  <w:tcW w:w="0" w:type="auto"/>
                  <w:shd w:val="clear" w:color="auto" w:fill="auto"/>
                  <w:hideMark/>
                </w:tcPr>
                <w:p w14:paraId="2968DA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69035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B7AE9" w14:paraId="1EA8DA8D" w14:textId="77777777">
                    <w:tc>
                      <w:tcPr>
                        <w:tcW w:w="0" w:type="auto"/>
                        <w:shd w:val="clear" w:color="auto" w:fill="auto"/>
                        <w:hideMark/>
                      </w:tcPr>
                      <w:p w14:paraId="554E44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4ED5095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B7AE9" w14:paraId="2A8A2C32" w14:textId="77777777">
                    <w:tc>
                      <w:tcPr>
                        <w:tcW w:w="0" w:type="auto"/>
                        <w:shd w:val="clear" w:color="auto" w:fill="auto"/>
                        <w:hideMark/>
                      </w:tcPr>
                      <w:p w14:paraId="5DD36E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w:t>
                        </w:r>
                      </w:p>
                    </w:tc>
                  </w:tr>
                </w:tbl>
                <w:p w14:paraId="11CE3D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B7AE9" w14:paraId="561F9B66" w14:textId="77777777">
                    <w:tc>
                      <w:tcPr>
                        <w:tcW w:w="0" w:type="auto"/>
                        <w:shd w:val="clear" w:color="auto" w:fill="auto"/>
                        <w:hideMark/>
                      </w:tcPr>
                      <w:p w14:paraId="3023C2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and</w:t>
                        </w:r>
                      </w:p>
                    </w:tc>
                  </w:tr>
                </w:tbl>
                <w:p w14:paraId="15996D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B7AE9" w14:paraId="1019C254" w14:textId="77777777">
                    <w:tc>
                      <w:tcPr>
                        <w:tcW w:w="0" w:type="auto"/>
                        <w:shd w:val="clear" w:color="auto" w:fill="auto"/>
                        <w:hideMark/>
                      </w:tcPr>
                      <w:p w14:paraId="3A1AD6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4740D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6C0944C" w14:textId="77777777">
              <w:tc>
                <w:tcPr>
                  <w:tcW w:w="0" w:type="auto"/>
                  <w:shd w:val="clear" w:color="auto" w:fill="auto"/>
                  <w:hideMark/>
                </w:tcPr>
                <w:p w14:paraId="0EED6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060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D7784EE" w14:textId="77777777">
              <w:tc>
                <w:tcPr>
                  <w:tcW w:w="0" w:type="auto"/>
                  <w:shd w:val="clear" w:color="auto" w:fill="auto"/>
                  <w:hideMark/>
                </w:tcPr>
                <w:p w14:paraId="2058E2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CFB3D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3DED7838" w14:textId="77777777">
              <w:tc>
                <w:tcPr>
                  <w:tcW w:w="0" w:type="auto"/>
                  <w:shd w:val="clear" w:color="auto" w:fill="auto"/>
                  <w:hideMark/>
                </w:tcPr>
                <w:p w14:paraId="0972E0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facilities for quality of supply and dynamic system behaviour monitoring shall include arrangements for the power-generating facility owner, and the relevant system operator and the relevant TSO to access the information. The communications protocols for recorded data shall be agreed between the power-generating facility owner, the relevant system operator and the relevant TSO;</w:t>
                  </w:r>
                </w:p>
              </w:tc>
            </w:tr>
          </w:tbl>
          <w:p w14:paraId="5A29D98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DB82C3D" w14:textId="77777777" w:rsidTr="003B7AE9">
        <w:tc>
          <w:tcPr>
            <w:tcW w:w="0" w:type="auto"/>
            <w:shd w:val="clear" w:color="auto" w:fill="auto"/>
            <w:hideMark/>
          </w:tcPr>
          <w:p w14:paraId="197A3B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0755119" w14:textId="77777777">
              <w:tc>
                <w:tcPr>
                  <w:tcW w:w="0" w:type="auto"/>
                  <w:shd w:val="clear" w:color="auto" w:fill="auto"/>
                  <w:hideMark/>
                </w:tcPr>
                <w:p w14:paraId="4C4D85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FFE9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the relevant system operator or the relevant TSO, the power-generating facility owner shall provide simulation models which properly reflect the behaviour of the power-generating module in both steady-state and dynamic simulations (50 Hz component) or in electromagnetic transient simulations.</w:t>
                  </w:r>
                </w:p>
                <w:p w14:paraId="78B8B1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7A7B5029" w14:textId="77777777">
              <w:tc>
                <w:tcPr>
                  <w:tcW w:w="0" w:type="auto"/>
                  <w:shd w:val="clear" w:color="auto" w:fill="auto"/>
                  <w:hideMark/>
                </w:tcPr>
                <w:p w14:paraId="2FA83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31101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B7AE9" w14:paraId="1D0E3A72" w14:textId="77777777">
                    <w:tc>
                      <w:tcPr>
                        <w:tcW w:w="0" w:type="auto"/>
                        <w:shd w:val="clear" w:color="auto" w:fill="auto"/>
                        <w:hideMark/>
                      </w:tcPr>
                      <w:p w14:paraId="1E7DAA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and prime mover,</w:t>
                        </w:r>
                      </w:p>
                    </w:tc>
                  </w:tr>
                </w:tbl>
                <w:p w14:paraId="45E4E99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B7AE9" w14:paraId="1F0109DF" w14:textId="77777777">
                    <w:tc>
                      <w:tcPr>
                        <w:tcW w:w="0" w:type="auto"/>
                        <w:shd w:val="clear" w:color="auto" w:fill="auto"/>
                        <w:hideMark/>
                      </w:tcPr>
                      <w:p w14:paraId="79E19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23D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speed and power control,</w:t>
                        </w:r>
                      </w:p>
                    </w:tc>
                  </w:tr>
                </w:tbl>
                <w:p w14:paraId="05E483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29E3BA68" w14:textId="77777777">
                    <w:tc>
                      <w:tcPr>
                        <w:tcW w:w="0" w:type="auto"/>
                        <w:shd w:val="clear" w:color="auto" w:fill="auto"/>
                        <w:hideMark/>
                      </w:tcPr>
                      <w:p w14:paraId="2A83A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8A916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04A74A71" w14:textId="77777777">
                    <w:tc>
                      <w:tcPr>
                        <w:tcW w:w="0" w:type="auto"/>
                        <w:shd w:val="clear" w:color="auto" w:fill="auto"/>
                        <w:hideMark/>
                      </w:tcPr>
                      <w:p w14:paraId="76FDE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050750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protection models, as agreed between the relevant system operator and the power-generating facility owner, and</w:t>
                        </w:r>
                      </w:p>
                    </w:tc>
                  </w:tr>
                </w:tbl>
                <w:p w14:paraId="20DF76A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3B7AE9" w14:paraId="473354BA" w14:textId="77777777">
                    <w:tc>
                      <w:tcPr>
                        <w:tcW w:w="0" w:type="auto"/>
                        <w:shd w:val="clear" w:color="auto" w:fill="auto"/>
                        <w:hideMark/>
                      </w:tcPr>
                      <w:p w14:paraId="37D838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D01C0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converter models for power park modules;</w:t>
                        </w:r>
                      </w:p>
                    </w:tc>
                  </w:tr>
                </w:tbl>
                <w:p w14:paraId="17462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AC7E512" w14:textId="77777777">
              <w:tc>
                <w:tcPr>
                  <w:tcW w:w="0" w:type="auto"/>
                  <w:shd w:val="clear" w:color="auto" w:fill="auto"/>
                  <w:hideMark/>
                </w:tcPr>
                <w:p w14:paraId="2DA40E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9DFAB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request by the relevant system operator referred to in point (i) 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8"/>
                    <w:gridCol w:w="7954"/>
                  </w:tblGrid>
                  <w:tr w:rsidR="003B7AE9" w:rsidRPr="003B7AE9" w14:paraId="03C71077" w14:textId="77777777">
                    <w:tc>
                      <w:tcPr>
                        <w:tcW w:w="0" w:type="auto"/>
                        <w:shd w:val="clear" w:color="auto" w:fill="auto"/>
                        <w:hideMark/>
                      </w:tcPr>
                      <w:p w14:paraId="64D51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format in which models are to be provided,</w:t>
                        </w:r>
                      </w:p>
                    </w:tc>
                  </w:tr>
                </w:tbl>
                <w:p w14:paraId="06CF4D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3"/>
                    <w:gridCol w:w="8099"/>
                  </w:tblGrid>
                  <w:tr w:rsidR="003B7AE9" w:rsidRPr="003B7AE9" w14:paraId="37159224" w14:textId="77777777">
                    <w:tc>
                      <w:tcPr>
                        <w:tcW w:w="0" w:type="auto"/>
                        <w:shd w:val="clear" w:color="auto" w:fill="auto"/>
                        <w:hideMark/>
                      </w:tcPr>
                      <w:p w14:paraId="59EFDB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1D4AD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3B7AE9" w14:paraId="4F10B740" w14:textId="77777777">
                    <w:tc>
                      <w:tcPr>
                        <w:tcW w:w="0" w:type="auto"/>
                        <w:shd w:val="clear" w:color="auto" w:fill="auto"/>
                        <w:hideMark/>
                      </w:tcPr>
                      <w:p w14:paraId="3F5CA0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F976B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798F38F1" w14:textId="77777777">
              <w:tc>
                <w:tcPr>
                  <w:tcW w:w="0" w:type="auto"/>
                  <w:shd w:val="clear" w:color="auto" w:fill="auto"/>
                  <w:hideMark/>
                </w:tcPr>
                <w:p w14:paraId="55929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3E37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p>
              </w:tc>
            </w:tr>
          </w:tbl>
          <w:p w14:paraId="0688808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A7F2E93" w14:textId="77777777" w:rsidTr="003B7AE9">
        <w:tc>
          <w:tcPr>
            <w:tcW w:w="0" w:type="auto"/>
            <w:shd w:val="clear" w:color="auto" w:fill="auto"/>
            <w:hideMark/>
          </w:tcPr>
          <w:p w14:paraId="761CD7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B828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1B5562D" w14:textId="77777777" w:rsidTr="003B7AE9">
        <w:tc>
          <w:tcPr>
            <w:tcW w:w="0" w:type="auto"/>
            <w:shd w:val="clear" w:color="auto" w:fill="auto"/>
            <w:hideMark/>
          </w:tcPr>
          <w:p w14:paraId="7CDE6A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BA19A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p>
        </w:tc>
      </w:tr>
    </w:tbl>
    <w:p w14:paraId="24B7A76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7018E44E" w14:textId="77777777" w:rsidTr="003B7AE9">
        <w:tc>
          <w:tcPr>
            <w:tcW w:w="0" w:type="auto"/>
            <w:shd w:val="clear" w:color="auto" w:fill="auto"/>
            <w:hideMark/>
          </w:tcPr>
          <w:p w14:paraId="349F11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57B23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earthing arrangement of the neutral-point at the network side of step-up transformers shall comply with the specifications of the relevant system operator.</w:t>
            </w:r>
          </w:p>
        </w:tc>
      </w:tr>
    </w:tbl>
    <w:p w14:paraId="05FB8212"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02" w:author="Author">
            <w:rPr/>
          </w:rPrChange>
        </w:rPr>
        <w:pPrChange w:id="803"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16</w:t>
      </w:r>
    </w:p>
    <w:p w14:paraId="1CB9983A"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04" w:author="Author">
          <w:pPr>
            <w:shd w:val="clear" w:color="auto" w:fill="FFFFFF"/>
            <w:jc w:val="center"/>
          </w:pPr>
        </w:pPrChange>
      </w:pPr>
      <w:r w:rsidRPr="003B7AE9">
        <w:rPr>
          <w:rFonts w:ascii="inherit" w:eastAsia="Times New Roman" w:hAnsi="inherit" w:cs="Times New Roman"/>
          <w:b/>
          <w:bCs/>
          <w:color w:val="000000"/>
          <w:sz w:val="24"/>
          <w:szCs w:val="24"/>
          <w:lang w:eastAsia="en-GB"/>
        </w:rPr>
        <w:t>General requirements for type D power-generating modules</w:t>
      </w:r>
    </w:p>
    <w:p w14:paraId="17119894"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05" w:author="Author">
          <w:pPr>
            <w:shd w:val="clear" w:color="auto" w:fill="FFFFFF"/>
            <w:jc w:val="both"/>
          </w:pPr>
        </w:pPrChange>
      </w:pPr>
      <w:r w:rsidRPr="003B7AE9">
        <w:rPr>
          <w:rFonts w:ascii="inherit" w:eastAsia="Times New Roman" w:hAnsi="inherit" w:cs="Times New Roman"/>
          <w:color w:val="000000"/>
          <w:sz w:val="24"/>
          <w:szCs w:val="24"/>
          <w:lang w:eastAsia="en-GB"/>
        </w:rPr>
        <w:t>1.   In addition to fulfilling the requirements listed in Article 13, except for Article 13(2)(b), (6) and (7), Article 14, except for Article 14(2), and Article 15, except for Article 15(3), type D power-generating modules shall fulfil the requirements set out in this Article.</w:t>
      </w:r>
    </w:p>
    <w:p w14:paraId="19171F63"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06" w:author="Author">
          <w:pPr>
            <w:shd w:val="clear" w:color="auto" w:fill="FFFFFF"/>
            <w:jc w:val="both"/>
          </w:pPr>
        </w:pPrChange>
      </w:pPr>
      <w:r w:rsidRPr="003B7AE9">
        <w:rPr>
          <w:rFonts w:ascii="inherit" w:eastAsia="Times New Roman" w:hAnsi="inherit" w:cs="Times New Roman"/>
          <w:color w:val="000000"/>
          <w:sz w:val="24"/>
          <w:szCs w:val="24"/>
          <w:lang w:eastAsia="en-GB"/>
        </w:rPr>
        <w:t>2.   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05175D2" w14:textId="77777777" w:rsidTr="003B7AE9">
        <w:tc>
          <w:tcPr>
            <w:tcW w:w="0" w:type="auto"/>
            <w:shd w:val="clear" w:color="auto" w:fill="auto"/>
            <w:hideMark/>
          </w:tcPr>
          <w:p w14:paraId="271BE6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25330979" w14:textId="77777777">
              <w:tc>
                <w:tcPr>
                  <w:tcW w:w="0" w:type="auto"/>
                  <w:shd w:val="clear" w:color="auto" w:fill="auto"/>
                  <w:hideMark/>
                </w:tcPr>
                <w:p w14:paraId="23E4DA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D9CD8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of Article 14(3) and point (a) of paragraph 3 below, a power-generating module shall be capable of staying connected to the network and operating within the ranges of the network voltage at the connection point, expressed by the voltage at the connection point related to the reference 1 pu voltage, and for the time periods specified in Tables 6.1 and 6.2;</w:t>
                  </w:r>
                </w:p>
              </w:tc>
            </w:tr>
          </w:tbl>
          <w:p w14:paraId="31FF3FC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04C07CC0" w14:textId="77777777">
              <w:tc>
                <w:tcPr>
                  <w:tcW w:w="0" w:type="auto"/>
                  <w:shd w:val="clear" w:color="auto" w:fill="auto"/>
                  <w:hideMark/>
                </w:tcPr>
                <w:p w14:paraId="283D65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566F3E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specify shorter periods of time during which power-generating modules shall be capable of remaining connected to the network in the event of simultaneous overvoltage and underfrequency or simultaneous undervoltage and overfrequency;</w:t>
                  </w:r>
                </w:p>
              </w:tc>
            </w:tr>
          </w:tbl>
          <w:p w14:paraId="677E821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3003FD4B" w14:textId="77777777">
              <w:tc>
                <w:tcPr>
                  <w:tcW w:w="0" w:type="auto"/>
                  <w:shd w:val="clear" w:color="auto" w:fill="auto"/>
                  <w:hideMark/>
                </w:tcPr>
                <w:p w14:paraId="7B5119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 in Spain may require power-generating modules to be capable of remaining connected to the network in the voltage range between 1,05 pu and 1,0875 pu for an unlimited period;</w:t>
                  </w:r>
                </w:p>
              </w:tc>
            </w:tr>
          </w:tbl>
          <w:p w14:paraId="2418F38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02C8CA0B" w14:textId="77777777">
              <w:tc>
                <w:tcPr>
                  <w:tcW w:w="0" w:type="auto"/>
                  <w:shd w:val="clear" w:color="auto" w:fill="auto"/>
                  <w:hideMark/>
                </w:tcPr>
                <w:p w14:paraId="6C42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400 kV grid voltage level (or alternatively commonly referred to as 380 kV level), the reference 1 pu value is 400 kV; for other grid voltage levels, the reference 1 pu voltage may differ for each system operator in the same synchronous area;</w:t>
                  </w:r>
                </w:p>
              </w:tc>
            </w:tr>
          </w:tbl>
          <w:p w14:paraId="6BFBC48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35340938" w14:textId="77777777">
              <w:tc>
                <w:tcPr>
                  <w:tcW w:w="0" w:type="auto"/>
                  <w:shd w:val="clear" w:color="auto" w:fill="auto"/>
                  <w:hideMark/>
                </w:tcPr>
                <w:p w14:paraId="34AFB2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TSOs in the Baltic synchronous area may require power-generating modules to remain connected to the 400 kV network in the voltage range limits and for the time periods that apply in the Continental Europe synchronous area;</w:t>
                  </w:r>
                </w:p>
                <w:p w14:paraId="5FCDCD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0CA3B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110 kV to 300 kV.</w:t>
                  </w:r>
                </w:p>
                <w:p w14:paraId="59601804"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each TSO, but not </w:t>
                        </w:r>
                        <w:r w:rsidRPr="003B7AE9">
                          <w:rPr>
                            <w:rFonts w:ascii="inherit" w:eastAsia="Times New Roman" w:hAnsi="inherit" w:cs="Times New Roman"/>
                            <w:lang w:eastAsia="en-GB"/>
                          </w:rPr>
                          <w:lastRenderedPageBreak/>
                          <w:t>more than 60 minutes</w:t>
                        </w:r>
                      </w:p>
                    </w:tc>
                  </w:tr>
                  <w:tr w:rsidR="003B7AE9" w:rsidRPr="003B7AE9"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8E49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300 kV to 400 kV.</w:t>
                  </w:r>
                </w:p>
              </w:tc>
            </w:tr>
          </w:tbl>
          <w:p w14:paraId="285281F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CBA42E" w14:textId="77777777" w:rsidTr="003B7AE9">
        <w:tc>
          <w:tcPr>
            <w:tcW w:w="0" w:type="auto"/>
            <w:shd w:val="clear" w:color="auto" w:fill="auto"/>
            <w:hideMark/>
          </w:tcPr>
          <w:p w14:paraId="353E8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CBE9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wider voltage ranges or longer minimum time periods for operation may be agreed between the relevant system operator and the power-generating facility owner in coordination with the relevant TSO. If wider voltage ranges or longer minimum times for operation are economically and technically feasible, the power-generating facility owner shall not unreasonably withhold an agreement;</w:t>
            </w:r>
          </w:p>
        </w:tc>
      </w:tr>
    </w:tbl>
    <w:p w14:paraId="456670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886B10E" w14:textId="77777777" w:rsidTr="003B7AE9">
        <w:tc>
          <w:tcPr>
            <w:tcW w:w="0" w:type="auto"/>
            <w:shd w:val="clear" w:color="auto" w:fill="auto"/>
            <w:hideMark/>
          </w:tcPr>
          <w:p w14:paraId="05F1C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the relevant system operator in coordination with the relevant TSO shall have the right to specify voltages at the connection point at which a power-generating module is capable of automatic disconnection. The terms and settings for automatic disconnection shall be agreed between the relevant system operator and the power-generating facility owner.</w:t>
            </w:r>
          </w:p>
        </w:tc>
      </w:tr>
    </w:tbl>
    <w:p w14:paraId="124343AD"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07" w:author="Author">
          <w:pPr>
            <w:shd w:val="clear" w:color="auto" w:fill="FFFFFF"/>
            <w:jc w:val="both"/>
          </w:pPr>
        </w:pPrChange>
      </w:pPr>
      <w:r w:rsidRPr="003B7AE9">
        <w:rPr>
          <w:rFonts w:ascii="inherit" w:eastAsia="Times New Roman" w:hAnsi="inherit" w:cs="Times New Roman"/>
          <w:color w:val="000000"/>
          <w:sz w:val="24"/>
          <w:szCs w:val="24"/>
          <w:lang w:eastAsia="en-GB"/>
        </w:rPr>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5D21831" w14:textId="77777777" w:rsidTr="003B7AE9">
        <w:tc>
          <w:tcPr>
            <w:tcW w:w="0" w:type="auto"/>
            <w:shd w:val="clear" w:color="auto" w:fill="auto"/>
            <w:hideMark/>
          </w:tcPr>
          <w:p w14:paraId="3987F2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6D2B23C" w14:textId="77777777">
              <w:tc>
                <w:tcPr>
                  <w:tcW w:w="0" w:type="auto"/>
                  <w:shd w:val="clear" w:color="auto" w:fill="auto"/>
                  <w:hideMark/>
                </w:tcPr>
                <w:p w14:paraId="2CAD4D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7DEA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That lower limit shall be specified by the relevant TSO, using the parameters set out in Figure 3 and within the ranges set out in Tables 7.1 and 7.2 for type D power-generating modules connected at or above the 110 kV level.</w:t>
                  </w:r>
                </w:p>
                <w:p w14:paraId="2EBE55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also be specified by the relevant TSO, using parameters set out in Figure 3 and within the ranges set out in Tables 3.1 and 3.2 for type D power-generating modules connected below the 110 kV level;</w:t>
                  </w:r>
                </w:p>
              </w:tc>
            </w:tr>
          </w:tbl>
          <w:p w14:paraId="6C0C9D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57D43F81" w14:textId="77777777">
              <w:tc>
                <w:tcPr>
                  <w:tcW w:w="0" w:type="auto"/>
                  <w:shd w:val="clear" w:color="auto" w:fill="auto"/>
                  <w:hideMark/>
                </w:tcPr>
                <w:p w14:paraId="3AF22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7.1</w:t>
                  </w:r>
                </w:p>
                <w:p w14:paraId="2686A2FA"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3B7AE9"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-0,45</w:t>
                        </w:r>
                      </w:p>
                    </w:tc>
                  </w:tr>
                  <w:tr w:rsidR="003B7AE9" w:rsidRPr="003B7AE9"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26F7BD3A"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0923118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7.2</w:t>
                  </w:r>
                </w:p>
                <w:p w14:paraId="2163DEA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3B7AE9"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3B7AE9" w:rsidRPr="003B7AE9"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A630EAB" w14:textId="77777777" w:rsidTr="003B7AE9">
        <w:tc>
          <w:tcPr>
            <w:tcW w:w="0" w:type="auto"/>
            <w:shd w:val="clear" w:color="auto" w:fill="auto"/>
            <w:hideMark/>
          </w:tcPr>
          <w:p w14:paraId="66FAE3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918040" w14:textId="77777777">
              <w:tc>
                <w:tcPr>
                  <w:tcW w:w="0" w:type="auto"/>
                  <w:shd w:val="clear" w:color="auto" w:fill="auto"/>
                  <w:hideMark/>
                </w:tcPr>
                <w:p w14:paraId="084F4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43342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288CCEC" w14:textId="77777777">
              <w:tc>
                <w:tcPr>
                  <w:tcW w:w="0" w:type="auto"/>
                  <w:shd w:val="clear" w:color="auto" w:fill="auto"/>
                  <w:hideMark/>
                </w:tcPr>
                <w:p w14:paraId="674B0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3ECBBBE3" w14:textId="77777777">
              <w:tc>
                <w:tcPr>
                  <w:tcW w:w="0" w:type="auto"/>
                  <w:shd w:val="clear" w:color="auto" w:fill="auto"/>
                  <w:hideMark/>
                </w:tcPr>
                <w:p w14:paraId="60A4A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75339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E229470" w14:textId="77777777" w:rsidTr="003B7AE9">
        <w:tc>
          <w:tcPr>
            <w:tcW w:w="0" w:type="auto"/>
            <w:shd w:val="clear" w:color="auto" w:fill="auto"/>
            <w:hideMark/>
          </w:tcPr>
          <w:p w14:paraId="054F8F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7FA55D62"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08" w:author="Author">
          <w:pPr>
            <w:shd w:val="clear" w:color="auto" w:fill="FFFFFF"/>
            <w:jc w:val="both"/>
          </w:pPr>
        </w:pPrChange>
      </w:pPr>
      <w:r w:rsidRPr="003B7AE9">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F687B80" w14:textId="77777777" w:rsidTr="003B7AE9">
        <w:tc>
          <w:tcPr>
            <w:tcW w:w="0" w:type="auto"/>
            <w:shd w:val="clear" w:color="auto" w:fill="auto"/>
            <w:hideMark/>
          </w:tcPr>
          <w:p w14:paraId="05FC6A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A2CD6EF" w14:textId="77777777" w:rsidTr="003B7AE9">
        <w:tc>
          <w:tcPr>
            <w:tcW w:w="0" w:type="auto"/>
            <w:shd w:val="clear" w:color="auto" w:fill="auto"/>
            <w:hideMark/>
          </w:tcPr>
          <w:p w14:paraId="76CD21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80AA44F" w14:textId="77777777" w:rsidTr="003B7AE9">
        <w:tc>
          <w:tcPr>
            <w:tcW w:w="0" w:type="auto"/>
            <w:shd w:val="clear" w:color="auto" w:fill="auto"/>
            <w:hideMark/>
          </w:tcPr>
          <w:p w14:paraId="6A5584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DCE22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B95051" w14:textId="77777777" w:rsidTr="003B7AE9">
        <w:tc>
          <w:tcPr>
            <w:tcW w:w="0" w:type="auto"/>
            <w:shd w:val="clear" w:color="auto" w:fill="auto"/>
            <w:hideMark/>
          </w:tcPr>
          <w:p w14:paraId="30D12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61C6C8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B7AE9" w14:paraId="16555EC3" w14:textId="77777777">
              <w:tc>
                <w:tcPr>
                  <w:tcW w:w="0" w:type="auto"/>
                  <w:shd w:val="clear" w:color="auto" w:fill="auto"/>
                  <w:hideMark/>
                </w:tcPr>
                <w:p w14:paraId="220B3C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2E11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642124E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B7AE9" w14:paraId="37D29178" w14:textId="77777777">
              <w:tc>
                <w:tcPr>
                  <w:tcW w:w="0" w:type="auto"/>
                  <w:shd w:val="clear" w:color="auto" w:fill="auto"/>
                  <w:hideMark/>
                </w:tcPr>
                <w:p w14:paraId="66915F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24237D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B7AE9" w14:paraId="1DFD31FC" w14:textId="77777777">
              <w:tc>
                <w:tcPr>
                  <w:tcW w:w="0" w:type="auto"/>
                  <w:shd w:val="clear" w:color="auto" w:fill="auto"/>
                  <w:hideMark/>
                </w:tcPr>
                <w:p w14:paraId="008C36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1E1EC8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angle range;</w:t>
                  </w:r>
                </w:p>
              </w:tc>
            </w:tr>
          </w:tbl>
          <w:p w14:paraId="15734A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B7AE9" w14:paraId="0EB249DF" w14:textId="77777777">
              <w:tc>
                <w:tcPr>
                  <w:tcW w:w="0" w:type="auto"/>
                  <w:shd w:val="clear" w:color="auto" w:fill="auto"/>
                  <w:hideMark/>
                </w:tcPr>
                <w:p w14:paraId="0306B0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sequence;</w:t>
                  </w:r>
                </w:p>
              </w:tc>
            </w:tr>
          </w:tbl>
          <w:p w14:paraId="68C8A4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3B7AE9" w14:paraId="19E32EDA" w14:textId="77777777">
              <w:tc>
                <w:tcPr>
                  <w:tcW w:w="0" w:type="auto"/>
                  <w:shd w:val="clear" w:color="auto" w:fill="auto"/>
                  <w:hideMark/>
                </w:tcPr>
                <w:p w14:paraId="744D32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deviation of voltage and frequency.</w:t>
                  </w:r>
                </w:p>
              </w:tc>
            </w:tr>
          </w:tbl>
          <w:p w14:paraId="3B892E1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B7AE9" w:rsidRDefault="003B7AE9" w:rsidP="0060282F">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809"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lastRenderedPageBreak/>
        <w:t>CHAPTER 2</w:t>
      </w:r>
    </w:p>
    <w:p w14:paraId="0FD337B3" w14:textId="77777777" w:rsidR="003B7AE9" w:rsidRPr="003B7AE9" w:rsidRDefault="003B7AE9" w:rsidP="0060282F">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810"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11" w:author="Author">
            <w:rPr/>
          </w:rPrChange>
        </w:rPr>
        <w:pPrChange w:id="812"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17</w:t>
      </w:r>
    </w:p>
    <w:p w14:paraId="3EC50186"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13" w:author="Author">
          <w:pPr>
            <w:shd w:val="clear" w:color="auto" w:fill="FFFFFF"/>
            <w:jc w:val="center"/>
          </w:pPr>
        </w:pPrChange>
      </w:pPr>
      <w:r w:rsidRPr="003B7AE9">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14" w:author="Author">
          <w:pPr>
            <w:shd w:val="clear" w:color="auto" w:fill="FFFFFF"/>
            <w:jc w:val="both"/>
          </w:pPr>
        </w:pPrChange>
      </w:pPr>
      <w:r w:rsidRPr="003B7AE9">
        <w:rPr>
          <w:rFonts w:ascii="inherit" w:eastAsia="Times New Roman" w:hAnsi="inherit" w:cs="Times New Roman"/>
          <w:color w:val="000000"/>
          <w:sz w:val="24"/>
          <w:szCs w:val="24"/>
          <w:lang w:eastAsia="en-GB"/>
        </w:rPr>
        <w:t>1.   Type B synchronous power-generating modules shall fulfil the requirements listed in Articles 13, except for Article 13(2)(b), and 14.</w:t>
      </w:r>
    </w:p>
    <w:p w14:paraId="5151F072"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15" w:author="Author">
          <w:pPr>
            <w:shd w:val="clear" w:color="auto" w:fill="FFFFFF"/>
            <w:jc w:val="both"/>
          </w:pPr>
        </w:pPrChange>
      </w:pPr>
      <w:r w:rsidRPr="003B7AE9">
        <w:rPr>
          <w:rFonts w:ascii="inherit" w:eastAsia="Times New Roman" w:hAnsi="inherit" w:cs="Times New Roman"/>
          <w:color w:val="000000"/>
          <w:sz w:val="24"/>
          <w:szCs w:val="24"/>
          <w:lang w:eastAsia="en-GB"/>
        </w:rPr>
        <w:t>2.   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99AE678" w14:textId="77777777" w:rsidTr="003B7AE9">
        <w:tc>
          <w:tcPr>
            <w:tcW w:w="0" w:type="auto"/>
            <w:shd w:val="clear" w:color="auto" w:fill="auto"/>
            <w:hideMark/>
          </w:tcPr>
          <w:p w14:paraId="4F8232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C751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synchronous power-generating module to provide reactive power;</w:t>
            </w:r>
          </w:p>
        </w:tc>
      </w:tr>
    </w:tbl>
    <w:p w14:paraId="168842C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F0A4C5C" w14:textId="77777777" w:rsidTr="003B7AE9">
        <w:tc>
          <w:tcPr>
            <w:tcW w:w="0" w:type="auto"/>
            <w:shd w:val="clear" w:color="auto" w:fill="auto"/>
            <w:hideMark/>
          </w:tcPr>
          <w:p w14:paraId="04762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3839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voltage control system, a synchronous power-generating module shall be equipped with a permanent automatic excitation control system that can provide constant alternator terminal voltage at a selectable setpoint without instability over the entire operating range of the synchronous power-generating module.</w:t>
            </w:r>
          </w:p>
        </w:tc>
      </w:tr>
    </w:tbl>
    <w:p w14:paraId="29205870"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16" w:author="Author">
          <w:pPr>
            <w:shd w:val="clear" w:color="auto" w:fill="FFFFFF"/>
            <w:jc w:val="both"/>
          </w:pPr>
        </w:pPrChange>
      </w:pPr>
      <w:r w:rsidRPr="003B7AE9">
        <w:rPr>
          <w:rFonts w:ascii="inherit" w:eastAsia="Times New Roman" w:hAnsi="inherit" w:cs="Times New Roman"/>
          <w:color w:val="000000"/>
          <w:sz w:val="24"/>
          <w:szCs w:val="24"/>
          <w:lang w:eastAsia="en-GB"/>
        </w:rPr>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17" w:author="Author">
            <w:rPr/>
          </w:rPrChange>
        </w:rPr>
        <w:pPrChange w:id="818"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18</w:t>
      </w:r>
    </w:p>
    <w:p w14:paraId="2D42AABE"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19" w:author="Author">
          <w:pPr>
            <w:shd w:val="clear" w:color="auto" w:fill="FFFFFF"/>
            <w:jc w:val="center"/>
          </w:pPr>
        </w:pPrChange>
      </w:pPr>
      <w:r w:rsidRPr="003B7AE9">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20" w:author="Author">
          <w:pPr>
            <w:shd w:val="clear" w:color="auto" w:fill="FFFFFF"/>
            <w:jc w:val="both"/>
          </w:pPr>
        </w:pPrChange>
      </w:pPr>
      <w:r w:rsidRPr="003B7AE9">
        <w:rPr>
          <w:rFonts w:ascii="inherit" w:eastAsia="Times New Roman" w:hAnsi="inherit" w:cs="Times New Roman"/>
          <w:color w:val="000000"/>
          <w:sz w:val="24"/>
          <w:szCs w:val="24"/>
          <w:lang w:eastAsia="en-GB"/>
        </w:rPr>
        <w:t>1.   Type C synchronous power-generating modules shall fulfil the requirements laid down in Articles 13, 14, 15 and 17, except for Article 13(2)(b) and 13(6), Article 14(2) and Article 17(2)(a).</w:t>
      </w:r>
    </w:p>
    <w:p w14:paraId="32169561"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21" w:author="Author">
          <w:pPr>
            <w:shd w:val="clear" w:color="auto" w:fill="FFFFFF"/>
            <w:jc w:val="both"/>
          </w:pPr>
        </w:pPrChange>
      </w:pPr>
      <w:r w:rsidRPr="003B7AE9">
        <w:rPr>
          <w:rFonts w:ascii="inherit" w:eastAsia="Times New Roman" w:hAnsi="inherit" w:cs="Times New Roman"/>
          <w:color w:val="000000"/>
          <w:sz w:val="24"/>
          <w:szCs w:val="24"/>
          <w:lang w:eastAsia="en-GB"/>
        </w:rPr>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746AF4" w14:textId="77777777" w:rsidTr="003B7AE9">
        <w:tc>
          <w:tcPr>
            <w:tcW w:w="0" w:type="auto"/>
            <w:shd w:val="clear" w:color="auto" w:fill="auto"/>
            <w:hideMark/>
          </w:tcPr>
          <w:p w14:paraId="276D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6DB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p>
        </w:tc>
      </w:tr>
    </w:tbl>
    <w:p w14:paraId="193801D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B7AE9" w14:paraId="770EDC51" w14:textId="77777777" w:rsidTr="003B7AE9">
        <w:tc>
          <w:tcPr>
            <w:tcW w:w="0" w:type="auto"/>
            <w:shd w:val="clear" w:color="auto" w:fill="auto"/>
            <w:hideMark/>
          </w:tcPr>
          <w:p w14:paraId="14AB3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077CE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3B7AE9" w14:paraId="583EB336" w14:textId="77777777">
              <w:tc>
                <w:tcPr>
                  <w:tcW w:w="0" w:type="auto"/>
                  <w:shd w:val="clear" w:color="auto" w:fill="auto"/>
                  <w:hideMark/>
                </w:tcPr>
                <w:p w14:paraId="5E5B3B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D11A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For that purpose the relevant system operator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B7AE9" w14:paraId="7FDB1A38" w14:textId="77777777">
              <w:tc>
                <w:tcPr>
                  <w:tcW w:w="0" w:type="auto"/>
                  <w:shd w:val="clear" w:color="auto" w:fill="auto"/>
                  <w:hideMark/>
                </w:tcPr>
                <w:p w14:paraId="2E76EB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6D851CDC" w14:textId="77777777">
                    <w:tc>
                      <w:tcPr>
                        <w:tcW w:w="0" w:type="auto"/>
                        <w:shd w:val="clear" w:color="auto" w:fill="auto"/>
                        <w:hideMark/>
                      </w:tcPr>
                      <w:p w14:paraId="0A6388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26286A6A" w14:textId="77777777">
                    <w:tc>
                      <w:tcPr>
                        <w:tcW w:w="0" w:type="auto"/>
                        <w:shd w:val="clear" w:color="auto" w:fill="auto"/>
                        <w:hideMark/>
                      </w:tcPr>
                      <w:p w14:paraId="721D4F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8ECB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3683E8F1" w14:textId="77777777">
                    <w:tc>
                      <w:tcPr>
                        <w:tcW w:w="0" w:type="auto"/>
                        <w:shd w:val="clear" w:color="auto" w:fill="auto"/>
                        <w:hideMark/>
                      </w:tcPr>
                      <w:p w14:paraId="1889E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7</w:t>
                  </w:r>
                </w:p>
                <w:p w14:paraId="08A22E6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synchronous power-generating module</w:t>
                  </w:r>
                </w:p>
                <w:p w14:paraId="50DB6C5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0CD89C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the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6CF2F27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8</w:t>
                  </w:r>
                </w:p>
                <w:p w14:paraId="3F4DEF1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B7AE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1857EAE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B7AE9" w14:paraId="04F58A81" w14:textId="77777777">
              <w:tc>
                <w:tcPr>
                  <w:tcW w:w="0" w:type="auto"/>
                  <w:shd w:val="clear" w:color="auto" w:fill="auto"/>
                  <w:hideMark/>
                </w:tcPr>
                <w:p w14:paraId="2B17F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B7AE9" w14:paraId="7CA8475A" w14:textId="77777777">
              <w:tc>
                <w:tcPr>
                  <w:tcW w:w="0" w:type="auto"/>
                  <w:shd w:val="clear" w:color="auto" w:fill="auto"/>
                  <w:hideMark/>
                </w:tcPr>
                <w:p w14:paraId="5B415E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synchronous power-generating module shall be capable of moving to any operating point within its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9EA101A" w14:textId="77777777" w:rsidTr="003B7AE9">
        <w:tc>
          <w:tcPr>
            <w:tcW w:w="0" w:type="auto"/>
            <w:shd w:val="clear" w:color="auto" w:fill="auto"/>
            <w:hideMark/>
          </w:tcPr>
          <w:p w14:paraId="449550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bl>
    <w:p w14:paraId="2378A70A"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22" w:author="Author">
            <w:rPr/>
          </w:rPrChange>
        </w:rPr>
        <w:pPrChange w:id="823"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19</w:t>
      </w:r>
    </w:p>
    <w:p w14:paraId="66ACEC31"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24" w:author="Author">
          <w:pPr>
            <w:shd w:val="clear" w:color="auto" w:fill="FFFFFF"/>
            <w:jc w:val="center"/>
          </w:pPr>
        </w:pPrChange>
      </w:pPr>
      <w:r w:rsidRPr="003B7AE9">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25" w:author="Author">
          <w:pPr>
            <w:shd w:val="clear" w:color="auto" w:fill="FFFFFF"/>
            <w:jc w:val="both"/>
          </w:pPr>
        </w:pPrChange>
      </w:pPr>
      <w:r w:rsidRPr="003B7AE9">
        <w:rPr>
          <w:rFonts w:ascii="inherit" w:eastAsia="Times New Roman" w:hAnsi="inherit" w:cs="Times New Roman"/>
          <w:color w:val="000000"/>
          <w:sz w:val="24"/>
          <w:szCs w:val="24"/>
          <w:lang w:eastAsia="en-GB"/>
        </w:rPr>
        <w:lastRenderedPageBreak/>
        <w:t>1.   Type D synchronous power-generating modules shall fulfil the requirements laid down in Article 13, except for Article 13(2)(b), (6) and (7), Article 14 except for Article 14(2), Article 15, except for Article 15(3), Article 16, Article 17, except for Article 17(2) and Article 18.</w:t>
      </w:r>
    </w:p>
    <w:p w14:paraId="5223604D"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26" w:author="Author">
          <w:pPr>
            <w:shd w:val="clear" w:color="auto" w:fill="FFFFFF"/>
            <w:jc w:val="both"/>
          </w:pPr>
        </w:pPrChange>
      </w:pPr>
      <w:r w:rsidRPr="003B7AE9">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A34757" w14:textId="77777777" w:rsidTr="003B7AE9">
        <w:tc>
          <w:tcPr>
            <w:tcW w:w="0" w:type="auto"/>
            <w:shd w:val="clear" w:color="auto" w:fill="auto"/>
            <w:hideMark/>
          </w:tcPr>
          <w:p w14:paraId="323258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7110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048520" w14:textId="77777777" w:rsidTr="003B7AE9">
        <w:tc>
          <w:tcPr>
            <w:tcW w:w="0" w:type="auto"/>
            <w:shd w:val="clear" w:color="auto" w:fill="auto"/>
            <w:hideMark/>
          </w:tcPr>
          <w:p w14:paraId="482C07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agreement referred to in subparagraph (a) shall cover the specifications and performance of an automatic voltage regulator (‘AVR’)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73FF90C" w14:textId="77777777">
              <w:tc>
                <w:tcPr>
                  <w:tcW w:w="0" w:type="auto"/>
                  <w:shd w:val="clear" w:color="auto" w:fill="auto"/>
                  <w:hideMark/>
                </w:tcPr>
                <w:p w14:paraId="260591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B455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FAACF6E" w14:textId="77777777">
              <w:tc>
                <w:tcPr>
                  <w:tcW w:w="0" w:type="auto"/>
                  <w:shd w:val="clear" w:color="auto" w:fill="auto"/>
                  <w:hideMark/>
                </w:tcPr>
                <w:p w14:paraId="6AE175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underexcitation limiter to prevent the AVR from reducing the alternator excitation to a level which would endanger synchronous stability;</w:t>
                  </w:r>
                </w:p>
              </w:tc>
            </w:tr>
          </w:tbl>
          <w:p w14:paraId="16E4957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5DDC01DF" w14:textId="77777777">
              <w:tc>
                <w:tcPr>
                  <w:tcW w:w="0" w:type="auto"/>
                  <w:shd w:val="clear" w:color="auto" w:fill="auto"/>
                  <w:hideMark/>
                </w:tcPr>
                <w:p w14:paraId="5A46BC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B236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B7AE9" w14:paraId="09BFD13B" w14:textId="77777777">
              <w:tc>
                <w:tcPr>
                  <w:tcW w:w="0" w:type="auto"/>
                  <w:shd w:val="clear" w:color="auto" w:fill="auto"/>
                  <w:hideMark/>
                </w:tcPr>
                <w:p w14:paraId="373D51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stator current limiter; and</w:t>
                  </w:r>
                </w:p>
              </w:tc>
            </w:tr>
          </w:tbl>
          <w:p w14:paraId="1ECA79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3B7AE9" w14:paraId="16EBEE9A" w14:textId="77777777">
              <w:tc>
                <w:tcPr>
                  <w:tcW w:w="0" w:type="auto"/>
                  <w:shd w:val="clear" w:color="auto" w:fill="auto"/>
                  <w:hideMark/>
                </w:tcPr>
                <w:p w14:paraId="5897D5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D7BF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PSS function to attenuate power oscillations, if the synchronous power-generating module size is above a value of maximum capacity specified by the relevant TSO.</w:t>
                  </w:r>
                </w:p>
              </w:tc>
            </w:tr>
          </w:tbl>
          <w:p w14:paraId="742D403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373D0B3"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27" w:author="Author">
          <w:pPr>
            <w:shd w:val="clear" w:color="auto" w:fill="FFFFFF"/>
            <w:jc w:val="both"/>
          </w:pPr>
        </w:pPrChange>
      </w:pPr>
      <w:r w:rsidRPr="003B7AE9">
        <w:rPr>
          <w:rFonts w:ascii="inherit" w:eastAsia="Times New Roman" w:hAnsi="inherit" w:cs="Times New Roman"/>
          <w:color w:val="000000"/>
          <w:sz w:val="24"/>
          <w:szCs w:val="24"/>
          <w:lang w:eastAsia="en-GB"/>
        </w:rPr>
        <w:t>3.   The relevant TSO and the power-generating facility owner shall enter into an agreement regarding technical capabilities of the power-generating module to aid angular stability under fault conditions.</w:t>
      </w:r>
    </w:p>
    <w:p w14:paraId="1D1A4616" w14:textId="77777777" w:rsidR="003B7AE9" w:rsidRPr="003B7AE9" w:rsidRDefault="003B7AE9" w:rsidP="0060282F">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828"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3</w:t>
      </w:r>
    </w:p>
    <w:p w14:paraId="13FF726B" w14:textId="77777777" w:rsidR="003B7AE9" w:rsidRPr="003B7AE9" w:rsidRDefault="003B7AE9" w:rsidP="0060282F">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829"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t>Requirements for power park modules</w:t>
      </w:r>
    </w:p>
    <w:p w14:paraId="49D51DBB"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30" w:author="Author">
            <w:rPr/>
          </w:rPrChange>
        </w:rPr>
        <w:pPrChange w:id="831"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20</w:t>
      </w:r>
    </w:p>
    <w:p w14:paraId="0FE264E1"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32" w:author="Author">
          <w:pPr>
            <w:shd w:val="clear" w:color="auto" w:fill="FFFFFF"/>
            <w:jc w:val="center"/>
          </w:pPr>
        </w:pPrChange>
      </w:pPr>
      <w:r w:rsidRPr="003B7AE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33" w:author="Author">
          <w:pPr>
            <w:shd w:val="clear" w:color="auto" w:fill="FFFFFF"/>
            <w:jc w:val="both"/>
          </w:pPr>
        </w:pPrChange>
      </w:pPr>
      <w:r w:rsidRPr="003B7AE9">
        <w:rPr>
          <w:rFonts w:ascii="inherit" w:eastAsia="Times New Roman" w:hAnsi="inherit" w:cs="Times New Roman"/>
          <w:color w:val="000000"/>
          <w:sz w:val="24"/>
          <w:szCs w:val="24"/>
          <w:lang w:eastAsia="en-GB"/>
        </w:rPr>
        <w:t>1.   Type B power park modules shall fulfil the requirements laid down in Articles 13, except for Article 13(2)(b), and Article 14.</w:t>
      </w:r>
    </w:p>
    <w:p w14:paraId="195F7C06"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34" w:author="Author">
          <w:pPr>
            <w:shd w:val="clear" w:color="auto" w:fill="FFFFFF"/>
            <w:jc w:val="both"/>
          </w:pPr>
        </w:pPrChange>
      </w:pPr>
      <w:r w:rsidRPr="003B7AE9">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FD2F12" w14:textId="77777777" w:rsidTr="003B7AE9">
        <w:tc>
          <w:tcPr>
            <w:tcW w:w="0" w:type="auto"/>
            <w:shd w:val="clear" w:color="auto" w:fill="auto"/>
            <w:hideMark/>
          </w:tcPr>
          <w:p w14:paraId="7F25A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6AA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p>
        </w:tc>
      </w:tr>
    </w:tbl>
    <w:p w14:paraId="68036BC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743B61" w14:textId="77777777" w:rsidTr="003B7AE9">
        <w:tc>
          <w:tcPr>
            <w:tcW w:w="0" w:type="auto"/>
            <w:shd w:val="clear" w:color="auto" w:fill="auto"/>
            <w:hideMark/>
          </w:tcPr>
          <w:p w14:paraId="664997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334E5E" w14:textId="083F350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w:t>
            </w:r>
            <w:ins w:id="835" w:author="Author">
              <w:r w:rsidR="00A0631A">
                <w:rPr>
                  <w:rFonts w:ascii="inherit" w:eastAsia="Times New Roman" w:hAnsi="inherit" w:cs="Times New Roman"/>
                  <w:sz w:val="24"/>
                  <w:szCs w:val="24"/>
                  <w:lang w:eastAsia="en-GB"/>
                </w:rPr>
                <w:t xml:space="preserve"> </w:t>
              </w:r>
              <w:commentRangeStart w:id="836"/>
              <w:r w:rsidR="00A0631A">
                <w:rPr>
                  <w:rFonts w:ascii="inherit" w:eastAsia="Times New Roman" w:hAnsi="inherit" w:cs="Times New Roman"/>
                  <w:sz w:val="24"/>
                  <w:szCs w:val="24"/>
                  <w:lang w:eastAsia="en-GB"/>
                </w:rPr>
                <w:t>and based on European Standards if available</w:t>
              </w:r>
              <w:commentRangeEnd w:id="836"/>
              <w:r w:rsidR="00A0631A">
                <w:rPr>
                  <w:rStyle w:val="CommentReference"/>
                </w:rPr>
                <w:commentReference w:id="836"/>
              </w:r>
            </w:ins>
            <w:r w:rsidRPr="003B7AE9">
              <w:rPr>
                <w:rFonts w:ascii="inherit" w:eastAsia="Times New Roman" w:hAnsi="inherit" w:cs="Times New Roman"/>
                <w:sz w:val="24"/>
                <w:szCs w:val="24"/>
                <w:lang w:eastAsia="en-GB"/>
              </w:rPr>
              <w:t xml:space="preserve"> shall have the right to specify that a power park </w:t>
            </w:r>
            <w:r w:rsidRPr="003B7AE9">
              <w:rPr>
                <w:rFonts w:ascii="inherit" w:eastAsia="Times New Roman" w:hAnsi="inherit" w:cs="Times New Roman"/>
                <w:sz w:val="24"/>
                <w:szCs w:val="24"/>
                <w:lang w:eastAsia="en-GB"/>
              </w:rPr>
              <w:lastRenderedPageBreak/>
              <w:t>module be capable of providing fast fault current at 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31FE6B6" w14:textId="77777777">
              <w:tc>
                <w:tcPr>
                  <w:tcW w:w="0" w:type="auto"/>
                  <w:shd w:val="clear" w:color="auto" w:fill="auto"/>
                  <w:hideMark/>
                </w:tcPr>
                <w:p w14:paraId="3B5244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E25CE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B7AE9" w14:paraId="34BAC758" w14:textId="77777777">
                    <w:tc>
                      <w:tcPr>
                        <w:tcW w:w="0" w:type="auto"/>
                        <w:shd w:val="clear" w:color="auto" w:fill="auto"/>
                        <w:hideMark/>
                      </w:tcPr>
                      <w:p w14:paraId="6B75A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19FFC3A5" w14:textId="77777777">
                    <w:tc>
                      <w:tcPr>
                        <w:tcW w:w="0" w:type="auto"/>
                        <w:shd w:val="clear" w:color="auto" w:fill="auto"/>
                        <w:hideMark/>
                      </w:tcPr>
                      <w:p w14:paraId="16DE6B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DCE2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69CBD3E" w14:textId="77777777">
              <w:tc>
                <w:tcPr>
                  <w:tcW w:w="0" w:type="auto"/>
                  <w:shd w:val="clear" w:color="auto" w:fill="auto"/>
                  <w:hideMark/>
                </w:tcPr>
                <w:p w14:paraId="47A8A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3983DB80" w14:textId="77777777">
                    <w:tc>
                      <w:tcPr>
                        <w:tcW w:w="0" w:type="auto"/>
                        <w:shd w:val="clear" w:color="auto" w:fill="auto"/>
                        <w:hideMark/>
                      </w:tcPr>
                      <w:p w14:paraId="47895F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066FCD8A" w14:textId="77777777">
                    <w:tc>
                      <w:tcPr>
                        <w:tcW w:w="0" w:type="auto"/>
                        <w:shd w:val="clear" w:color="auto" w:fill="auto"/>
                        <w:hideMark/>
                      </w:tcPr>
                      <w:p w14:paraId="1BA747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90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6C4346C4" w14:textId="77777777">
                    <w:tc>
                      <w:tcPr>
                        <w:tcW w:w="0" w:type="auto"/>
                        <w:shd w:val="clear" w:color="auto" w:fill="auto"/>
                        <w:hideMark/>
                      </w:tcPr>
                      <w:p w14:paraId="745B74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F1D2D11" w14:textId="77777777" w:rsidTr="003B7AE9">
        <w:tc>
          <w:tcPr>
            <w:tcW w:w="0" w:type="auto"/>
            <w:shd w:val="clear" w:color="auto" w:fill="auto"/>
            <w:hideMark/>
          </w:tcPr>
          <w:p w14:paraId="3D07A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37" w:author="Author">
          <w:pPr>
            <w:shd w:val="clear" w:color="auto" w:fill="FFFFFF"/>
            <w:jc w:val="both"/>
          </w:pPr>
        </w:pPrChange>
      </w:pPr>
      <w:r w:rsidRPr="003B7AE9">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75CFFC" w14:textId="77777777" w:rsidTr="003B7AE9">
        <w:tc>
          <w:tcPr>
            <w:tcW w:w="0" w:type="auto"/>
            <w:shd w:val="clear" w:color="auto" w:fill="auto"/>
            <w:hideMark/>
          </w:tcPr>
          <w:p w14:paraId="07C7A1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090C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B7AE9" w14:paraId="43AC43EE" w14:textId="77777777">
              <w:tc>
                <w:tcPr>
                  <w:tcW w:w="0" w:type="auto"/>
                  <w:shd w:val="clear" w:color="auto" w:fill="auto"/>
                  <w:hideMark/>
                </w:tcPr>
                <w:p w14:paraId="1CF79C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22F17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B7AE9" w14:paraId="048A1718" w14:textId="77777777">
              <w:tc>
                <w:tcPr>
                  <w:tcW w:w="0" w:type="auto"/>
                  <w:shd w:val="clear" w:color="auto" w:fill="auto"/>
                  <w:hideMark/>
                </w:tcPr>
                <w:p w14:paraId="7ADCF8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allowed time for active power recovery; and</w:t>
                  </w:r>
                </w:p>
              </w:tc>
            </w:tr>
          </w:tbl>
          <w:p w14:paraId="40A4B5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B7AE9" w14:paraId="445F8517" w14:textId="77777777">
              <w:tc>
                <w:tcPr>
                  <w:tcW w:w="0" w:type="auto"/>
                  <w:shd w:val="clear" w:color="auto" w:fill="auto"/>
                  <w:hideMark/>
                </w:tcPr>
                <w:p w14:paraId="09C2C2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magnitude and accuracy for active power recovery;</w:t>
                  </w:r>
                </w:p>
              </w:tc>
            </w:tr>
          </w:tbl>
          <w:p w14:paraId="1F818FC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1012EE" w14:textId="77777777" w:rsidTr="003B7AE9">
        <w:tc>
          <w:tcPr>
            <w:tcW w:w="0" w:type="auto"/>
            <w:shd w:val="clear" w:color="auto" w:fill="auto"/>
            <w:hideMark/>
          </w:tcPr>
          <w:p w14:paraId="505E4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E1E9746" w14:textId="77777777">
              <w:tc>
                <w:tcPr>
                  <w:tcW w:w="0" w:type="auto"/>
                  <w:shd w:val="clear" w:color="auto" w:fill="auto"/>
                  <w:hideMark/>
                </w:tcPr>
                <w:p w14:paraId="22466C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2ABA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A568239" w14:textId="77777777">
              <w:tc>
                <w:tcPr>
                  <w:tcW w:w="0" w:type="auto"/>
                  <w:shd w:val="clear" w:color="auto" w:fill="auto"/>
                  <w:hideMark/>
                </w:tcPr>
                <w:p w14:paraId="3BB3E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3B7AE9" w14:paraId="3A61E818" w14:textId="77777777">
              <w:tc>
                <w:tcPr>
                  <w:tcW w:w="0" w:type="auto"/>
                  <w:shd w:val="clear" w:color="auto" w:fill="auto"/>
                  <w:hideMark/>
                </w:tcPr>
                <w:p w14:paraId="246C63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5FCA67CD" w14:textId="77777777">
              <w:tc>
                <w:tcPr>
                  <w:tcW w:w="0" w:type="auto"/>
                  <w:shd w:val="clear" w:color="auto" w:fill="auto"/>
                  <w:hideMark/>
                </w:tcPr>
                <w:p w14:paraId="190947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3B7AE9" w14:paraId="1823B21C" w14:textId="77777777">
              <w:tc>
                <w:tcPr>
                  <w:tcW w:w="0" w:type="auto"/>
                  <w:shd w:val="clear" w:color="auto" w:fill="auto"/>
                  <w:hideMark/>
                </w:tcPr>
                <w:p w14:paraId="72548C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damping of active power oscillations.</w:t>
                  </w:r>
                </w:p>
              </w:tc>
            </w:tr>
          </w:tbl>
          <w:p w14:paraId="2C74AC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2F7E5"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38" w:author="Author">
            <w:rPr/>
          </w:rPrChange>
        </w:rPr>
        <w:pPrChange w:id="839"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21</w:t>
      </w:r>
    </w:p>
    <w:p w14:paraId="6EDCF84F"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40" w:author="Author">
          <w:pPr>
            <w:shd w:val="clear" w:color="auto" w:fill="FFFFFF"/>
            <w:jc w:val="center"/>
          </w:pPr>
        </w:pPrChange>
      </w:pPr>
      <w:r w:rsidRPr="003B7AE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41" w:author="Author">
          <w:pPr>
            <w:shd w:val="clear" w:color="auto" w:fill="FFFFFF"/>
            <w:jc w:val="both"/>
          </w:pPr>
        </w:pPrChange>
      </w:pPr>
      <w:r w:rsidRPr="003B7AE9">
        <w:rPr>
          <w:rFonts w:ascii="inherit" w:eastAsia="Times New Roman" w:hAnsi="inherit" w:cs="Times New Roman"/>
          <w:color w:val="000000"/>
          <w:sz w:val="24"/>
          <w:szCs w:val="24"/>
          <w:lang w:eastAsia="en-GB"/>
        </w:rPr>
        <w:t>1.   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42" w:author="Author">
          <w:pPr>
            <w:shd w:val="clear" w:color="auto" w:fill="FFFFFF"/>
            <w:jc w:val="both"/>
          </w:pPr>
        </w:pPrChange>
      </w:pPr>
      <w:r w:rsidRPr="003B7AE9">
        <w:rPr>
          <w:rFonts w:ascii="inherit" w:eastAsia="Times New Roman" w:hAnsi="inherit" w:cs="Times New Roman"/>
          <w:color w:val="000000"/>
          <w:sz w:val="24"/>
          <w:szCs w:val="24"/>
          <w:lang w:eastAsia="en-GB"/>
        </w:rPr>
        <w:lastRenderedPageBreak/>
        <w:t>2.   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24B2FFD" w14:textId="77777777" w:rsidTr="003B7AE9">
        <w:tc>
          <w:tcPr>
            <w:tcW w:w="0" w:type="auto"/>
            <w:shd w:val="clear" w:color="auto" w:fill="auto"/>
            <w:hideMark/>
          </w:tcPr>
          <w:p w14:paraId="318E2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C85A46D" w14:textId="77777777" w:rsidTr="003B7AE9">
        <w:tc>
          <w:tcPr>
            <w:tcW w:w="0" w:type="auto"/>
            <w:shd w:val="clear" w:color="auto" w:fill="auto"/>
            <w:hideMark/>
          </w:tcPr>
          <w:p w14:paraId="04C8DB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88AB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p>
        </w:tc>
      </w:tr>
    </w:tbl>
    <w:p w14:paraId="5E01DD36"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43" w:author="Author">
          <w:pPr>
            <w:shd w:val="clear" w:color="auto" w:fill="FFFFFF"/>
            <w:jc w:val="both"/>
          </w:pPr>
        </w:pPrChange>
      </w:pPr>
      <w:r w:rsidRPr="003B7AE9">
        <w:rPr>
          <w:rFonts w:ascii="inherit" w:eastAsia="Times New Roman" w:hAnsi="inherit" w:cs="Times New Roman"/>
          <w:color w:val="000000"/>
          <w:sz w:val="24"/>
          <w:szCs w:val="24"/>
          <w:lang w:eastAsia="en-GB"/>
        </w:rPr>
        <w:t>3.   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07BC6E" w14:textId="77777777" w:rsidTr="003B7AE9">
        <w:tc>
          <w:tcPr>
            <w:tcW w:w="0" w:type="auto"/>
            <w:shd w:val="clear" w:color="auto" w:fill="auto"/>
            <w:hideMark/>
          </w:tcPr>
          <w:p w14:paraId="089044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30A34F" w14:textId="77777777" w:rsidTr="003B7AE9">
        <w:tc>
          <w:tcPr>
            <w:tcW w:w="0" w:type="auto"/>
            <w:shd w:val="clear" w:color="auto" w:fill="auto"/>
            <w:hideMark/>
          </w:tcPr>
          <w:p w14:paraId="46AEE2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28CEBB4" w14:textId="77777777">
              <w:tc>
                <w:tcPr>
                  <w:tcW w:w="0" w:type="auto"/>
                  <w:shd w:val="clear" w:color="auto" w:fill="auto"/>
                  <w:hideMark/>
                </w:tcPr>
                <w:p w14:paraId="1B89E3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3E1A5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at its maximum capacity;</w:t>
                  </w:r>
                </w:p>
              </w:tc>
            </w:tr>
          </w:tbl>
          <w:p w14:paraId="033B2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B7AE9" w14:paraId="5F5E7F04" w14:textId="77777777">
              <w:tc>
                <w:tcPr>
                  <w:tcW w:w="0" w:type="auto"/>
                  <w:shd w:val="clear" w:color="auto" w:fill="auto"/>
                  <w:hideMark/>
                </w:tcPr>
                <w:p w14:paraId="0FD500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7FAC14B2" w14:textId="77777777">
                    <w:tc>
                      <w:tcPr>
                        <w:tcW w:w="0" w:type="auto"/>
                        <w:shd w:val="clear" w:color="auto" w:fill="auto"/>
                        <w:hideMark/>
                      </w:tcPr>
                      <w:p w14:paraId="75E780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857A5F3" w14:textId="77777777">
                    <w:tc>
                      <w:tcPr>
                        <w:tcW w:w="0" w:type="auto"/>
                        <w:shd w:val="clear" w:color="auto" w:fill="auto"/>
                        <w:hideMark/>
                      </w:tcPr>
                      <w:p w14:paraId="111EE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6F786014" w14:textId="77777777">
                    <w:tc>
                      <w:tcPr>
                        <w:tcW w:w="0" w:type="auto"/>
                        <w:shd w:val="clear" w:color="auto" w:fill="auto"/>
                        <w:hideMark/>
                      </w:tcPr>
                      <w:p w14:paraId="56A289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D250DCF" w14:textId="77777777">
                    <w:tc>
                      <w:tcPr>
                        <w:tcW w:w="0" w:type="auto"/>
                        <w:shd w:val="clear" w:color="auto" w:fill="auto"/>
                        <w:hideMark/>
                      </w:tcPr>
                      <w:p w14:paraId="50E755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D73B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8</w:t>
                  </w:r>
                </w:p>
                <w:p w14:paraId="0E27398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11D6C564"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775F3C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its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1BA217E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9</w:t>
                  </w:r>
                </w:p>
                <w:p w14:paraId="347AF0E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B7AE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57E09FC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1D9611AF" w14:textId="77777777">
              <w:tc>
                <w:tcPr>
                  <w:tcW w:w="0" w:type="auto"/>
                  <w:shd w:val="clear" w:color="auto" w:fill="auto"/>
                  <w:hideMark/>
                </w:tcPr>
                <w:p w14:paraId="55B399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B7AE9" w14:paraId="43F8229B" w14:textId="77777777" w:rsidTr="003B7AE9">
        <w:tc>
          <w:tcPr>
            <w:tcW w:w="0" w:type="auto"/>
            <w:shd w:val="clear" w:color="auto" w:fill="auto"/>
            <w:hideMark/>
          </w:tcPr>
          <w:p w14:paraId="03F3A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B7AE9" w14:paraId="29FD744D" w14:textId="77777777">
              <w:tc>
                <w:tcPr>
                  <w:tcW w:w="0" w:type="auto"/>
                  <w:shd w:val="clear" w:color="auto" w:fill="auto"/>
                  <w:hideMark/>
                </w:tcPr>
                <w:p w14:paraId="5E94BA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AD50A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B7AE9" w14:paraId="5A66772F" w14:textId="77777777">
              <w:tc>
                <w:tcPr>
                  <w:tcW w:w="0" w:type="auto"/>
                  <w:shd w:val="clear" w:color="auto" w:fill="auto"/>
                  <w:hideMark/>
                </w:tcPr>
                <w:p w14:paraId="346987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77CF1C98" w14:textId="77777777">
                    <w:tc>
                      <w:tcPr>
                        <w:tcW w:w="0" w:type="auto"/>
                        <w:shd w:val="clear" w:color="auto" w:fill="auto"/>
                        <w:hideMark/>
                      </w:tcPr>
                      <w:p w14:paraId="3EE063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C201AE1" w14:textId="77777777">
                    <w:tc>
                      <w:tcPr>
                        <w:tcW w:w="0" w:type="auto"/>
                        <w:shd w:val="clear" w:color="auto" w:fill="auto"/>
                        <w:hideMark/>
                      </w:tcPr>
                      <w:p w14:paraId="250EBB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427EC5BB" w14:textId="77777777">
                    <w:tc>
                      <w:tcPr>
                        <w:tcW w:w="0" w:type="auto"/>
                        <w:shd w:val="clear" w:color="auto" w:fill="auto"/>
                        <w:hideMark/>
                      </w:tcPr>
                      <w:p w14:paraId="0FE3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at zero reactive power shall be 1 pu,</w:t>
                        </w:r>
                      </w:p>
                    </w:tc>
                  </w:tr>
                </w:tbl>
                <w:p w14:paraId="14746C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FF862B2" w14:textId="77777777">
                    <w:tc>
                      <w:tcPr>
                        <w:tcW w:w="0" w:type="auto"/>
                        <w:shd w:val="clear" w:color="auto" w:fill="auto"/>
                        <w:hideMark/>
                      </w:tcPr>
                      <w:p w14:paraId="51621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66EF9A5" w14:textId="77777777">
                    <w:tc>
                      <w:tcPr>
                        <w:tcW w:w="0" w:type="auto"/>
                        <w:shd w:val="clear" w:color="auto" w:fill="auto"/>
                        <w:hideMark/>
                      </w:tcPr>
                      <w:p w14:paraId="6B634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6CFABAD6" w14:textId="77777777">
              <w:tc>
                <w:tcPr>
                  <w:tcW w:w="0" w:type="auto"/>
                  <w:shd w:val="clear" w:color="auto" w:fill="auto"/>
                  <w:hideMark/>
                </w:tcPr>
                <w:p w14:paraId="52085D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operating at an active power output below maximum capacity (P&lt;P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power park module shall be capable of providing reactive power at any operating point inside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9</w:t>
                  </w:r>
                </w:p>
                <w:p w14:paraId="115077C2"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P-Q/P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570F1AB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at the connection point by the active power, expressed by the ratio of its actual value and the maximum capacity pu,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21494F4D" w14:textId="77777777">
              <w:tc>
                <w:tcPr>
                  <w:tcW w:w="0" w:type="auto"/>
                  <w:shd w:val="clear" w:color="auto" w:fill="auto"/>
                  <w:hideMark/>
                </w:tcPr>
                <w:p w14:paraId="1D9A88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moving to any operating point within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07756C" w14:textId="77777777" w:rsidTr="003B7AE9">
        <w:tc>
          <w:tcPr>
            <w:tcW w:w="0" w:type="auto"/>
            <w:shd w:val="clear" w:color="auto" w:fill="auto"/>
            <w:hideMark/>
          </w:tcPr>
          <w:p w14:paraId="3FB652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C02BBDA" w14:textId="77777777">
              <w:tc>
                <w:tcPr>
                  <w:tcW w:w="0" w:type="auto"/>
                  <w:shd w:val="clear" w:color="auto" w:fill="auto"/>
                  <w:hideMark/>
                </w:tcPr>
                <w:p w14:paraId="4030ED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02379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tc>
            </w:tr>
          </w:tbl>
          <w:p w14:paraId="6FED72C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5FD41433" w14:textId="77777777">
              <w:tc>
                <w:tcPr>
                  <w:tcW w:w="0" w:type="auto"/>
                  <w:shd w:val="clear" w:color="auto" w:fill="auto"/>
                  <w:hideMark/>
                </w:tcPr>
                <w:p w14:paraId="03587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F944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purposes of voltage control mode, the power park module shall be capable of contributing to voltage control at the connection point by provision of reactive power exchange with the network with a setpoint voltage covering 0,95 to 1,05 pu in steps no greater than 0,01 pu, with a slope having a range of at least 2 to 7 % in steps no greater than 0,5 %. The reactive power output shall be zero when the grid voltage value at the connection point equals the voltage setpoint;</w:t>
                  </w:r>
                </w:p>
              </w:tc>
            </w:tr>
          </w:tbl>
          <w:p w14:paraId="6617C5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1115405C" w14:textId="77777777">
              <w:tc>
                <w:tcPr>
                  <w:tcW w:w="0" w:type="auto"/>
                  <w:shd w:val="clear" w:color="auto" w:fill="auto"/>
                  <w:hideMark/>
                </w:tcPr>
                <w:p w14:paraId="3906DC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may be operated with or without a deadband selectable in a range from zero to ± 5 % of reference 1 pu network voltage in steps no greater than 0,5 %;</w:t>
                  </w:r>
                </w:p>
              </w:tc>
            </w:tr>
          </w:tbl>
          <w:p w14:paraId="7752D3A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3295997A" w14:textId="77777777">
              <w:tc>
                <w:tcPr>
                  <w:tcW w:w="0" w:type="auto"/>
                  <w:shd w:val="clear" w:color="auto" w:fill="auto"/>
                  <w:hideMark/>
                </w:tcPr>
                <w:p w14:paraId="3F8F6D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C786A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xml:space="preserve"> to be </w:t>
                  </w:r>
                  <w:r w:rsidRPr="003B7AE9">
                    <w:rPr>
                      <w:rFonts w:ascii="inherit" w:eastAsia="Times New Roman" w:hAnsi="inherit" w:cs="Times New Roman"/>
                      <w:sz w:val="24"/>
                      <w:szCs w:val="24"/>
                      <w:lang w:eastAsia="en-GB"/>
                    </w:rPr>
                    <w:lastRenderedPageBreak/>
                    <w:t>specified by the relevant system operator in the range of 1 to 5 seconds, and must settle at the value specified by the slope within a time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 The relevant system operator shall specify the time specifications;</w:t>
                  </w:r>
                </w:p>
              </w:tc>
            </w:tr>
          </w:tbl>
          <w:p w14:paraId="302DA49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2F07251E" w14:textId="77777777">
              <w:tc>
                <w:tcPr>
                  <w:tcW w:w="0" w:type="auto"/>
                  <w:shd w:val="clear" w:color="auto" w:fill="auto"/>
                  <w:hideMark/>
                </w:tcPr>
                <w:p w14:paraId="620F91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578655D7" w14:textId="77777777">
              <w:tc>
                <w:tcPr>
                  <w:tcW w:w="0" w:type="auto"/>
                  <w:shd w:val="clear" w:color="auto" w:fill="auto"/>
                  <w:hideMark/>
                </w:tcPr>
                <w:p w14:paraId="4DFDD1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D4E14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period of time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p>
              </w:tc>
            </w:tr>
          </w:tbl>
          <w:p w14:paraId="5797EF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91900AB" w14:textId="77777777">
              <w:tc>
                <w:tcPr>
                  <w:tcW w:w="0" w:type="auto"/>
                  <w:shd w:val="clear" w:color="auto" w:fill="auto"/>
                  <w:hideMark/>
                </w:tcPr>
                <w:p w14:paraId="7AC605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1E0E1F5" w14:textId="77777777" w:rsidTr="003B7AE9">
        <w:tc>
          <w:tcPr>
            <w:tcW w:w="0" w:type="auto"/>
            <w:shd w:val="clear" w:color="auto" w:fill="auto"/>
            <w:hideMark/>
          </w:tcPr>
          <w:p w14:paraId="1C1034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ms from the fault inception;</w:t>
            </w:r>
          </w:p>
        </w:tc>
      </w:tr>
    </w:tbl>
    <w:p w14:paraId="3B4943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34D3B3D3" w14:textId="77777777" w:rsidTr="003B7AE9">
        <w:tc>
          <w:tcPr>
            <w:tcW w:w="0" w:type="auto"/>
            <w:shd w:val="clear" w:color="auto" w:fill="auto"/>
            <w:hideMark/>
          </w:tcPr>
          <w:p w14:paraId="04A11B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3ADFD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power oscillations damping control, if specified by the relevant TSO a power park module shall be capable of contributing to damping power oscillations. The voltage and reactive power control characteristics of power park modules must not adversely affect the damping of power oscillations.</w:t>
            </w:r>
          </w:p>
        </w:tc>
      </w:tr>
    </w:tbl>
    <w:p w14:paraId="38A67647"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44" w:author="Author">
            <w:rPr/>
          </w:rPrChange>
        </w:rPr>
        <w:pPrChange w:id="845"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22</w:t>
      </w:r>
    </w:p>
    <w:p w14:paraId="6514465A"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46" w:author="Author">
          <w:pPr>
            <w:shd w:val="clear" w:color="auto" w:fill="FFFFFF"/>
            <w:jc w:val="center"/>
          </w:pPr>
        </w:pPrChange>
      </w:pPr>
      <w:r w:rsidRPr="003B7AE9">
        <w:rPr>
          <w:rFonts w:ascii="inherit" w:eastAsia="Times New Roman" w:hAnsi="inherit" w:cs="Times New Roman"/>
          <w:b/>
          <w:bCs/>
          <w:color w:val="000000"/>
          <w:sz w:val="24"/>
          <w:szCs w:val="24"/>
          <w:lang w:eastAsia="en-GB"/>
        </w:rPr>
        <w:t>Requirements for type D power park modules</w:t>
      </w:r>
    </w:p>
    <w:p w14:paraId="55DBCC40"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47" w:author="Author">
          <w:pPr>
            <w:shd w:val="clear" w:color="auto" w:fill="FFFFFF"/>
            <w:jc w:val="both"/>
          </w:pPr>
        </w:pPrChange>
      </w:pPr>
      <w:r w:rsidRPr="003B7AE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B7AE9" w:rsidRDefault="003B7AE9" w:rsidP="0060282F">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848"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4</w:t>
      </w:r>
    </w:p>
    <w:p w14:paraId="2D069C2E" w14:textId="77777777" w:rsidR="003B7AE9" w:rsidRPr="003B7AE9" w:rsidRDefault="003B7AE9" w:rsidP="0060282F">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849"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lastRenderedPageBreak/>
        <w:t>Requirements for offshore power park modules</w:t>
      </w:r>
    </w:p>
    <w:p w14:paraId="71A25F28"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50" w:author="Author">
            <w:rPr/>
          </w:rPrChange>
        </w:rPr>
        <w:pPrChange w:id="851"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23</w:t>
      </w:r>
    </w:p>
    <w:p w14:paraId="7D29888C"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52" w:author="Author">
          <w:pPr>
            <w:shd w:val="clear" w:color="auto" w:fill="FFFFFF"/>
            <w:jc w:val="center"/>
          </w:pPr>
        </w:pPrChange>
      </w:pPr>
      <w:r w:rsidRPr="003B7AE9">
        <w:rPr>
          <w:rFonts w:ascii="inherit" w:eastAsia="Times New Roman" w:hAnsi="inherit" w:cs="Times New Roman"/>
          <w:b/>
          <w:bCs/>
          <w:color w:val="000000"/>
          <w:sz w:val="24"/>
          <w:szCs w:val="24"/>
          <w:lang w:eastAsia="en-GB"/>
        </w:rPr>
        <w:t>General provisions</w:t>
      </w:r>
    </w:p>
    <w:p w14:paraId="3D686F5A"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53" w:author="Author">
          <w:pPr>
            <w:shd w:val="clear" w:color="auto" w:fill="FFFFFF"/>
            <w:jc w:val="both"/>
          </w:pPr>
        </w:pPrChange>
      </w:pPr>
      <w:r w:rsidRPr="003B7AE9">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54" w:author="Author">
          <w:pPr>
            <w:shd w:val="clear" w:color="auto" w:fill="FFFFFF"/>
            <w:jc w:val="both"/>
          </w:pPr>
        </w:pPrChange>
      </w:pPr>
      <w:r w:rsidRPr="003B7AE9">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55" w:author="Author">
          <w:pPr>
            <w:shd w:val="clear" w:color="auto" w:fill="FFFFFF"/>
            <w:jc w:val="both"/>
          </w:pPr>
        </w:pPrChange>
      </w:pPr>
      <w:r w:rsidRPr="003B7AE9">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C5FEB7" w14:textId="77777777" w:rsidTr="003B7AE9">
        <w:tc>
          <w:tcPr>
            <w:tcW w:w="0" w:type="auto"/>
            <w:shd w:val="clear" w:color="auto" w:fill="auto"/>
            <w:hideMark/>
          </w:tcPr>
          <w:p w14:paraId="07F576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C2A5A2A" w14:textId="77777777" w:rsidTr="003B7AE9">
        <w:tc>
          <w:tcPr>
            <w:tcW w:w="0" w:type="auto"/>
            <w:shd w:val="clear" w:color="auto" w:fill="auto"/>
            <w:hideMark/>
          </w:tcPr>
          <w:p w14:paraId="467E15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56" w:author="Author">
            <w:rPr/>
          </w:rPrChange>
        </w:rPr>
        <w:pPrChange w:id="857"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24</w:t>
      </w:r>
    </w:p>
    <w:p w14:paraId="4A0E72A0"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58" w:author="Author">
          <w:pPr>
            <w:shd w:val="clear" w:color="auto" w:fill="FFFFFF"/>
            <w:jc w:val="center"/>
          </w:pPr>
        </w:pPrChange>
      </w:pPr>
      <w:r w:rsidRPr="003B7AE9">
        <w:rPr>
          <w:rFonts w:ascii="inherit" w:eastAsia="Times New Roman" w:hAnsi="inherit" w:cs="Times New Roman"/>
          <w:b/>
          <w:bCs/>
          <w:color w:val="000000"/>
          <w:sz w:val="24"/>
          <w:szCs w:val="24"/>
          <w:lang w:eastAsia="en-GB"/>
        </w:rPr>
        <w:t>Frequency stability requirements applicable to AC-connected offshore power park modules</w:t>
      </w:r>
    </w:p>
    <w:p w14:paraId="2750386C"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59" w:author="Author">
          <w:pPr>
            <w:shd w:val="clear" w:color="auto" w:fill="FFFFFF"/>
            <w:jc w:val="both"/>
          </w:pPr>
        </w:pPrChange>
      </w:pPr>
      <w:r w:rsidRPr="003B7AE9">
        <w:rPr>
          <w:rFonts w:ascii="inherit" w:eastAsia="Times New Roman" w:hAnsi="inherit" w:cs="Times New Roman"/>
          <w:color w:val="000000"/>
          <w:sz w:val="24"/>
          <w:szCs w:val="24"/>
          <w:lang w:eastAsia="en-GB"/>
        </w:rPr>
        <w:t>The frequency stability requirements laid down respectively in Article 13(1) to (5), except for Article 13(2)(b), Article 15(2) and Article 21(2) shall apply to any AC-connected offshore power park module.</w:t>
      </w:r>
    </w:p>
    <w:p w14:paraId="4B9147F9"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60" w:author="Author">
            <w:rPr/>
          </w:rPrChange>
        </w:rPr>
        <w:pPrChange w:id="861"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25</w:t>
      </w:r>
    </w:p>
    <w:p w14:paraId="1F82F2E7"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62" w:author="Author">
          <w:pPr>
            <w:shd w:val="clear" w:color="auto" w:fill="FFFFFF"/>
            <w:jc w:val="center"/>
          </w:pPr>
        </w:pPrChange>
      </w:pPr>
      <w:r w:rsidRPr="003B7AE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pu voltage, and for the time periods specified in Table 10.</w:t>
      </w:r>
    </w:p>
    <w:p w14:paraId="79A705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provisions of paragraph 1, the relevant TSO in Spain may require AC-connected offshore power park modules to remain connected to the network in the voltage range between 1,05 pu and 1,0875 pu for an unlimited period.</w:t>
      </w:r>
    </w:p>
    <w:p w14:paraId="17795FAC"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63" w:author="Author">
          <w:pPr>
            <w:shd w:val="clear" w:color="auto" w:fill="FFFFFF"/>
            <w:jc w:val="both"/>
          </w:pPr>
        </w:pPrChange>
      </w:pPr>
      <w:r w:rsidRPr="003B7AE9">
        <w:rPr>
          <w:rFonts w:ascii="inherit" w:eastAsia="Times New Roman" w:hAnsi="inherit" w:cs="Times New Roman"/>
          <w:color w:val="000000"/>
          <w:sz w:val="24"/>
          <w:szCs w:val="24"/>
          <w:lang w:eastAsia="en-GB"/>
        </w:rPr>
        <w:t xml:space="preserve">3.   Notwithstanding the provisions of paragraph 1, the relevant TSOs in the Baltic synchronous area may require AC-connected offshore power park modules to remain </w:t>
      </w:r>
      <w:r w:rsidRPr="003B7AE9">
        <w:rPr>
          <w:rFonts w:ascii="inherit" w:eastAsia="Times New Roman" w:hAnsi="inherit" w:cs="Times New Roman"/>
          <w:color w:val="000000"/>
          <w:sz w:val="24"/>
          <w:szCs w:val="24"/>
          <w:lang w:eastAsia="en-GB"/>
        </w:rPr>
        <w:lastRenderedPageBreak/>
        <w:t>connected to the 400 kV network in the voltage range and for the time periods that apply to the Continental Europe synchronous area.</w:t>
      </w:r>
    </w:p>
    <w:p w14:paraId="265819E2" w14:textId="77777777" w:rsidR="003B7AE9" w:rsidRPr="003B7AE9" w:rsidRDefault="003B7AE9" w:rsidP="0060282F">
      <w:pPr>
        <w:shd w:val="clear" w:color="auto" w:fill="FFFFFF" w:themeFill="background1"/>
        <w:spacing w:before="120" w:after="120" w:line="240" w:lineRule="auto"/>
        <w:jc w:val="center"/>
        <w:rPr>
          <w:rFonts w:ascii="inherit" w:eastAsia="Times New Roman" w:hAnsi="inherit" w:cs="Times New Roman"/>
          <w:color w:val="000000"/>
          <w:sz w:val="24"/>
          <w:szCs w:val="24"/>
          <w:lang w:eastAsia="en-GB"/>
        </w:rPr>
        <w:pPrChange w:id="864" w:author="Author">
          <w:pPr>
            <w:shd w:val="clear" w:color="auto" w:fill="FFFFFF"/>
            <w:jc w:val="center"/>
          </w:pPr>
        </w:pPrChange>
      </w:pPr>
      <w:r w:rsidRPr="2D4DAF54">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B7AE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 pu-1,118 pu</w:t>
            </w:r>
            <w:hyperlink r:id="rId27"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28"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29"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0"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1"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2"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hyperlink r:id="rId33"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34"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5"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hyperlink r:id="rId36"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hyperlink r:id="rId37"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38"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hyperlink r:id="rId39"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hyperlink r:id="rId40"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hyperlink r:id="rId41"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17D4A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table shows the minimum period during which an AC-connected offshore power park module must be capable of operating over different voltage ranges deviating from the reference 1 pu value without disconnecting.</w:t>
      </w:r>
    </w:p>
    <w:p w14:paraId="55591F49"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65" w:author="Author">
          <w:pPr>
            <w:shd w:val="clear" w:color="auto" w:fill="FFFFFF"/>
            <w:jc w:val="both"/>
          </w:pPr>
        </w:pPrChange>
      </w:pPr>
      <w:r w:rsidRPr="003B7AE9">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66" w:author="Author">
          <w:pPr>
            <w:shd w:val="clear" w:color="auto" w:fill="FFFFFF"/>
            <w:jc w:val="both"/>
          </w:pPr>
        </w:pPrChange>
      </w:pPr>
      <w:r w:rsidRPr="003B7AE9">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B7AE9" w:rsidRDefault="003B7AE9" w:rsidP="0060282F">
      <w:pPr>
        <w:shd w:val="clear" w:color="auto" w:fill="FFFFFF" w:themeFill="background1"/>
        <w:spacing w:before="120" w:after="120" w:line="240" w:lineRule="auto"/>
        <w:jc w:val="center"/>
        <w:rPr>
          <w:rFonts w:ascii="inherit" w:eastAsia="Times New Roman" w:hAnsi="inherit" w:cs="Times New Roman"/>
          <w:color w:val="000000"/>
          <w:sz w:val="24"/>
          <w:szCs w:val="24"/>
          <w:lang w:eastAsia="en-GB"/>
        </w:rPr>
        <w:pPrChange w:id="867" w:author="Author">
          <w:pPr>
            <w:shd w:val="clear" w:color="auto" w:fill="FFFFFF"/>
            <w:jc w:val="center"/>
          </w:pPr>
        </w:pPrChange>
      </w:pPr>
      <w:r w:rsidRPr="2D4DAF54">
        <w:rPr>
          <w:rFonts w:ascii="inherit" w:eastAsia="Times New Roman" w:hAnsi="inherit" w:cs="Times New Roman"/>
          <w:i/>
          <w:iCs/>
          <w:color w:val="000000"/>
          <w:sz w:val="24"/>
          <w:szCs w:val="24"/>
          <w:lang w:eastAsia="en-GB"/>
        </w:rPr>
        <w:t>Table 11</w:t>
      </w:r>
    </w:p>
    <w:p w14:paraId="5999F983" w14:textId="77777777" w:rsidR="003B7AE9" w:rsidRPr="003B7AE9" w:rsidRDefault="003B7AE9" w:rsidP="0060282F">
      <w:pPr>
        <w:shd w:val="clear" w:color="auto" w:fill="FFFFFF" w:themeFill="background1"/>
        <w:spacing w:before="120" w:after="120" w:line="240" w:lineRule="auto"/>
        <w:jc w:val="center"/>
        <w:rPr>
          <w:rFonts w:ascii="inherit" w:eastAsia="Times New Roman" w:hAnsi="inherit" w:cs="Times New Roman"/>
          <w:color w:val="000000"/>
          <w:sz w:val="24"/>
          <w:szCs w:val="24"/>
          <w:lang w:eastAsia="en-GB"/>
        </w:rPr>
        <w:pPrChange w:id="868" w:author="Author">
          <w:pPr>
            <w:shd w:val="clear" w:color="auto" w:fill="FFFFFF"/>
            <w:jc w:val="center"/>
          </w:pPr>
        </w:pPrChange>
      </w:pPr>
      <w:r w:rsidRPr="003B7AE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B7AE9"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hyperlink r:id="rId42" w:anchor="ntr***-L_2016112EN.01000101-E0009"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p w14:paraId="3EA8D4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0,33</w:t>
            </w:r>
            <w:hyperlink r:id="rId43" w:anchor="ntr****-L_2016112EN.01000101-E0010"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w:t>
            </w:r>
          </w:p>
        </w:tc>
      </w:tr>
    </w:tbl>
    <w:p w14:paraId="38388937"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69" w:author="Author">
            <w:rPr/>
          </w:rPrChange>
        </w:rPr>
        <w:pPrChange w:id="870"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26</w:t>
      </w:r>
    </w:p>
    <w:p w14:paraId="6BF4C584"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71" w:author="Author">
          <w:pPr>
            <w:shd w:val="clear" w:color="auto" w:fill="FFFFFF"/>
            <w:jc w:val="center"/>
          </w:pPr>
        </w:pPrChange>
      </w:pPr>
      <w:r w:rsidRPr="003B7AE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72" w:author="Author">
          <w:pPr>
            <w:shd w:val="clear" w:color="auto" w:fill="FFFFFF"/>
            <w:jc w:val="both"/>
          </w:pPr>
        </w:pPrChange>
      </w:pPr>
      <w:r w:rsidRPr="003B7AE9">
        <w:rPr>
          <w:rFonts w:ascii="inherit" w:eastAsia="Times New Roman" w:hAnsi="inherit" w:cs="Times New Roman"/>
          <w:color w:val="000000"/>
          <w:sz w:val="24"/>
          <w:szCs w:val="24"/>
          <w:lang w:eastAsia="en-GB"/>
        </w:rPr>
        <w:lastRenderedPageBreak/>
        <w:t>1.   The robustness requirements of power-generating modules laid down in Article 15(4) and Article 20(3) shall apply to AC-connected offshore power park modules.</w:t>
      </w:r>
    </w:p>
    <w:p w14:paraId="434053D6"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73" w:author="Author">
          <w:pPr>
            <w:shd w:val="clear" w:color="auto" w:fill="FFFFFF"/>
            <w:jc w:val="both"/>
          </w:pPr>
        </w:pPrChange>
      </w:pPr>
      <w:r w:rsidRPr="003B7AE9">
        <w:rPr>
          <w:rFonts w:ascii="inherit" w:eastAsia="Times New Roman" w:hAnsi="inherit" w:cs="Times New Roman"/>
          <w:color w:val="000000"/>
          <w:sz w:val="24"/>
          <w:szCs w:val="24"/>
          <w:lang w:eastAsia="en-GB"/>
        </w:rPr>
        <w:t>2.   The fault-ride-through capability requirements laid down in point (a) of Article 14(3) and point (a) of Article 16(3) shall apply to AC-connected offshore power park modules.</w:t>
      </w:r>
    </w:p>
    <w:p w14:paraId="15DD0C84"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74" w:author="Author">
            <w:rPr/>
          </w:rPrChange>
        </w:rPr>
        <w:pPrChange w:id="875"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27</w:t>
      </w:r>
    </w:p>
    <w:p w14:paraId="5C35DA46"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76" w:author="Author">
          <w:pPr>
            <w:shd w:val="clear" w:color="auto" w:fill="FFFFFF"/>
            <w:jc w:val="center"/>
          </w:pPr>
        </w:pPrChange>
      </w:pPr>
      <w:r w:rsidRPr="003B7AE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77" w:author="Author">
          <w:pPr>
            <w:shd w:val="clear" w:color="auto" w:fill="FFFFFF"/>
            <w:jc w:val="both"/>
          </w:pPr>
        </w:pPrChange>
      </w:pPr>
      <w:r w:rsidRPr="003B7AE9">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78" w:author="Author">
            <w:rPr/>
          </w:rPrChange>
        </w:rPr>
        <w:pPrChange w:id="879"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28</w:t>
      </w:r>
    </w:p>
    <w:p w14:paraId="68864874"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80" w:author="Author">
          <w:pPr>
            <w:shd w:val="clear" w:color="auto" w:fill="FFFFFF"/>
            <w:jc w:val="center"/>
          </w:pPr>
        </w:pPrChange>
      </w:pPr>
      <w:r w:rsidRPr="003B7AE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81" w:author="Author">
          <w:pPr>
            <w:shd w:val="clear" w:color="auto" w:fill="FFFFFF"/>
            <w:jc w:val="both"/>
          </w:pPr>
        </w:pPrChange>
      </w:pPr>
      <w:r w:rsidRPr="003B7AE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3B7AE9" w:rsidRDefault="003B7AE9" w:rsidP="0060282F">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882" w:author="Author">
          <w:pPr>
            <w:shd w:val="clear" w:color="auto" w:fill="FFFFFF"/>
            <w:jc w:val="center"/>
          </w:pPr>
        </w:pPrChange>
      </w:pPr>
      <w:r w:rsidRPr="003B7AE9">
        <w:rPr>
          <w:rFonts w:ascii="inherit" w:eastAsia="Times New Roman" w:hAnsi="inherit" w:cs="Times New Roman"/>
          <w:b/>
          <w:bCs/>
          <w:color w:val="000000"/>
          <w:sz w:val="24"/>
          <w:szCs w:val="24"/>
          <w:lang w:eastAsia="en-GB"/>
        </w:rPr>
        <w:t>TITLE III</w:t>
      </w:r>
    </w:p>
    <w:p w14:paraId="4558F7DC" w14:textId="77777777" w:rsidR="003B7AE9" w:rsidRPr="003B7AE9" w:rsidRDefault="003B7AE9" w:rsidP="0060282F">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883" w:author="Author">
          <w:pPr>
            <w:shd w:val="clear" w:color="auto" w:fill="FFFFFF"/>
            <w:jc w:val="center"/>
          </w:pPr>
        </w:pPrChange>
      </w:pPr>
      <w:r w:rsidRPr="003B7AE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B7AE9" w:rsidRDefault="003B7AE9" w:rsidP="0060282F">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884"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1</w:t>
      </w:r>
    </w:p>
    <w:p w14:paraId="3226A538" w14:textId="77777777" w:rsidR="003B7AE9" w:rsidRPr="003B7AE9" w:rsidRDefault="003B7AE9" w:rsidP="0060282F">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885"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t>Connection of new power-generating modules</w:t>
      </w:r>
    </w:p>
    <w:p w14:paraId="0F9D2BE4"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86" w:author="Author">
            <w:rPr/>
          </w:rPrChange>
        </w:rPr>
        <w:pPrChange w:id="887"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29</w:t>
      </w:r>
    </w:p>
    <w:p w14:paraId="1BA980F1"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88" w:author="Author">
          <w:pPr>
            <w:shd w:val="clear" w:color="auto" w:fill="FFFFFF"/>
            <w:jc w:val="center"/>
          </w:pPr>
        </w:pPrChange>
      </w:pPr>
      <w:r w:rsidRPr="003B7AE9">
        <w:rPr>
          <w:rFonts w:ascii="inherit" w:eastAsia="Times New Roman" w:hAnsi="inherit" w:cs="Times New Roman"/>
          <w:b/>
          <w:bCs/>
          <w:color w:val="000000"/>
          <w:sz w:val="24"/>
          <w:szCs w:val="24"/>
          <w:lang w:eastAsia="en-GB"/>
        </w:rPr>
        <w:t>General provisions</w:t>
      </w:r>
    </w:p>
    <w:p w14:paraId="50C454BC"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89" w:author="Author">
          <w:pPr>
            <w:shd w:val="clear" w:color="auto" w:fill="FFFFFF"/>
            <w:jc w:val="both"/>
          </w:pPr>
        </w:pPrChange>
      </w:pPr>
      <w:r w:rsidRPr="003B7AE9">
        <w:rPr>
          <w:rFonts w:ascii="inherit" w:eastAsia="Times New Roman" w:hAnsi="inherit" w:cs="Times New Roman"/>
          <w:color w:val="000000"/>
          <w:sz w:val="24"/>
          <w:szCs w:val="24"/>
          <w:lang w:eastAsia="en-GB"/>
        </w:rPr>
        <w:t>1.   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16F394D1"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90" w:author="Author">
          <w:pPr>
            <w:shd w:val="clear" w:color="auto" w:fill="FFFFFF"/>
            <w:jc w:val="both"/>
          </w:pPr>
        </w:pPrChange>
      </w:pPr>
      <w:r w:rsidRPr="003B7AE9">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p>
    <w:p w14:paraId="19A0CFEC"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91" w:author="Author">
            <w:rPr/>
          </w:rPrChange>
        </w:rPr>
        <w:pPrChange w:id="892"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30</w:t>
      </w:r>
    </w:p>
    <w:p w14:paraId="49555AD7"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893" w:author="Author">
          <w:pPr>
            <w:shd w:val="clear" w:color="auto" w:fill="FFFFFF"/>
            <w:jc w:val="center"/>
          </w:pPr>
        </w:pPrChange>
      </w:pPr>
      <w:r w:rsidRPr="003B7AE9">
        <w:rPr>
          <w:rFonts w:ascii="inherit" w:eastAsia="Times New Roman" w:hAnsi="inherit" w:cs="Times New Roman"/>
          <w:b/>
          <w:bCs/>
          <w:color w:val="000000"/>
          <w:sz w:val="24"/>
          <w:szCs w:val="24"/>
          <w:lang w:eastAsia="en-GB"/>
        </w:rPr>
        <w:t>Operational notification of type A power-generating modules</w:t>
      </w:r>
    </w:p>
    <w:p w14:paraId="6A8AB63B"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94" w:author="Author">
          <w:pPr>
            <w:shd w:val="clear" w:color="auto" w:fill="FFFFFF"/>
            <w:jc w:val="both"/>
          </w:pPr>
        </w:pPrChange>
      </w:pPr>
      <w:r w:rsidRPr="003B7AE9">
        <w:rPr>
          <w:rFonts w:ascii="inherit" w:eastAsia="Times New Roman" w:hAnsi="inherit" w:cs="Times New Roman"/>
          <w:color w:val="000000"/>
          <w:sz w:val="24"/>
          <w:szCs w:val="24"/>
          <w:lang w:eastAsia="en-GB"/>
        </w:rPr>
        <w:t>1.   The operational notification procedure for connection of each new type A power-generating module shall consist of submitting an installation document. The power-generating facility owner shall ensure that the required information is filled in on an installation document obtained from the relevant system operator and is submitted to the system operator. Separate installation documents shall be provided for each power-generating module within the power-generating facility.</w:t>
      </w:r>
    </w:p>
    <w:p w14:paraId="667DE440"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95" w:author="Author">
          <w:pPr>
            <w:shd w:val="clear" w:color="auto" w:fill="FFFFFF"/>
            <w:jc w:val="both"/>
          </w:pPr>
        </w:pPrChange>
      </w:pPr>
      <w:r w:rsidRPr="003B7AE9">
        <w:rPr>
          <w:rFonts w:ascii="inherit" w:eastAsia="Times New Roman" w:hAnsi="inherit" w:cs="Times New Roman"/>
          <w:color w:val="000000"/>
          <w:sz w:val="24"/>
          <w:szCs w:val="24"/>
          <w:lang w:eastAsia="en-GB"/>
        </w:rPr>
        <w:lastRenderedPageBreak/>
        <w:t>The relevant system operator shall ensure that the required information can be submitted by third parties on behalf of the power-generating facility owner.</w:t>
      </w:r>
    </w:p>
    <w:p w14:paraId="06AA5DE5"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96" w:author="Author">
          <w:pPr>
            <w:shd w:val="clear" w:color="auto" w:fill="FFFFFF"/>
            <w:jc w:val="both"/>
          </w:pPr>
        </w:pPrChange>
      </w:pPr>
      <w:r w:rsidRPr="003B7AE9">
        <w:rPr>
          <w:rFonts w:ascii="inherit" w:eastAsia="Times New Roman" w:hAnsi="inherit" w:cs="Times New Roman"/>
          <w:color w:val="000000"/>
          <w:sz w:val="24"/>
          <w:szCs w:val="24"/>
          <w:lang w:eastAsia="en-GB"/>
        </w:rPr>
        <w:t>2.   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B7AE9" w14:paraId="471B402A" w14:textId="77777777" w:rsidTr="003B7AE9">
        <w:tc>
          <w:tcPr>
            <w:tcW w:w="0" w:type="auto"/>
            <w:shd w:val="clear" w:color="auto" w:fill="auto"/>
            <w:hideMark/>
          </w:tcPr>
          <w:p w14:paraId="50E0CA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7B796E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B7AE9" w14:paraId="390166C9" w14:textId="77777777" w:rsidTr="003B7AE9">
        <w:tc>
          <w:tcPr>
            <w:tcW w:w="0" w:type="auto"/>
            <w:shd w:val="clear" w:color="auto" w:fill="auto"/>
            <w:hideMark/>
          </w:tcPr>
          <w:p w14:paraId="7C9551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05D108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B7AE9" w14:paraId="0A6612F8" w14:textId="77777777" w:rsidTr="003B7AE9">
        <w:tc>
          <w:tcPr>
            <w:tcW w:w="0" w:type="auto"/>
            <w:shd w:val="clear" w:color="auto" w:fill="auto"/>
            <w:hideMark/>
          </w:tcPr>
          <w:p w14:paraId="3F48D4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08F274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3B7AE9" w14:paraId="53BB8488" w14:textId="77777777" w:rsidTr="003B7AE9">
        <w:tc>
          <w:tcPr>
            <w:tcW w:w="0" w:type="auto"/>
            <w:shd w:val="clear" w:color="auto" w:fill="auto"/>
            <w:hideMark/>
          </w:tcPr>
          <w:p w14:paraId="586D67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p>
        </w:tc>
      </w:tr>
    </w:tbl>
    <w:p w14:paraId="5BD825C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BACE648" w14:textId="77777777" w:rsidTr="003B7AE9">
        <w:tc>
          <w:tcPr>
            <w:tcW w:w="0" w:type="auto"/>
            <w:shd w:val="clear" w:color="auto" w:fill="auto"/>
            <w:hideMark/>
          </w:tcPr>
          <w:p w14:paraId="0E2F25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1CC0A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5E096243" w14:textId="77777777" w:rsidTr="003B7AE9">
        <w:tc>
          <w:tcPr>
            <w:tcW w:w="0" w:type="auto"/>
            <w:shd w:val="clear" w:color="auto" w:fill="auto"/>
            <w:hideMark/>
          </w:tcPr>
          <w:p w14:paraId="20AF08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13A07EE4" w14:textId="77777777" w:rsidTr="003B7AE9">
        <w:tc>
          <w:tcPr>
            <w:tcW w:w="0" w:type="auto"/>
            <w:shd w:val="clear" w:color="auto" w:fill="auto"/>
            <w:hideMark/>
          </w:tcPr>
          <w:p w14:paraId="3A86EA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B7AE9" w14:paraId="45644A6A" w14:textId="77777777" w:rsidTr="003B7AE9">
        <w:tc>
          <w:tcPr>
            <w:tcW w:w="0" w:type="auto"/>
            <w:shd w:val="clear" w:color="auto" w:fill="auto"/>
            <w:hideMark/>
          </w:tcPr>
          <w:p w14:paraId="56DA24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w:t>
            </w:r>
          </w:p>
        </w:tc>
        <w:tc>
          <w:tcPr>
            <w:tcW w:w="0" w:type="auto"/>
            <w:shd w:val="clear" w:color="auto" w:fill="auto"/>
            <w:hideMark/>
          </w:tcPr>
          <w:p w14:paraId="09B6D0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contact details of the power-generating facility owner and the installer and their signatures.</w:t>
            </w:r>
          </w:p>
        </w:tc>
      </w:tr>
    </w:tbl>
    <w:p w14:paraId="33879B0D"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97" w:author="Author">
          <w:pPr>
            <w:shd w:val="clear" w:color="auto" w:fill="FFFFFF"/>
            <w:jc w:val="both"/>
          </w:pPr>
        </w:pPrChange>
      </w:pPr>
      <w:r w:rsidRPr="003B7AE9">
        <w:rPr>
          <w:rFonts w:ascii="inherit" w:eastAsia="Times New Roman" w:hAnsi="inherit" w:cs="Times New Roman"/>
          <w:color w:val="000000"/>
          <w:sz w:val="24"/>
          <w:szCs w:val="24"/>
          <w:lang w:eastAsia="en-GB"/>
        </w:rPr>
        <w:t>3.   The power-generating facility owner shall ensure that the relevant system operator or the competent authority of the Member State is notified about the permanent decommissioning of a power-generating module in accordance with national legislation.</w:t>
      </w:r>
    </w:p>
    <w:p w14:paraId="745413B1"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898" w:author="Author">
          <w:pPr>
            <w:shd w:val="clear" w:color="auto" w:fill="FFFFFF"/>
            <w:jc w:val="both"/>
          </w:pPr>
        </w:pPrChange>
      </w:pPr>
      <w:r w:rsidRPr="003B7AE9">
        <w:rPr>
          <w:rFonts w:ascii="inherit" w:eastAsia="Times New Roman" w:hAnsi="inherit" w:cs="Times New Roman"/>
          <w:color w:val="000000"/>
          <w:sz w:val="24"/>
          <w:szCs w:val="24"/>
          <w:lang w:eastAsia="en-GB"/>
        </w:rPr>
        <w:t>The relevant system operator shall ensure that such notification can be made by third parties, including aggregators.</w:t>
      </w:r>
    </w:p>
    <w:p w14:paraId="58846290"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899" w:author="Author">
            <w:rPr/>
          </w:rPrChange>
        </w:rPr>
        <w:pPrChange w:id="900"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31</w:t>
      </w:r>
    </w:p>
    <w:p w14:paraId="69C6127D"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01" w:author="Author">
          <w:pPr>
            <w:shd w:val="clear" w:color="auto" w:fill="FFFFFF"/>
            <w:jc w:val="center"/>
          </w:pPr>
        </w:pPrChange>
      </w:pPr>
      <w:r w:rsidRPr="003B7AE9">
        <w:rPr>
          <w:rFonts w:ascii="inherit" w:eastAsia="Times New Roman" w:hAnsi="inherit" w:cs="Times New Roman"/>
          <w:b/>
          <w:bCs/>
          <w:color w:val="000000"/>
          <w:sz w:val="24"/>
          <w:szCs w:val="24"/>
          <w:lang w:eastAsia="en-GB"/>
        </w:rPr>
        <w:t>Operational notification of type B, C and D power-generating modules</w:t>
      </w:r>
    </w:p>
    <w:p w14:paraId="6EC03FFE"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02" w:author="Author">
          <w:pPr>
            <w:shd w:val="clear" w:color="auto" w:fill="FFFFFF"/>
            <w:jc w:val="both"/>
          </w:pPr>
        </w:pPrChange>
      </w:pPr>
      <w:r w:rsidRPr="003B7AE9">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6063D368"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903" w:author="Author">
            <w:rPr/>
          </w:rPrChange>
        </w:rPr>
        <w:pPrChange w:id="904"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32</w:t>
      </w:r>
    </w:p>
    <w:p w14:paraId="70B2186A"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05" w:author="Author">
          <w:pPr>
            <w:shd w:val="clear" w:color="auto" w:fill="FFFFFF"/>
            <w:jc w:val="center"/>
          </w:pPr>
        </w:pPrChange>
      </w:pPr>
      <w:r w:rsidRPr="003B7AE9">
        <w:rPr>
          <w:rFonts w:ascii="inherit" w:eastAsia="Times New Roman" w:hAnsi="inherit" w:cs="Times New Roman"/>
          <w:b/>
          <w:bCs/>
          <w:color w:val="000000"/>
          <w:sz w:val="24"/>
          <w:szCs w:val="24"/>
          <w:lang w:eastAsia="en-GB"/>
        </w:rPr>
        <w:t>Procedure for type B and C power-generating modules</w:t>
      </w:r>
    </w:p>
    <w:p w14:paraId="7B5FA054"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06" w:author="Author">
          <w:pPr>
            <w:shd w:val="clear" w:color="auto" w:fill="FFFFFF"/>
            <w:jc w:val="both"/>
          </w:pPr>
        </w:pPrChange>
      </w:pPr>
      <w:r w:rsidRPr="003B7AE9">
        <w:rPr>
          <w:rFonts w:ascii="inherit" w:eastAsia="Times New Roman" w:hAnsi="inherit" w:cs="Times New Roman"/>
          <w:color w:val="000000"/>
          <w:sz w:val="24"/>
          <w:szCs w:val="24"/>
          <w:lang w:eastAsia="en-GB"/>
        </w:rPr>
        <w:t>1.   For the purpose of operational notification for connection of each new type B and C power-generating module, a power-generating module document (‘PGMD’) shall be provided by the power-generating facility owner to the relevant system operator and shall include a statement of compliance.</w:t>
      </w:r>
    </w:p>
    <w:p w14:paraId="1E96A03E"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07" w:author="Author">
          <w:pPr>
            <w:shd w:val="clear" w:color="auto" w:fill="FFFFFF"/>
            <w:jc w:val="both"/>
          </w:pPr>
        </w:pPrChange>
      </w:pPr>
      <w:r w:rsidRPr="003B7AE9">
        <w:rPr>
          <w:rFonts w:ascii="inherit" w:eastAsia="Times New Roman" w:hAnsi="inherit" w:cs="Times New Roman"/>
          <w:color w:val="000000"/>
          <w:sz w:val="24"/>
          <w:szCs w:val="24"/>
          <w:lang w:eastAsia="en-GB"/>
        </w:rPr>
        <w:t>For each power-generating module within the power-generating facility, separate independent PGMDs shall be provided.</w:t>
      </w:r>
    </w:p>
    <w:p w14:paraId="138E2964"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08" w:author="Author">
          <w:pPr>
            <w:shd w:val="clear" w:color="auto" w:fill="FFFFFF"/>
            <w:jc w:val="both"/>
          </w:pPr>
        </w:pPrChange>
      </w:pPr>
      <w:r w:rsidRPr="003B7AE9">
        <w:rPr>
          <w:rFonts w:ascii="inherit" w:eastAsia="Times New Roman" w:hAnsi="inherit" w:cs="Times New Roman"/>
          <w:color w:val="000000"/>
          <w:sz w:val="24"/>
          <w:szCs w:val="24"/>
          <w:lang w:eastAsia="en-GB"/>
        </w:rPr>
        <w:t>2.   The format of the PGMD and the information to be given therein shall be specified by the relevant system operator.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B3706B" w14:textId="77777777" w:rsidTr="003B7AE9">
        <w:tc>
          <w:tcPr>
            <w:tcW w:w="0" w:type="auto"/>
            <w:shd w:val="clear" w:color="auto" w:fill="auto"/>
            <w:hideMark/>
          </w:tcPr>
          <w:p w14:paraId="4FD6A4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85EFA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B7AE9" w14:paraId="4F72997A" w14:textId="77777777" w:rsidTr="003B7AE9">
        <w:tc>
          <w:tcPr>
            <w:tcW w:w="0" w:type="auto"/>
            <w:shd w:val="clear" w:color="auto" w:fill="auto"/>
            <w:hideMark/>
          </w:tcPr>
          <w:p w14:paraId="36AD74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68ED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7A76CDC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06874A3" w14:textId="77777777" w:rsidTr="003B7AE9">
        <w:tc>
          <w:tcPr>
            <w:tcW w:w="0" w:type="auto"/>
            <w:shd w:val="clear" w:color="auto" w:fill="auto"/>
            <w:hideMark/>
          </w:tcPr>
          <w:p w14:paraId="3AC18A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DEB8C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A30F08D" w14:textId="77777777" w:rsidTr="003B7AE9">
        <w:tc>
          <w:tcPr>
            <w:tcW w:w="0" w:type="auto"/>
            <w:shd w:val="clear" w:color="auto" w:fill="auto"/>
            <w:hideMark/>
          </w:tcPr>
          <w:p w14:paraId="3B468F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D03E9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02891C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8E9260" w14:textId="77777777" w:rsidTr="003B7AE9">
        <w:tc>
          <w:tcPr>
            <w:tcW w:w="0" w:type="auto"/>
            <w:shd w:val="clear" w:color="auto" w:fill="auto"/>
            <w:hideMark/>
          </w:tcPr>
          <w:p w14:paraId="61154F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99F83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Type C power-generating modules, simulation models pursuant to point (c) of Article 15(6);</w:t>
            </w:r>
          </w:p>
        </w:tc>
      </w:tr>
    </w:tbl>
    <w:p w14:paraId="439252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16C33FF" w14:textId="77777777" w:rsidTr="003B7AE9">
        <w:tc>
          <w:tcPr>
            <w:tcW w:w="0" w:type="auto"/>
            <w:shd w:val="clear" w:color="auto" w:fill="auto"/>
            <w:hideMark/>
          </w:tcPr>
          <w:p w14:paraId="5F6498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4496DF78" w14:textId="77777777" w:rsidTr="003B7AE9">
        <w:tc>
          <w:tcPr>
            <w:tcW w:w="0" w:type="auto"/>
            <w:shd w:val="clear" w:color="auto" w:fill="auto"/>
            <w:hideMark/>
          </w:tcPr>
          <w:p w14:paraId="5BCF8A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09" w:author="Author">
          <w:pPr>
            <w:shd w:val="clear" w:color="auto" w:fill="FFFFFF"/>
            <w:jc w:val="both"/>
          </w:pPr>
        </w:pPrChange>
      </w:pPr>
      <w:r w:rsidRPr="003B7AE9">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29BE8CB3"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10" w:author="Author">
          <w:pPr>
            <w:shd w:val="clear" w:color="auto" w:fill="FFFFFF"/>
            <w:jc w:val="both"/>
          </w:pPr>
        </w:pPrChange>
      </w:pPr>
      <w:r w:rsidRPr="003B7AE9">
        <w:rPr>
          <w:rFonts w:ascii="inherit" w:eastAsia="Times New Roman" w:hAnsi="inherit" w:cs="Times New Roman"/>
          <w:color w:val="000000"/>
          <w:sz w:val="24"/>
          <w:szCs w:val="24"/>
          <w:lang w:eastAsia="en-GB"/>
        </w:rPr>
        <w:t>4.   The power-generating facility owner shall notify the relevant system operator or the competent authority of the Member State about the permanent decommissioning of a power-generating module in accordance with national legislation.</w:t>
      </w:r>
    </w:p>
    <w:p w14:paraId="0E288892"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11" w:author="Author">
          <w:pPr>
            <w:shd w:val="clear" w:color="auto" w:fill="FFFFFF"/>
            <w:jc w:val="both"/>
          </w:pPr>
        </w:pPrChange>
      </w:pPr>
      <w:r w:rsidRPr="003B7AE9">
        <w:rPr>
          <w:rFonts w:ascii="inherit" w:eastAsia="Times New Roman" w:hAnsi="inherit" w:cs="Times New Roman"/>
          <w:color w:val="000000"/>
          <w:sz w:val="24"/>
          <w:szCs w:val="24"/>
          <w:lang w:eastAsia="en-GB"/>
        </w:rPr>
        <w:t>5.   Where applicable, the relevant system operator shall ensure that the commissioning and decommissioning of Type B and Type C power-generating modules can be notified electronically.</w:t>
      </w:r>
    </w:p>
    <w:p w14:paraId="440BFED6"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12" w:author="Author">
          <w:pPr>
            <w:shd w:val="clear" w:color="auto" w:fill="FFFFFF"/>
            <w:jc w:val="both"/>
          </w:pPr>
        </w:pPrChange>
      </w:pPr>
      <w:r w:rsidRPr="003B7AE9">
        <w:rPr>
          <w:rFonts w:ascii="inherit" w:eastAsia="Times New Roman" w:hAnsi="inherit" w:cs="Times New Roman"/>
          <w:color w:val="000000"/>
          <w:sz w:val="24"/>
          <w:szCs w:val="24"/>
          <w:lang w:eastAsia="en-GB"/>
        </w:rPr>
        <w:t>6.   Member States may provide that the PGMD shall be issued by an authorised certifier.</w:t>
      </w:r>
    </w:p>
    <w:p w14:paraId="1B3C419E"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913" w:author="Author">
            <w:rPr/>
          </w:rPrChange>
        </w:rPr>
        <w:pPrChange w:id="914"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33</w:t>
      </w:r>
    </w:p>
    <w:p w14:paraId="71AE171F"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15" w:author="Author">
          <w:pPr>
            <w:shd w:val="clear" w:color="auto" w:fill="FFFFFF"/>
            <w:jc w:val="center"/>
          </w:pPr>
        </w:pPrChange>
      </w:pPr>
      <w:r w:rsidRPr="003B7AE9">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16" w:author="Author">
          <w:pPr>
            <w:shd w:val="clear" w:color="auto" w:fill="FFFFFF"/>
            <w:jc w:val="both"/>
          </w:pPr>
        </w:pPrChange>
      </w:pPr>
      <w:r w:rsidRPr="003B7AE9">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B7AE9" w14:paraId="44879FD1" w14:textId="77777777" w:rsidTr="003B7AE9">
        <w:tc>
          <w:tcPr>
            <w:tcW w:w="0" w:type="auto"/>
            <w:shd w:val="clear" w:color="auto" w:fill="auto"/>
            <w:hideMark/>
          </w:tcPr>
          <w:p w14:paraId="00B0A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(‘EON’);</w:t>
            </w:r>
          </w:p>
        </w:tc>
      </w:tr>
    </w:tbl>
    <w:p w14:paraId="220AEC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B7AE9" w14:paraId="2E0A9281" w14:textId="77777777" w:rsidTr="003B7AE9">
        <w:tc>
          <w:tcPr>
            <w:tcW w:w="0" w:type="auto"/>
            <w:shd w:val="clear" w:color="auto" w:fill="auto"/>
            <w:hideMark/>
          </w:tcPr>
          <w:p w14:paraId="1821DA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(‘ION’); and</w:t>
            </w:r>
          </w:p>
        </w:tc>
      </w:tr>
    </w:tbl>
    <w:p w14:paraId="66A31F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B7AE9" w14:paraId="26AB722D" w14:textId="77777777" w:rsidTr="003B7AE9">
        <w:tc>
          <w:tcPr>
            <w:tcW w:w="0" w:type="auto"/>
            <w:shd w:val="clear" w:color="auto" w:fill="auto"/>
            <w:hideMark/>
          </w:tcPr>
          <w:p w14:paraId="1AF1CF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(‘FON’).</w:t>
            </w:r>
          </w:p>
        </w:tc>
      </w:tr>
    </w:tbl>
    <w:p w14:paraId="1A47FC32"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917" w:author="Author">
            <w:rPr/>
          </w:rPrChange>
        </w:rPr>
        <w:pPrChange w:id="918"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34</w:t>
      </w:r>
    </w:p>
    <w:p w14:paraId="56A2C774"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19" w:author="Author">
          <w:pPr>
            <w:shd w:val="clear" w:color="auto" w:fill="FFFFFF"/>
            <w:jc w:val="center"/>
          </w:pPr>
        </w:pPrChange>
      </w:pPr>
      <w:r w:rsidRPr="003B7AE9">
        <w:rPr>
          <w:rFonts w:ascii="inherit" w:eastAsia="Times New Roman" w:hAnsi="inherit" w:cs="Times New Roman"/>
          <w:b/>
          <w:bCs/>
          <w:color w:val="000000"/>
          <w:sz w:val="24"/>
          <w:szCs w:val="24"/>
          <w:lang w:eastAsia="en-GB"/>
        </w:rPr>
        <w:t>Energisation operational notification for type D power-generating modules</w:t>
      </w:r>
    </w:p>
    <w:p w14:paraId="3DCA9D4F"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20" w:author="Author">
          <w:pPr>
            <w:shd w:val="clear" w:color="auto" w:fill="FFFFFF"/>
            <w:jc w:val="both"/>
          </w:pPr>
        </w:pPrChange>
      </w:pPr>
      <w:r w:rsidRPr="003B7AE9">
        <w:rPr>
          <w:rFonts w:ascii="inherit" w:eastAsia="Times New Roman" w:hAnsi="inherit" w:cs="Times New Roman"/>
          <w:color w:val="000000"/>
          <w:sz w:val="24"/>
          <w:szCs w:val="24"/>
          <w:lang w:eastAsia="en-GB"/>
        </w:rPr>
        <w:t>1.   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21" w:author="Author">
          <w:pPr>
            <w:shd w:val="clear" w:color="auto" w:fill="FFFFFF"/>
            <w:jc w:val="both"/>
          </w:pPr>
        </w:pPrChange>
      </w:pPr>
      <w:r w:rsidRPr="003B7AE9">
        <w:rPr>
          <w:rFonts w:ascii="inherit" w:eastAsia="Times New Roman" w:hAnsi="inherit" w:cs="Times New Roman"/>
          <w:color w:val="000000"/>
          <w:sz w:val="24"/>
          <w:szCs w:val="24"/>
          <w:lang w:eastAsia="en-GB"/>
        </w:rPr>
        <w:lastRenderedPageBreak/>
        <w:t>2.   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922" w:author="Author">
            <w:rPr/>
          </w:rPrChange>
        </w:rPr>
        <w:pPrChange w:id="923"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35</w:t>
      </w:r>
    </w:p>
    <w:p w14:paraId="204C52EE"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24" w:author="Author">
          <w:pPr>
            <w:shd w:val="clear" w:color="auto" w:fill="FFFFFF"/>
            <w:jc w:val="center"/>
          </w:pPr>
        </w:pPrChange>
      </w:pPr>
      <w:r w:rsidRPr="003B7AE9">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25" w:author="Author">
          <w:pPr>
            <w:shd w:val="clear" w:color="auto" w:fill="FFFFFF"/>
            <w:jc w:val="both"/>
          </w:pPr>
        </w:pPrChange>
      </w:pPr>
      <w:r w:rsidRPr="003B7AE9">
        <w:rPr>
          <w:rFonts w:ascii="inherit" w:eastAsia="Times New Roman" w:hAnsi="inherit" w:cs="Times New Roman"/>
          <w:color w:val="000000"/>
          <w:sz w:val="24"/>
          <w:szCs w:val="24"/>
          <w:lang w:eastAsia="en-GB"/>
        </w:rPr>
        <w:t>1.   An ION shall entitle the power-generating facility owner to operate the power-generating module and generate power by using the grid connection for a limited period of time.</w:t>
      </w:r>
    </w:p>
    <w:p w14:paraId="0D9F2180"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26" w:author="Author">
          <w:pPr>
            <w:shd w:val="clear" w:color="auto" w:fill="FFFFFF"/>
            <w:jc w:val="both"/>
          </w:pPr>
        </w:pPrChange>
      </w:pPr>
      <w:r w:rsidRPr="003B7AE9">
        <w:rPr>
          <w:rFonts w:ascii="inherit" w:eastAsia="Times New Roman" w:hAnsi="inherit" w:cs="Times New Roman"/>
          <w:color w:val="000000"/>
          <w:sz w:val="24"/>
          <w:szCs w:val="24"/>
          <w:lang w:eastAsia="en-GB"/>
        </w:rPr>
        <w:t>2.   An ION shall be issued by the relevant system operator, subject to completion of the data and study review process as required by this Article.</w:t>
      </w:r>
    </w:p>
    <w:p w14:paraId="2CD4D4C9"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27" w:author="Author">
          <w:pPr>
            <w:shd w:val="clear" w:color="auto" w:fill="FFFFFF"/>
            <w:jc w:val="both"/>
          </w:pPr>
        </w:pPrChange>
      </w:pPr>
      <w:r w:rsidRPr="003B7AE9">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B7AE9" w14:paraId="440C4AFB" w14:textId="77777777" w:rsidTr="003B7AE9">
        <w:tc>
          <w:tcPr>
            <w:tcW w:w="0" w:type="auto"/>
            <w:shd w:val="clear" w:color="auto" w:fill="auto"/>
            <w:hideMark/>
          </w:tcPr>
          <w:p w14:paraId="7BF400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26A5647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58297BD" w14:textId="77777777" w:rsidTr="003B7AE9">
        <w:tc>
          <w:tcPr>
            <w:tcW w:w="0" w:type="auto"/>
            <w:shd w:val="clear" w:color="auto" w:fill="auto"/>
            <w:hideMark/>
          </w:tcPr>
          <w:p w14:paraId="320CD9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157AE22" w14:textId="77777777" w:rsidTr="003B7AE9">
        <w:tc>
          <w:tcPr>
            <w:tcW w:w="0" w:type="auto"/>
            <w:shd w:val="clear" w:color="auto" w:fill="auto"/>
            <w:hideMark/>
          </w:tcPr>
          <w:p w14:paraId="5F01C4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0067CA1" w14:textId="77777777" w:rsidTr="003B7AE9">
        <w:tc>
          <w:tcPr>
            <w:tcW w:w="0" w:type="auto"/>
            <w:shd w:val="clear" w:color="auto" w:fill="auto"/>
            <w:hideMark/>
          </w:tcPr>
          <w:p w14:paraId="15D591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2108841" w14:textId="77777777" w:rsidTr="003B7AE9">
        <w:tc>
          <w:tcPr>
            <w:tcW w:w="0" w:type="auto"/>
            <w:shd w:val="clear" w:color="auto" w:fill="auto"/>
            <w:hideMark/>
          </w:tcPr>
          <w:p w14:paraId="19C5B9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933A" w14:textId="77777777" w:rsidTr="003B7AE9">
        <w:tc>
          <w:tcPr>
            <w:tcW w:w="0" w:type="auto"/>
            <w:shd w:val="clear" w:color="auto" w:fill="auto"/>
            <w:hideMark/>
          </w:tcPr>
          <w:p w14:paraId="699585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intended compliance tests in accordance with Chapters 2, 3 and 4 of Title IV.</w:t>
            </w:r>
          </w:p>
        </w:tc>
      </w:tr>
    </w:tbl>
    <w:p w14:paraId="4810E65F"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28" w:author="Author">
          <w:pPr>
            <w:shd w:val="clear" w:color="auto" w:fill="FFFFFF"/>
            <w:jc w:val="both"/>
          </w:pPr>
        </w:pPrChange>
      </w:pPr>
      <w:r w:rsidRPr="003B7AE9">
        <w:rPr>
          <w:rFonts w:ascii="inherit" w:eastAsia="Times New Roman" w:hAnsi="inherit" w:cs="Times New Roman"/>
          <w:color w:val="000000"/>
          <w:sz w:val="24"/>
          <w:szCs w:val="24"/>
          <w:lang w:eastAsia="en-GB"/>
        </w:rPr>
        <w:t>4.   The maximum period during which the power-generating facility owner may maintain ION status shall be 24 months. The relevant system operator is entitled to specify a shorter ION validity period. An extension of the ION shall be granted only if the power-generating facility owner has made substantial progress towards full compliance. Outstanding issues shall be clearly identified at the time of requesting extension.</w:t>
      </w:r>
    </w:p>
    <w:p w14:paraId="4B629D3B"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29" w:author="Author">
          <w:pPr>
            <w:shd w:val="clear" w:color="auto" w:fill="FFFFFF"/>
            <w:jc w:val="both"/>
          </w:pPr>
        </w:pPrChange>
      </w:pPr>
      <w:r w:rsidRPr="003B7AE9">
        <w:rPr>
          <w:rFonts w:ascii="inherit" w:eastAsia="Times New Roman" w:hAnsi="inherit" w:cs="Times New Roman"/>
          <w:color w:val="000000"/>
          <w:sz w:val="24"/>
          <w:szCs w:val="24"/>
          <w:lang w:eastAsia="en-GB"/>
        </w:rPr>
        <w:t>5.   An extension of the period during which the power-generating facility owner may maintain ION status, beyond the period established in paragraph 4, may be granted if a request for a derogation is made to the relevant system operator before the expiry of that period in accordance with the derogation procedure laid down in Article 60.</w:t>
      </w:r>
    </w:p>
    <w:p w14:paraId="2136CEA8"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930" w:author="Author">
            <w:rPr/>
          </w:rPrChange>
        </w:rPr>
        <w:pPrChange w:id="931"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36</w:t>
      </w:r>
    </w:p>
    <w:p w14:paraId="4EA2BDED"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32" w:author="Author">
          <w:pPr>
            <w:shd w:val="clear" w:color="auto" w:fill="FFFFFF"/>
            <w:jc w:val="center"/>
          </w:pPr>
        </w:pPrChange>
      </w:pPr>
      <w:r w:rsidRPr="003B7AE9">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33" w:author="Author">
          <w:pPr>
            <w:shd w:val="clear" w:color="auto" w:fill="FFFFFF"/>
            <w:jc w:val="both"/>
          </w:pPr>
        </w:pPrChange>
      </w:pPr>
      <w:r w:rsidRPr="003B7AE9">
        <w:rPr>
          <w:rFonts w:ascii="inherit" w:eastAsia="Times New Roman" w:hAnsi="inherit" w:cs="Times New Roman"/>
          <w:color w:val="000000"/>
          <w:sz w:val="24"/>
          <w:szCs w:val="24"/>
          <w:lang w:eastAsia="en-GB"/>
        </w:rPr>
        <w:t>1.   A FON shall entitle the power-generating facility owner to operate a power-generating module by using the grid connection.</w:t>
      </w:r>
    </w:p>
    <w:p w14:paraId="0E8CC620"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34" w:author="Author">
          <w:pPr>
            <w:shd w:val="clear" w:color="auto" w:fill="FFFFFF"/>
            <w:jc w:val="both"/>
          </w:pPr>
        </w:pPrChange>
      </w:pPr>
      <w:r w:rsidRPr="003B7AE9">
        <w:rPr>
          <w:rFonts w:ascii="inherit" w:eastAsia="Times New Roman" w:hAnsi="inherit" w:cs="Times New Roman"/>
          <w:color w:val="000000"/>
          <w:sz w:val="24"/>
          <w:szCs w:val="24"/>
          <w:lang w:eastAsia="en-GB"/>
        </w:rPr>
        <w:t>2.   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35" w:author="Author">
          <w:pPr>
            <w:shd w:val="clear" w:color="auto" w:fill="FFFFFF"/>
            <w:jc w:val="both"/>
          </w:pPr>
        </w:pPrChange>
      </w:pPr>
      <w:r w:rsidRPr="003B7AE9">
        <w:rPr>
          <w:rFonts w:ascii="inherit" w:eastAsia="Times New Roman" w:hAnsi="inherit" w:cs="Times New Roman"/>
          <w:color w:val="000000"/>
          <w:sz w:val="24"/>
          <w:szCs w:val="24"/>
          <w:lang w:eastAsia="en-GB"/>
        </w:rPr>
        <w:lastRenderedPageBreak/>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B7AE9" w14:paraId="1090CA3C" w14:textId="77777777" w:rsidTr="003B7AE9">
        <w:tc>
          <w:tcPr>
            <w:tcW w:w="0" w:type="auto"/>
            <w:shd w:val="clear" w:color="auto" w:fill="auto"/>
            <w:hideMark/>
          </w:tcPr>
          <w:p w14:paraId="1C0CE6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itemised statement of compliance; and</w:t>
            </w:r>
          </w:p>
        </w:tc>
      </w:tr>
    </w:tbl>
    <w:p w14:paraId="1DAB23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4A8F7C5" w14:textId="77777777" w:rsidTr="003B7AE9">
        <w:tc>
          <w:tcPr>
            <w:tcW w:w="0" w:type="auto"/>
            <w:shd w:val="clear" w:color="auto" w:fill="auto"/>
            <w:hideMark/>
          </w:tcPr>
          <w:p w14:paraId="497C1A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04B5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36" w:author="Author">
          <w:pPr>
            <w:shd w:val="clear" w:color="auto" w:fill="FFFFFF"/>
            <w:jc w:val="both"/>
          </w:pPr>
        </w:pPrChange>
      </w:pPr>
      <w:r w:rsidRPr="003B7AE9">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37" w:author="Author">
          <w:pPr>
            <w:shd w:val="clear" w:color="auto" w:fill="FFFFFF"/>
            <w:jc w:val="both"/>
          </w:pPr>
        </w:pPrChange>
      </w:pPr>
      <w:r w:rsidRPr="003B7AE9">
        <w:rPr>
          <w:rFonts w:ascii="inherit" w:eastAsia="Times New Roman" w:hAnsi="inherit" w:cs="Times New Roman"/>
          <w:color w:val="000000"/>
          <w:sz w:val="24"/>
          <w:szCs w:val="24"/>
          <w:lang w:eastAsia="en-GB"/>
        </w:rPr>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38" w:author="Author">
          <w:pPr>
            <w:shd w:val="clear" w:color="auto" w:fill="FFFFFF"/>
            <w:jc w:val="both"/>
          </w:pPr>
        </w:pPrChange>
      </w:pPr>
      <w:r w:rsidRPr="003B7AE9">
        <w:rPr>
          <w:rFonts w:ascii="inherit" w:eastAsia="Times New Roman" w:hAnsi="inherit" w:cs="Times New Roman"/>
          <w:color w:val="000000"/>
          <w:sz w:val="24"/>
          <w:szCs w:val="24"/>
          <w:lang w:eastAsia="en-GB"/>
        </w:rPr>
        <w:t>If the relevant system operator and the power-generating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939" w:author="Author">
            <w:rPr/>
          </w:rPrChange>
        </w:rPr>
        <w:pPrChange w:id="940"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37</w:t>
      </w:r>
    </w:p>
    <w:p w14:paraId="2A9FB7A7"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41" w:author="Author">
          <w:pPr>
            <w:shd w:val="clear" w:color="auto" w:fill="FFFFFF"/>
            <w:jc w:val="center"/>
          </w:pPr>
        </w:pPrChange>
      </w:pPr>
      <w:r w:rsidRPr="003B7AE9">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42" w:author="Author">
          <w:pPr>
            <w:shd w:val="clear" w:color="auto" w:fill="FFFFFF"/>
            <w:jc w:val="both"/>
          </w:pPr>
        </w:pPrChange>
      </w:pPr>
      <w:r w:rsidRPr="003B7AE9">
        <w:rPr>
          <w:rFonts w:ascii="inherit" w:eastAsia="Times New Roman" w:hAnsi="inherit" w:cs="Times New Roman"/>
          <w:color w:val="000000"/>
          <w:sz w:val="24"/>
          <w:szCs w:val="24"/>
          <w:lang w:eastAsia="en-GB"/>
        </w:rPr>
        <w:t>1.   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7D2068B" w14:textId="77777777" w:rsidTr="003B7AE9">
        <w:tc>
          <w:tcPr>
            <w:tcW w:w="0" w:type="auto"/>
            <w:shd w:val="clear" w:color="auto" w:fill="auto"/>
            <w:hideMark/>
          </w:tcPr>
          <w:p w14:paraId="7D490E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B7AE9" w14:paraId="4D58DE7A" w14:textId="77777777" w:rsidTr="003B7AE9">
        <w:tc>
          <w:tcPr>
            <w:tcW w:w="0" w:type="auto"/>
            <w:shd w:val="clear" w:color="auto" w:fill="auto"/>
            <w:hideMark/>
          </w:tcPr>
          <w:p w14:paraId="1F3D06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43" w:author="Author">
          <w:pPr>
            <w:shd w:val="clear" w:color="auto" w:fill="FFFFFF"/>
            <w:jc w:val="both"/>
          </w:pPr>
        </w:pPrChange>
      </w:pPr>
      <w:r w:rsidRPr="003B7AE9">
        <w:rPr>
          <w:rFonts w:ascii="inherit" w:eastAsia="Times New Roman" w:hAnsi="inherit" w:cs="Times New Roman"/>
          <w:color w:val="000000"/>
          <w:sz w:val="24"/>
          <w:szCs w:val="24"/>
          <w:lang w:eastAsia="en-GB"/>
        </w:rPr>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44" w:author="Author">
          <w:pPr>
            <w:shd w:val="clear" w:color="auto" w:fill="FFFFFF"/>
            <w:jc w:val="both"/>
          </w:pPr>
        </w:pPrChange>
      </w:pPr>
      <w:r w:rsidRPr="003B7AE9">
        <w:rPr>
          <w:rFonts w:ascii="inherit" w:eastAsia="Times New Roman" w:hAnsi="inherit" w:cs="Times New Roman"/>
          <w:color w:val="000000"/>
          <w:sz w:val="24"/>
          <w:szCs w:val="24"/>
          <w:lang w:eastAsia="en-GB"/>
        </w:rPr>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19CC364" w14:textId="77777777" w:rsidTr="003B7AE9">
        <w:tc>
          <w:tcPr>
            <w:tcW w:w="0" w:type="auto"/>
            <w:shd w:val="clear" w:color="auto" w:fill="auto"/>
            <w:hideMark/>
          </w:tcPr>
          <w:p w14:paraId="547638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B7AE9" w14:paraId="0DE04F53" w14:textId="77777777" w:rsidTr="003B7AE9">
        <w:tc>
          <w:tcPr>
            <w:tcW w:w="0" w:type="auto"/>
            <w:shd w:val="clear" w:color="auto" w:fill="auto"/>
            <w:hideMark/>
          </w:tcPr>
          <w:p w14:paraId="20E3B4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716922" w14:textId="77777777" w:rsidTr="003B7AE9">
        <w:tc>
          <w:tcPr>
            <w:tcW w:w="0" w:type="auto"/>
            <w:shd w:val="clear" w:color="auto" w:fill="auto"/>
            <w:hideMark/>
          </w:tcPr>
          <w:p w14:paraId="1E48B76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system operator demonstrating that substantial progress has been made towards achieving full compliance.</w:t>
            </w:r>
          </w:p>
        </w:tc>
      </w:tr>
    </w:tbl>
    <w:p w14:paraId="67DB0641"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45" w:author="Author">
          <w:pPr>
            <w:shd w:val="clear" w:color="auto" w:fill="FFFFFF"/>
            <w:jc w:val="both"/>
          </w:pPr>
        </w:pPrChange>
      </w:pPr>
      <w:r w:rsidRPr="003B7AE9">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588BE1B3"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46" w:author="Author">
          <w:pPr>
            <w:shd w:val="clear" w:color="auto" w:fill="FFFFFF"/>
            <w:jc w:val="both"/>
          </w:pPr>
        </w:pPrChange>
      </w:pPr>
      <w:r w:rsidRPr="003B7AE9">
        <w:rPr>
          <w:rFonts w:ascii="inherit" w:eastAsia="Times New Roman" w:hAnsi="inherit" w:cs="Times New Roman"/>
          <w:color w:val="000000"/>
          <w:sz w:val="24"/>
          <w:szCs w:val="24"/>
          <w:lang w:eastAsia="en-GB"/>
        </w:rPr>
        <w:lastRenderedPageBreak/>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47" w:author="Author">
          <w:pPr>
            <w:shd w:val="clear" w:color="auto" w:fill="FFFFFF"/>
            <w:jc w:val="both"/>
          </w:pPr>
        </w:pPrChange>
      </w:pPr>
      <w:r w:rsidRPr="003B7AE9">
        <w:rPr>
          <w:rFonts w:ascii="inherit" w:eastAsia="Times New Roman" w:hAnsi="inherit" w:cs="Times New Roman"/>
          <w:color w:val="000000"/>
          <w:sz w:val="24"/>
          <w:szCs w:val="24"/>
          <w:lang w:eastAsia="en-GB"/>
        </w:rPr>
        <w:t>6.   The relevant system operator shall have the right to refuse to allow the operation of the power-generating module, once the LON is no longer valid. In such cases, the FON shall automatically become invalid.</w:t>
      </w:r>
    </w:p>
    <w:p w14:paraId="079729BC"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48" w:author="Author">
          <w:pPr>
            <w:shd w:val="clear" w:color="auto" w:fill="FFFFFF"/>
            <w:jc w:val="both"/>
          </w:pPr>
        </w:pPrChange>
      </w:pPr>
      <w:r w:rsidRPr="003B7AE9">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
    <w:p w14:paraId="4D28D34F" w14:textId="77777777" w:rsidR="003B7AE9" w:rsidRPr="003B7AE9" w:rsidRDefault="003B7AE9" w:rsidP="0060282F">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949"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2</w:t>
      </w:r>
    </w:p>
    <w:p w14:paraId="323F5883" w14:textId="77777777" w:rsidR="003B7AE9" w:rsidRPr="003B7AE9" w:rsidRDefault="003B7AE9" w:rsidP="0060282F">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950"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t>Cost-benefit analysis</w:t>
      </w:r>
    </w:p>
    <w:p w14:paraId="43337920"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951" w:author="Author">
            <w:rPr/>
          </w:rPrChange>
        </w:rPr>
        <w:pPrChange w:id="952"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38</w:t>
      </w:r>
    </w:p>
    <w:p w14:paraId="28BA8ACE"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53" w:author="Author">
          <w:pPr>
            <w:shd w:val="clear" w:color="auto" w:fill="FFFFFF"/>
            <w:jc w:val="center"/>
          </w:pPr>
        </w:pPrChange>
      </w:pPr>
      <w:r w:rsidRPr="003B7AE9">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54" w:author="Author">
          <w:pPr>
            <w:shd w:val="clear" w:color="auto" w:fill="FFFFFF"/>
            <w:jc w:val="both"/>
          </w:pPr>
        </w:pPrChange>
      </w:pPr>
      <w:r w:rsidRPr="003B7AE9">
        <w:rPr>
          <w:rFonts w:ascii="inherit" w:eastAsia="Times New Roman" w:hAnsi="inherit" w:cs="Times New Roman"/>
          <w:color w:val="000000"/>
          <w:sz w:val="24"/>
          <w:szCs w:val="24"/>
          <w:lang w:eastAsia="en-GB"/>
        </w:rPr>
        <w:t>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1EAE3C29"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55" w:author="Author">
          <w:pPr>
            <w:shd w:val="clear" w:color="auto" w:fill="FFFFFF"/>
            <w:jc w:val="both"/>
          </w:pPr>
        </w:pPrChange>
      </w:pPr>
      <w:r w:rsidRPr="003B7AE9">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power-generating modules that have demonstrated potential benefits as a result of the preparatory stage according to paragraph 1.</w:t>
      </w:r>
    </w:p>
    <w:p w14:paraId="1D46BD8C"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56" w:author="Author">
          <w:pPr>
            <w:shd w:val="clear" w:color="auto" w:fill="FFFFFF"/>
            <w:jc w:val="both"/>
          </w:pPr>
        </w:pPrChange>
      </w:pPr>
      <w:r w:rsidRPr="003B7AE9">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B7AE9" w14:paraId="5B6EED95" w14:textId="77777777" w:rsidTr="003B7AE9">
        <w:tc>
          <w:tcPr>
            <w:tcW w:w="0" w:type="auto"/>
            <w:shd w:val="clear" w:color="auto" w:fill="auto"/>
            <w:hideMark/>
          </w:tcPr>
          <w:p w14:paraId="3DE276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887F05C" w14:textId="77777777" w:rsidTr="003B7AE9">
        <w:tc>
          <w:tcPr>
            <w:tcW w:w="0" w:type="auto"/>
            <w:shd w:val="clear" w:color="auto" w:fill="auto"/>
            <w:hideMark/>
          </w:tcPr>
          <w:p w14:paraId="3641B5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1DD7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B7AE9" w14:paraId="03C0D6BA" w14:textId="77777777" w:rsidTr="003B7AE9">
        <w:tc>
          <w:tcPr>
            <w:tcW w:w="0" w:type="auto"/>
            <w:shd w:val="clear" w:color="auto" w:fill="auto"/>
            <w:hideMark/>
          </w:tcPr>
          <w:p w14:paraId="7A065E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7294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57" w:author="Author">
          <w:pPr>
            <w:shd w:val="clear" w:color="auto" w:fill="FFFFFF"/>
            <w:jc w:val="both"/>
          </w:pPr>
        </w:pPrChange>
      </w:pPr>
      <w:r w:rsidRPr="003B7AE9">
        <w:rPr>
          <w:rFonts w:ascii="inherit" w:eastAsia="Times New Roman" w:hAnsi="inherit" w:cs="Times New Roman"/>
          <w:color w:val="000000"/>
          <w:sz w:val="24"/>
          <w:szCs w:val="24"/>
          <w:lang w:eastAsia="en-GB"/>
        </w:rPr>
        <w:t xml:space="preserve">4.   No later than six months after the end of the public consultation, the relevant TSO shall prepare a report explaining the outcome of the consultation and making a proposal on the applicability of the requirement under consideration to existing power-generating </w:t>
      </w:r>
      <w:r w:rsidRPr="003B7AE9">
        <w:rPr>
          <w:rFonts w:ascii="inherit" w:eastAsia="Times New Roman" w:hAnsi="inherit" w:cs="Times New Roman"/>
          <w:color w:val="000000"/>
          <w:sz w:val="24"/>
          <w:szCs w:val="24"/>
          <w:lang w:eastAsia="en-GB"/>
        </w:rPr>
        <w:lastRenderedPageBreak/>
        <w:t>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58" w:author="Author">
          <w:pPr>
            <w:shd w:val="clear" w:color="auto" w:fill="FFFFFF"/>
            <w:jc w:val="both"/>
          </w:pPr>
        </w:pPrChange>
      </w:pPr>
      <w:r w:rsidRPr="003B7AE9">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52EB3C4" w14:textId="77777777" w:rsidTr="003B7AE9">
        <w:tc>
          <w:tcPr>
            <w:tcW w:w="0" w:type="auto"/>
            <w:shd w:val="clear" w:color="auto" w:fill="auto"/>
            <w:hideMark/>
          </w:tcPr>
          <w:p w14:paraId="6FCA2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E5D702" w14:textId="77777777" w:rsidTr="003B7AE9">
        <w:tc>
          <w:tcPr>
            <w:tcW w:w="0" w:type="auto"/>
            <w:shd w:val="clear" w:color="auto" w:fill="auto"/>
            <w:hideMark/>
          </w:tcPr>
          <w:p w14:paraId="043174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tc>
      </w:tr>
    </w:tbl>
    <w:p w14:paraId="72761834"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959" w:author="Author">
            <w:rPr/>
          </w:rPrChange>
        </w:rPr>
        <w:pPrChange w:id="960"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39</w:t>
      </w:r>
    </w:p>
    <w:p w14:paraId="378B70BD"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61" w:author="Author">
          <w:pPr>
            <w:shd w:val="clear" w:color="auto" w:fill="FFFFFF"/>
            <w:jc w:val="center"/>
          </w:pPr>
        </w:pPrChange>
      </w:pPr>
      <w:r w:rsidRPr="003B7AE9">
        <w:rPr>
          <w:rFonts w:ascii="inherit" w:eastAsia="Times New Roman" w:hAnsi="inherit" w:cs="Times New Roman"/>
          <w:b/>
          <w:bCs/>
          <w:color w:val="000000"/>
          <w:sz w:val="24"/>
          <w:szCs w:val="24"/>
          <w:lang w:eastAsia="en-GB"/>
        </w:rPr>
        <w:t>Principles of cost-benefit analysis</w:t>
      </w:r>
    </w:p>
    <w:p w14:paraId="7B70C139"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62" w:author="Author">
          <w:pPr>
            <w:shd w:val="clear" w:color="auto" w:fill="FFFFFF"/>
            <w:jc w:val="both"/>
          </w:pPr>
        </w:pPrChange>
      </w:pPr>
      <w:r w:rsidRPr="003B7AE9">
        <w:rPr>
          <w:rFonts w:ascii="inherit" w:eastAsia="Times New Roman" w:hAnsi="inherit" w:cs="Times New Roman"/>
          <w:color w:val="000000"/>
          <w:sz w:val="24"/>
          <w:szCs w:val="24"/>
          <w:lang w:eastAsia="en-GB"/>
        </w:rPr>
        <w:t>1.   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63" w:author="Author">
          <w:pPr>
            <w:shd w:val="clear" w:color="auto" w:fill="FFFFFF"/>
            <w:jc w:val="both"/>
          </w:pPr>
        </w:pPrChange>
      </w:pPr>
      <w:r w:rsidRPr="003B7AE9">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6A0814" w14:textId="77777777" w:rsidTr="003B7AE9">
        <w:tc>
          <w:tcPr>
            <w:tcW w:w="0" w:type="auto"/>
            <w:shd w:val="clear" w:color="auto" w:fill="auto"/>
            <w:hideMark/>
          </w:tcPr>
          <w:p w14:paraId="4B9D9D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A94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B7AE9" w14:paraId="0743E723" w14:textId="77777777">
              <w:tc>
                <w:tcPr>
                  <w:tcW w:w="0" w:type="auto"/>
                  <w:shd w:val="clear" w:color="auto" w:fill="auto"/>
                  <w:hideMark/>
                </w:tcPr>
                <w:p w14:paraId="100A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F79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net present value;</w:t>
                  </w:r>
                </w:p>
              </w:tc>
            </w:tr>
          </w:tbl>
          <w:p w14:paraId="5306D39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B7AE9" w14:paraId="4758BB9A" w14:textId="77777777">
              <w:tc>
                <w:tcPr>
                  <w:tcW w:w="0" w:type="auto"/>
                  <w:shd w:val="clear" w:color="auto" w:fill="auto"/>
                  <w:hideMark/>
                </w:tcPr>
                <w:p w14:paraId="47F08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return on investment;</w:t>
                  </w:r>
                </w:p>
              </w:tc>
            </w:tr>
          </w:tbl>
          <w:p w14:paraId="3221EB7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B7AE9" w14:paraId="316BFB45" w14:textId="77777777">
              <w:tc>
                <w:tcPr>
                  <w:tcW w:w="0" w:type="auto"/>
                  <w:shd w:val="clear" w:color="auto" w:fill="auto"/>
                  <w:hideMark/>
                </w:tcPr>
                <w:p w14:paraId="5A534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rate of return;</w:t>
                  </w:r>
                </w:p>
              </w:tc>
            </w:tr>
          </w:tbl>
          <w:p w14:paraId="169352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B7AE9" w14:paraId="7759B5D2" w14:textId="77777777">
              <w:tc>
                <w:tcPr>
                  <w:tcW w:w="0" w:type="auto"/>
                  <w:shd w:val="clear" w:color="auto" w:fill="auto"/>
                  <w:hideMark/>
                </w:tcPr>
                <w:p w14:paraId="2CC230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needed to break even;</w:t>
                  </w:r>
                </w:p>
              </w:tc>
            </w:tr>
          </w:tbl>
          <w:p w14:paraId="47A1273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6522C7E" w14:textId="77777777" w:rsidTr="003B7AE9">
        <w:tc>
          <w:tcPr>
            <w:tcW w:w="0" w:type="auto"/>
            <w:shd w:val="clear" w:color="auto" w:fill="auto"/>
            <w:hideMark/>
          </w:tcPr>
          <w:p w14:paraId="45A1C3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9D4FA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80BB5A8" w14:textId="77777777">
              <w:tc>
                <w:tcPr>
                  <w:tcW w:w="0" w:type="auto"/>
                  <w:shd w:val="clear" w:color="auto" w:fill="auto"/>
                  <w:hideMark/>
                </w:tcPr>
                <w:p w14:paraId="2AA3C8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85D22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B7AE9" w14:paraId="0F15744F" w14:textId="77777777">
              <w:tc>
                <w:tcPr>
                  <w:tcW w:w="0" w:type="auto"/>
                  <w:shd w:val="clear" w:color="auto" w:fill="auto"/>
                  <w:hideMark/>
                </w:tcPr>
                <w:p w14:paraId="71C238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B7AE9" w14:paraId="0A1EEBAE" w14:textId="77777777">
              <w:tc>
                <w:tcPr>
                  <w:tcW w:w="0" w:type="auto"/>
                  <w:shd w:val="clear" w:color="auto" w:fill="auto"/>
                  <w:hideMark/>
                </w:tcPr>
                <w:p w14:paraId="5123E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societal cost per hour of such loss of supply;</w:t>
                  </w:r>
                </w:p>
              </w:tc>
            </w:tr>
          </w:tbl>
          <w:p w14:paraId="5F4432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F9C72C3" w14:textId="77777777" w:rsidTr="003B7AE9">
        <w:tc>
          <w:tcPr>
            <w:tcW w:w="0" w:type="auto"/>
            <w:shd w:val="clear" w:color="auto" w:fill="auto"/>
            <w:hideMark/>
          </w:tcPr>
          <w:p w14:paraId="73FD0A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B7AE9" w14:paraId="3A2DEA7A" w14:textId="77777777">
              <w:tc>
                <w:tcPr>
                  <w:tcW w:w="0" w:type="auto"/>
                  <w:shd w:val="clear" w:color="auto" w:fill="auto"/>
                  <w:hideMark/>
                </w:tcPr>
                <w:p w14:paraId="450ECA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636BD0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frequency response;</w:t>
                  </w:r>
                </w:p>
              </w:tc>
            </w:tr>
          </w:tbl>
          <w:p w14:paraId="0E8917F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B7AE9" w14:paraId="634EE759" w14:textId="77777777">
              <w:tc>
                <w:tcPr>
                  <w:tcW w:w="0" w:type="auto"/>
                  <w:shd w:val="clear" w:color="auto" w:fill="auto"/>
                  <w:hideMark/>
                </w:tcPr>
                <w:p w14:paraId="3C687F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balancing reserves;</w:t>
                  </w:r>
                </w:p>
              </w:tc>
            </w:tr>
          </w:tbl>
          <w:p w14:paraId="650E32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B7AE9" w14:paraId="37DDB174" w14:textId="77777777">
              <w:tc>
                <w:tcPr>
                  <w:tcW w:w="0" w:type="auto"/>
                  <w:shd w:val="clear" w:color="auto" w:fill="auto"/>
                  <w:hideMark/>
                </w:tcPr>
                <w:p w14:paraId="6CA1F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w:t>
                  </w:r>
                </w:p>
              </w:tc>
            </w:tr>
          </w:tbl>
          <w:p w14:paraId="4EED88E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B7AE9" w14:paraId="1B69B04D" w14:textId="77777777">
              <w:tc>
                <w:tcPr>
                  <w:tcW w:w="0" w:type="auto"/>
                  <w:shd w:val="clear" w:color="auto" w:fill="auto"/>
                  <w:hideMark/>
                </w:tcPr>
                <w:p w14:paraId="09A9F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congestion management;</w:t>
                  </w:r>
                </w:p>
              </w:tc>
            </w:tr>
          </w:tbl>
          <w:p w14:paraId="409D4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B7AE9" w14:paraId="06223214" w14:textId="77777777">
              <w:tc>
                <w:tcPr>
                  <w:tcW w:w="0" w:type="auto"/>
                  <w:shd w:val="clear" w:color="auto" w:fill="auto"/>
                  <w:hideMark/>
                </w:tcPr>
                <w:p w14:paraId="6D0FD6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defence measures;</w:t>
                  </w:r>
                </w:p>
              </w:tc>
            </w:tr>
          </w:tbl>
          <w:p w14:paraId="68E7CC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0D5B1E0" w14:textId="77777777" w:rsidTr="003B7AE9">
        <w:tc>
          <w:tcPr>
            <w:tcW w:w="0" w:type="auto"/>
            <w:shd w:val="clear" w:color="auto" w:fill="auto"/>
            <w:hideMark/>
          </w:tcPr>
          <w:p w14:paraId="1412FF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B7AE9" w14:paraId="2ECA56AE" w14:textId="77777777">
              <w:tc>
                <w:tcPr>
                  <w:tcW w:w="0" w:type="auto"/>
                  <w:shd w:val="clear" w:color="auto" w:fill="auto"/>
                  <w:hideMark/>
                </w:tcPr>
                <w:p w14:paraId="2A942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F11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B7AE9" w14:paraId="58DFC6F7" w14:textId="77777777">
              <w:tc>
                <w:tcPr>
                  <w:tcW w:w="0" w:type="auto"/>
                  <w:shd w:val="clear" w:color="auto" w:fill="auto"/>
                  <w:hideMark/>
                </w:tcPr>
                <w:p w14:paraId="05BF9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3B7AE9" w14:paraId="58C22915" w14:textId="77777777">
              <w:tc>
                <w:tcPr>
                  <w:tcW w:w="0" w:type="auto"/>
                  <w:shd w:val="clear" w:color="auto" w:fill="auto"/>
                  <w:hideMark/>
                </w:tcPr>
                <w:p w14:paraId="193F19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B7AE9" w:rsidRDefault="003B7AE9" w:rsidP="0060282F">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964" w:author="Author">
          <w:pPr>
            <w:shd w:val="clear" w:color="auto" w:fill="FFFFFF"/>
            <w:jc w:val="center"/>
          </w:pPr>
        </w:pPrChange>
      </w:pPr>
      <w:r w:rsidRPr="003B7AE9">
        <w:rPr>
          <w:rFonts w:ascii="inherit" w:eastAsia="Times New Roman" w:hAnsi="inherit" w:cs="Times New Roman"/>
          <w:b/>
          <w:bCs/>
          <w:color w:val="000000"/>
          <w:sz w:val="24"/>
          <w:szCs w:val="24"/>
          <w:lang w:eastAsia="en-GB"/>
        </w:rPr>
        <w:t>TITLE IV</w:t>
      </w:r>
    </w:p>
    <w:p w14:paraId="4A76BA13" w14:textId="77777777" w:rsidR="003B7AE9" w:rsidRPr="003B7AE9" w:rsidRDefault="003B7AE9" w:rsidP="0060282F">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965" w:author="Author">
          <w:pPr>
            <w:shd w:val="clear" w:color="auto" w:fill="FFFFFF"/>
            <w:jc w:val="center"/>
          </w:pPr>
        </w:pPrChange>
      </w:pPr>
      <w:r w:rsidRPr="003B7AE9">
        <w:rPr>
          <w:rFonts w:ascii="inherit" w:eastAsia="Times New Roman" w:hAnsi="inherit" w:cs="Times New Roman"/>
          <w:b/>
          <w:bCs/>
          <w:color w:val="000000"/>
          <w:sz w:val="24"/>
          <w:szCs w:val="24"/>
          <w:lang w:eastAsia="en-GB"/>
        </w:rPr>
        <w:t>COMPLIANCE</w:t>
      </w:r>
    </w:p>
    <w:p w14:paraId="47CD3994" w14:textId="77777777" w:rsidR="003B7AE9" w:rsidRPr="003B7AE9" w:rsidRDefault="003B7AE9" w:rsidP="0060282F">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966"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1</w:t>
      </w:r>
    </w:p>
    <w:p w14:paraId="2726B1F7" w14:textId="77777777" w:rsidR="003B7AE9" w:rsidRPr="003B7AE9" w:rsidRDefault="003B7AE9" w:rsidP="0060282F">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967"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t>Compliance monitoring</w:t>
      </w:r>
    </w:p>
    <w:p w14:paraId="12862A59"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968" w:author="Author">
            <w:rPr/>
          </w:rPrChange>
        </w:rPr>
        <w:pPrChange w:id="969"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40</w:t>
      </w:r>
    </w:p>
    <w:p w14:paraId="40135519"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70" w:author="Author">
          <w:pPr>
            <w:shd w:val="clear" w:color="auto" w:fill="FFFFFF"/>
            <w:jc w:val="center"/>
          </w:pPr>
        </w:pPrChange>
      </w:pPr>
      <w:r w:rsidRPr="003B7AE9">
        <w:rPr>
          <w:rFonts w:ascii="inherit" w:eastAsia="Times New Roman" w:hAnsi="inherit" w:cs="Times New Roman"/>
          <w:b/>
          <w:bCs/>
          <w:color w:val="000000"/>
          <w:sz w:val="24"/>
          <w:szCs w:val="24"/>
          <w:lang w:eastAsia="en-GB"/>
        </w:rPr>
        <w:t>Responsibility of the power-generating facility owner</w:t>
      </w:r>
    </w:p>
    <w:p w14:paraId="40B485D6"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71" w:author="Author">
          <w:pPr>
            <w:shd w:val="clear" w:color="auto" w:fill="FFFFFF"/>
            <w:jc w:val="both"/>
          </w:pPr>
        </w:pPrChange>
      </w:pPr>
      <w:r w:rsidRPr="003B7AE9">
        <w:rPr>
          <w:rFonts w:ascii="inherit" w:eastAsia="Times New Roman" w:hAnsi="inherit" w:cs="Times New Roman"/>
          <w:color w:val="000000"/>
          <w:sz w:val="24"/>
          <w:szCs w:val="24"/>
          <w:lang w:eastAsia="en-GB"/>
        </w:rPr>
        <w:t>1.   The power-generating facility owner shall ensure that each power-generating module complies with the requirements applicable under this Regulation throughout the lifetime of the facility. For type A power-generating modules, the power-generating facility owner may rely upon equipment certificates, issued as per Regulation (EC) No 765/2008.</w:t>
      </w:r>
    </w:p>
    <w:p w14:paraId="687F2FD7"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72" w:author="Author">
          <w:pPr>
            <w:shd w:val="clear" w:color="auto" w:fill="FFFFFF"/>
            <w:jc w:val="both"/>
          </w:pPr>
        </w:pPrChange>
      </w:pPr>
      <w:r w:rsidRPr="003B7AE9">
        <w:rPr>
          <w:rFonts w:ascii="inherit" w:eastAsia="Times New Roman" w:hAnsi="inherit" w:cs="Times New Roman"/>
          <w:color w:val="000000"/>
          <w:sz w:val="24"/>
          <w:szCs w:val="24"/>
          <w:lang w:eastAsia="en-GB"/>
        </w:rPr>
        <w:t>2.   The power-generating facility owner shall notify to the relevant system operator any planned modification of the technical capabilities of a power-generating module which may affect its compliance with the requirements applicable under this Regulation, before initiating that modification.</w:t>
      </w:r>
    </w:p>
    <w:p w14:paraId="725B47C9"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73" w:author="Author">
          <w:pPr>
            <w:shd w:val="clear" w:color="auto" w:fill="FFFFFF"/>
            <w:jc w:val="both"/>
          </w:pPr>
        </w:pPrChange>
      </w:pPr>
      <w:r w:rsidRPr="003B7AE9">
        <w:rPr>
          <w:rFonts w:ascii="inherit" w:eastAsia="Times New Roman" w:hAnsi="inherit" w:cs="Times New Roman"/>
          <w:color w:val="000000"/>
          <w:sz w:val="24"/>
          <w:szCs w:val="24"/>
          <w:lang w:eastAsia="en-GB"/>
        </w:rPr>
        <w:t>3.   The power-generating facility owner shall notify the relevant system operator of any operational incidents or failures of a power-generating module that affect its compliance with the requirements of this Regulation, without undue delay, after the occurrence of those incidents.</w:t>
      </w:r>
    </w:p>
    <w:p w14:paraId="32DDCD73"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74" w:author="Author">
          <w:pPr>
            <w:shd w:val="clear" w:color="auto" w:fill="FFFFFF"/>
            <w:jc w:val="both"/>
          </w:pPr>
        </w:pPrChange>
      </w:pPr>
      <w:r w:rsidRPr="003B7AE9">
        <w:rPr>
          <w:rFonts w:ascii="inherit" w:eastAsia="Times New Roman" w:hAnsi="inherit" w:cs="Times New Roman"/>
          <w:color w:val="000000"/>
          <w:sz w:val="24"/>
          <w:szCs w:val="24"/>
          <w:lang w:eastAsia="en-GB"/>
        </w:rPr>
        <w:t>4.   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75" w:author="Author">
          <w:pPr>
            <w:shd w:val="clear" w:color="auto" w:fill="FFFFFF"/>
            <w:jc w:val="both"/>
          </w:pPr>
        </w:pPrChange>
      </w:pPr>
      <w:r w:rsidRPr="003B7AE9">
        <w:rPr>
          <w:rFonts w:ascii="inherit" w:eastAsia="Times New Roman" w:hAnsi="inherit" w:cs="Times New Roman"/>
          <w:color w:val="000000"/>
          <w:sz w:val="24"/>
          <w:szCs w:val="24"/>
          <w:lang w:eastAsia="en-GB"/>
        </w:rPr>
        <w:t>5.   The relevant system operator may participate in such tests and record the performance of the power-generating modules.</w:t>
      </w:r>
    </w:p>
    <w:p w14:paraId="0FE8927D"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976" w:author="Author">
            <w:rPr/>
          </w:rPrChange>
        </w:rPr>
        <w:pPrChange w:id="977" w:author="Author">
          <w:pPr>
            <w:shd w:val="clear" w:color="auto" w:fill="FFFFFF"/>
            <w:jc w:val="center"/>
          </w:pPr>
        </w:pPrChange>
      </w:pPr>
      <w:r w:rsidRPr="2D4DAF54">
        <w:rPr>
          <w:rFonts w:ascii="inherit" w:eastAsia="Times New Roman" w:hAnsi="inherit" w:cs="Times New Roman"/>
          <w:i/>
          <w:iCs/>
          <w:color w:val="000000"/>
          <w:sz w:val="24"/>
          <w:szCs w:val="24"/>
          <w:lang w:eastAsia="en-GB"/>
        </w:rPr>
        <w:lastRenderedPageBreak/>
        <w:t>Article 41</w:t>
      </w:r>
    </w:p>
    <w:p w14:paraId="684872BE"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78" w:author="Author">
          <w:pPr>
            <w:shd w:val="clear" w:color="auto" w:fill="FFFFFF"/>
            <w:jc w:val="center"/>
          </w:pPr>
        </w:pPrChange>
      </w:pPr>
      <w:r w:rsidRPr="003B7AE9">
        <w:rPr>
          <w:rFonts w:ascii="inherit" w:eastAsia="Times New Roman" w:hAnsi="inherit" w:cs="Times New Roman"/>
          <w:b/>
          <w:bCs/>
          <w:color w:val="000000"/>
          <w:sz w:val="24"/>
          <w:szCs w:val="24"/>
          <w:lang w:eastAsia="en-GB"/>
        </w:rPr>
        <w:t>Tasks of the relevant system operator</w:t>
      </w:r>
    </w:p>
    <w:p w14:paraId="3E66CFBF"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79" w:author="Author">
          <w:pPr>
            <w:shd w:val="clear" w:color="auto" w:fill="FFFFFF"/>
            <w:jc w:val="both"/>
          </w:pPr>
        </w:pPrChange>
      </w:pPr>
      <w:r w:rsidRPr="003B7AE9">
        <w:rPr>
          <w:rFonts w:ascii="inherit" w:eastAsia="Times New Roman" w:hAnsi="inherit" w:cs="Times New Roman"/>
          <w:color w:val="000000"/>
          <w:sz w:val="24"/>
          <w:szCs w:val="24"/>
          <w:lang w:eastAsia="en-GB"/>
        </w:rPr>
        <w:t>1.   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80" w:author="Author">
          <w:pPr>
            <w:shd w:val="clear" w:color="auto" w:fill="FFFFFF"/>
            <w:jc w:val="both"/>
          </w:pPr>
        </w:pPrChange>
      </w:pPr>
      <w:r w:rsidRPr="003B7AE9">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81" w:author="Author">
          <w:pPr>
            <w:shd w:val="clear" w:color="auto" w:fill="FFFFFF"/>
            <w:jc w:val="both"/>
          </w:pPr>
        </w:pPrChange>
      </w:pPr>
      <w:r w:rsidRPr="003B7AE9">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82" w:author="Author">
          <w:pPr>
            <w:shd w:val="clear" w:color="auto" w:fill="FFFFFF"/>
            <w:jc w:val="both"/>
          </w:pPr>
        </w:pPrChange>
      </w:pPr>
      <w:r w:rsidRPr="003B7AE9">
        <w:rPr>
          <w:rFonts w:ascii="inherit" w:eastAsia="Times New Roman" w:hAnsi="inherit" w:cs="Times New Roman"/>
          <w:color w:val="000000"/>
          <w:sz w:val="24"/>
          <w:szCs w:val="24"/>
          <w:lang w:eastAsia="en-GB"/>
        </w:rPr>
        <w:t>The power-generating facility owner shall be informed of the outcome of those compliance tests and simulations.</w:t>
      </w:r>
    </w:p>
    <w:p w14:paraId="30A56B1D"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83" w:author="Author">
          <w:pPr>
            <w:shd w:val="clear" w:color="auto" w:fill="FFFFFF"/>
            <w:jc w:val="both"/>
          </w:pPr>
        </w:pPrChange>
      </w:pPr>
      <w:r w:rsidRPr="003B7AE9">
        <w:rPr>
          <w:rFonts w:ascii="inherit" w:eastAsia="Times New Roman" w:hAnsi="inherit" w:cs="Times New Roman"/>
          <w:color w:val="000000"/>
          <w:sz w:val="24"/>
          <w:szCs w:val="24"/>
          <w:lang w:eastAsia="en-GB"/>
        </w:rPr>
        <w:t>3.   The relevant system operator shall make publicly available a list of information and documents to be provided as well as the requirements to be fulfilled by the power-generating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3941728" w14:textId="77777777" w:rsidTr="003B7AE9">
        <w:tc>
          <w:tcPr>
            <w:tcW w:w="0" w:type="auto"/>
            <w:shd w:val="clear" w:color="auto" w:fill="auto"/>
            <w:hideMark/>
          </w:tcPr>
          <w:p w14:paraId="550AF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24FC253" w14:textId="77777777" w:rsidTr="003B7AE9">
        <w:tc>
          <w:tcPr>
            <w:tcW w:w="0" w:type="auto"/>
            <w:shd w:val="clear" w:color="auto" w:fill="auto"/>
            <w:hideMark/>
          </w:tcPr>
          <w:p w14:paraId="6B080C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B7AE9" w14:paraId="5688F3A2" w14:textId="77777777" w:rsidTr="003B7AE9">
        <w:tc>
          <w:tcPr>
            <w:tcW w:w="0" w:type="auto"/>
            <w:shd w:val="clear" w:color="auto" w:fill="auto"/>
            <w:hideMark/>
          </w:tcPr>
          <w:p w14:paraId="1CDC77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3C9118BB" w14:textId="77777777" w:rsidTr="003B7AE9">
        <w:tc>
          <w:tcPr>
            <w:tcW w:w="0" w:type="auto"/>
            <w:shd w:val="clear" w:color="auto" w:fill="auto"/>
            <w:hideMark/>
          </w:tcPr>
          <w:p w14:paraId="58AD10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0EE6086" w14:textId="77777777" w:rsidTr="003B7AE9">
        <w:tc>
          <w:tcPr>
            <w:tcW w:w="0" w:type="auto"/>
            <w:shd w:val="clear" w:color="auto" w:fill="auto"/>
            <w:hideMark/>
          </w:tcPr>
          <w:p w14:paraId="1ED86E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E1A8" w14:textId="77777777" w:rsidTr="003B7AE9">
        <w:tc>
          <w:tcPr>
            <w:tcW w:w="0" w:type="auto"/>
            <w:shd w:val="clear" w:color="auto" w:fill="auto"/>
            <w:hideMark/>
          </w:tcPr>
          <w:p w14:paraId="60DF1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547A0950" w14:textId="77777777" w:rsidTr="003B7AE9">
        <w:tc>
          <w:tcPr>
            <w:tcW w:w="0" w:type="auto"/>
            <w:shd w:val="clear" w:color="auto" w:fill="auto"/>
            <w:hideMark/>
          </w:tcPr>
          <w:p w14:paraId="2DEA3B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DE63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84" w:author="Author">
          <w:pPr>
            <w:shd w:val="clear" w:color="auto" w:fill="FFFFFF"/>
            <w:jc w:val="both"/>
          </w:pPr>
        </w:pPrChange>
      </w:pPr>
      <w:r w:rsidRPr="003B7AE9">
        <w:rPr>
          <w:rFonts w:ascii="inherit" w:eastAsia="Times New Roman" w:hAnsi="inherit" w:cs="Times New Roman"/>
          <w:color w:val="000000"/>
          <w:sz w:val="24"/>
          <w:szCs w:val="24"/>
          <w:lang w:eastAsia="en-GB"/>
        </w:rPr>
        <w:t>4.   The relevant system operator shall make public the allocation of responsibilities between the power-generating facility owner and the system operator for compliance testing, simulation and monitoring.</w:t>
      </w:r>
    </w:p>
    <w:p w14:paraId="49889AE5"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85" w:author="Author">
          <w:pPr>
            <w:shd w:val="clear" w:color="auto" w:fill="FFFFFF"/>
            <w:jc w:val="both"/>
          </w:pPr>
        </w:pPrChange>
      </w:pPr>
      <w:r w:rsidRPr="003B7AE9">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12, including entering into confidentiality commitments with the assignee.</w:t>
      </w:r>
    </w:p>
    <w:p w14:paraId="18AB2A12"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86" w:author="Author">
          <w:pPr>
            <w:shd w:val="clear" w:color="auto" w:fill="FFFFFF"/>
            <w:jc w:val="both"/>
          </w:pPr>
        </w:pPrChange>
      </w:pPr>
      <w:r w:rsidRPr="003B7AE9">
        <w:rPr>
          <w:rFonts w:ascii="inherit" w:eastAsia="Times New Roman" w:hAnsi="inherit" w:cs="Times New Roman"/>
          <w:color w:val="000000"/>
          <w:sz w:val="24"/>
          <w:szCs w:val="24"/>
          <w:lang w:eastAsia="en-GB"/>
        </w:rPr>
        <w:t xml:space="preserve">6.   If compliance tests or simulations cannot be carried out as agreed between the relevant system operator and the power-generating facility owner due to reasons </w:t>
      </w:r>
      <w:r w:rsidRPr="003B7AE9">
        <w:rPr>
          <w:rFonts w:ascii="inherit" w:eastAsia="Times New Roman" w:hAnsi="inherit" w:cs="Times New Roman"/>
          <w:color w:val="000000"/>
          <w:sz w:val="24"/>
          <w:szCs w:val="24"/>
          <w:lang w:eastAsia="en-GB"/>
        </w:rPr>
        <w:lastRenderedPageBreak/>
        <w:t>attributable to the relevant system operator, then the relevant system operator shall not unreasonably withhold the operational notification referred to in Title III.</w:t>
      </w:r>
    </w:p>
    <w:p w14:paraId="7979B712"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987" w:author="Author">
            <w:rPr/>
          </w:rPrChange>
        </w:rPr>
        <w:pPrChange w:id="988"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42</w:t>
      </w:r>
    </w:p>
    <w:p w14:paraId="4D713921"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989" w:author="Author">
          <w:pPr>
            <w:shd w:val="clear" w:color="auto" w:fill="FFFFFF"/>
            <w:jc w:val="center"/>
          </w:pPr>
        </w:pPrChange>
      </w:pPr>
      <w:r w:rsidRPr="003B7AE9">
        <w:rPr>
          <w:rFonts w:ascii="inherit" w:eastAsia="Times New Roman" w:hAnsi="inherit" w:cs="Times New Roman"/>
          <w:b/>
          <w:bCs/>
          <w:color w:val="000000"/>
          <w:sz w:val="24"/>
          <w:szCs w:val="24"/>
          <w:lang w:eastAsia="en-GB"/>
        </w:rPr>
        <w:t>Common provisions for compliance testing</w:t>
      </w:r>
    </w:p>
    <w:p w14:paraId="0BA9901E"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90" w:author="Author">
          <w:pPr>
            <w:shd w:val="clear" w:color="auto" w:fill="FFFFFF"/>
            <w:jc w:val="both"/>
          </w:pPr>
        </w:pPrChange>
      </w:pPr>
      <w:r w:rsidRPr="003B7AE9">
        <w:rPr>
          <w:rFonts w:ascii="inherit" w:eastAsia="Times New Roman" w:hAnsi="inherit" w:cs="Times New Roman"/>
          <w:color w:val="000000"/>
          <w:sz w:val="24"/>
          <w:szCs w:val="24"/>
          <w:lang w:eastAsia="en-GB"/>
        </w:rPr>
        <w:t>1.   Testing of the performance of individual power-generating modules within a power-generating facility shall aim at demonstrating that the requirements of this Regulation have been complied with.</w:t>
      </w:r>
    </w:p>
    <w:p w14:paraId="030A7C4F"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91" w:author="Author">
          <w:pPr>
            <w:shd w:val="clear" w:color="auto" w:fill="FFFFFF"/>
            <w:jc w:val="both"/>
          </w:pPr>
        </w:pPrChange>
      </w:pPr>
      <w:r w:rsidRPr="003B7AE9">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377E0F" w14:textId="77777777" w:rsidTr="003B7AE9">
        <w:tc>
          <w:tcPr>
            <w:tcW w:w="0" w:type="auto"/>
            <w:shd w:val="clear" w:color="auto" w:fill="auto"/>
            <w:hideMark/>
          </w:tcPr>
          <w:p w14:paraId="444F99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F50ECB" w14:textId="77777777" w:rsidTr="003B7AE9">
        <w:tc>
          <w:tcPr>
            <w:tcW w:w="0" w:type="auto"/>
            <w:shd w:val="clear" w:color="auto" w:fill="auto"/>
            <w:hideMark/>
          </w:tcPr>
          <w:p w14:paraId="392AF8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B936489" w14:textId="77777777" w:rsidTr="003B7AE9">
        <w:tc>
          <w:tcPr>
            <w:tcW w:w="0" w:type="auto"/>
            <w:shd w:val="clear" w:color="auto" w:fill="auto"/>
            <w:hideMark/>
          </w:tcPr>
          <w:p w14:paraId="6B1FBA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B411A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p>
        </w:tc>
      </w:tr>
    </w:tbl>
    <w:p w14:paraId="7084B6BB"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92" w:author="Author">
          <w:pPr>
            <w:shd w:val="clear" w:color="auto" w:fill="FFFFFF"/>
            <w:jc w:val="both"/>
          </w:pPr>
        </w:pPrChange>
      </w:pPr>
      <w:r w:rsidRPr="003B7AE9">
        <w:rPr>
          <w:rFonts w:ascii="inherit" w:eastAsia="Times New Roman" w:hAnsi="inherit" w:cs="Times New Roman"/>
          <w:color w:val="000000"/>
          <w:sz w:val="24"/>
          <w:szCs w:val="24"/>
          <w:lang w:eastAsia="en-GB"/>
        </w:rPr>
        <w:t>3.   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93" w:author="Author">
          <w:pPr>
            <w:shd w:val="clear" w:color="auto" w:fill="FFFFFF"/>
            <w:jc w:val="both"/>
          </w:pPr>
        </w:pPrChange>
      </w:pPr>
      <w:r w:rsidRPr="003B7AE9">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299F84CB"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val="fr-FR" w:eastAsia="en-GB"/>
          <w:rPrChange w:id="994" w:author="Author">
            <w:rPr/>
          </w:rPrChange>
        </w:rPr>
        <w:pPrChange w:id="995" w:author="Author">
          <w:pPr>
            <w:shd w:val="clear" w:color="auto" w:fill="FFFFFF"/>
            <w:jc w:val="center"/>
          </w:pPr>
        </w:pPrChange>
      </w:pPr>
      <w:r w:rsidRPr="2D4DAF54">
        <w:rPr>
          <w:rFonts w:ascii="inherit" w:eastAsia="Times New Roman" w:hAnsi="inherit" w:cs="Times New Roman"/>
          <w:i/>
          <w:iCs/>
          <w:color w:val="000000"/>
          <w:sz w:val="24"/>
          <w:szCs w:val="24"/>
          <w:lang w:val="fr-FR" w:eastAsia="en-GB"/>
        </w:rPr>
        <w:t>Article 43</w:t>
      </w:r>
    </w:p>
    <w:p w14:paraId="67B63A8F"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val="fr-FR" w:eastAsia="en-GB"/>
        </w:rPr>
        <w:pPrChange w:id="996" w:author="Author">
          <w:pPr>
            <w:shd w:val="clear" w:color="auto" w:fill="FFFFFF"/>
            <w:jc w:val="center"/>
          </w:pPr>
        </w:pPrChange>
      </w:pPr>
      <w:r w:rsidRPr="003B7AE9">
        <w:rPr>
          <w:rFonts w:ascii="inherit" w:eastAsia="Times New Roman" w:hAnsi="inherit" w:cs="Times New Roman"/>
          <w:b/>
          <w:bCs/>
          <w:color w:val="000000"/>
          <w:sz w:val="24"/>
          <w:szCs w:val="24"/>
          <w:lang w:val="fr-FR" w:eastAsia="en-GB"/>
        </w:rPr>
        <w:t>Common provisions on compliance simulation</w:t>
      </w:r>
    </w:p>
    <w:p w14:paraId="54F15F7B"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97" w:author="Author">
          <w:pPr>
            <w:shd w:val="clear" w:color="auto" w:fill="FFFFFF"/>
            <w:jc w:val="both"/>
          </w:pPr>
        </w:pPrChange>
      </w:pPr>
      <w:r w:rsidRPr="003B7AE9">
        <w:rPr>
          <w:rFonts w:ascii="inherit" w:eastAsia="Times New Roman" w:hAnsi="inherit" w:cs="Times New Roman"/>
          <w:color w:val="000000"/>
          <w:sz w:val="24"/>
          <w:szCs w:val="24"/>
          <w:lang w:eastAsia="en-GB"/>
        </w:rPr>
        <w:t>1.   Simulation of the performance of individual power-generating modules within a power-generating facility shall aim at demonstrating that the requirements of this Regulation have been fulfilled.</w:t>
      </w:r>
    </w:p>
    <w:p w14:paraId="4AE8E23A"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98" w:author="Author">
          <w:pPr>
            <w:shd w:val="clear" w:color="auto" w:fill="FFFFFF"/>
            <w:jc w:val="both"/>
          </w:pPr>
        </w:pPrChange>
      </w:pPr>
      <w:r w:rsidRPr="003B7A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7ED2A8" w14:textId="77777777" w:rsidTr="003B7AE9">
        <w:tc>
          <w:tcPr>
            <w:tcW w:w="0" w:type="auto"/>
            <w:shd w:val="clear" w:color="auto" w:fill="auto"/>
            <w:hideMark/>
          </w:tcPr>
          <w:p w14:paraId="633B9E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012F9B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59D6348" w14:textId="77777777" w:rsidTr="003B7AE9">
        <w:tc>
          <w:tcPr>
            <w:tcW w:w="0" w:type="auto"/>
            <w:shd w:val="clear" w:color="auto" w:fill="auto"/>
            <w:hideMark/>
          </w:tcPr>
          <w:p w14:paraId="387404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999" w:author="Author">
          <w:pPr>
            <w:shd w:val="clear" w:color="auto" w:fill="FFFFFF"/>
            <w:jc w:val="both"/>
          </w:pPr>
        </w:pPrChange>
      </w:pPr>
      <w:r w:rsidRPr="003B7AE9">
        <w:rPr>
          <w:rFonts w:ascii="inherit" w:eastAsia="Times New Roman" w:hAnsi="inherit" w:cs="Times New Roman"/>
          <w:color w:val="000000"/>
          <w:sz w:val="24"/>
          <w:szCs w:val="24"/>
          <w:lang w:eastAsia="en-GB"/>
        </w:rPr>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67583759"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00" w:author="Author">
          <w:pPr>
            <w:shd w:val="clear" w:color="auto" w:fill="FFFFFF"/>
            <w:jc w:val="both"/>
          </w:pPr>
        </w:pPrChange>
      </w:pPr>
      <w:r w:rsidRPr="003B7AE9">
        <w:rPr>
          <w:rFonts w:ascii="inherit" w:eastAsia="Times New Roman" w:hAnsi="inherit" w:cs="Times New Roman"/>
          <w:color w:val="000000"/>
          <w:sz w:val="24"/>
          <w:szCs w:val="24"/>
          <w:lang w:eastAsia="en-GB"/>
        </w:rPr>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01" w:author="Author">
          <w:pPr>
            <w:shd w:val="clear" w:color="auto" w:fill="FFFFFF"/>
            <w:jc w:val="both"/>
          </w:pPr>
        </w:pPrChange>
      </w:pPr>
      <w:r w:rsidRPr="003B7AE9">
        <w:rPr>
          <w:rFonts w:ascii="inherit" w:eastAsia="Times New Roman" w:hAnsi="inherit" w:cs="Times New Roman"/>
          <w:color w:val="000000"/>
          <w:sz w:val="24"/>
          <w:szCs w:val="24"/>
          <w:lang w:eastAsia="en-GB"/>
        </w:rPr>
        <w:t>5.   The relevant system operator shall provide the power-generating facility owner with technical data and a simulation model of the network, to the extent necessary to carry out the requested simulations in accordance with Chapter 5, 6 or 7 of Title IV.</w:t>
      </w:r>
    </w:p>
    <w:p w14:paraId="288EB1E1" w14:textId="77777777" w:rsidR="003B7AE9" w:rsidRPr="003B7AE9" w:rsidRDefault="003B7AE9" w:rsidP="0060282F">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1002"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2</w:t>
      </w:r>
    </w:p>
    <w:p w14:paraId="054AD404" w14:textId="77777777" w:rsidR="003B7AE9" w:rsidRPr="003B7AE9" w:rsidRDefault="003B7AE9" w:rsidP="0060282F">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1003"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04" w:author="Author">
            <w:rPr/>
          </w:rPrChange>
        </w:rPr>
        <w:pPrChange w:id="1005"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44</w:t>
      </w:r>
    </w:p>
    <w:p w14:paraId="7B94407D"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06" w:author="Author">
          <w:pPr>
            <w:shd w:val="clear" w:color="auto" w:fill="FFFFFF"/>
            <w:jc w:val="center"/>
          </w:pPr>
        </w:pPrChange>
      </w:pPr>
      <w:r w:rsidRPr="003B7AE9">
        <w:rPr>
          <w:rFonts w:ascii="inherit" w:eastAsia="Times New Roman" w:hAnsi="inherit" w:cs="Times New Roman"/>
          <w:b/>
          <w:bCs/>
          <w:color w:val="000000"/>
          <w:sz w:val="24"/>
          <w:szCs w:val="24"/>
          <w:lang w:eastAsia="en-GB"/>
        </w:rPr>
        <w:t>Compliance tests for type B synchronous power-generating modules</w:t>
      </w:r>
    </w:p>
    <w:p w14:paraId="017B07E8"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07" w:author="Author">
          <w:pPr>
            <w:shd w:val="clear" w:color="auto" w:fill="FFFFFF"/>
            <w:jc w:val="both"/>
          </w:pPr>
        </w:pPrChange>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synchronous power-generating modules.</w:t>
      </w:r>
    </w:p>
    <w:p w14:paraId="67EAF292"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08" w:author="Author">
          <w:pPr>
            <w:shd w:val="clear" w:color="auto" w:fill="FFFFFF"/>
            <w:jc w:val="both"/>
          </w:pPr>
        </w:pPrChange>
      </w:pPr>
      <w:r w:rsidRPr="003B7AE9">
        <w:rPr>
          <w:rFonts w:ascii="inherit" w:eastAsia="Times New Roman" w:hAnsi="inherit" w:cs="Times New Roman"/>
          <w:color w:val="000000"/>
          <w:sz w:val="24"/>
          <w:szCs w:val="24"/>
          <w:lang w:eastAsia="en-GB"/>
        </w:rPr>
        <w:t>Instead of carrying out the relevant test, power-generating facility owners may rely upon equipment certificates issued by an authorised certifier to demonstrate compliance with the relevant requirement. In such a case, the equipment certificates shall be provided to the relevant system operator.</w:t>
      </w:r>
    </w:p>
    <w:p w14:paraId="3B68BA16"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09" w:author="Author">
          <w:pPr>
            <w:shd w:val="clear" w:color="auto" w:fill="FFFFFF"/>
            <w:jc w:val="both"/>
          </w:pPr>
        </w:pPrChange>
      </w:pPr>
      <w:r w:rsidRPr="003B7AE9">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ED2EA6" w14:textId="77777777" w:rsidTr="003B7AE9">
        <w:tc>
          <w:tcPr>
            <w:tcW w:w="0" w:type="auto"/>
            <w:shd w:val="clear" w:color="auto" w:fill="auto"/>
            <w:hideMark/>
          </w:tcPr>
          <w:p w14:paraId="3BB7A4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continuously modulate active power to contribute to frequency control in case of any large increase of frequency in the system shall be demonstrated. The steady-state parameters of regulations, such as droop and deadband, and dynamic parameters, including frequency step change response shall be verified;</w:t>
            </w:r>
          </w:p>
        </w:tc>
      </w:tr>
    </w:tbl>
    <w:p w14:paraId="2C2375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A223BD" w14:textId="77777777" w:rsidTr="003B7AE9">
        <w:tc>
          <w:tcPr>
            <w:tcW w:w="0" w:type="auto"/>
            <w:shd w:val="clear" w:color="auto" w:fill="auto"/>
            <w:hideMark/>
          </w:tcPr>
          <w:p w14:paraId="676C8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at least 10 % of maximum capacity change in active power, taking into account the droop settings and the deadband. If required, simulated frequency deviation </w:t>
            </w:r>
            <w:r w:rsidRPr="003B7AE9">
              <w:rPr>
                <w:rFonts w:ascii="inherit" w:eastAsia="Times New Roman" w:hAnsi="inherit" w:cs="Times New Roman"/>
                <w:sz w:val="24"/>
                <w:szCs w:val="24"/>
                <w:lang w:eastAsia="en-GB"/>
              </w:rPr>
              <w:lastRenderedPageBreak/>
              <w:t>signals shall be injected simultaneously at both the speed governor and load controller of the control systems, taking into account the scheme of those control systems;</w:t>
            </w:r>
          </w:p>
        </w:tc>
      </w:tr>
    </w:tbl>
    <w:p w14:paraId="7241AF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BEC4386" w14:textId="77777777" w:rsidTr="003B7AE9">
        <w:tc>
          <w:tcPr>
            <w:tcW w:w="0" w:type="auto"/>
            <w:shd w:val="clear" w:color="auto" w:fill="auto"/>
            <w:hideMark/>
          </w:tcPr>
          <w:p w14:paraId="5D07D0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C326348" w14:textId="77777777">
              <w:tc>
                <w:tcPr>
                  <w:tcW w:w="0" w:type="auto"/>
                  <w:shd w:val="clear" w:color="auto" w:fill="auto"/>
                  <w:hideMark/>
                </w:tcPr>
                <w:p w14:paraId="30A0E1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6F19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35483CF1" w14:textId="77777777">
              <w:tc>
                <w:tcPr>
                  <w:tcW w:w="0" w:type="auto"/>
                  <w:shd w:val="clear" w:color="auto" w:fill="auto"/>
                  <w:hideMark/>
                </w:tcPr>
                <w:p w14:paraId="253821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10" w:author="Author">
            <w:rPr/>
          </w:rPrChange>
        </w:rPr>
        <w:pPrChange w:id="1011"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45</w:t>
      </w:r>
    </w:p>
    <w:p w14:paraId="3C973CB3"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12" w:author="Author">
          <w:pPr>
            <w:shd w:val="clear" w:color="auto" w:fill="FFFFFF"/>
            <w:jc w:val="center"/>
          </w:pPr>
        </w:pPrChange>
      </w:pPr>
      <w:r w:rsidRPr="003B7AE9">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13" w:author="Author">
          <w:pPr>
            <w:shd w:val="clear" w:color="auto" w:fill="FFFFFF"/>
            <w:jc w:val="both"/>
          </w:pPr>
        </w:pPrChange>
      </w:pPr>
      <w:r w:rsidRPr="003B7AE9">
        <w:rPr>
          <w:rFonts w:ascii="inherit" w:eastAsia="Times New Roman" w:hAnsi="inherit" w:cs="Times New Roman"/>
          <w:color w:val="000000"/>
          <w:sz w:val="24"/>
          <w:szCs w:val="24"/>
          <w:lang w:eastAsia="en-GB"/>
        </w:rPr>
        <w:t>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14" w:author="Author">
          <w:pPr>
            <w:shd w:val="clear" w:color="auto" w:fill="FFFFFF"/>
            <w:jc w:val="both"/>
          </w:pPr>
        </w:pPrChange>
      </w:pPr>
      <w:r w:rsidRPr="003B7AE9">
        <w:rPr>
          <w:rFonts w:ascii="inherit" w:eastAsia="Times New Roman" w:hAnsi="inherit" w:cs="Times New Roman"/>
          <w:color w:val="000000"/>
          <w:sz w:val="24"/>
          <w:szCs w:val="24"/>
          <w:lang w:eastAsia="en-GB"/>
        </w:rPr>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982E06" w14:textId="77777777" w:rsidTr="003B7AE9">
        <w:tc>
          <w:tcPr>
            <w:tcW w:w="0" w:type="auto"/>
            <w:shd w:val="clear" w:color="auto" w:fill="auto"/>
            <w:hideMark/>
          </w:tcPr>
          <w:p w14:paraId="05E038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0383D0A" w14:textId="77777777" w:rsidTr="003B7AE9">
        <w:tc>
          <w:tcPr>
            <w:tcW w:w="0" w:type="auto"/>
            <w:shd w:val="clear" w:color="auto" w:fill="auto"/>
            <w:hideMark/>
          </w:tcPr>
          <w:p w14:paraId="7EBB4D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appropriate active power load points, with low frequency steps and ramps big enough to trigger active power change of at least 10 % of maximum capacity, taking into account the droop settings and the deadband. If required, simulated frequency deviation signals shall be injected simultaneously into both the speed governor and the load controller references;</w:t>
            </w:r>
          </w:p>
        </w:tc>
      </w:tr>
    </w:tbl>
    <w:p w14:paraId="488A7B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9DA0CF" w14:textId="77777777" w:rsidTr="003B7AE9">
        <w:tc>
          <w:tcPr>
            <w:tcW w:w="0" w:type="auto"/>
            <w:shd w:val="clear" w:color="auto" w:fill="auto"/>
            <w:hideMark/>
          </w:tcPr>
          <w:p w14:paraId="03B3B9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FE58FB5" w14:textId="77777777">
              <w:tc>
                <w:tcPr>
                  <w:tcW w:w="0" w:type="auto"/>
                  <w:shd w:val="clear" w:color="auto" w:fill="auto"/>
                  <w:hideMark/>
                </w:tcPr>
                <w:p w14:paraId="7D1E7D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5BA1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1CE3D63" w14:textId="77777777">
              <w:tc>
                <w:tcPr>
                  <w:tcW w:w="0" w:type="auto"/>
                  <w:shd w:val="clear" w:color="auto" w:fill="auto"/>
                  <w:hideMark/>
                </w:tcPr>
                <w:p w14:paraId="1DB47D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15" w:author="Author">
          <w:pPr>
            <w:shd w:val="clear" w:color="auto" w:fill="FFFFFF"/>
            <w:jc w:val="both"/>
          </w:pPr>
        </w:pPrChange>
      </w:pPr>
      <w:r w:rsidRPr="003B7AE9">
        <w:rPr>
          <w:rFonts w:ascii="inherit" w:eastAsia="Times New Roman" w:hAnsi="inherit" w:cs="Times New Roman"/>
          <w:color w:val="000000"/>
          <w:sz w:val="24"/>
          <w:szCs w:val="24"/>
          <w:lang w:eastAsia="en-GB"/>
        </w:rPr>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733025" w14:textId="77777777" w:rsidTr="003B7AE9">
        <w:tc>
          <w:tcPr>
            <w:tcW w:w="0" w:type="auto"/>
            <w:shd w:val="clear" w:color="auto" w:fill="auto"/>
            <w:hideMark/>
          </w:tcPr>
          <w:p w14:paraId="764995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deadband and dynamic parameters, including robustness through frequency step change response and large, fast frequency deviations shall be verified;</w:t>
            </w:r>
          </w:p>
        </w:tc>
      </w:tr>
    </w:tbl>
    <w:p w14:paraId="130AC38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EC4AE0E" w14:textId="77777777" w:rsidTr="003B7AE9">
        <w:tc>
          <w:tcPr>
            <w:tcW w:w="0" w:type="auto"/>
            <w:shd w:val="clear" w:color="auto" w:fill="auto"/>
            <w:hideMark/>
          </w:tcPr>
          <w:p w14:paraId="1EFBC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the whole active power frequency response range, taking into account the settings of droop and deadband, as well as the capability to actually increase or decrease active power output from the respective operating point. If required, simulated frequency deviation signals shall be injected simultaneously into the </w:t>
            </w:r>
            <w:r w:rsidRPr="003B7AE9">
              <w:rPr>
                <w:rFonts w:ascii="inherit" w:eastAsia="Times New Roman" w:hAnsi="inherit" w:cs="Times New Roman"/>
                <w:sz w:val="24"/>
                <w:szCs w:val="24"/>
                <w:lang w:eastAsia="en-GB"/>
              </w:rPr>
              <w:lastRenderedPageBreak/>
              <w:t>references of both the speed governor and the load controller of the unit or plant control system;</w:t>
            </w:r>
          </w:p>
        </w:tc>
      </w:tr>
    </w:tbl>
    <w:p w14:paraId="4A5608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0DABF055" w14:textId="77777777" w:rsidTr="003B7AE9">
        <w:tc>
          <w:tcPr>
            <w:tcW w:w="0" w:type="auto"/>
            <w:shd w:val="clear" w:color="auto" w:fill="auto"/>
            <w:hideMark/>
          </w:tcPr>
          <w:p w14:paraId="61A17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0B24B5E" w14:textId="77777777">
              <w:tc>
                <w:tcPr>
                  <w:tcW w:w="0" w:type="auto"/>
                  <w:shd w:val="clear" w:color="auto" w:fill="auto"/>
                  <w:hideMark/>
                </w:tcPr>
                <w:p w14:paraId="70E269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8FBD8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0BCDF967" w14:textId="77777777">
              <w:tc>
                <w:tcPr>
                  <w:tcW w:w="0" w:type="auto"/>
                  <w:shd w:val="clear" w:color="auto" w:fill="auto"/>
                  <w:hideMark/>
                </w:tcPr>
                <w:p w14:paraId="41FD3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B7AE9" w14:paraId="0D3FA441" w14:textId="77777777">
              <w:tc>
                <w:tcPr>
                  <w:tcW w:w="0" w:type="auto"/>
                  <w:shd w:val="clear" w:color="auto" w:fill="auto"/>
                  <w:hideMark/>
                </w:tcPr>
                <w:p w14:paraId="3DA22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448646A3" w14:textId="77777777">
              <w:tc>
                <w:tcPr>
                  <w:tcW w:w="0" w:type="auto"/>
                  <w:shd w:val="clear" w:color="auto" w:fill="auto"/>
                  <w:hideMark/>
                </w:tcPr>
                <w:p w14:paraId="093970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 specified in point (d) of Article 15(2) and the deadband (threshold) is not higher than the value specified in that Article; and</w:t>
                  </w:r>
                </w:p>
              </w:tc>
            </w:tr>
          </w:tbl>
          <w:p w14:paraId="6E50A44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0AFD4733" w14:textId="77777777">
              <w:tc>
                <w:tcPr>
                  <w:tcW w:w="0" w:type="auto"/>
                  <w:shd w:val="clear" w:color="auto" w:fill="auto"/>
                  <w:hideMark/>
                </w:tcPr>
                <w:p w14:paraId="26BAC8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16" w:author="Author">
          <w:pPr>
            <w:shd w:val="clear" w:color="auto" w:fill="FFFFFF"/>
            <w:jc w:val="both"/>
          </w:pPr>
        </w:pPrChange>
      </w:pPr>
      <w:r w:rsidRPr="003B7AE9">
        <w:rPr>
          <w:rFonts w:ascii="inherit" w:eastAsia="Times New Roman" w:hAnsi="inherit" w:cs="Times New Roman"/>
          <w:color w:val="000000"/>
          <w:sz w:val="24"/>
          <w:szCs w:val="24"/>
          <w:lang w:eastAsia="en-GB"/>
        </w:rPr>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CED7BF1" w14:textId="77777777" w:rsidTr="003B7AE9">
        <w:tc>
          <w:tcPr>
            <w:tcW w:w="0" w:type="auto"/>
            <w:shd w:val="clear" w:color="auto" w:fill="auto"/>
            <w:hideMark/>
          </w:tcPr>
          <w:p w14:paraId="768390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16ADEC8" w14:textId="77777777" w:rsidTr="003B7AE9">
        <w:tc>
          <w:tcPr>
            <w:tcW w:w="0" w:type="auto"/>
            <w:shd w:val="clear" w:color="auto" w:fill="auto"/>
            <w:hideMark/>
          </w:tcPr>
          <w:p w14:paraId="4F1F04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17" w:author="Author">
          <w:pPr>
            <w:shd w:val="clear" w:color="auto" w:fill="FFFFFF"/>
            <w:jc w:val="both"/>
          </w:pPr>
        </w:pPrChange>
      </w:pPr>
      <w:r w:rsidRPr="003B7AE9">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DF71A9" w14:textId="77777777" w:rsidTr="003B7AE9">
        <w:tc>
          <w:tcPr>
            <w:tcW w:w="0" w:type="auto"/>
            <w:shd w:val="clear" w:color="auto" w:fill="auto"/>
            <w:hideMark/>
          </w:tcPr>
          <w:p w14:paraId="264FD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2EF5D0" w14:textId="77777777" w:rsidTr="003B7AE9">
        <w:tc>
          <w:tcPr>
            <w:tcW w:w="0" w:type="auto"/>
            <w:shd w:val="clear" w:color="auto" w:fill="auto"/>
            <w:hideMark/>
          </w:tcPr>
          <w:p w14:paraId="7EADE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tripping to houseload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E64037F" w14:textId="77777777" w:rsidTr="003B7AE9">
        <w:tc>
          <w:tcPr>
            <w:tcW w:w="0" w:type="auto"/>
            <w:shd w:val="clear" w:color="auto" w:fill="auto"/>
            <w:hideMark/>
          </w:tcPr>
          <w:p w14:paraId="46B3D6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C464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E8E1DDD" w14:textId="77777777" w:rsidTr="003B7AE9">
        <w:tc>
          <w:tcPr>
            <w:tcW w:w="0" w:type="auto"/>
            <w:shd w:val="clear" w:color="auto" w:fill="auto"/>
            <w:hideMark/>
          </w:tcPr>
          <w:p w14:paraId="2CC890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4C6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375961B" w14:textId="77777777" w:rsidTr="003B7AE9">
        <w:tc>
          <w:tcPr>
            <w:tcW w:w="0" w:type="auto"/>
            <w:shd w:val="clear" w:color="auto" w:fill="auto"/>
            <w:hideMark/>
          </w:tcPr>
          <w:p w14:paraId="3BF3DE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5BD1F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D2F9909" w14:textId="77777777" w:rsidTr="003B7AE9">
        <w:tc>
          <w:tcPr>
            <w:tcW w:w="0" w:type="auto"/>
            <w:shd w:val="clear" w:color="auto" w:fill="auto"/>
            <w:hideMark/>
          </w:tcPr>
          <w:p w14:paraId="6EA33F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7BB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tripping to house load is successful, stable houseload operation has been demonstrated in the time period set out in point (c) of Article 15(5) and re-synchronisation to the network has been performed successfully.</w:t>
            </w:r>
          </w:p>
        </w:tc>
      </w:tr>
    </w:tbl>
    <w:p w14:paraId="160EB35B"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18" w:author="Author">
          <w:pPr>
            <w:shd w:val="clear" w:color="auto" w:fill="FFFFFF"/>
            <w:jc w:val="both"/>
          </w:pPr>
        </w:pPrChange>
      </w:pPr>
      <w:r w:rsidRPr="003B7AE9">
        <w:rPr>
          <w:rFonts w:ascii="inherit" w:eastAsia="Times New Roman" w:hAnsi="inherit" w:cs="Times New Roman"/>
          <w:color w:val="000000"/>
          <w:sz w:val="24"/>
          <w:szCs w:val="24"/>
          <w:lang w:eastAsia="en-GB"/>
        </w:rPr>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E4E3BFA" w14:textId="77777777" w:rsidTr="003B7AE9">
        <w:tc>
          <w:tcPr>
            <w:tcW w:w="0" w:type="auto"/>
            <w:shd w:val="clear" w:color="auto" w:fill="auto"/>
            <w:hideMark/>
          </w:tcPr>
          <w:p w14:paraId="4D036F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DFC3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CFDA30" w14:textId="77777777" w:rsidTr="003B7AE9">
        <w:tc>
          <w:tcPr>
            <w:tcW w:w="0" w:type="auto"/>
            <w:shd w:val="clear" w:color="auto" w:fill="auto"/>
            <w:hideMark/>
          </w:tcPr>
          <w:p w14:paraId="6C6161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F44B414" w14:textId="77777777">
              <w:tc>
                <w:tcPr>
                  <w:tcW w:w="0" w:type="auto"/>
                  <w:shd w:val="clear" w:color="auto" w:fill="auto"/>
                  <w:hideMark/>
                </w:tcPr>
                <w:p w14:paraId="677DF3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6603F8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B7AE9" w14:paraId="326755C4" w14:textId="77777777">
                    <w:tc>
                      <w:tcPr>
                        <w:tcW w:w="0" w:type="auto"/>
                        <w:shd w:val="clear" w:color="auto" w:fill="auto"/>
                        <w:hideMark/>
                      </w:tcPr>
                      <w:p w14:paraId="4157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w:t>
                        </w:r>
                      </w:p>
                    </w:tc>
                  </w:tr>
                </w:tbl>
                <w:p w14:paraId="415208F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B7AE9" w14:paraId="4C39E796" w14:textId="77777777">
                    <w:tc>
                      <w:tcPr>
                        <w:tcW w:w="0" w:type="auto"/>
                        <w:shd w:val="clear" w:color="auto" w:fill="auto"/>
                        <w:hideMark/>
                      </w:tcPr>
                      <w:p w14:paraId="032E87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and</w:t>
                        </w:r>
                      </w:p>
                    </w:tc>
                  </w:tr>
                </w:tbl>
                <w:p w14:paraId="6476458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B7AE9" w14:paraId="6EC3E116" w14:textId="77777777">
                    <w:tc>
                      <w:tcPr>
                        <w:tcW w:w="0" w:type="auto"/>
                        <w:shd w:val="clear" w:color="auto" w:fill="auto"/>
                        <w:hideMark/>
                      </w:tcPr>
                      <w:p w14:paraId="285706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47AE0394" w14:textId="77777777">
              <w:tc>
                <w:tcPr>
                  <w:tcW w:w="0" w:type="auto"/>
                  <w:shd w:val="clear" w:color="auto" w:fill="auto"/>
                  <w:hideMark/>
                </w:tcPr>
                <w:p w14:paraId="0F535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C62DC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19" w:author="Author">
            <w:rPr/>
          </w:rPrChange>
        </w:rPr>
        <w:pPrChange w:id="1020" w:author="Author">
          <w:pPr>
            <w:shd w:val="clear" w:color="auto" w:fill="FFFFFF"/>
            <w:jc w:val="center"/>
          </w:pPr>
        </w:pPrChange>
      </w:pPr>
      <w:r w:rsidRPr="2D4DAF54">
        <w:rPr>
          <w:rFonts w:ascii="inherit" w:eastAsia="Times New Roman" w:hAnsi="inherit" w:cs="Times New Roman"/>
          <w:i/>
          <w:iCs/>
          <w:color w:val="000000"/>
          <w:sz w:val="24"/>
          <w:szCs w:val="24"/>
          <w:lang w:eastAsia="en-GB"/>
        </w:rPr>
        <w:lastRenderedPageBreak/>
        <w:t>Article 46</w:t>
      </w:r>
    </w:p>
    <w:p w14:paraId="0BB351AE"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21" w:author="Author">
          <w:pPr>
            <w:shd w:val="clear" w:color="auto" w:fill="FFFFFF"/>
            <w:jc w:val="center"/>
          </w:pPr>
        </w:pPrChange>
      </w:pPr>
      <w:r w:rsidRPr="003B7AE9">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22" w:author="Author">
          <w:pPr>
            <w:shd w:val="clear" w:color="auto" w:fill="FFFFFF"/>
            <w:jc w:val="both"/>
          </w:pPr>
        </w:pPrChange>
      </w:pPr>
      <w:r w:rsidRPr="003B7AE9">
        <w:rPr>
          <w:rFonts w:ascii="inherit" w:eastAsia="Times New Roman" w:hAnsi="inherit" w:cs="Times New Roman"/>
          <w:color w:val="000000"/>
          <w:sz w:val="24"/>
          <w:szCs w:val="24"/>
          <w:lang w:eastAsia="en-GB"/>
        </w:rPr>
        <w:t>1.   Type D synchronous power-generating modules are subject to the compliance tests for type B and C synchronous power-generating modules described in Articles 44 and 45.</w:t>
      </w:r>
    </w:p>
    <w:p w14:paraId="3E40D5B1"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23" w:author="Author">
          <w:pPr>
            <w:shd w:val="clear" w:color="auto" w:fill="FFFFFF"/>
            <w:jc w:val="both"/>
          </w:pPr>
        </w:pPrChange>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3B7AE9" w:rsidRDefault="003B7AE9" w:rsidP="0060282F">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1024"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3</w:t>
      </w:r>
    </w:p>
    <w:p w14:paraId="79B154C8" w14:textId="77777777" w:rsidR="003B7AE9" w:rsidRPr="003B7AE9" w:rsidRDefault="003B7AE9" w:rsidP="0060282F">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1025"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26" w:author="Author">
            <w:rPr/>
          </w:rPrChange>
        </w:rPr>
        <w:pPrChange w:id="1027"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47</w:t>
      </w:r>
    </w:p>
    <w:p w14:paraId="7CF89FC1"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28" w:author="Author">
          <w:pPr>
            <w:shd w:val="clear" w:color="auto" w:fill="FFFFFF"/>
            <w:jc w:val="center"/>
          </w:pPr>
        </w:pPrChange>
      </w:pPr>
      <w:r w:rsidRPr="003B7AE9">
        <w:rPr>
          <w:rFonts w:ascii="inherit" w:eastAsia="Times New Roman" w:hAnsi="inherit" w:cs="Times New Roman"/>
          <w:b/>
          <w:bCs/>
          <w:color w:val="000000"/>
          <w:sz w:val="24"/>
          <w:szCs w:val="24"/>
          <w:lang w:eastAsia="en-GB"/>
        </w:rPr>
        <w:t>Compliance tests for type B power park modules</w:t>
      </w:r>
    </w:p>
    <w:p w14:paraId="69159E01"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29" w:author="Author">
          <w:pPr>
            <w:shd w:val="clear" w:color="auto" w:fill="FFFFFF"/>
            <w:jc w:val="both"/>
          </w:pPr>
        </w:pPrChange>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power park modules.</w:t>
      </w:r>
    </w:p>
    <w:p w14:paraId="7D5B85F8"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30" w:author="Author">
          <w:pPr>
            <w:shd w:val="clear" w:color="auto" w:fill="FFFFFF"/>
            <w:jc w:val="both"/>
          </w:pPr>
        </w:pPrChange>
      </w:pPr>
      <w:r w:rsidRPr="003B7AE9">
        <w:rPr>
          <w:rFonts w:ascii="inherit" w:eastAsia="Times New Roman" w:hAnsi="inherit" w:cs="Times New Roman"/>
          <w:color w:val="000000"/>
          <w:sz w:val="24"/>
          <w:szCs w:val="24"/>
          <w:lang w:eastAsia="en-GB"/>
        </w:rPr>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3B2F73BB"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31" w:author="Author">
          <w:pPr>
            <w:shd w:val="clear" w:color="auto" w:fill="FFFFFF"/>
            <w:jc w:val="both"/>
          </w:pPr>
        </w:pPrChange>
      </w:pPr>
      <w:r w:rsidRPr="003B7AE9">
        <w:rPr>
          <w:rFonts w:ascii="inherit" w:eastAsia="Times New Roman" w:hAnsi="inherit" w:cs="Times New Roman"/>
          <w:color w:val="000000"/>
          <w:sz w:val="24"/>
          <w:szCs w:val="24"/>
          <w:lang w:eastAsia="en-GB"/>
        </w:rPr>
        <w:t>2.   With regard to type B power park modules, the LFSM-O response tests shall reflect the choice of control scheme selected by the relevant system operator.</w:t>
      </w:r>
    </w:p>
    <w:p w14:paraId="2677917F"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32" w:author="Author">
          <w:pPr>
            <w:shd w:val="clear" w:color="auto" w:fill="FFFFFF"/>
            <w:jc w:val="both"/>
          </w:pPr>
        </w:pPrChange>
      </w:pPr>
      <w:r w:rsidRPr="003B7AE9">
        <w:rPr>
          <w:rFonts w:ascii="inherit" w:eastAsia="Times New Roman" w:hAnsi="inherit" w:cs="Times New Roman"/>
          <w:color w:val="000000"/>
          <w:sz w:val="24"/>
          <w:szCs w:val="24"/>
          <w:lang w:eastAsia="en-GB"/>
        </w:rPr>
        <w:t>3.   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55733E2" w14:textId="77777777" w:rsidTr="003B7AE9">
        <w:tc>
          <w:tcPr>
            <w:tcW w:w="0" w:type="auto"/>
            <w:shd w:val="clear" w:color="auto" w:fill="auto"/>
            <w:hideMark/>
          </w:tcPr>
          <w:p w14:paraId="541570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increase of frequency in the system shall be demonstrated. The steady-state parameters of regulations, such as droop and deadband, and dynamic parameters shall be verified;</w:t>
            </w:r>
          </w:p>
        </w:tc>
      </w:tr>
    </w:tbl>
    <w:p w14:paraId="1D6E33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D41F7D" w14:textId="77777777" w:rsidTr="003B7AE9">
        <w:tc>
          <w:tcPr>
            <w:tcW w:w="0" w:type="auto"/>
            <w:shd w:val="clear" w:color="auto" w:fill="auto"/>
            <w:hideMark/>
          </w:tcPr>
          <w:p w14:paraId="27BC88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To perform this test simulated frequency deviation signals shall be injected simultaneously into the control system references;</w:t>
            </w:r>
          </w:p>
        </w:tc>
      </w:tr>
    </w:tbl>
    <w:p w14:paraId="01C8C8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99920DE" w14:textId="77777777" w:rsidTr="003B7AE9">
        <w:tc>
          <w:tcPr>
            <w:tcW w:w="0" w:type="auto"/>
            <w:shd w:val="clear" w:color="auto" w:fill="auto"/>
            <w:hideMark/>
          </w:tcPr>
          <w:p w14:paraId="0EBB7C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in the event that the test results, for both dynamic and static parameters, comply with the requirements set out in Article 13(2).</w:t>
            </w:r>
          </w:p>
        </w:tc>
      </w:tr>
    </w:tbl>
    <w:p w14:paraId="128EB905"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33" w:author="Author">
            <w:rPr/>
          </w:rPrChange>
        </w:rPr>
        <w:pPrChange w:id="1034" w:author="Author">
          <w:pPr>
            <w:shd w:val="clear" w:color="auto" w:fill="FFFFFF"/>
            <w:jc w:val="center"/>
          </w:pPr>
        </w:pPrChange>
      </w:pPr>
      <w:r w:rsidRPr="2D4DAF54">
        <w:rPr>
          <w:rFonts w:ascii="inherit" w:eastAsia="Times New Roman" w:hAnsi="inherit" w:cs="Times New Roman"/>
          <w:i/>
          <w:iCs/>
          <w:color w:val="000000"/>
          <w:sz w:val="24"/>
          <w:szCs w:val="24"/>
          <w:lang w:eastAsia="en-GB"/>
        </w:rPr>
        <w:lastRenderedPageBreak/>
        <w:t>Article 48</w:t>
      </w:r>
    </w:p>
    <w:p w14:paraId="085CBC87"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35" w:author="Author">
          <w:pPr>
            <w:shd w:val="clear" w:color="auto" w:fill="FFFFFF"/>
            <w:jc w:val="center"/>
          </w:pPr>
        </w:pPrChange>
      </w:pPr>
      <w:r w:rsidRPr="003B7AE9">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36" w:author="Author">
          <w:pPr>
            <w:shd w:val="clear" w:color="auto" w:fill="FFFFFF"/>
            <w:jc w:val="both"/>
          </w:pPr>
        </w:pPrChange>
      </w:pPr>
      <w:r w:rsidRPr="003B7AE9">
        <w:rPr>
          <w:rFonts w:ascii="inherit" w:eastAsia="Times New Roman" w:hAnsi="inherit" w:cs="Times New Roman"/>
          <w:color w:val="000000"/>
          <w:sz w:val="24"/>
          <w:szCs w:val="24"/>
          <w:lang w:eastAsia="en-GB"/>
        </w:rPr>
        <w:t>1.   In addition to the compliance tests for type B power park modules described in Article 47, power-generating facility owners shall undertake the compliance tests set out in 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37" w:author="Author">
          <w:pPr>
            <w:shd w:val="clear" w:color="auto" w:fill="FFFFFF"/>
            <w:jc w:val="both"/>
          </w:pPr>
        </w:pPrChange>
      </w:pPr>
      <w:r w:rsidRPr="003B7AE9">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08F672D" w14:textId="77777777" w:rsidTr="003B7AE9">
        <w:tc>
          <w:tcPr>
            <w:tcW w:w="0" w:type="auto"/>
            <w:shd w:val="clear" w:color="auto" w:fill="auto"/>
            <w:hideMark/>
          </w:tcPr>
          <w:p w14:paraId="17C4B3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651FA62" w14:textId="77777777" w:rsidTr="003B7AE9">
        <w:tc>
          <w:tcPr>
            <w:tcW w:w="0" w:type="auto"/>
            <w:shd w:val="clear" w:color="auto" w:fill="auto"/>
            <w:hideMark/>
          </w:tcPr>
          <w:p w14:paraId="74818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B7AE9" w14:paraId="05DAF602" w14:textId="77777777">
              <w:tc>
                <w:tcPr>
                  <w:tcW w:w="0" w:type="auto"/>
                  <w:shd w:val="clear" w:color="auto" w:fill="auto"/>
                  <w:hideMark/>
                </w:tcPr>
                <w:p w14:paraId="2DDA1B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657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CA2F299" w14:textId="77777777">
              <w:tc>
                <w:tcPr>
                  <w:tcW w:w="0" w:type="auto"/>
                  <w:shd w:val="clear" w:color="auto" w:fill="auto"/>
                  <w:hideMark/>
                </w:tcPr>
                <w:p w14:paraId="2673AC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4D7F96BF" w14:textId="77777777">
              <w:tc>
                <w:tcPr>
                  <w:tcW w:w="0" w:type="auto"/>
                  <w:shd w:val="clear" w:color="auto" w:fill="auto"/>
                  <w:hideMark/>
                </w:tcPr>
                <w:p w14:paraId="3C96B5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38" w:author="Author">
          <w:pPr>
            <w:shd w:val="clear" w:color="auto" w:fill="FFFFFF"/>
            <w:jc w:val="both"/>
          </w:pPr>
        </w:pPrChange>
      </w:pPr>
      <w:r w:rsidRPr="003B7AE9">
        <w:rPr>
          <w:rFonts w:ascii="inherit" w:eastAsia="Times New Roman" w:hAnsi="inherit" w:cs="Times New Roman"/>
          <w:color w:val="000000"/>
          <w:sz w:val="24"/>
          <w:szCs w:val="24"/>
          <w:lang w:eastAsia="en-GB"/>
        </w:rPr>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EC3945" w14:textId="77777777" w:rsidTr="003B7AE9">
        <w:tc>
          <w:tcPr>
            <w:tcW w:w="0" w:type="auto"/>
            <w:shd w:val="clear" w:color="auto" w:fill="auto"/>
            <w:hideMark/>
          </w:tcPr>
          <w:p w14:paraId="17C38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566002D" w14:textId="77777777" w:rsidTr="003B7AE9">
        <w:tc>
          <w:tcPr>
            <w:tcW w:w="0" w:type="auto"/>
            <w:shd w:val="clear" w:color="auto" w:fill="auto"/>
            <w:hideMark/>
          </w:tcPr>
          <w:p w14:paraId="7124EB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the frequency steps and ramps big enough to trigger at least 10 % of maximum capacity active power change with a starting point of no more than 80 % of maximum capacity, taking into account the droop settings and the deadband;</w:t>
            </w:r>
          </w:p>
        </w:tc>
      </w:tr>
    </w:tbl>
    <w:p w14:paraId="25217D7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9268F1" w14:textId="77777777" w:rsidTr="003B7AE9">
        <w:tc>
          <w:tcPr>
            <w:tcW w:w="0" w:type="auto"/>
            <w:shd w:val="clear" w:color="auto" w:fill="auto"/>
            <w:hideMark/>
          </w:tcPr>
          <w:p w14:paraId="10D60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340ABB7" w14:textId="77777777">
              <w:tc>
                <w:tcPr>
                  <w:tcW w:w="0" w:type="auto"/>
                  <w:shd w:val="clear" w:color="auto" w:fill="auto"/>
                  <w:hideMark/>
                </w:tcPr>
                <w:p w14:paraId="64DED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B087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6D4414C" w14:textId="77777777">
              <w:tc>
                <w:tcPr>
                  <w:tcW w:w="0" w:type="auto"/>
                  <w:shd w:val="clear" w:color="auto" w:fill="auto"/>
                  <w:hideMark/>
                </w:tcPr>
                <w:p w14:paraId="6218A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39" w:author="Author">
          <w:pPr>
            <w:shd w:val="clear" w:color="auto" w:fill="FFFFFF"/>
            <w:jc w:val="both"/>
          </w:pPr>
        </w:pPrChange>
      </w:pPr>
      <w:r w:rsidRPr="003B7AE9">
        <w:rPr>
          <w:rFonts w:ascii="inherit" w:eastAsia="Times New Roman" w:hAnsi="inherit" w:cs="Times New Roman"/>
          <w:color w:val="000000"/>
          <w:sz w:val="24"/>
          <w:szCs w:val="24"/>
          <w:lang w:eastAsia="en-GB"/>
        </w:rPr>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F6C68F4" w14:textId="77777777" w:rsidTr="003B7AE9">
        <w:tc>
          <w:tcPr>
            <w:tcW w:w="0" w:type="auto"/>
            <w:shd w:val="clear" w:color="auto" w:fill="auto"/>
            <w:hideMark/>
          </w:tcPr>
          <w:p w14:paraId="0EBFD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1492D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deadband and range of regulation, as well as dynamic parameters, including frequency step change response shall be verified;</w:t>
            </w:r>
          </w:p>
        </w:tc>
      </w:tr>
    </w:tbl>
    <w:p w14:paraId="1D03229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DBE505" w14:textId="77777777" w:rsidTr="003B7AE9">
        <w:tc>
          <w:tcPr>
            <w:tcW w:w="0" w:type="auto"/>
            <w:shd w:val="clear" w:color="auto" w:fill="auto"/>
            <w:hideMark/>
          </w:tcPr>
          <w:p w14:paraId="1C530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droop settings and the deadband. Simulated frequency deviation signals shall be injected to perform the test;</w:t>
            </w:r>
          </w:p>
        </w:tc>
      </w:tr>
    </w:tbl>
    <w:p w14:paraId="30EDA7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02F8C3" w14:textId="77777777" w:rsidTr="003B7AE9">
        <w:tc>
          <w:tcPr>
            <w:tcW w:w="0" w:type="auto"/>
            <w:shd w:val="clear" w:color="auto" w:fill="auto"/>
            <w:hideMark/>
          </w:tcPr>
          <w:p w14:paraId="284E9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6ADEC5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72AAE05" w14:textId="77777777">
              <w:tc>
                <w:tcPr>
                  <w:tcW w:w="0" w:type="auto"/>
                  <w:shd w:val="clear" w:color="auto" w:fill="auto"/>
                  <w:hideMark/>
                </w:tcPr>
                <w:p w14:paraId="7F4C1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79FE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2911744" w14:textId="77777777">
              <w:tc>
                <w:tcPr>
                  <w:tcW w:w="0" w:type="auto"/>
                  <w:shd w:val="clear" w:color="auto" w:fill="auto"/>
                  <w:hideMark/>
                </w:tcPr>
                <w:p w14:paraId="5CD8A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B7AE9" w14:paraId="5BD011DC" w14:textId="77777777">
              <w:tc>
                <w:tcPr>
                  <w:tcW w:w="0" w:type="auto"/>
                  <w:shd w:val="clear" w:color="auto" w:fill="auto"/>
                  <w:hideMark/>
                </w:tcPr>
                <w:p w14:paraId="6ACB0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5E46131A" w14:textId="77777777">
              <w:tc>
                <w:tcPr>
                  <w:tcW w:w="0" w:type="auto"/>
                  <w:shd w:val="clear" w:color="auto" w:fill="auto"/>
                  <w:hideMark/>
                </w:tcPr>
                <w:p w14:paraId="2AF2E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ranges specified in point (d) of Article 15(2) and the deadband (threshold) is not higher than the value chosen by the relevant TSO; and</w:t>
                  </w:r>
                </w:p>
              </w:tc>
            </w:tr>
          </w:tbl>
          <w:p w14:paraId="4157C5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69AD872C" w14:textId="77777777">
              <w:tc>
                <w:tcPr>
                  <w:tcW w:w="0" w:type="auto"/>
                  <w:shd w:val="clear" w:color="auto" w:fill="auto"/>
                  <w:hideMark/>
                </w:tcPr>
                <w:p w14:paraId="5F3BF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40" w:author="Author">
          <w:pPr>
            <w:shd w:val="clear" w:color="auto" w:fill="FFFFFF"/>
            <w:jc w:val="both"/>
          </w:pPr>
        </w:pPrChange>
      </w:pPr>
      <w:r w:rsidRPr="003B7AE9">
        <w:rPr>
          <w:rFonts w:ascii="inherit" w:eastAsia="Times New Roman" w:hAnsi="inherit" w:cs="Times New Roman"/>
          <w:color w:val="000000"/>
          <w:sz w:val="24"/>
          <w:szCs w:val="24"/>
          <w:lang w:eastAsia="en-GB"/>
        </w:rPr>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ED9579D" w14:textId="77777777" w:rsidTr="003B7AE9">
        <w:tc>
          <w:tcPr>
            <w:tcW w:w="0" w:type="auto"/>
            <w:shd w:val="clear" w:color="auto" w:fill="auto"/>
            <w:hideMark/>
          </w:tcPr>
          <w:p w14:paraId="465AA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BF13670" w14:textId="77777777" w:rsidTr="003B7AE9">
        <w:tc>
          <w:tcPr>
            <w:tcW w:w="0" w:type="auto"/>
            <w:shd w:val="clear" w:color="auto" w:fill="auto"/>
            <w:hideMark/>
          </w:tcPr>
          <w:p w14:paraId="380949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41" w:author="Author">
          <w:pPr>
            <w:shd w:val="clear" w:color="auto" w:fill="FFFFFF"/>
            <w:jc w:val="both"/>
          </w:pPr>
        </w:pPrChange>
      </w:pPr>
      <w:r w:rsidRPr="003B7AE9">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B1363DD" w14:textId="77777777" w:rsidTr="003B7AE9">
        <w:tc>
          <w:tcPr>
            <w:tcW w:w="0" w:type="auto"/>
            <w:shd w:val="clear" w:color="auto" w:fill="auto"/>
            <w:hideMark/>
          </w:tcPr>
          <w:p w14:paraId="7F5F7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B8291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4515D0" w14:textId="77777777" w:rsidTr="003B7AE9">
        <w:tc>
          <w:tcPr>
            <w:tcW w:w="0" w:type="auto"/>
            <w:shd w:val="clear" w:color="auto" w:fill="auto"/>
            <w:hideMark/>
          </w:tcPr>
          <w:p w14:paraId="4B0A25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B7AE9" w14:paraId="494DB612" w14:textId="77777777">
              <w:tc>
                <w:tcPr>
                  <w:tcW w:w="0" w:type="auto"/>
                  <w:shd w:val="clear" w:color="auto" w:fill="auto"/>
                  <w:hideMark/>
                </w:tcPr>
                <w:p w14:paraId="01C53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5AC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B7AE9" w14:paraId="58458972" w14:textId="77777777">
              <w:tc>
                <w:tcPr>
                  <w:tcW w:w="0" w:type="auto"/>
                  <w:shd w:val="clear" w:color="auto" w:fill="auto"/>
                  <w:hideMark/>
                </w:tcPr>
                <w:p w14:paraId="745853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B7AE9" w14:paraId="1F48EF07" w14:textId="77777777">
              <w:tc>
                <w:tcPr>
                  <w:tcW w:w="0" w:type="auto"/>
                  <w:shd w:val="clear" w:color="auto" w:fill="auto"/>
                  <w:hideMark/>
                </w:tcPr>
                <w:p w14:paraId="46108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883D74" w14:textId="77777777" w:rsidTr="003B7AE9">
        <w:tc>
          <w:tcPr>
            <w:tcW w:w="0" w:type="auto"/>
            <w:shd w:val="clear" w:color="auto" w:fill="auto"/>
            <w:hideMark/>
          </w:tcPr>
          <w:p w14:paraId="5BADB9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4C8A7AF0" w14:textId="77777777">
              <w:tc>
                <w:tcPr>
                  <w:tcW w:w="0" w:type="auto"/>
                  <w:shd w:val="clear" w:color="auto" w:fill="auto"/>
                  <w:hideMark/>
                </w:tcPr>
                <w:p w14:paraId="5ADA93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E4D74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143AEA56" w14:textId="77777777">
              <w:tc>
                <w:tcPr>
                  <w:tcW w:w="0" w:type="auto"/>
                  <w:shd w:val="clear" w:color="auto" w:fill="auto"/>
                  <w:hideMark/>
                </w:tcPr>
                <w:p w14:paraId="16EBE6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922214B" w14:textId="77777777">
              <w:tc>
                <w:tcPr>
                  <w:tcW w:w="0" w:type="auto"/>
                  <w:shd w:val="clear" w:color="auto" w:fill="auto"/>
                  <w:hideMark/>
                </w:tcPr>
                <w:p w14:paraId="35852A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42" w:author="Author">
          <w:pPr>
            <w:shd w:val="clear" w:color="auto" w:fill="FFFFFF"/>
            <w:jc w:val="both"/>
          </w:pPr>
        </w:pPrChange>
      </w:pPr>
      <w:r w:rsidRPr="003B7AE9">
        <w:rPr>
          <w:rFonts w:ascii="inherit" w:eastAsia="Times New Roman" w:hAnsi="inherit" w:cs="Times New Roman"/>
          <w:color w:val="000000"/>
          <w:sz w:val="24"/>
          <w:szCs w:val="24"/>
          <w:lang w:eastAsia="en-GB"/>
        </w:rPr>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E8FE32D" w14:textId="77777777" w:rsidTr="003B7AE9">
        <w:tc>
          <w:tcPr>
            <w:tcW w:w="0" w:type="auto"/>
            <w:shd w:val="clear" w:color="auto" w:fill="auto"/>
            <w:hideMark/>
          </w:tcPr>
          <w:p w14:paraId="6A6C8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B7AE9" w14:paraId="4F31BF88" w14:textId="77777777" w:rsidTr="003B7AE9">
        <w:tc>
          <w:tcPr>
            <w:tcW w:w="0" w:type="auto"/>
            <w:shd w:val="clear" w:color="auto" w:fill="auto"/>
            <w:hideMark/>
          </w:tcPr>
          <w:p w14:paraId="6F7DBF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B7AE9" w14:paraId="47175742" w14:textId="77777777">
              <w:tc>
                <w:tcPr>
                  <w:tcW w:w="0" w:type="auto"/>
                  <w:shd w:val="clear" w:color="auto" w:fill="auto"/>
                  <w:hideMark/>
                </w:tcPr>
                <w:p w14:paraId="1FC2D8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10FCA3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implemented slope and deadband according to Article 21(3)(d)(iii);</w:t>
                  </w:r>
                </w:p>
              </w:tc>
            </w:tr>
          </w:tbl>
          <w:p w14:paraId="657B48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B7AE9" w14:paraId="6A24E416" w14:textId="77777777">
              <w:tc>
                <w:tcPr>
                  <w:tcW w:w="0" w:type="auto"/>
                  <w:shd w:val="clear" w:color="auto" w:fill="auto"/>
                  <w:hideMark/>
                </w:tcPr>
                <w:p w14:paraId="45A11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w:t>
                  </w:r>
                </w:p>
              </w:tc>
            </w:tr>
          </w:tbl>
          <w:p w14:paraId="244F07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B7AE9" w14:paraId="14CCBB16" w14:textId="77777777">
              <w:tc>
                <w:tcPr>
                  <w:tcW w:w="0" w:type="auto"/>
                  <w:shd w:val="clear" w:color="auto" w:fill="auto"/>
                  <w:hideMark/>
                </w:tcPr>
                <w:p w14:paraId="06F279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the regulation; and</w:t>
                  </w:r>
                </w:p>
              </w:tc>
            </w:tr>
          </w:tbl>
          <w:p w14:paraId="0D31F9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B7AE9" w14:paraId="25961159" w14:textId="77777777">
              <w:tc>
                <w:tcPr>
                  <w:tcW w:w="0" w:type="auto"/>
                  <w:shd w:val="clear" w:color="auto" w:fill="auto"/>
                  <w:hideMark/>
                </w:tcPr>
                <w:p w14:paraId="513710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092443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8171B67" w14:textId="77777777" w:rsidTr="003B7AE9">
        <w:tc>
          <w:tcPr>
            <w:tcW w:w="0" w:type="auto"/>
            <w:shd w:val="clear" w:color="auto" w:fill="auto"/>
            <w:hideMark/>
          </w:tcPr>
          <w:p w14:paraId="4F80B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66D01B3" w14:textId="77777777">
              <w:tc>
                <w:tcPr>
                  <w:tcW w:w="0" w:type="auto"/>
                  <w:shd w:val="clear" w:color="auto" w:fill="auto"/>
                  <w:hideMark/>
                </w:tcPr>
                <w:p w14:paraId="65BDD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CF6B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range of regulation and adjustable droop and deadband complies with the agreed or decided characteristic parameters set out in point (d) of Article 21(3);</w:t>
                  </w:r>
                </w:p>
              </w:tc>
            </w:tr>
          </w:tbl>
          <w:p w14:paraId="0EE7014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F17D59F" w14:textId="77777777">
              <w:tc>
                <w:tcPr>
                  <w:tcW w:w="0" w:type="auto"/>
                  <w:shd w:val="clear" w:color="auto" w:fill="auto"/>
                  <w:hideMark/>
                </w:tcPr>
                <w:p w14:paraId="4F27CA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voltage control is not higher than 0,01 pu, in accordance with point (d) of Article 21(3); and</w:t>
                  </w:r>
                </w:p>
              </w:tc>
            </w:tr>
          </w:tbl>
          <w:p w14:paraId="406AEF8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23E4D076" w14:textId="77777777">
              <w:tc>
                <w:tcPr>
                  <w:tcW w:w="0" w:type="auto"/>
                  <w:shd w:val="clear" w:color="auto" w:fill="auto"/>
                  <w:hideMark/>
                </w:tcPr>
                <w:p w14:paraId="617311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43" w:author="Author">
          <w:pPr>
            <w:shd w:val="clear" w:color="auto" w:fill="FFFFFF"/>
            <w:jc w:val="both"/>
          </w:pPr>
        </w:pPrChange>
      </w:pPr>
      <w:r w:rsidRPr="003B7AE9">
        <w:rPr>
          <w:rFonts w:ascii="inherit" w:eastAsia="Times New Roman" w:hAnsi="inherit" w:cs="Times New Roman"/>
          <w:color w:val="000000"/>
          <w:sz w:val="24"/>
          <w:szCs w:val="24"/>
          <w:lang w:eastAsia="en-GB"/>
        </w:rPr>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FDD6C93" w14:textId="77777777" w:rsidTr="003B7AE9">
        <w:tc>
          <w:tcPr>
            <w:tcW w:w="0" w:type="auto"/>
            <w:shd w:val="clear" w:color="auto" w:fill="auto"/>
            <w:hideMark/>
          </w:tcPr>
          <w:p w14:paraId="74D09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68A23" w14:textId="77777777" w:rsidTr="003B7AE9">
        <w:tc>
          <w:tcPr>
            <w:tcW w:w="0" w:type="auto"/>
            <w:shd w:val="clear" w:color="auto" w:fill="auto"/>
            <w:hideMark/>
          </w:tcPr>
          <w:p w14:paraId="08053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B7AE9" w14:paraId="6FE423EE" w14:textId="77777777" w:rsidTr="003B7AE9">
        <w:tc>
          <w:tcPr>
            <w:tcW w:w="0" w:type="auto"/>
            <w:shd w:val="clear" w:color="auto" w:fill="auto"/>
            <w:hideMark/>
          </w:tcPr>
          <w:p w14:paraId="466C2C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B7AE9" w14:paraId="548FCD52" w14:textId="77777777">
              <w:tc>
                <w:tcPr>
                  <w:tcW w:w="0" w:type="auto"/>
                  <w:shd w:val="clear" w:color="auto" w:fill="auto"/>
                  <w:hideMark/>
                </w:tcPr>
                <w:p w14:paraId="2D99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1EAB7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w:t>
                  </w:r>
                </w:p>
              </w:tc>
            </w:tr>
          </w:tbl>
          <w:p w14:paraId="2BC4B8C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B7AE9" w14:paraId="482ADEFC" w14:textId="77777777">
              <w:tc>
                <w:tcPr>
                  <w:tcW w:w="0" w:type="auto"/>
                  <w:shd w:val="clear" w:color="auto" w:fill="auto"/>
                  <w:hideMark/>
                </w:tcPr>
                <w:p w14:paraId="34F26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2FB947E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B7AE9" w14:paraId="75ECB0C6" w14:textId="77777777">
              <w:tc>
                <w:tcPr>
                  <w:tcW w:w="0" w:type="auto"/>
                  <w:shd w:val="clear" w:color="auto" w:fill="auto"/>
                  <w:hideMark/>
                </w:tcPr>
                <w:p w14:paraId="720776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1446818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CAB41F" w14:textId="77777777" w:rsidTr="003B7AE9">
        <w:tc>
          <w:tcPr>
            <w:tcW w:w="0" w:type="auto"/>
            <w:shd w:val="clear" w:color="auto" w:fill="auto"/>
            <w:hideMark/>
          </w:tcPr>
          <w:p w14:paraId="1ABBA0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476E5D3B" w14:textId="77777777">
              <w:tc>
                <w:tcPr>
                  <w:tcW w:w="0" w:type="auto"/>
                  <w:shd w:val="clear" w:color="auto" w:fill="auto"/>
                  <w:hideMark/>
                </w:tcPr>
                <w:p w14:paraId="353D84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41011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46A3F21A" w14:textId="77777777">
              <w:tc>
                <w:tcPr>
                  <w:tcW w:w="0" w:type="auto"/>
                  <w:shd w:val="clear" w:color="auto" w:fill="auto"/>
                  <w:hideMark/>
                </w:tcPr>
                <w:p w14:paraId="1E9FB4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FE887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44" w:author="Author">
          <w:pPr>
            <w:shd w:val="clear" w:color="auto" w:fill="FFFFFF"/>
            <w:jc w:val="both"/>
          </w:pPr>
        </w:pPrChange>
      </w:pPr>
      <w:r w:rsidRPr="003B7AE9">
        <w:rPr>
          <w:rFonts w:ascii="inherit" w:eastAsia="Times New Roman" w:hAnsi="inherit" w:cs="Times New Roman"/>
          <w:color w:val="000000"/>
          <w:sz w:val="24"/>
          <w:szCs w:val="24"/>
          <w:lang w:eastAsia="en-GB"/>
        </w:rPr>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EE70B4" w14:textId="77777777" w:rsidTr="003B7AE9">
        <w:tc>
          <w:tcPr>
            <w:tcW w:w="0" w:type="auto"/>
            <w:shd w:val="clear" w:color="auto" w:fill="auto"/>
            <w:hideMark/>
          </w:tcPr>
          <w:p w14:paraId="20843D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13EECC3E" w14:textId="77777777" w:rsidTr="003B7AE9">
        <w:tc>
          <w:tcPr>
            <w:tcW w:w="0" w:type="auto"/>
            <w:shd w:val="clear" w:color="auto" w:fill="auto"/>
            <w:hideMark/>
          </w:tcPr>
          <w:p w14:paraId="2DF032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B7AE9" w14:paraId="6047F4E5" w14:textId="77777777">
              <w:tc>
                <w:tcPr>
                  <w:tcW w:w="0" w:type="auto"/>
                  <w:shd w:val="clear" w:color="auto" w:fill="auto"/>
                  <w:hideMark/>
                </w:tcPr>
                <w:p w14:paraId="505578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09AD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w:t>
                  </w:r>
                </w:p>
              </w:tc>
            </w:tr>
          </w:tbl>
          <w:p w14:paraId="438AD93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B7AE9" w14:paraId="5DC42255" w14:textId="77777777">
              <w:tc>
                <w:tcPr>
                  <w:tcW w:w="0" w:type="auto"/>
                  <w:shd w:val="clear" w:color="auto" w:fill="auto"/>
                  <w:hideMark/>
                </w:tcPr>
                <w:p w14:paraId="40BC2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4865F6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B7AE9" w14:paraId="668A7E9A" w14:textId="77777777">
              <w:tc>
                <w:tcPr>
                  <w:tcW w:w="0" w:type="auto"/>
                  <w:shd w:val="clear" w:color="auto" w:fill="auto"/>
                  <w:hideMark/>
                </w:tcPr>
                <w:p w14:paraId="0AAB0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5FDE615" w14:textId="77777777" w:rsidTr="003B7AE9">
        <w:tc>
          <w:tcPr>
            <w:tcW w:w="0" w:type="auto"/>
            <w:shd w:val="clear" w:color="auto" w:fill="auto"/>
            <w:hideMark/>
          </w:tcPr>
          <w:p w14:paraId="5C3D0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BFEA0E" w14:textId="77777777">
              <w:tc>
                <w:tcPr>
                  <w:tcW w:w="0" w:type="auto"/>
                  <w:shd w:val="clear" w:color="auto" w:fill="auto"/>
                  <w:hideMark/>
                </w:tcPr>
                <w:p w14:paraId="0DFAD2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6A701A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48E3FC02" w14:textId="77777777">
              <w:tc>
                <w:tcPr>
                  <w:tcW w:w="0" w:type="auto"/>
                  <w:shd w:val="clear" w:color="auto" w:fill="auto"/>
                  <w:hideMark/>
                </w:tcPr>
                <w:p w14:paraId="781FD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731CE09D" w14:textId="77777777">
              <w:tc>
                <w:tcPr>
                  <w:tcW w:w="0" w:type="auto"/>
                  <w:shd w:val="clear" w:color="auto" w:fill="auto"/>
                  <w:hideMark/>
                </w:tcPr>
                <w:p w14:paraId="70D9C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45" w:author="Author">
          <w:pPr>
            <w:shd w:val="clear" w:color="auto" w:fill="FFFFFF"/>
            <w:jc w:val="both"/>
          </w:pPr>
        </w:pPrChange>
      </w:pPr>
      <w:r w:rsidRPr="003B7AE9">
        <w:rPr>
          <w:rFonts w:ascii="inherit" w:eastAsia="Times New Roman" w:hAnsi="inherit" w:cs="Times New Roman"/>
          <w:color w:val="000000"/>
          <w:sz w:val="24"/>
          <w:szCs w:val="24"/>
          <w:lang w:eastAsia="en-GB"/>
        </w:rPr>
        <w:lastRenderedPageBreak/>
        <w:t>10.   With regard to the tests referred to in paragraphs 7, 8 and 9, the relevant system operator may select only one of the three control options for testing.</w:t>
      </w:r>
    </w:p>
    <w:p w14:paraId="3DDF4992"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46" w:author="Author">
            <w:rPr/>
          </w:rPrChange>
        </w:rPr>
        <w:pPrChange w:id="1047"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49</w:t>
      </w:r>
    </w:p>
    <w:p w14:paraId="3A164BF1"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48" w:author="Author">
          <w:pPr>
            <w:shd w:val="clear" w:color="auto" w:fill="FFFFFF"/>
            <w:jc w:val="center"/>
          </w:pPr>
        </w:pPrChange>
      </w:pPr>
      <w:r w:rsidRPr="003B7AE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49" w:author="Author">
          <w:pPr>
            <w:shd w:val="clear" w:color="auto" w:fill="FFFFFF"/>
            <w:jc w:val="both"/>
          </w:pPr>
        </w:pPrChange>
      </w:pPr>
      <w:r w:rsidRPr="003B7AE9">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50" w:author="Author">
          <w:pPr>
            <w:shd w:val="clear" w:color="auto" w:fill="FFFFFF"/>
            <w:jc w:val="both"/>
          </w:pPr>
        </w:pPrChange>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1FF5B3A4" w14:textId="77777777" w:rsidR="003B7AE9" w:rsidRPr="003B7AE9" w:rsidRDefault="003B7AE9" w:rsidP="0060282F">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1051"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4</w:t>
      </w:r>
    </w:p>
    <w:p w14:paraId="2FF96ECD" w14:textId="77777777" w:rsidR="003B7AE9" w:rsidRPr="003B7AE9" w:rsidRDefault="003B7AE9" w:rsidP="0060282F">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1052"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53" w:author="Author">
            <w:rPr/>
          </w:rPrChange>
        </w:rPr>
        <w:pPrChange w:id="1054"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50</w:t>
      </w:r>
    </w:p>
    <w:p w14:paraId="4FD7EE16"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55" w:author="Author">
          <w:pPr>
            <w:shd w:val="clear" w:color="auto" w:fill="FFFFFF"/>
            <w:jc w:val="center"/>
          </w:pPr>
        </w:pPrChange>
      </w:pPr>
      <w:r w:rsidRPr="003B7AE9">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56" w:author="Author">
          <w:pPr>
            <w:shd w:val="clear" w:color="auto" w:fill="FFFFFF"/>
            <w:jc w:val="both"/>
          </w:pPr>
        </w:pPrChange>
      </w:pPr>
      <w:r w:rsidRPr="003B7AE9">
        <w:rPr>
          <w:rFonts w:ascii="inherit" w:eastAsia="Times New Roman" w:hAnsi="inherit" w:cs="Times New Roman"/>
          <w:color w:val="000000"/>
          <w:sz w:val="24"/>
          <w:szCs w:val="24"/>
          <w:lang w:eastAsia="en-GB"/>
        </w:rPr>
        <w:t>The compliance tests established in Article 44(2), as well as in paragraphs 2, 3, 4, 5, 7, 8 and 9 of Article 48 shall apply to offshore power park modules.</w:t>
      </w:r>
    </w:p>
    <w:p w14:paraId="02944E62" w14:textId="77777777" w:rsidR="003B7AE9" w:rsidRPr="003B7AE9" w:rsidRDefault="003B7AE9" w:rsidP="0060282F">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1057"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5</w:t>
      </w:r>
    </w:p>
    <w:p w14:paraId="0E8FB615" w14:textId="77777777" w:rsidR="003B7AE9" w:rsidRPr="003B7AE9" w:rsidRDefault="003B7AE9" w:rsidP="0060282F">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1058"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t>Compliance simulations for synchronous power-generating modules</w:t>
      </w:r>
    </w:p>
    <w:p w14:paraId="3A490B1D"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59" w:author="Author">
            <w:rPr/>
          </w:rPrChange>
        </w:rPr>
        <w:pPrChange w:id="1060"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51</w:t>
      </w:r>
    </w:p>
    <w:p w14:paraId="1F3C2CF5"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61" w:author="Author">
          <w:pPr>
            <w:shd w:val="clear" w:color="auto" w:fill="FFFFFF"/>
            <w:jc w:val="center"/>
          </w:pPr>
        </w:pPrChange>
      </w:pPr>
      <w:r w:rsidRPr="003B7AE9">
        <w:rPr>
          <w:rFonts w:ascii="inherit" w:eastAsia="Times New Roman" w:hAnsi="inherit" w:cs="Times New Roman"/>
          <w:b/>
          <w:bCs/>
          <w:color w:val="000000"/>
          <w:sz w:val="24"/>
          <w:szCs w:val="24"/>
          <w:lang w:eastAsia="en-GB"/>
        </w:rPr>
        <w:t>Compliance simulations for type B synchronous power-generating modules</w:t>
      </w:r>
    </w:p>
    <w:p w14:paraId="6295692D"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62" w:author="Author">
          <w:pPr>
            <w:shd w:val="clear" w:color="auto" w:fill="FFFFFF"/>
            <w:jc w:val="both"/>
          </w:pPr>
        </w:pPrChange>
      </w:pPr>
      <w:r w:rsidRPr="003B7AE9">
        <w:rPr>
          <w:rFonts w:ascii="inherit" w:eastAsia="Times New Roman" w:hAnsi="inherit" w:cs="Times New Roman"/>
          <w:color w:val="000000"/>
          <w:sz w:val="24"/>
          <w:szCs w:val="24"/>
          <w:lang w:eastAsia="en-GB"/>
        </w:rPr>
        <w:t>1.   Power-generating facility owners shall undertake LFSM-O response simulations in relation to type B synchronous power-generating modules. Instead of the relevant simulations, the power-generating facility owner may use equipment certificates issued by an authorised certifier to demonstrate compliance with the relevant requirement. In that case, the equipment certificates shall be provided to the relevant system operator.</w:t>
      </w:r>
    </w:p>
    <w:p w14:paraId="18F0C9B4"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63" w:author="Author">
          <w:pPr>
            <w:shd w:val="clear" w:color="auto" w:fill="FFFFFF"/>
            <w:jc w:val="both"/>
          </w:pPr>
        </w:pPrChange>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C06BF66" w14:textId="77777777" w:rsidTr="003B7AE9">
        <w:tc>
          <w:tcPr>
            <w:tcW w:w="0" w:type="auto"/>
            <w:shd w:val="clear" w:color="auto" w:fill="auto"/>
            <w:hideMark/>
          </w:tcPr>
          <w:p w14:paraId="6876B6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4B5080" w14:textId="77777777" w:rsidTr="003B7AE9">
        <w:tc>
          <w:tcPr>
            <w:tcW w:w="0" w:type="auto"/>
            <w:shd w:val="clear" w:color="auto" w:fill="auto"/>
            <w:hideMark/>
          </w:tcPr>
          <w:p w14:paraId="407FFF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0985DB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75C27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AE8E8E" w14:textId="77777777" w:rsidTr="003B7AE9">
        <w:tc>
          <w:tcPr>
            <w:tcW w:w="0" w:type="auto"/>
            <w:shd w:val="clear" w:color="auto" w:fill="auto"/>
            <w:hideMark/>
          </w:tcPr>
          <w:p w14:paraId="657198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99229EA" w14:textId="77777777">
              <w:tc>
                <w:tcPr>
                  <w:tcW w:w="0" w:type="auto"/>
                  <w:shd w:val="clear" w:color="auto" w:fill="auto"/>
                  <w:hideMark/>
                </w:tcPr>
                <w:p w14:paraId="08F45B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155F4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B7AE9" w14:paraId="1C8AB4D1" w14:textId="77777777">
              <w:tc>
                <w:tcPr>
                  <w:tcW w:w="0" w:type="auto"/>
                  <w:shd w:val="clear" w:color="auto" w:fill="auto"/>
                  <w:hideMark/>
                </w:tcPr>
                <w:p w14:paraId="125759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64" w:author="Author">
          <w:pPr>
            <w:shd w:val="clear" w:color="auto" w:fill="FFFFFF"/>
            <w:jc w:val="both"/>
          </w:pPr>
        </w:pPrChange>
      </w:pPr>
      <w:r w:rsidRPr="003B7AE9">
        <w:rPr>
          <w:rFonts w:ascii="inherit" w:eastAsia="Times New Roman" w:hAnsi="inherit" w:cs="Times New Roman"/>
          <w:color w:val="000000"/>
          <w:sz w:val="24"/>
          <w:szCs w:val="24"/>
          <w:lang w:eastAsia="en-GB"/>
        </w:rPr>
        <w:t>3.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95BE69" w14:textId="77777777" w:rsidTr="003B7AE9">
        <w:tc>
          <w:tcPr>
            <w:tcW w:w="0" w:type="auto"/>
            <w:shd w:val="clear" w:color="auto" w:fill="auto"/>
            <w:hideMark/>
          </w:tcPr>
          <w:p w14:paraId="7E10C7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02329DE" w14:textId="77777777" w:rsidTr="003B7AE9">
        <w:tc>
          <w:tcPr>
            <w:tcW w:w="0" w:type="auto"/>
            <w:shd w:val="clear" w:color="auto" w:fill="auto"/>
            <w:hideMark/>
          </w:tcPr>
          <w:p w14:paraId="373DF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65" w:author="Author">
          <w:pPr>
            <w:shd w:val="clear" w:color="auto" w:fill="FFFFFF"/>
            <w:jc w:val="both"/>
          </w:pPr>
        </w:pPrChange>
      </w:pPr>
      <w:r w:rsidRPr="003B7AE9">
        <w:rPr>
          <w:rFonts w:ascii="inherit" w:eastAsia="Times New Roman" w:hAnsi="inherit" w:cs="Times New Roman"/>
          <w:color w:val="000000"/>
          <w:sz w:val="24"/>
          <w:szCs w:val="24"/>
          <w:lang w:eastAsia="en-GB"/>
        </w:rPr>
        <w:t>4.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9A0787" w14:textId="77777777" w:rsidTr="003B7AE9">
        <w:tc>
          <w:tcPr>
            <w:tcW w:w="0" w:type="auto"/>
            <w:shd w:val="clear" w:color="auto" w:fill="auto"/>
            <w:hideMark/>
          </w:tcPr>
          <w:p w14:paraId="044154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66EEA43" w14:textId="77777777" w:rsidTr="003B7AE9">
        <w:tc>
          <w:tcPr>
            <w:tcW w:w="0" w:type="auto"/>
            <w:shd w:val="clear" w:color="auto" w:fill="auto"/>
            <w:hideMark/>
          </w:tcPr>
          <w:p w14:paraId="3DE334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66" w:author="Author">
            <w:rPr/>
          </w:rPrChange>
        </w:rPr>
        <w:pPrChange w:id="1067"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52</w:t>
      </w:r>
    </w:p>
    <w:p w14:paraId="79BBD66E"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68" w:author="Author">
          <w:pPr>
            <w:shd w:val="clear" w:color="auto" w:fill="FFFFFF"/>
            <w:jc w:val="center"/>
          </w:pPr>
        </w:pPrChange>
      </w:pPr>
      <w:r w:rsidRPr="003B7AE9">
        <w:rPr>
          <w:rFonts w:ascii="inherit" w:eastAsia="Times New Roman" w:hAnsi="inherit" w:cs="Times New Roman"/>
          <w:b/>
          <w:bCs/>
          <w:color w:val="000000"/>
          <w:sz w:val="24"/>
          <w:szCs w:val="24"/>
          <w:lang w:eastAsia="en-GB"/>
        </w:rPr>
        <w:t>Compliance simulations for type C synchronous power-generating modules</w:t>
      </w:r>
    </w:p>
    <w:p w14:paraId="361E294E"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69" w:author="Author">
          <w:pPr>
            <w:shd w:val="clear" w:color="auto" w:fill="FFFFFF"/>
            <w:jc w:val="both"/>
          </w:pPr>
        </w:pPrChange>
      </w:pPr>
      <w:r w:rsidRPr="003B7AE9">
        <w:rPr>
          <w:rFonts w:ascii="inherit" w:eastAsia="Times New Roman" w:hAnsi="inherit" w:cs="Times New Roman"/>
          <w:color w:val="000000"/>
          <w:sz w:val="24"/>
          <w:szCs w:val="24"/>
          <w:lang w:eastAsia="en-GB"/>
        </w:rPr>
        <w:t>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issued by an authorised certifier, which must be provided to the relevant system operator.</w:t>
      </w:r>
    </w:p>
    <w:p w14:paraId="3E236C2E"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70" w:author="Author">
          <w:pPr>
            <w:shd w:val="clear" w:color="auto" w:fill="FFFFFF"/>
            <w:jc w:val="both"/>
          </w:pPr>
        </w:pPrChange>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5E40771" w14:textId="77777777" w:rsidTr="003B7AE9">
        <w:tc>
          <w:tcPr>
            <w:tcW w:w="0" w:type="auto"/>
            <w:shd w:val="clear" w:color="auto" w:fill="auto"/>
            <w:hideMark/>
          </w:tcPr>
          <w:p w14:paraId="6FF9E8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14D84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p>
        </w:tc>
      </w:tr>
    </w:tbl>
    <w:p w14:paraId="47FE66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D5018A" w14:textId="77777777" w:rsidTr="003B7AE9">
        <w:tc>
          <w:tcPr>
            <w:tcW w:w="0" w:type="auto"/>
            <w:shd w:val="clear" w:color="auto" w:fill="auto"/>
            <w:hideMark/>
          </w:tcPr>
          <w:p w14:paraId="05B0E3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low frequency steps and ramps reaching maximum capacity, taking into account the droop settings and the deadband;</w:t>
            </w:r>
          </w:p>
        </w:tc>
      </w:tr>
    </w:tbl>
    <w:p w14:paraId="7BA902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825222" w14:textId="77777777" w:rsidTr="003B7AE9">
        <w:tc>
          <w:tcPr>
            <w:tcW w:w="0" w:type="auto"/>
            <w:shd w:val="clear" w:color="auto" w:fill="auto"/>
            <w:hideMark/>
          </w:tcPr>
          <w:p w14:paraId="1DDD02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05F7DC" w14:textId="77777777">
              <w:tc>
                <w:tcPr>
                  <w:tcW w:w="0" w:type="auto"/>
                  <w:shd w:val="clear" w:color="auto" w:fill="auto"/>
                  <w:hideMark/>
                </w:tcPr>
                <w:p w14:paraId="27853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C98FB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B7AE9" w14:paraId="7D217243" w14:textId="77777777">
              <w:tc>
                <w:tcPr>
                  <w:tcW w:w="0" w:type="auto"/>
                  <w:shd w:val="clear" w:color="auto" w:fill="auto"/>
                  <w:hideMark/>
                </w:tcPr>
                <w:p w14:paraId="70CDA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71" w:author="Author">
          <w:pPr>
            <w:shd w:val="clear" w:color="auto" w:fill="FFFFFF"/>
            <w:jc w:val="both"/>
          </w:pPr>
        </w:pPrChange>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1C17BEE" w14:textId="77777777" w:rsidTr="003B7AE9">
        <w:tc>
          <w:tcPr>
            <w:tcW w:w="0" w:type="auto"/>
            <w:shd w:val="clear" w:color="auto" w:fill="auto"/>
            <w:hideMark/>
          </w:tcPr>
          <w:p w14:paraId="34E584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40653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p>
        </w:tc>
      </w:tr>
    </w:tbl>
    <w:p w14:paraId="56BC3C8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FED0C" w14:textId="77777777" w:rsidTr="003B7AE9">
        <w:tc>
          <w:tcPr>
            <w:tcW w:w="0" w:type="auto"/>
            <w:shd w:val="clear" w:color="auto" w:fill="auto"/>
            <w:hideMark/>
          </w:tcPr>
          <w:p w14:paraId="0E6A72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2005A5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A8D2D2" w14:textId="77777777" w:rsidTr="003B7AE9">
        <w:tc>
          <w:tcPr>
            <w:tcW w:w="0" w:type="auto"/>
            <w:shd w:val="clear" w:color="auto" w:fill="auto"/>
            <w:hideMark/>
          </w:tcPr>
          <w:p w14:paraId="13BC24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2357BF" w14:textId="77777777">
              <w:tc>
                <w:tcPr>
                  <w:tcW w:w="0" w:type="auto"/>
                  <w:shd w:val="clear" w:color="auto" w:fill="auto"/>
                  <w:hideMark/>
                </w:tcPr>
                <w:p w14:paraId="173D3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1768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B7AE9" w14:paraId="7E8EAC3B" w14:textId="77777777">
              <w:tc>
                <w:tcPr>
                  <w:tcW w:w="0" w:type="auto"/>
                  <w:shd w:val="clear" w:color="auto" w:fill="auto"/>
                  <w:hideMark/>
                </w:tcPr>
                <w:p w14:paraId="3546F6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72" w:author="Author">
          <w:pPr>
            <w:shd w:val="clear" w:color="auto" w:fill="FFFFFF"/>
            <w:jc w:val="both"/>
          </w:pPr>
        </w:pPrChange>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4289C6D" w14:textId="77777777" w:rsidTr="003B7AE9">
        <w:tc>
          <w:tcPr>
            <w:tcW w:w="0" w:type="auto"/>
            <w:shd w:val="clear" w:color="auto" w:fill="auto"/>
            <w:hideMark/>
          </w:tcPr>
          <w:p w14:paraId="5D7DF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579FE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performance during island operation referred to in the conditions set out in point (b) of Article 15(5) shall be demonstrated;</w:t>
            </w:r>
          </w:p>
        </w:tc>
      </w:tr>
    </w:tbl>
    <w:p w14:paraId="5505FC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D6E334" w14:textId="77777777" w:rsidTr="003B7AE9">
        <w:tc>
          <w:tcPr>
            <w:tcW w:w="0" w:type="auto"/>
            <w:shd w:val="clear" w:color="auto" w:fill="auto"/>
            <w:hideMark/>
          </w:tcPr>
          <w:p w14:paraId="61C50F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power-generating module reduces or increases the active power output from its previous operating point to any new operating point within the P-Q-capability diagram within the limits of point (b) of Article 15(5), without disconnection of the power-generating module from the island due to over- or underfrequency.</w:t>
            </w:r>
          </w:p>
        </w:tc>
      </w:tr>
    </w:tbl>
    <w:p w14:paraId="24D7337C"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73" w:author="Author">
          <w:pPr>
            <w:shd w:val="clear" w:color="auto" w:fill="FFFFFF"/>
            <w:jc w:val="both"/>
          </w:pPr>
        </w:pPrChange>
      </w:pPr>
      <w:r w:rsidRPr="003B7AE9">
        <w:rPr>
          <w:rFonts w:ascii="inherit" w:eastAsia="Times New Roman" w:hAnsi="inherit" w:cs="Times New Roman"/>
          <w:color w:val="000000"/>
          <w:sz w:val="24"/>
          <w:szCs w:val="24"/>
          <w:lang w:eastAsia="en-GB"/>
        </w:rPr>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0AB2EAE" w14:textId="77777777" w:rsidTr="003B7AE9">
        <w:tc>
          <w:tcPr>
            <w:tcW w:w="0" w:type="auto"/>
            <w:shd w:val="clear" w:color="auto" w:fill="auto"/>
            <w:hideMark/>
          </w:tcPr>
          <w:p w14:paraId="6EDED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E88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p>
        </w:tc>
      </w:tr>
    </w:tbl>
    <w:p w14:paraId="522A9F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F9606BC" w14:textId="77777777" w:rsidTr="003B7AE9">
        <w:tc>
          <w:tcPr>
            <w:tcW w:w="0" w:type="auto"/>
            <w:shd w:val="clear" w:color="auto" w:fill="auto"/>
            <w:hideMark/>
          </w:tcPr>
          <w:p w14:paraId="482882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9A2DCE8" w14:textId="77777777">
              <w:tc>
                <w:tcPr>
                  <w:tcW w:w="0" w:type="auto"/>
                  <w:shd w:val="clear" w:color="auto" w:fill="auto"/>
                  <w:hideMark/>
                </w:tcPr>
                <w:p w14:paraId="149B48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31E8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tests for reactive power capability described in Article 45(7); and</w:t>
                  </w:r>
                </w:p>
              </w:tc>
            </w:tr>
          </w:tbl>
          <w:p w14:paraId="68017C7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569214E" w14:textId="77777777">
              <w:tc>
                <w:tcPr>
                  <w:tcW w:w="0" w:type="auto"/>
                  <w:shd w:val="clear" w:color="auto" w:fill="auto"/>
                  <w:hideMark/>
                </w:tcPr>
                <w:p w14:paraId="1C1170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74" w:author="Author">
            <w:rPr/>
          </w:rPrChange>
        </w:rPr>
        <w:pPrChange w:id="1075"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53</w:t>
      </w:r>
    </w:p>
    <w:p w14:paraId="050B22F3"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76" w:author="Author">
          <w:pPr>
            <w:shd w:val="clear" w:color="auto" w:fill="FFFFFF"/>
            <w:jc w:val="center"/>
          </w:pPr>
        </w:pPrChange>
      </w:pPr>
      <w:r w:rsidRPr="003B7AE9">
        <w:rPr>
          <w:rFonts w:ascii="inherit" w:eastAsia="Times New Roman" w:hAnsi="inherit" w:cs="Times New Roman"/>
          <w:b/>
          <w:bCs/>
          <w:color w:val="000000"/>
          <w:sz w:val="24"/>
          <w:szCs w:val="24"/>
          <w:lang w:eastAsia="en-GB"/>
        </w:rPr>
        <w:t>Compliance simulations for type D synchronous power-generating modules</w:t>
      </w:r>
    </w:p>
    <w:p w14:paraId="17486AB8"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77" w:author="Author">
          <w:pPr>
            <w:shd w:val="clear" w:color="auto" w:fill="FFFFFF"/>
            <w:jc w:val="both"/>
          </w:pPr>
        </w:pPrChange>
      </w:pPr>
      <w:r w:rsidRPr="003B7AE9">
        <w:rPr>
          <w:rFonts w:ascii="inherit" w:eastAsia="Times New Roman" w:hAnsi="inherit" w:cs="Times New Roman"/>
          <w:color w:val="000000"/>
          <w:sz w:val="24"/>
          <w:szCs w:val="24"/>
          <w:lang w:eastAsia="en-GB"/>
        </w:rPr>
        <w:t>1.   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simulations, the power-generating facility owner may use equipment certificates issued by an authorised certifier, which must be provided to the relevant system operator.</w:t>
      </w:r>
    </w:p>
    <w:p w14:paraId="5032CF4A"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78" w:author="Author">
          <w:pPr>
            <w:shd w:val="clear" w:color="auto" w:fill="FFFFFF"/>
            <w:jc w:val="both"/>
          </w:pPr>
        </w:pPrChange>
      </w:pPr>
      <w:r w:rsidRPr="003B7AE9">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FA580F" w14:textId="77777777" w:rsidTr="003B7AE9">
        <w:tc>
          <w:tcPr>
            <w:tcW w:w="0" w:type="auto"/>
            <w:shd w:val="clear" w:color="auto" w:fill="auto"/>
            <w:hideMark/>
          </w:tcPr>
          <w:p w14:paraId="48471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A5AD7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demonstrated that the power-generating module's performance in terms of its control system (‘PSS function’) is capable of damping active power oscillations in accordance with the conditions set out in paragraph 2 of Article 19;</w:t>
            </w:r>
          </w:p>
        </w:tc>
      </w:tr>
    </w:tbl>
    <w:p w14:paraId="541114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99DBBFC" w14:textId="77777777" w:rsidTr="003B7AE9">
        <w:tc>
          <w:tcPr>
            <w:tcW w:w="0" w:type="auto"/>
            <w:shd w:val="clear" w:color="auto" w:fill="auto"/>
            <w:hideMark/>
          </w:tcPr>
          <w:p w14:paraId="2E5DEF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04CF1C" w14:textId="77777777" w:rsidTr="003B7AE9">
        <w:tc>
          <w:tcPr>
            <w:tcW w:w="0" w:type="auto"/>
            <w:shd w:val="clear" w:color="auto" w:fill="auto"/>
            <w:hideMark/>
          </w:tcPr>
          <w:p w14:paraId="1FBA1C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77D91A" w14:textId="77777777">
              <w:tc>
                <w:tcPr>
                  <w:tcW w:w="0" w:type="auto"/>
                  <w:shd w:val="clear" w:color="auto" w:fill="auto"/>
                  <w:hideMark/>
                </w:tcPr>
                <w:p w14:paraId="60AC87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5DF10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0A0D269" w14:textId="77777777">
              <w:tc>
                <w:tcPr>
                  <w:tcW w:w="0" w:type="auto"/>
                  <w:shd w:val="clear" w:color="auto" w:fill="auto"/>
                  <w:hideMark/>
                </w:tcPr>
                <w:p w14:paraId="210301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sudden load reduction of the power-generating module from 1 pu to 0,6 pu of the maximum capacity does not lead to undamped oscillations in active or reactive power of the power-generating module.</w:t>
                  </w:r>
                </w:p>
              </w:tc>
            </w:tr>
          </w:tbl>
          <w:p w14:paraId="54B4D2B8"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79" w:author="Author">
          <w:pPr>
            <w:shd w:val="clear" w:color="auto" w:fill="FFFFFF"/>
            <w:jc w:val="both"/>
          </w:pPr>
        </w:pPrChange>
      </w:pPr>
      <w:r w:rsidRPr="003B7AE9">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E01F03" w14:textId="77777777" w:rsidTr="003B7AE9">
        <w:tc>
          <w:tcPr>
            <w:tcW w:w="0" w:type="auto"/>
            <w:shd w:val="clear" w:color="auto" w:fill="auto"/>
            <w:hideMark/>
          </w:tcPr>
          <w:p w14:paraId="71A307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668A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A8D8142" w14:textId="77777777" w:rsidTr="003B7AE9">
        <w:tc>
          <w:tcPr>
            <w:tcW w:w="0" w:type="auto"/>
            <w:shd w:val="clear" w:color="auto" w:fill="auto"/>
            <w:hideMark/>
          </w:tcPr>
          <w:p w14:paraId="6E9B9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3B7AE9" w:rsidRDefault="003B7AE9" w:rsidP="0060282F">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1080"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6</w:t>
      </w:r>
    </w:p>
    <w:p w14:paraId="3401E805" w14:textId="77777777" w:rsidR="003B7AE9" w:rsidRPr="003B7AE9" w:rsidRDefault="003B7AE9" w:rsidP="0060282F">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1081"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82" w:author="Author">
            <w:rPr/>
          </w:rPrChange>
        </w:rPr>
        <w:pPrChange w:id="1083"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54</w:t>
      </w:r>
    </w:p>
    <w:p w14:paraId="47E76EF9"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84" w:author="Author">
          <w:pPr>
            <w:shd w:val="clear" w:color="auto" w:fill="FFFFFF"/>
            <w:jc w:val="center"/>
          </w:pPr>
        </w:pPrChange>
      </w:pPr>
      <w:r w:rsidRPr="003B7AE9">
        <w:rPr>
          <w:rFonts w:ascii="inherit" w:eastAsia="Times New Roman" w:hAnsi="inherit" w:cs="Times New Roman"/>
          <w:b/>
          <w:bCs/>
          <w:color w:val="000000"/>
          <w:sz w:val="24"/>
          <w:szCs w:val="24"/>
          <w:lang w:eastAsia="en-GB"/>
        </w:rPr>
        <w:t>Compliance simulations for type B power park modules</w:t>
      </w:r>
    </w:p>
    <w:p w14:paraId="14992013"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85" w:author="Author">
          <w:pPr>
            <w:shd w:val="clear" w:color="auto" w:fill="FFFFFF"/>
            <w:jc w:val="both"/>
          </w:pPr>
        </w:pPrChange>
      </w:pPr>
      <w:r w:rsidRPr="003B7AE9">
        <w:rPr>
          <w:rFonts w:ascii="inherit" w:eastAsia="Times New Roman" w:hAnsi="inherit" w:cs="Times New Roman"/>
          <w:color w:val="000000"/>
          <w:sz w:val="24"/>
          <w:szCs w:val="24"/>
          <w:lang w:eastAsia="en-GB"/>
        </w:rPr>
        <w:t>1.   Type B power park modules are subject to the compliance simulations in paragraphs 2 to 5. Instead of all or part of those simulations, the power-generating facility owner may use equipment certificates issued by an authorised certifier, which must be provided to the relevant system operator.</w:t>
      </w:r>
    </w:p>
    <w:p w14:paraId="517035AB"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86" w:author="Author">
          <w:pPr>
            <w:shd w:val="clear" w:color="auto" w:fill="FFFFFF"/>
            <w:jc w:val="both"/>
          </w:pPr>
        </w:pPrChange>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F3BAA3" w14:textId="77777777" w:rsidTr="003B7AE9">
        <w:tc>
          <w:tcPr>
            <w:tcW w:w="0" w:type="auto"/>
            <w:shd w:val="clear" w:color="auto" w:fill="auto"/>
            <w:hideMark/>
          </w:tcPr>
          <w:p w14:paraId="58C7C6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3254C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5E7F42" w14:textId="77777777" w:rsidTr="003B7AE9">
        <w:tc>
          <w:tcPr>
            <w:tcW w:w="0" w:type="auto"/>
            <w:shd w:val="clear" w:color="auto" w:fill="auto"/>
            <w:hideMark/>
          </w:tcPr>
          <w:p w14:paraId="7F42C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94502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5AF779A" w14:textId="77777777" w:rsidTr="003B7AE9">
        <w:tc>
          <w:tcPr>
            <w:tcW w:w="0" w:type="auto"/>
            <w:shd w:val="clear" w:color="auto" w:fill="auto"/>
            <w:hideMark/>
          </w:tcPr>
          <w:p w14:paraId="2781E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E4A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FB12008" w14:textId="77777777">
              <w:tc>
                <w:tcPr>
                  <w:tcW w:w="0" w:type="auto"/>
                  <w:shd w:val="clear" w:color="auto" w:fill="auto"/>
                  <w:hideMark/>
                </w:tcPr>
                <w:p w14:paraId="086A06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97F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B7AE9" w14:paraId="1279EC63" w14:textId="77777777">
              <w:tc>
                <w:tcPr>
                  <w:tcW w:w="0" w:type="auto"/>
                  <w:shd w:val="clear" w:color="auto" w:fill="auto"/>
                  <w:hideMark/>
                </w:tcPr>
                <w:p w14:paraId="623E42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09837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87" w:author="Author">
          <w:pPr>
            <w:shd w:val="clear" w:color="auto" w:fill="FFFFFF"/>
            <w:jc w:val="both"/>
          </w:pPr>
        </w:pPrChange>
      </w:pPr>
      <w:r w:rsidRPr="003B7AE9">
        <w:rPr>
          <w:rFonts w:ascii="inherit" w:eastAsia="Times New Roman" w:hAnsi="inherit" w:cs="Times New Roman"/>
          <w:color w:val="000000"/>
          <w:sz w:val="24"/>
          <w:szCs w:val="24"/>
          <w:lang w:eastAsia="en-GB"/>
        </w:rPr>
        <w:lastRenderedPageBreak/>
        <w:t>3.   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F005B8" w14:textId="77777777" w:rsidTr="003B7AE9">
        <w:tc>
          <w:tcPr>
            <w:tcW w:w="0" w:type="auto"/>
            <w:shd w:val="clear" w:color="auto" w:fill="auto"/>
            <w:hideMark/>
          </w:tcPr>
          <w:p w14:paraId="32EF27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43BACE3" w14:textId="77777777" w:rsidTr="003B7AE9">
        <w:tc>
          <w:tcPr>
            <w:tcW w:w="0" w:type="auto"/>
            <w:shd w:val="clear" w:color="auto" w:fill="auto"/>
            <w:hideMark/>
          </w:tcPr>
          <w:p w14:paraId="28483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4921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88" w:author="Author">
          <w:pPr>
            <w:shd w:val="clear" w:color="auto" w:fill="FFFFFF"/>
            <w:jc w:val="both"/>
          </w:pPr>
        </w:pPrChange>
      </w:pPr>
      <w:r w:rsidRPr="003B7AE9">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1EE73EB" w14:textId="77777777" w:rsidTr="003B7AE9">
        <w:tc>
          <w:tcPr>
            <w:tcW w:w="0" w:type="auto"/>
            <w:shd w:val="clear" w:color="auto" w:fill="auto"/>
            <w:hideMark/>
          </w:tcPr>
          <w:p w14:paraId="41A1D9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1286A43" w14:textId="77777777" w:rsidTr="003B7AE9">
        <w:tc>
          <w:tcPr>
            <w:tcW w:w="0" w:type="auto"/>
            <w:shd w:val="clear" w:color="auto" w:fill="auto"/>
            <w:hideMark/>
          </w:tcPr>
          <w:p w14:paraId="26F48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89" w:author="Author">
          <w:pPr>
            <w:shd w:val="clear" w:color="auto" w:fill="FFFFFF"/>
            <w:jc w:val="both"/>
          </w:pPr>
        </w:pPrChange>
      </w:pPr>
      <w:r w:rsidRPr="003B7AE9">
        <w:rPr>
          <w:rFonts w:ascii="inherit" w:eastAsia="Times New Roman" w:hAnsi="inherit" w:cs="Times New Roman"/>
          <w:color w:val="000000"/>
          <w:sz w:val="24"/>
          <w:szCs w:val="24"/>
          <w:lang w:eastAsia="en-GB"/>
        </w:rPr>
        <w:t>5.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E461820" w14:textId="77777777" w:rsidTr="003B7AE9">
        <w:tc>
          <w:tcPr>
            <w:tcW w:w="0" w:type="auto"/>
            <w:shd w:val="clear" w:color="auto" w:fill="auto"/>
            <w:hideMark/>
          </w:tcPr>
          <w:p w14:paraId="27E181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142E4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A0004D" w14:textId="77777777" w:rsidTr="003B7AE9">
        <w:tc>
          <w:tcPr>
            <w:tcW w:w="0" w:type="auto"/>
            <w:shd w:val="clear" w:color="auto" w:fill="auto"/>
            <w:hideMark/>
          </w:tcPr>
          <w:p w14:paraId="2AB10C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36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090" w:author="Author">
            <w:rPr/>
          </w:rPrChange>
        </w:rPr>
        <w:pPrChange w:id="1091"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55</w:t>
      </w:r>
    </w:p>
    <w:p w14:paraId="59341376"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092" w:author="Author">
          <w:pPr>
            <w:shd w:val="clear" w:color="auto" w:fill="FFFFFF"/>
            <w:jc w:val="center"/>
          </w:pPr>
        </w:pPrChange>
      </w:pPr>
      <w:r w:rsidRPr="003B7AE9">
        <w:rPr>
          <w:rFonts w:ascii="inherit" w:eastAsia="Times New Roman" w:hAnsi="inherit" w:cs="Times New Roman"/>
          <w:b/>
          <w:bCs/>
          <w:color w:val="000000"/>
          <w:sz w:val="24"/>
          <w:szCs w:val="24"/>
          <w:lang w:eastAsia="en-GB"/>
        </w:rPr>
        <w:t>Compliance simulations for type C power park modules</w:t>
      </w:r>
    </w:p>
    <w:p w14:paraId="3DDB6B49"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93" w:author="Author">
          <w:pPr>
            <w:shd w:val="clear" w:color="auto" w:fill="FFFFFF"/>
            <w:jc w:val="both"/>
          </w:pPr>
        </w:pPrChange>
      </w:pPr>
      <w:r w:rsidRPr="003B7AE9">
        <w:rPr>
          <w:rFonts w:ascii="inherit" w:eastAsia="Times New Roman" w:hAnsi="inherit" w:cs="Times New Roman"/>
          <w:color w:val="000000"/>
          <w:sz w:val="24"/>
          <w:szCs w:val="24"/>
          <w:lang w:eastAsia="en-GB"/>
        </w:rPr>
        <w:t>1.   In addition to the compliance simulations for type B power park modules set out in Article 54, type C power park modules are subject to the compliance simulations set out in paragraphs 2 to 7. Instead of all or part of those simulations, the power-generating facility owner may use equipment certificates issued by an authorised certifier, which must be provided to the relevant system operator.</w:t>
      </w:r>
    </w:p>
    <w:p w14:paraId="25AFAC0F"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94" w:author="Author">
          <w:pPr>
            <w:shd w:val="clear" w:color="auto" w:fill="FFFFFF"/>
            <w:jc w:val="both"/>
          </w:pPr>
        </w:pPrChange>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7AB1B3" w14:textId="77777777" w:rsidTr="003B7AE9">
        <w:tc>
          <w:tcPr>
            <w:tcW w:w="0" w:type="auto"/>
            <w:shd w:val="clear" w:color="auto" w:fill="auto"/>
            <w:hideMark/>
          </w:tcPr>
          <w:p w14:paraId="5F687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65456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D686EE" w14:textId="77777777" w:rsidTr="003B7AE9">
        <w:tc>
          <w:tcPr>
            <w:tcW w:w="0" w:type="auto"/>
            <w:shd w:val="clear" w:color="auto" w:fill="auto"/>
            <w:hideMark/>
          </w:tcPr>
          <w:p w14:paraId="6844B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F4C5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low frequency steps and ramps reaching maximum capacity, taking into account the droop settings and the deadband;</w:t>
            </w:r>
          </w:p>
        </w:tc>
      </w:tr>
    </w:tbl>
    <w:p w14:paraId="27030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553943F" w14:textId="77777777" w:rsidTr="003B7AE9">
        <w:tc>
          <w:tcPr>
            <w:tcW w:w="0" w:type="auto"/>
            <w:shd w:val="clear" w:color="auto" w:fill="auto"/>
            <w:hideMark/>
          </w:tcPr>
          <w:p w14:paraId="3AE808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44B7C1F" w14:textId="77777777">
              <w:tc>
                <w:tcPr>
                  <w:tcW w:w="0" w:type="auto"/>
                  <w:shd w:val="clear" w:color="auto" w:fill="auto"/>
                  <w:hideMark/>
                </w:tcPr>
                <w:p w14:paraId="0AC756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C5CEF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A1695BA" w14:textId="77777777">
              <w:tc>
                <w:tcPr>
                  <w:tcW w:w="0" w:type="auto"/>
                  <w:shd w:val="clear" w:color="auto" w:fill="auto"/>
                  <w:hideMark/>
                </w:tcPr>
                <w:p w14:paraId="56587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95" w:author="Author">
          <w:pPr>
            <w:shd w:val="clear" w:color="auto" w:fill="FFFFFF"/>
            <w:jc w:val="both"/>
          </w:pPr>
        </w:pPrChange>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60462E2" w14:textId="77777777" w:rsidTr="003B7AE9">
        <w:tc>
          <w:tcPr>
            <w:tcW w:w="0" w:type="auto"/>
            <w:shd w:val="clear" w:color="auto" w:fill="auto"/>
            <w:hideMark/>
          </w:tcPr>
          <w:p w14:paraId="05A70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3DED0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C52F31" w14:textId="77777777" w:rsidTr="003B7AE9">
        <w:tc>
          <w:tcPr>
            <w:tcW w:w="0" w:type="auto"/>
            <w:shd w:val="clear" w:color="auto" w:fill="auto"/>
            <w:hideMark/>
          </w:tcPr>
          <w:p w14:paraId="40E17C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30B020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61573E0" w14:textId="77777777" w:rsidTr="003B7AE9">
        <w:tc>
          <w:tcPr>
            <w:tcW w:w="0" w:type="auto"/>
            <w:shd w:val="clear" w:color="auto" w:fill="auto"/>
            <w:hideMark/>
          </w:tcPr>
          <w:p w14:paraId="6FD118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2A8F5658" w14:textId="77777777">
              <w:tc>
                <w:tcPr>
                  <w:tcW w:w="0" w:type="auto"/>
                  <w:shd w:val="clear" w:color="auto" w:fill="auto"/>
                  <w:hideMark/>
                </w:tcPr>
                <w:p w14:paraId="7F8A70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D045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0759C8CE" w14:textId="77777777">
              <w:tc>
                <w:tcPr>
                  <w:tcW w:w="0" w:type="auto"/>
                  <w:shd w:val="clear" w:color="auto" w:fill="auto"/>
                  <w:hideMark/>
                </w:tcPr>
                <w:p w14:paraId="3702A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96" w:author="Author">
          <w:pPr>
            <w:shd w:val="clear" w:color="auto" w:fill="FFFFFF"/>
            <w:jc w:val="both"/>
          </w:pPr>
        </w:pPrChange>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DAB02FC" w14:textId="77777777" w:rsidTr="003B7AE9">
        <w:tc>
          <w:tcPr>
            <w:tcW w:w="0" w:type="auto"/>
            <w:shd w:val="clear" w:color="auto" w:fill="auto"/>
            <w:hideMark/>
          </w:tcPr>
          <w:p w14:paraId="77EB8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B7AC2AD" w14:textId="77777777" w:rsidTr="003B7AE9">
        <w:tc>
          <w:tcPr>
            <w:tcW w:w="0" w:type="auto"/>
            <w:shd w:val="clear" w:color="auto" w:fill="auto"/>
            <w:hideMark/>
          </w:tcPr>
          <w:p w14:paraId="70171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power park module reduces or increases the active power output from its previous operating point to any new operating point, within the P-Q-capability diagram and within the limits set out in point (b) of Article 15(5), without disconnection of the power park module from the island due to over- or underfrequency.</w:t>
            </w:r>
          </w:p>
        </w:tc>
      </w:tr>
    </w:tbl>
    <w:p w14:paraId="3F8B53CB"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97" w:author="Author">
          <w:pPr>
            <w:shd w:val="clear" w:color="auto" w:fill="FFFFFF"/>
            <w:jc w:val="both"/>
          </w:pPr>
        </w:pPrChange>
      </w:pPr>
      <w:r w:rsidRPr="003B7AE9">
        <w:rPr>
          <w:rFonts w:ascii="inherit" w:eastAsia="Times New Roman" w:hAnsi="inherit" w:cs="Times New Roman"/>
          <w:color w:val="000000"/>
          <w:sz w:val="24"/>
          <w:szCs w:val="24"/>
          <w:lang w:eastAsia="en-GB"/>
        </w:rPr>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882E2BE" w14:textId="77777777" w:rsidTr="003B7AE9">
        <w:tc>
          <w:tcPr>
            <w:tcW w:w="0" w:type="auto"/>
            <w:shd w:val="clear" w:color="auto" w:fill="auto"/>
            <w:hideMark/>
          </w:tcPr>
          <w:p w14:paraId="5F1A7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5F00B3C" w14:textId="77777777" w:rsidTr="003B7AE9">
        <w:tc>
          <w:tcPr>
            <w:tcW w:w="0" w:type="auto"/>
            <w:shd w:val="clear" w:color="auto" w:fill="auto"/>
            <w:hideMark/>
          </w:tcPr>
          <w:p w14:paraId="3A44BD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A16C0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98" w:author="Author">
          <w:pPr>
            <w:shd w:val="clear" w:color="auto" w:fill="FFFFFF"/>
            <w:jc w:val="both"/>
          </w:pPr>
        </w:pPrChange>
      </w:pPr>
      <w:r w:rsidRPr="003B7AE9">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C30CA2" w14:textId="77777777" w:rsidTr="003B7AE9">
        <w:tc>
          <w:tcPr>
            <w:tcW w:w="0" w:type="auto"/>
            <w:shd w:val="clear" w:color="auto" w:fill="auto"/>
            <w:hideMark/>
          </w:tcPr>
          <w:p w14:paraId="1708F7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4534A63" w14:textId="77777777" w:rsidTr="003B7AE9">
        <w:tc>
          <w:tcPr>
            <w:tcW w:w="0" w:type="auto"/>
            <w:shd w:val="clear" w:color="auto" w:fill="auto"/>
            <w:hideMark/>
          </w:tcPr>
          <w:p w14:paraId="69AE7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2100E80" w14:textId="77777777">
              <w:tc>
                <w:tcPr>
                  <w:tcW w:w="0" w:type="auto"/>
                  <w:shd w:val="clear" w:color="auto" w:fill="auto"/>
                  <w:hideMark/>
                </w:tcPr>
                <w:p w14:paraId="5E8B0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71B01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031CACE" w14:textId="77777777">
              <w:tc>
                <w:tcPr>
                  <w:tcW w:w="0" w:type="auto"/>
                  <w:shd w:val="clear" w:color="auto" w:fill="auto"/>
                  <w:hideMark/>
                </w:tcPr>
                <w:p w14:paraId="1DD5CF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E8E32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099" w:author="Author">
          <w:pPr>
            <w:shd w:val="clear" w:color="auto" w:fill="FFFFFF"/>
            <w:jc w:val="both"/>
          </w:pPr>
        </w:pPrChange>
      </w:pPr>
      <w:r w:rsidRPr="003B7AE9">
        <w:rPr>
          <w:rFonts w:ascii="inherit" w:eastAsia="Times New Roman" w:hAnsi="inherit" w:cs="Times New Roman"/>
          <w:color w:val="000000"/>
          <w:sz w:val="24"/>
          <w:szCs w:val="24"/>
          <w:lang w:eastAsia="en-GB"/>
        </w:rPr>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E236DE1" w14:textId="77777777" w:rsidTr="003B7AE9">
        <w:tc>
          <w:tcPr>
            <w:tcW w:w="0" w:type="auto"/>
            <w:shd w:val="clear" w:color="auto" w:fill="auto"/>
            <w:hideMark/>
          </w:tcPr>
          <w:p w14:paraId="563340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73B6F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21(3);</w:t>
            </w:r>
          </w:p>
        </w:tc>
      </w:tr>
    </w:tbl>
    <w:p w14:paraId="003B1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BF6287" w14:textId="77777777" w:rsidTr="003B7AE9">
        <w:tc>
          <w:tcPr>
            <w:tcW w:w="0" w:type="auto"/>
            <w:shd w:val="clear" w:color="auto" w:fill="auto"/>
            <w:hideMark/>
          </w:tcPr>
          <w:p w14:paraId="7584A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D2CFB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model demonstrates compliance with the conditions described in point (f) of Article 21(3).</w:t>
            </w:r>
          </w:p>
        </w:tc>
      </w:tr>
    </w:tbl>
    <w:p w14:paraId="6633B0AE"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100" w:author="Author">
            <w:rPr/>
          </w:rPrChange>
        </w:rPr>
        <w:pPrChange w:id="1101" w:author="Author">
          <w:pPr>
            <w:shd w:val="clear" w:color="auto" w:fill="FFFFFF"/>
            <w:jc w:val="center"/>
          </w:pPr>
        </w:pPrChange>
      </w:pPr>
      <w:r w:rsidRPr="2D4DAF54">
        <w:rPr>
          <w:rFonts w:ascii="inherit" w:eastAsia="Times New Roman" w:hAnsi="inherit" w:cs="Times New Roman"/>
          <w:i/>
          <w:iCs/>
          <w:color w:val="000000"/>
          <w:sz w:val="24"/>
          <w:szCs w:val="24"/>
          <w:lang w:eastAsia="en-GB"/>
        </w:rPr>
        <w:lastRenderedPageBreak/>
        <w:t>Article 56</w:t>
      </w:r>
    </w:p>
    <w:p w14:paraId="680DE2AB"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102" w:author="Author">
          <w:pPr>
            <w:shd w:val="clear" w:color="auto" w:fill="FFFFFF"/>
            <w:jc w:val="center"/>
          </w:pPr>
        </w:pPrChange>
      </w:pPr>
      <w:r w:rsidRPr="003B7AE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03" w:author="Author">
          <w:pPr>
            <w:shd w:val="clear" w:color="auto" w:fill="FFFFFF"/>
            <w:jc w:val="both"/>
          </w:pPr>
        </w:pPrChange>
      </w:pPr>
      <w:r w:rsidRPr="003B7AE9">
        <w:rPr>
          <w:rFonts w:ascii="inherit" w:eastAsia="Times New Roman" w:hAnsi="inherit" w:cs="Times New Roman"/>
          <w:color w:val="000000"/>
          <w:sz w:val="24"/>
          <w:szCs w:val="24"/>
          <w:lang w:eastAsia="en-GB"/>
        </w:rPr>
        <w:t>1.   In addition to the compliance simulations for type B and C power park modules set out in Articles 54 and 55, except for the fault-ride-through capability of type B power park modules referred to in Article 54(4), type D power park modules are subject to the fault-ride-through capability of power park modules compliance simulation.</w:t>
      </w:r>
    </w:p>
    <w:p w14:paraId="413DBAE1"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04" w:author="Author">
          <w:pPr>
            <w:shd w:val="clear" w:color="auto" w:fill="FFFFFF"/>
            <w:jc w:val="both"/>
          </w:pPr>
        </w:pPrChange>
      </w:pPr>
      <w:r w:rsidRPr="003B7AE9">
        <w:rPr>
          <w:rFonts w:ascii="inherit" w:eastAsia="Times New Roman" w:hAnsi="inherit" w:cs="Times New Roman"/>
          <w:color w:val="000000"/>
          <w:sz w:val="24"/>
          <w:szCs w:val="24"/>
          <w:lang w:eastAsia="en-GB"/>
        </w:rPr>
        <w:t>2.   Instead of all or part of the simulations mentioned in paragraph 1, the power-generating facility owner may use equipment certificates issued by an authorised certifier, which must be provided to the relevant system operator.</w:t>
      </w:r>
    </w:p>
    <w:p w14:paraId="7837340F"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05" w:author="Author">
          <w:pPr>
            <w:shd w:val="clear" w:color="auto" w:fill="FFFFFF"/>
            <w:jc w:val="both"/>
          </w:pPr>
        </w:pPrChange>
      </w:pPr>
      <w:r w:rsidRPr="003B7AE9">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06" w:author="Author">
          <w:pPr>
            <w:shd w:val="clear" w:color="auto" w:fill="FFFFFF"/>
            <w:jc w:val="both"/>
          </w:pPr>
        </w:pPrChange>
      </w:pPr>
      <w:r w:rsidRPr="003B7AE9">
        <w:rPr>
          <w:rFonts w:ascii="inherit" w:eastAsia="Times New Roman" w:hAnsi="inherit" w:cs="Times New Roman"/>
          <w:color w:val="000000"/>
          <w:sz w:val="24"/>
          <w:szCs w:val="24"/>
          <w:lang w:eastAsia="en-GB"/>
        </w:rPr>
        <w:t>4.   The simulation shall be deemed successful if the model demonstrates compliance with the conditions set out in point (a) of Article 16(3).</w:t>
      </w:r>
    </w:p>
    <w:p w14:paraId="2252C02D" w14:textId="77777777" w:rsidR="003B7AE9" w:rsidRPr="003B7AE9" w:rsidRDefault="003B7AE9" w:rsidP="0060282F">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1107"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7</w:t>
      </w:r>
    </w:p>
    <w:p w14:paraId="5BA339EA" w14:textId="77777777" w:rsidR="003B7AE9" w:rsidRPr="003B7AE9" w:rsidRDefault="003B7AE9" w:rsidP="0060282F">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1108"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109" w:author="Author">
            <w:rPr/>
          </w:rPrChange>
        </w:rPr>
        <w:pPrChange w:id="1110"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57</w:t>
      </w:r>
    </w:p>
    <w:p w14:paraId="15E11EBC"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111" w:author="Author">
          <w:pPr>
            <w:shd w:val="clear" w:color="auto" w:fill="FFFFFF"/>
            <w:jc w:val="center"/>
          </w:pPr>
        </w:pPrChange>
      </w:pPr>
      <w:r w:rsidRPr="003B7AE9">
        <w:rPr>
          <w:rFonts w:ascii="inherit" w:eastAsia="Times New Roman" w:hAnsi="inherit" w:cs="Times New Roman"/>
          <w:b/>
          <w:bCs/>
          <w:color w:val="000000"/>
          <w:sz w:val="24"/>
          <w:szCs w:val="24"/>
          <w:lang w:eastAsia="en-GB"/>
        </w:rPr>
        <w:t>Compliance simulations applicable to offshore power park modules</w:t>
      </w:r>
    </w:p>
    <w:p w14:paraId="7864E29E"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12" w:author="Author">
          <w:pPr>
            <w:shd w:val="clear" w:color="auto" w:fill="FFFFFF"/>
            <w:jc w:val="both"/>
          </w:pPr>
        </w:pPrChange>
      </w:pPr>
      <w:r w:rsidRPr="003B7A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3B7AE9" w:rsidRDefault="003B7AE9" w:rsidP="0060282F">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1113"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t>CHAPTER 8</w:t>
      </w:r>
    </w:p>
    <w:p w14:paraId="07964352" w14:textId="77777777" w:rsidR="003B7AE9" w:rsidRPr="003B7AE9" w:rsidRDefault="003B7AE9" w:rsidP="0060282F">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1114" w:author="Author">
          <w:pPr>
            <w:shd w:val="clear" w:color="auto" w:fill="FFFFFF"/>
            <w:jc w:val="center"/>
          </w:pPr>
        </w:pPrChange>
      </w:pPr>
      <w:r w:rsidRPr="2D4DAF54">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val="fr-FR" w:eastAsia="en-GB"/>
          <w:rPrChange w:id="1115" w:author="Author">
            <w:rPr/>
          </w:rPrChange>
        </w:rPr>
        <w:pPrChange w:id="1116" w:author="Author">
          <w:pPr>
            <w:shd w:val="clear" w:color="auto" w:fill="FFFFFF"/>
            <w:jc w:val="center"/>
          </w:pPr>
        </w:pPrChange>
      </w:pPr>
      <w:r w:rsidRPr="2D4DAF54">
        <w:rPr>
          <w:rFonts w:ascii="inherit" w:eastAsia="Times New Roman" w:hAnsi="inherit" w:cs="Times New Roman"/>
          <w:i/>
          <w:iCs/>
          <w:color w:val="000000"/>
          <w:sz w:val="24"/>
          <w:szCs w:val="24"/>
          <w:lang w:val="fr-FR" w:eastAsia="en-GB"/>
        </w:rPr>
        <w:t>Article 58</w:t>
      </w:r>
    </w:p>
    <w:p w14:paraId="0816BE4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Non-binding guidance on implementation</w:t>
      </w:r>
    </w:p>
    <w:p w14:paraId="6B8F647D"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17" w:author="Author">
          <w:pPr>
            <w:shd w:val="clear" w:color="auto" w:fill="FFFFFF"/>
            <w:jc w:val="both"/>
          </w:pPr>
        </w:pPrChange>
      </w:pPr>
      <w:r w:rsidRPr="003B7AE9">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770F0B6A"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18" w:author="Author">
          <w:pPr>
            <w:shd w:val="clear" w:color="auto" w:fill="FFFFFF"/>
            <w:jc w:val="both"/>
          </w:pPr>
        </w:pPrChange>
      </w:pPr>
      <w:r w:rsidRPr="003B7AE9">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19" w:author="Author">
          <w:pPr>
            <w:shd w:val="clear" w:color="auto" w:fill="FFFFFF"/>
            <w:jc w:val="both"/>
          </w:pPr>
        </w:pPrChange>
      </w:pPr>
      <w:r w:rsidRPr="003B7AE9">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120" w:author="Author">
            <w:rPr/>
          </w:rPrChange>
        </w:rPr>
        <w:pPrChange w:id="1121"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59</w:t>
      </w:r>
    </w:p>
    <w:p w14:paraId="5DA9F012"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122" w:author="Author">
          <w:pPr>
            <w:shd w:val="clear" w:color="auto" w:fill="FFFFFF"/>
            <w:jc w:val="center"/>
          </w:pPr>
        </w:pPrChange>
      </w:pPr>
      <w:r w:rsidRPr="003B7AE9">
        <w:rPr>
          <w:rFonts w:ascii="inherit" w:eastAsia="Times New Roman" w:hAnsi="inherit" w:cs="Times New Roman"/>
          <w:b/>
          <w:bCs/>
          <w:color w:val="000000"/>
          <w:sz w:val="24"/>
          <w:szCs w:val="24"/>
          <w:lang w:eastAsia="en-GB"/>
        </w:rPr>
        <w:t>Monitoring</w:t>
      </w:r>
    </w:p>
    <w:p w14:paraId="5B6BD64D"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23" w:author="Author">
          <w:pPr>
            <w:shd w:val="clear" w:color="auto" w:fill="FFFFFF"/>
            <w:jc w:val="both"/>
          </w:pPr>
        </w:pPrChange>
      </w:pPr>
      <w:r w:rsidRPr="003B7AE9">
        <w:rPr>
          <w:rFonts w:ascii="inherit" w:eastAsia="Times New Roman" w:hAnsi="inherit" w:cs="Times New Roman"/>
          <w:color w:val="000000"/>
          <w:sz w:val="24"/>
          <w:szCs w:val="24"/>
          <w:lang w:eastAsia="en-GB"/>
        </w:rPr>
        <w:lastRenderedPageBreak/>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0F8B17A8" w14:textId="77777777" w:rsidTr="003B7AE9">
        <w:tc>
          <w:tcPr>
            <w:tcW w:w="0" w:type="auto"/>
            <w:shd w:val="clear" w:color="auto" w:fill="auto"/>
            <w:hideMark/>
          </w:tcPr>
          <w:p w14:paraId="53093A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59847C2" w14:textId="77777777" w:rsidTr="003B7AE9">
        <w:tc>
          <w:tcPr>
            <w:tcW w:w="0" w:type="auto"/>
            <w:shd w:val="clear" w:color="auto" w:fill="auto"/>
            <w:hideMark/>
          </w:tcPr>
          <w:p w14:paraId="239504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D7F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tc>
      </w:tr>
    </w:tbl>
    <w:p w14:paraId="7E05AB79"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24" w:author="Author">
          <w:pPr>
            <w:shd w:val="clear" w:color="auto" w:fill="FFFFFF"/>
            <w:jc w:val="both"/>
          </w:pPr>
        </w:pPrChange>
      </w:pPr>
      <w:r w:rsidRPr="003B7AE9">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25" w:author="Author">
          <w:pPr>
            <w:shd w:val="clear" w:color="auto" w:fill="FFFFFF"/>
            <w:jc w:val="both"/>
          </w:pPr>
        </w:pPrChange>
      </w:pPr>
      <w:r w:rsidRPr="003B7AE9">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4BA1EDBF"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26" w:author="Author">
          <w:pPr>
            <w:shd w:val="clear" w:color="auto" w:fill="FFFFFF"/>
            <w:jc w:val="both"/>
          </w:pPr>
        </w:pPrChange>
      </w:pPr>
      <w:r w:rsidRPr="003B7AE9">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1E2A9826"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27" w:author="Author">
          <w:pPr>
            <w:shd w:val="clear" w:color="auto" w:fill="FFFFFF"/>
            <w:jc w:val="both"/>
          </w:pPr>
        </w:pPrChange>
      </w:pPr>
      <w:r w:rsidRPr="003B7AE9">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31BA286" w14:textId="77777777" w:rsidR="003B7AE9" w:rsidRPr="003B7AE9" w:rsidRDefault="003B7AE9" w:rsidP="0060282F">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1128" w:author="Author">
          <w:pPr>
            <w:shd w:val="clear" w:color="auto" w:fill="FFFFFF"/>
            <w:jc w:val="center"/>
          </w:pPr>
        </w:pPrChange>
      </w:pPr>
      <w:r w:rsidRPr="003B7AE9">
        <w:rPr>
          <w:rFonts w:ascii="inherit" w:eastAsia="Times New Roman" w:hAnsi="inherit" w:cs="Times New Roman"/>
          <w:b/>
          <w:bCs/>
          <w:color w:val="000000"/>
          <w:sz w:val="24"/>
          <w:szCs w:val="24"/>
          <w:lang w:eastAsia="en-GB"/>
        </w:rPr>
        <w:t>TITLE V</w:t>
      </w:r>
    </w:p>
    <w:p w14:paraId="3636DBC7" w14:textId="77777777" w:rsidR="003B7AE9" w:rsidRPr="003B7AE9" w:rsidRDefault="003B7AE9" w:rsidP="0060282F">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1129" w:author="Author">
          <w:pPr>
            <w:shd w:val="clear" w:color="auto" w:fill="FFFFFF"/>
            <w:jc w:val="center"/>
          </w:pPr>
        </w:pPrChange>
      </w:pPr>
      <w:r w:rsidRPr="003B7AE9">
        <w:rPr>
          <w:rFonts w:ascii="inherit" w:eastAsia="Times New Roman" w:hAnsi="inherit" w:cs="Times New Roman"/>
          <w:b/>
          <w:bCs/>
          <w:color w:val="000000"/>
          <w:sz w:val="24"/>
          <w:szCs w:val="24"/>
          <w:lang w:eastAsia="en-GB"/>
        </w:rPr>
        <w:t>DEROGATIONS</w:t>
      </w:r>
    </w:p>
    <w:p w14:paraId="719A26C0"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130" w:author="Author">
            <w:rPr/>
          </w:rPrChange>
        </w:rPr>
        <w:pPrChange w:id="1131"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60</w:t>
      </w:r>
    </w:p>
    <w:p w14:paraId="41CD7C33"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132" w:author="Author">
          <w:pPr>
            <w:shd w:val="clear" w:color="auto" w:fill="FFFFFF"/>
            <w:jc w:val="center"/>
          </w:pPr>
        </w:pPrChange>
      </w:pPr>
      <w:r w:rsidRPr="003B7AE9">
        <w:rPr>
          <w:rFonts w:ascii="inherit" w:eastAsia="Times New Roman" w:hAnsi="inherit" w:cs="Times New Roman"/>
          <w:b/>
          <w:bCs/>
          <w:color w:val="000000"/>
          <w:sz w:val="24"/>
          <w:szCs w:val="24"/>
          <w:lang w:eastAsia="en-GB"/>
        </w:rPr>
        <w:t>Power to grant derogations</w:t>
      </w:r>
    </w:p>
    <w:p w14:paraId="03229276"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33" w:author="Author">
          <w:pPr>
            <w:shd w:val="clear" w:color="auto" w:fill="FFFFFF"/>
            <w:jc w:val="both"/>
          </w:pPr>
        </w:pPrChange>
      </w:pPr>
      <w:r w:rsidRPr="003B7AE9">
        <w:rPr>
          <w:rFonts w:ascii="inherit" w:eastAsia="Times New Roman" w:hAnsi="inherit" w:cs="Times New Roman"/>
          <w:color w:val="000000"/>
          <w:sz w:val="24"/>
          <w:szCs w:val="24"/>
          <w:lang w:eastAsia="en-GB"/>
        </w:rPr>
        <w:t>1.   Regulatory authorities may, at the request of a power-generating facility owner or prospective owner, relevant system operator or relevant TSO, grant power-generating 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34" w:author="Author">
          <w:pPr>
            <w:shd w:val="clear" w:color="auto" w:fill="FFFFFF"/>
            <w:jc w:val="both"/>
          </w:pPr>
        </w:pPrChange>
      </w:pPr>
      <w:r w:rsidRPr="003B7AE9">
        <w:rPr>
          <w:rFonts w:ascii="inherit" w:eastAsia="Times New Roman" w:hAnsi="inherit" w:cs="Times New Roman"/>
          <w:color w:val="000000"/>
          <w:sz w:val="24"/>
          <w:szCs w:val="24"/>
          <w:lang w:eastAsia="en-GB"/>
        </w:rPr>
        <w:t>2.   Where applicable in a Member State, derogations may be granted and revoked in accordance with Articles 61 to 63 by other authorities than the regulatory authority.</w:t>
      </w:r>
    </w:p>
    <w:p w14:paraId="63F142DF"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135" w:author="Author">
            <w:rPr/>
          </w:rPrChange>
        </w:rPr>
        <w:pPrChange w:id="1136"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61</w:t>
      </w:r>
    </w:p>
    <w:p w14:paraId="399F4C57"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137" w:author="Author">
          <w:pPr>
            <w:shd w:val="clear" w:color="auto" w:fill="FFFFFF"/>
            <w:jc w:val="center"/>
          </w:pPr>
        </w:pPrChange>
      </w:pPr>
      <w:r w:rsidRPr="003B7AE9">
        <w:rPr>
          <w:rFonts w:ascii="inherit" w:eastAsia="Times New Roman" w:hAnsi="inherit" w:cs="Times New Roman"/>
          <w:b/>
          <w:bCs/>
          <w:color w:val="000000"/>
          <w:sz w:val="24"/>
          <w:szCs w:val="24"/>
          <w:lang w:eastAsia="en-GB"/>
        </w:rPr>
        <w:t>General provisions</w:t>
      </w:r>
    </w:p>
    <w:p w14:paraId="2F406B97"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38" w:author="Author">
          <w:pPr>
            <w:shd w:val="clear" w:color="auto" w:fill="FFFFFF"/>
            <w:jc w:val="both"/>
          </w:pPr>
        </w:pPrChange>
      </w:pPr>
      <w:r w:rsidRPr="003B7AE9">
        <w:rPr>
          <w:rFonts w:ascii="inherit" w:eastAsia="Times New Roman" w:hAnsi="inherit" w:cs="Times New Roman"/>
          <w:color w:val="000000"/>
          <w:sz w:val="24"/>
          <w:szCs w:val="24"/>
          <w:lang w:eastAsia="en-GB"/>
        </w:rPr>
        <w:t xml:space="preserve">1.   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 and notify them to the Commission within nine </w:t>
      </w:r>
      <w:r w:rsidRPr="003B7AE9">
        <w:rPr>
          <w:rFonts w:ascii="inherit" w:eastAsia="Times New Roman" w:hAnsi="inherit" w:cs="Times New Roman"/>
          <w:color w:val="000000"/>
          <w:sz w:val="24"/>
          <w:szCs w:val="24"/>
          <w:lang w:eastAsia="en-GB"/>
        </w:rPr>
        <w:lastRenderedPageBreak/>
        <w:t>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39" w:author="Author">
          <w:pPr>
            <w:shd w:val="clear" w:color="auto" w:fill="FFFFFF"/>
            <w:jc w:val="both"/>
          </w:pPr>
        </w:pPrChange>
      </w:pPr>
      <w:r w:rsidRPr="003B7AE9">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40" w:author="Author">
          <w:pPr>
            <w:shd w:val="clear" w:color="auto" w:fill="FFFFFF"/>
            <w:jc w:val="both"/>
          </w:pPr>
        </w:pPrChange>
      </w:pPr>
      <w:r w:rsidRPr="003B7AE9">
        <w:rPr>
          <w:rFonts w:ascii="inherit" w:eastAsia="Times New Roman" w:hAnsi="inherit" w:cs="Times New Roman"/>
          <w:color w:val="000000"/>
          <w:sz w:val="24"/>
          <w:szCs w:val="24"/>
          <w:lang w:eastAsia="en-GB"/>
        </w:rPr>
        <w:t>3.   The regulatory authority may decide that power-generating modules for which a request for a derogation has been filed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141" w:author="Author">
            <w:rPr/>
          </w:rPrChange>
        </w:rPr>
        <w:pPrChange w:id="1142"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62</w:t>
      </w:r>
    </w:p>
    <w:p w14:paraId="220447FD"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143" w:author="Author">
          <w:pPr>
            <w:shd w:val="clear" w:color="auto" w:fill="FFFFFF"/>
            <w:jc w:val="center"/>
          </w:pPr>
        </w:pPrChange>
      </w:pPr>
      <w:r w:rsidRPr="003B7AE9">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44" w:author="Author">
          <w:pPr>
            <w:shd w:val="clear" w:color="auto" w:fill="FFFFFF"/>
            <w:jc w:val="both"/>
          </w:pPr>
        </w:pPrChange>
      </w:pPr>
      <w:r w:rsidRPr="003B7AE9">
        <w:rPr>
          <w:rFonts w:ascii="inherit" w:eastAsia="Times New Roman" w:hAnsi="inherit" w:cs="Times New Roman"/>
          <w:color w:val="000000"/>
          <w:sz w:val="24"/>
          <w:szCs w:val="24"/>
          <w:lang w:eastAsia="en-GB"/>
        </w:rPr>
        <w:t>1.   Power-generating facility owners, or prospective owners, may request a derogation to one or several requirements of this Regulation for power-generating modules within their facilities.</w:t>
      </w:r>
    </w:p>
    <w:p w14:paraId="566B3172"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45" w:author="Author">
          <w:pPr>
            <w:shd w:val="clear" w:color="auto" w:fill="FFFFFF"/>
            <w:jc w:val="both"/>
          </w:pPr>
        </w:pPrChange>
      </w:pPr>
      <w:r w:rsidRPr="003B7AE9">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27955B" w14:textId="77777777" w:rsidTr="003B7AE9">
        <w:tc>
          <w:tcPr>
            <w:tcW w:w="0" w:type="auto"/>
            <w:shd w:val="clear" w:color="auto" w:fill="auto"/>
            <w:hideMark/>
          </w:tcPr>
          <w:p w14:paraId="6954C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8CB1CC" w14:textId="77777777" w:rsidTr="003B7AE9">
        <w:tc>
          <w:tcPr>
            <w:tcW w:w="0" w:type="auto"/>
            <w:shd w:val="clear" w:color="auto" w:fill="auto"/>
            <w:hideMark/>
          </w:tcPr>
          <w:p w14:paraId="7D3707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EA5657" w14:textId="77777777" w:rsidTr="003B7AE9">
        <w:tc>
          <w:tcPr>
            <w:tcW w:w="0" w:type="auto"/>
            <w:shd w:val="clear" w:color="auto" w:fill="auto"/>
            <w:hideMark/>
          </w:tcPr>
          <w:p w14:paraId="2EE3E3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71619AF" w14:textId="77777777" w:rsidTr="003B7AE9">
        <w:tc>
          <w:tcPr>
            <w:tcW w:w="0" w:type="auto"/>
            <w:shd w:val="clear" w:color="auto" w:fill="auto"/>
            <w:hideMark/>
          </w:tcPr>
          <w:p w14:paraId="6DC21C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DFBAF6" w14:textId="77777777" w:rsidTr="003B7AE9">
        <w:tc>
          <w:tcPr>
            <w:tcW w:w="0" w:type="auto"/>
            <w:shd w:val="clear" w:color="auto" w:fill="auto"/>
            <w:hideMark/>
          </w:tcPr>
          <w:p w14:paraId="2E1D0E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BC5F8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46" w:author="Author">
          <w:pPr>
            <w:shd w:val="clear" w:color="auto" w:fill="FFFFFF"/>
            <w:jc w:val="both"/>
          </w:pPr>
        </w:pPrChange>
      </w:pPr>
      <w:r w:rsidRPr="003B7AE9">
        <w:rPr>
          <w:rFonts w:ascii="inherit" w:eastAsia="Times New Roman" w:hAnsi="inherit" w:cs="Times New Roman"/>
          <w:color w:val="000000"/>
          <w:sz w:val="24"/>
          <w:szCs w:val="24"/>
          <w:lang w:eastAsia="en-GB"/>
        </w:rPr>
        <w:t>3.   Within two weeks of receipt of a request for a derogation, the relevant system operator shall confirm to the power-generating facility owner, or prospective owner, 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47" w:author="Author">
          <w:pPr>
            <w:shd w:val="clear" w:color="auto" w:fill="FFFFFF"/>
            <w:jc w:val="both"/>
          </w:pPr>
        </w:pPrChange>
      </w:pPr>
      <w:r w:rsidRPr="003B7AE9">
        <w:rPr>
          <w:rFonts w:ascii="inherit" w:eastAsia="Times New Roman" w:hAnsi="inherit" w:cs="Times New Roman"/>
          <w:color w:val="000000"/>
          <w:sz w:val="24"/>
          <w:szCs w:val="24"/>
          <w:lang w:eastAsia="en-GB"/>
        </w:rPr>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48" w:author="Author">
          <w:pPr>
            <w:shd w:val="clear" w:color="auto" w:fill="FFFFFF"/>
            <w:jc w:val="both"/>
          </w:pPr>
        </w:pPrChange>
      </w:pPr>
      <w:r w:rsidRPr="003B7AE9">
        <w:rPr>
          <w:rFonts w:ascii="inherit" w:eastAsia="Times New Roman" w:hAnsi="inherit" w:cs="Times New Roman"/>
          <w:color w:val="000000"/>
          <w:sz w:val="24"/>
          <w:szCs w:val="24"/>
          <w:lang w:eastAsia="en-GB"/>
        </w:rPr>
        <w:lastRenderedPageBreak/>
        <w:t>5.   If a request for a derogation concerns a type C or D power-generating module connected to a distribution system, including a closed distribution system, the relevant system operator's assessment must 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49" w:author="Author">
          <w:pPr>
            <w:shd w:val="clear" w:color="auto" w:fill="FFFFFF"/>
            <w:jc w:val="both"/>
          </w:pPr>
        </w:pPrChange>
      </w:pPr>
      <w:r w:rsidRPr="003B7AE9">
        <w:rPr>
          <w:rFonts w:ascii="inherit" w:eastAsia="Times New Roman" w:hAnsi="inherit" w:cs="Times New Roman"/>
          <w:color w:val="000000"/>
          <w:sz w:val="24"/>
          <w:szCs w:val="24"/>
          <w:lang w:eastAsia="en-GB"/>
        </w:rPr>
        <w:t>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50" w:author="Author">
          <w:pPr>
            <w:shd w:val="clear" w:color="auto" w:fill="FFFFFF"/>
            <w:jc w:val="both"/>
          </w:pPr>
        </w:pPrChange>
      </w:pPr>
      <w:r w:rsidRPr="003B7AE9">
        <w:rPr>
          <w:rFonts w:ascii="inherit" w:eastAsia="Times New Roman" w:hAnsi="inherit" w:cs="Times New Roman"/>
          <w:color w:val="000000"/>
          <w:sz w:val="24"/>
          <w:szCs w:val="24"/>
          <w:lang w:eastAsia="en-GB"/>
        </w:rPr>
        <w:t>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owner, or from any other interested parties. The additional period shall begin when the complete information has been received.</w:t>
      </w:r>
    </w:p>
    <w:p w14:paraId="7878A6D9"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51" w:author="Author">
          <w:pPr>
            <w:shd w:val="clear" w:color="auto" w:fill="FFFFFF"/>
            <w:jc w:val="both"/>
          </w:pPr>
        </w:pPrChange>
      </w:pPr>
      <w:r w:rsidRPr="003B7AE9">
        <w:rPr>
          <w:rFonts w:ascii="inherit" w:eastAsia="Times New Roman" w:hAnsi="inherit" w:cs="Times New Roman"/>
          <w:color w:val="000000"/>
          <w:sz w:val="24"/>
          <w:szCs w:val="24"/>
          <w:lang w:eastAsia="en-GB"/>
        </w:rPr>
        <w:t>8.   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51E49B8A" w14:textId="77777777" w:rsidTr="003B7AE9">
        <w:tc>
          <w:tcPr>
            <w:tcW w:w="0" w:type="auto"/>
            <w:shd w:val="clear" w:color="auto" w:fill="auto"/>
            <w:hideMark/>
          </w:tcPr>
          <w:p w14:paraId="47A5D1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94B750" w14:textId="77777777" w:rsidTr="003B7AE9">
        <w:tc>
          <w:tcPr>
            <w:tcW w:w="0" w:type="auto"/>
            <w:shd w:val="clear" w:color="auto" w:fill="auto"/>
            <w:hideMark/>
          </w:tcPr>
          <w:p w14:paraId="2A288B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702D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52" w:author="Author">
          <w:pPr>
            <w:shd w:val="clear" w:color="auto" w:fill="FFFFFF"/>
            <w:jc w:val="both"/>
          </w:pPr>
        </w:pPrChange>
      </w:pPr>
      <w:r w:rsidRPr="003B7AE9">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53" w:author="Author">
          <w:pPr>
            <w:shd w:val="clear" w:color="auto" w:fill="FFFFFF"/>
            <w:jc w:val="both"/>
          </w:pPr>
        </w:pPrChange>
      </w:pPr>
      <w:r w:rsidRPr="003B7AE9">
        <w:rPr>
          <w:rFonts w:ascii="inherit" w:eastAsia="Times New Roman" w:hAnsi="inherit" w:cs="Times New Roman"/>
          <w:color w:val="000000"/>
          <w:sz w:val="24"/>
          <w:szCs w:val="24"/>
          <w:lang w:eastAsia="en-GB"/>
        </w:rPr>
        <w:t>10.   The regulatory authority shall notify its decision to the relevant power-generating facility owner, or prospective owner, the relevant system operator and the relevant TSO.</w:t>
      </w:r>
    </w:p>
    <w:p w14:paraId="2434C35E"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54" w:author="Author">
          <w:pPr>
            <w:shd w:val="clear" w:color="auto" w:fill="FFFFFF"/>
            <w:jc w:val="both"/>
          </w:pPr>
        </w:pPrChange>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1737B4C8"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55" w:author="Author">
          <w:pPr>
            <w:shd w:val="clear" w:color="auto" w:fill="FFFFFF"/>
            <w:jc w:val="both"/>
          </w:pPr>
        </w:pPrChange>
      </w:pPr>
      <w:r w:rsidRPr="003B7AE9">
        <w:rPr>
          <w:rFonts w:ascii="inherit" w:eastAsia="Times New Roman" w:hAnsi="inherit" w:cs="Times New Roman"/>
          <w:color w:val="000000"/>
          <w:sz w:val="24"/>
          <w:szCs w:val="24"/>
          <w:lang w:eastAsia="en-GB"/>
        </w:rPr>
        <w:t>12.   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is specified, the third party may substitute the details required by point (a) of paragraph 2 with their details.</w:t>
      </w:r>
    </w:p>
    <w:p w14:paraId="4F1F2902"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156" w:author="Author">
            <w:rPr/>
          </w:rPrChange>
        </w:rPr>
        <w:pPrChange w:id="1157"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63</w:t>
      </w:r>
    </w:p>
    <w:p w14:paraId="79750F16"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158" w:author="Author">
          <w:pPr>
            <w:shd w:val="clear" w:color="auto" w:fill="FFFFFF"/>
            <w:jc w:val="center"/>
          </w:pPr>
        </w:pPrChange>
      </w:pPr>
      <w:r w:rsidRPr="003B7AE9">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59" w:author="Author">
          <w:pPr>
            <w:shd w:val="clear" w:color="auto" w:fill="FFFFFF"/>
            <w:jc w:val="both"/>
          </w:pPr>
        </w:pPrChange>
      </w:pPr>
      <w:r w:rsidRPr="003B7AE9">
        <w:rPr>
          <w:rFonts w:ascii="inherit" w:eastAsia="Times New Roman" w:hAnsi="inherit" w:cs="Times New Roman"/>
          <w:color w:val="000000"/>
          <w:sz w:val="24"/>
          <w:szCs w:val="24"/>
          <w:lang w:eastAsia="en-GB"/>
        </w:rPr>
        <w:lastRenderedPageBreak/>
        <w:t>1.   Relevant system operators or relevant TSOs may request derogations for classes of power-generating modules connected or to be connected to their network.</w:t>
      </w:r>
    </w:p>
    <w:p w14:paraId="51611FA8"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60" w:author="Author">
          <w:pPr>
            <w:shd w:val="clear" w:color="auto" w:fill="FFFFFF"/>
            <w:jc w:val="both"/>
          </w:pPr>
        </w:pPrChange>
      </w:pPr>
      <w:r w:rsidRPr="003B7AE9">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D6BF0C" w14:textId="77777777" w:rsidTr="003B7AE9">
        <w:tc>
          <w:tcPr>
            <w:tcW w:w="0" w:type="auto"/>
            <w:shd w:val="clear" w:color="auto" w:fill="auto"/>
            <w:hideMark/>
          </w:tcPr>
          <w:p w14:paraId="160856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08849BF" w14:textId="77777777" w:rsidTr="003B7AE9">
        <w:tc>
          <w:tcPr>
            <w:tcW w:w="0" w:type="auto"/>
            <w:shd w:val="clear" w:color="auto" w:fill="auto"/>
            <w:hideMark/>
          </w:tcPr>
          <w:p w14:paraId="00E2E1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8A8B681" w14:textId="77777777" w:rsidTr="003B7AE9">
        <w:tc>
          <w:tcPr>
            <w:tcW w:w="0" w:type="auto"/>
            <w:shd w:val="clear" w:color="auto" w:fill="auto"/>
            <w:hideMark/>
          </w:tcPr>
          <w:p w14:paraId="6F9CE8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B7AE9" w14:paraId="40AF26A6" w14:textId="77777777" w:rsidTr="003B7AE9">
        <w:tc>
          <w:tcPr>
            <w:tcW w:w="0" w:type="auto"/>
            <w:shd w:val="clear" w:color="auto" w:fill="auto"/>
            <w:hideMark/>
          </w:tcPr>
          <w:p w14:paraId="58B11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535606" w14:textId="77777777" w:rsidTr="003B7AE9">
        <w:tc>
          <w:tcPr>
            <w:tcW w:w="0" w:type="auto"/>
            <w:shd w:val="clear" w:color="auto" w:fill="auto"/>
            <w:hideMark/>
          </w:tcPr>
          <w:p w14:paraId="02B99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7F8A427" w14:textId="77777777" w:rsidTr="003B7AE9">
        <w:tc>
          <w:tcPr>
            <w:tcW w:w="0" w:type="auto"/>
            <w:shd w:val="clear" w:color="auto" w:fill="auto"/>
            <w:hideMark/>
          </w:tcPr>
          <w:p w14:paraId="639EE3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61" w:author="Author">
          <w:pPr>
            <w:shd w:val="clear" w:color="auto" w:fill="FFFFFF"/>
            <w:jc w:val="both"/>
          </w:pPr>
        </w:pPrChange>
      </w:pPr>
      <w:r w:rsidRPr="003B7AE9">
        <w:rPr>
          <w:rFonts w:ascii="inherit" w:eastAsia="Times New Roman" w:hAnsi="inherit" w:cs="Times New Roman"/>
          <w:color w:val="000000"/>
          <w:sz w:val="24"/>
          <w:szCs w:val="24"/>
          <w:lang w:eastAsia="en-GB"/>
        </w:rPr>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62" w:author="Author">
          <w:pPr>
            <w:shd w:val="clear" w:color="auto" w:fill="FFFFFF"/>
            <w:jc w:val="both"/>
          </w:pPr>
        </w:pPrChange>
      </w:pPr>
      <w:r w:rsidRPr="003B7AE9">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63" w:author="Author">
          <w:pPr>
            <w:shd w:val="clear" w:color="auto" w:fill="FFFFFF"/>
            <w:jc w:val="both"/>
          </w:pPr>
        </w:pPrChange>
      </w:pPr>
      <w:r w:rsidRPr="003B7AE9">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p>
    <w:p w14:paraId="14CADE58"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64" w:author="Author">
          <w:pPr>
            <w:shd w:val="clear" w:color="auto" w:fill="FFFFFF"/>
            <w:jc w:val="both"/>
          </w:pPr>
        </w:pPrChange>
      </w:pPr>
      <w:r w:rsidRPr="003B7AE9">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or CDSO, the six-month time limit runs from the day following receipt of the relevant TSO's assessment pursuant to paragraph 5.</w:t>
      </w:r>
    </w:p>
    <w:p w14:paraId="45C098A8"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65" w:author="Author">
          <w:pPr>
            <w:shd w:val="clear" w:color="auto" w:fill="FFFFFF"/>
            <w:jc w:val="both"/>
          </w:pPr>
        </w:pPrChange>
      </w:pPr>
      <w:r w:rsidRPr="003B7AE9">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66" w:author="Author">
          <w:pPr>
            <w:shd w:val="clear" w:color="auto" w:fill="FFFFFF"/>
            <w:jc w:val="both"/>
          </w:pPr>
        </w:pPrChange>
      </w:pPr>
      <w:r w:rsidRPr="003B7AE9">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629C2ABF" w14:textId="77777777" w:rsidTr="003B7AE9">
        <w:tc>
          <w:tcPr>
            <w:tcW w:w="0" w:type="auto"/>
            <w:shd w:val="clear" w:color="auto" w:fill="auto"/>
            <w:hideMark/>
          </w:tcPr>
          <w:p w14:paraId="775D99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5CCA93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F067573" w14:textId="77777777" w:rsidTr="003B7AE9">
        <w:tc>
          <w:tcPr>
            <w:tcW w:w="0" w:type="auto"/>
            <w:shd w:val="clear" w:color="auto" w:fill="auto"/>
            <w:hideMark/>
          </w:tcPr>
          <w:p w14:paraId="3341DD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67" w:author="Author">
          <w:pPr>
            <w:shd w:val="clear" w:color="auto" w:fill="FFFFFF"/>
            <w:jc w:val="both"/>
          </w:pPr>
        </w:pPrChange>
      </w:pPr>
      <w:r w:rsidRPr="003B7AE9">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68" w:author="Author">
          <w:pPr>
            <w:shd w:val="clear" w:color="auto" w:fill="FFFFFF"/>
            <w:jc w:val="both"/>
          </w:pPr>
        </w:pPrChange>
      </w:pPr>
      <w:r w:rsidRPr="003B7AE9">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69" w:author="Author">
          <w:pPr>
            <w:shd w:val="clear" w:color="auto" w:fill="FFFFFF"/>
            <w:jc w:val="both"/>
          </w:pPr>
        </w:pPrChange>
      </w:pPr>
      <w:r w:rsidRPr="003B7AE9">
        <w:rPr>
          <w:rFonts w:ascii="inherit" w:eastAsia="Times New Roman" w:hAnsi="inherit" w:cs="Times New Roman"/>
          <w:color w:val="000000"/>
          <w:sz w:val="24"/>
          <w:szCs w:val="24"/>
          <w:lang w:eastAsia="en-GB"/>
        </w:rPr>
        <w:t>10.   Regulatory authorities may lay down further requirements concerning the preparation of requests for derogation by relevant system operators. In doing so, 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70" w:author="Author">
          <w:pPr>
            <w:shd w:val="clear" w:color="auto" w:fill="FFFFFF"/>
            <w:jc w:val="both"/>
          </w:pPr>
        </w:pPrChange>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171" w:author="Author">
            <w:rPr/>
          </w:rPrChange>
        </w:rPr>
        <w:pPrChange w:id="1172"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64</w:t>
      </w:r>
    </w:p>
    <w:p w14:paraId="6F9301DB"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173" w:author="Author">
          <w:pPr>
            <w:shd w:val="clear" w:color="auto" w:fill="FFFFFF"/>
            <w:jc w:val="center"/>
          </w:pPr>
        </w:pPrChange>
      </w:pPr>
      <w:r w:rsidRPr="003B7AE9">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74" w:author="Author">
          <w:pPr>
            <w:shd w:val="clear" w:color="auto" w:fill="FFFFFF"/>
            <w:jc w:val="both"/>
          </w:pPr>
        </w:pPrChange>
      </w:pPr>
      <w:r w:rsidRPr="003B7AE9">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75" w:author="Author">
          <w:pPr>
            <w:shd w:val="clear" w:color="auto" w:fill="FFFFFF"/>
            <w:jc w:val="both"/>
          </w:pPr>
        </w:pPrChange>
      </w:pPr>
      <w:r w:rsidRPr="003B7AE9">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B7AE9" w14:paraId="52DED263" w14:textId="77777777" w:rsidTr="003B7AE9">
        <w:tc>
          <w:tcPr>
            <w:tcW w:w="0" w:type="auto"/>
            <w:shd w:val="clear" w:color="auto" w:fill="auto"/>
            <w:hideMark/>
          </w:tcPr>
          <w:p w14:paraId="0AE765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B7AE9" w14:paraId="7A7B7A05" w14:textId="77777777" w:rsidTr="003B7AE9">
        <w:tc>
          <w:tcPr>
            <w:tcW w:w="0" w:type="auto"/>
            <w:shd w:val="clear" w:color="auto" w:fill="auto"/>
            <w:hideMark/>
          </w:tcPr>
          <w:p w14:paraId="51D1F2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content of the derogation;</w:t>
            </w:r>
          </w:p>
        </w:tc>
      </w:tr>
    </w:tbl>
    <w:p w14:paraId="6E051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B7AE9" w14:paraId="1A3EC91F" w14:textId="77777777" w:rsidTr="003B7AE9">
        <w:tc>
          <w:tcPr>
            <w:tcW w:w="0" w:type="auto"/>
            <w:shd w:val="clear" w:color="auto" w:fill="auto"/>
            <w:hideMark/>
          </w:tcPr>
          <w:p w14:paraId="556E46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283ED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reasons for granting or refusing the derogation;</w:t>
            </w:r>
          </w:p>
        </w:tc>
      </w:tr>
    </w:tbl>
    <w:p w14:paraId="75B66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B7AE9" w14:paraId="6E83337D" w14:textId="77777777" w:rsidTr="003B7AE9">
        <w:tc>
          <w:tcPr>
            <w:tcW w:w="0" w:type="auto"/>
            <w:shd w:val="clear" w:color="auto" w:fill="auto"/>
            <w:hideMark/>
          </w:tcPr>
          <w:p w14:paraId="71EBF0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consequences resulting from granting the derogation.</w:t>
            </w:r>
          </w:p>
        </w:tc>
      </w:tr>
    </w:tbl>
    <w:p w14:paraId="3A5B3919"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176" w:author="Author">
            <w:rPr/>
          </w:rPrChange>
        </w:rPr>
        <w:pPrChange w:id="1177"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65</w:t>
      </w:r>
    </w:p>
    <w:p w14:paraId="58AA4321"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178" w:author="Author">
          <w:pPr>
            <w:shd w:val="clear" w:color="auto" w:fill="FFFFFF"/>
            <w:jc w:val="center"/>
          </w:pPr>
        </w:pPrChange>
      </w:pPr>
      <w:r w:rsidRPr="003B7AE9">
        <w:rPr>
          <w:rFonts w:ascii="inherit" w:eastAsia="Times New Roman" w:hAnsi="inherit" w:cs="Times New Roman"/>
          <w:b/>
          <w:bCs/>
          <w:color w:val="000000"/>
          <w:sz w:val="24"/>
          <w:szCs w:val="24"/>
          <w:lang w:eastAsia="en-GB"/>
        </w:rPr>
        <w:t>Monitoring of derogations</w:t>
      </w:r>
    </w:p>
    <w:p w14:paraId="16DE3B08"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79" w:author="Author">
          <w:pPr>
            <w:shd w:val="clear" w:color="auto" w:fill="FFFFFF"/>
            <w:jc w:val="both"/>
          </w:pPr>
        </w:pPrChange>
      </w:pPr>
      <w:r w:rsidRPr="003B7AE9">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80" w:author="Author">
          <w:pPr>
            <w:shd w:val="clear" w:color="auto" w:fill="FFFFFF"/>
            <w:jc w:val="both"/>
          </w:pPr>
        </w:pPrChange>
      </w:pPr>
      <w:r w:rsidRPr="003B7AE9">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81" w:author="Author">
          <w:pPr>
            <w:shd w:val="clear" w:color="auto" w:fill="FFFFFF"/>
            <w:jc w:val="both"/>
          </w:pPr>
        </w:pPrChange>
      </w:pPr>
      <w:r w:rsidRPr="003B7AE9">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21BEBB3D" w14:textId="77777777" w:rsidR="003B7AE9" w:rsidRPr="003B7AE9" w:rsidRDefault="003B7AE9" w:rsidP="0060282F">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1182" w:author="Author">
          <w:pPr>
            <w:shd w:val="clear" w:color="auto" w:fill="FFFFFF"/>
            <w:jc w:val="center"/>
          </w:pPr>
        </w:pPrChange>
      </w:pPr>
      <w:r w:rsidRPr="003B7AE9">
        <w:rPr>
          <w:rFonts w:ascii="inherit" w:eastAsia="Times New Roman" w:hAnsi="inherit" w:cs="Times New Roman"/>
          <w:b/>
          <w:bCs/>
          <w:color w:val="000000"/>
          <w:sz w:val="24"/>
          <w:szCs w:val="24"/>
          <w:lang w:eastAsia="en-GB"/>
        </w:rPr>
        <w:lastRenderedPageBreak/>
        <w:t>TITLE VI</w:t>
      </w:r>
    </w:p>
    <w:p w14:paraId="2D21C5F7" w14:textId="77777777" w:rsidR="003B7AE9" w:rsidRPr="003B7AE9" w:rsidRDefault="003B7AE9" w:rsidP="0060282F">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1183" w:author="Author">
          <w:pPr>
            <w:shd w:val="clear" w:color="auto" w:fill="FFFFFF"/>
            <w:jc w:val="center"/>
          </w:pPr>
        </w:pPrChange>
      </w:pPr>
      <w:r w:rsidRPr="003B7AE9">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184" w:author="Author">
            <w:rPr/>
          </w:rPrChange>
        </w:rPr>
        <w:pPrChange w:id="1185"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66</w:t>
      </w:r>
    </w:p>
    <w:p w14:paraId="372320D7"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186" w:author="Author">
          <w:pPr>
            <w:shd w:val="clear" w:color="auto" w:fill="FFFFFF"/>
            <w:jc w:val="center"/>
          </w:pPr>
        </w:pPrChange>
      </w:pPr>
      <w:r w:rsidRPr="003B7AE9">
        <w:rPr>
          <w:rFonts w:ascii="inherit" w:eastAsia="Times New Roman" w:hAnsi="inherit" w:cs="Times New Roman"/>
          <w:b/>
          <w:bCs/>
          <w:color w:val="000000"/>
          <w:sz w:val="24"/>
          <w:szCs w:val="24"/>
          <w:lang w:eastAsia="en-GB"/>
        </w:rPr>
        <w:t>Emerging technologies</w:t>
      </w:r>
    </w:p>
    <w:p w14:paraId="59AFA2F5"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87" w:author="Author">
          <w:pPr>
            <w:shd w:val="clear" w:color="auto" w:fill="FFFFFF"/>
            <w:jc w:val="both"/>
          </w:pPr>
        </w:pPrChange>
      </w:pPr>
      <w:r w:rsidRPr="003B7AE9">
        <w:rPr>
          <w:rFonts w:ascii="inherit" w:eastAsia="Times New Roman" w:hAnsi="inherit" w:cs="Times New Roman"/>
          <w:color w:val="000000"/>
          <w:sz w:val="24"/>
          <w:szCs w:val="24"/>
          <w:lang w:eastAsia="en-GB"/>
        </w:rPr>
        <w:t>1.   With the exception of Article 30, the requirements of this Regulation shall not apply to power-generating modules classified as an emerging technology, in accordance with the procedures set out in this Title.</w:t>
      </w:r>
    </w:p>
    <w:p w14:paraId="420B7C74"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88" w:author="Author">
          <w:pPr>
            <w:shd w:val="clear" w:color="auto" w:fill="FFFFFF"/>
            <w:jc w:val="both"/>
          </w:pPr>
        </w:pPrChange>
      </w:pPr>
      <w:r w:rsidRPr="003B7AE9">
        <w:rPr>
          <w:rFonts w:ascii="inherit" w:eastAsia="Times New Roman" w:hAnsi="inherit" w:cs="Times New Roman"/>
          <w:color w:val="000000"/>
          <w:sz w:val="24"/>
          <w:szCs w:val="24"/>
          <w:lang w:eastAsia="en-GB"/>
        </w:rPr>
        <w:t>2.   A power-generating module shall be eligible to be classified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3B7AE9" w14:paraId="42F4B178" w14:textId="77777777" w:rsidTr="003B7AE9">
        <w:tc>
          <w:tcPr>
            <w:tcW w:w="0" w:type="auto"/>
            <w:shd w:val="clear" w:color="auto" w:fill="auto"/>
            <w:hideMark/>
          </w:tcPr>
          <w:p w14:paraId="4DB233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of type A;</w:t>
            </w:r>
          </w:p>
        </w:tc>
      </w:tr>
    </w:tbl>
    <w:p w14:paraId="404924C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3B7AE9" w14:paraId="363C560E" w14:textId="77777777" w:rsidTr="003B7AE9">
        <w:tc>
          <w:tcPr>
            <w:tcW w:w="0" w:type="auto"/>
            <w:shd w:val="clear" w:color="auto" w:fill="auto"/>
            <w:hideMark/>
          </w:tcPr>
          <w:p w14:paraId="5113E9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4045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 commercially available power-generating module technology; and</w:t>
            </w:r>
          </w:p>
        </w:tc>
      </w:tr>
    </w:tbl>
    <w:p w14:paraId="43BE28C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F63221" w14:textId="77777777" w:rsidTr="003B7AE9">
        <w:tc>
          <w:tcPr>
            <w:tcW w:w="0" w:type="auto"/>
            <w:shd w:val="clear" w:color="auto" w:fill="auto"/>
            <w:hideMark/>
          </w:tcPr>
          <w:p w14:paraId="712E7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E1FD9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accumulated sales of the power-generating module technology within a synchronous area at the time of application for classification as an emerging technology do not exceed 25 % of the maximum level of cumulative maximum capacity established pursuant to Article 67(1).</w:t>
            </w:r>
          </w:p>
        </w:tc>
      </w:tr>
    </w:tbl>
    <w:p w14:paraId="6DEDE7F7"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189" w:author="Author">
            <w:rPr/>
          </w:rPrChange>
        </w:rPr>
        <w:pPrChange w:id="1190"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67</w:t>
      </w:r>
    </w:p>
    <w:p w14:paraId="5AE8CF9D"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191" w:author="Author">
          <w:pPr>
            <w:shd w:val="clear" w:color="auto" w:fill="FFFFFF"/>
            <w:jc w:val="center"/>
          </w:pPr>
        </w:pPrChange>
      </w:pPr>
      <w:r w:rsidRPr="003B7AE9">
        <w:rPr>
          <w:rFonts w:ascii="inherit" w:eastAsia="Times New Roman" w:hAnsi="inherit" w:cs="Times New Roman"/>
          <w:b/>
          <w:bCs/>
          <w:color w:val="000000"/>
          <w:sz w:val="24"/>
          <w:szCs w:val="24"/>
          <w:lang w:eastAsia="en-GB"/>
        </w:rPr>
        <w:t>Establishment of thresholds for classification as emerging technologies</w:t>
      </w:r>
    </w:p>
    <w:p w14:paraId="30718EA1"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92" w:author="Author">
          <w:pPr>
            <w:shd w:val="clear" w:color="auto" w:fill="FFFFFF"/>
            <w:jc w:val="both"/>
          </w:pPr>
        </w:pPrChange>
      </w:pPr>
      <w:r w:rsidRPr="003B7AE9">
        <w:rPr>
          <w:rFonts w:ascii="inherit" w:eastAsia="Times New Roman" w:hAnsi="inherit" w:cs="Times New Roman"/>
          <w:color w:val="000000"/>
          <w:sz w:val="24"/>
          <w:szCs w:val="24"/>
          <w:lang w:eastAsia="en-GB"/>
        </w:rPr>
        <w:t>1.   The maximum level of cumulative maximum capacity of power-generating modules classified as emerging technologies in a synchronous area shall be 0,1 % of the annual maximum load in 2014 in that synchronous area.</w:t>
      </w:r>
    </w:p>
    <w:p w14:paraId="0F79931A"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93" w:author="Author">
          <w:pPr>
            <w:shd w:val="clear" w:color="auto" w:fill="FFFFFF"/>
            <w:jc w:val="both"/>
          </w:pPr>
        </w:pPrChange>
      </w:pPr>
      <w:r w:rsidRPr="003B7AE9">
        <w:rPr>
          <w:rFonts w:ascii="inherit" w:eastAsia="Times New Roman" w:hAnsi="inherit" w:cs="Times New Roman"/>
          <w:color w:val="000000"/>
          <w:sz w:val="24"/>
          <w:szCs w:val="24"/>
          <w:lang w:eastAsia="en-GB"/>
        </w:rPr>
        <w:t>2.   Member States shall ensure that their maximum level of cumulative maximum capacity of power-generating modules classified as emerging technologies is calculated by multiplying the maximum level of cumulative maximum capacity of power-generating modules classified as emerging technologies of a synchronous area with the ratio of annual electrical energy generated in 2014 in the Member State to the total annual electrical energy generated in 2014 in the respective synchronous area to which the Member State belongs.</w:t>
      </w:r>
    </w:p>
    <w:p w14:paraId="460D1367"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94" w:author="Author">
          <w:pPr>
            <w:shd w:val="clear" w:color="auto" w:fill="FFFFFF"/>
            <w:jc w:val="both"/>
          </w:pPr>
        </w:pPrChange>
      </w:pPr>
      <w:r w:rsidRPr="003B7AE9">
        <w:rPr>
          <w:rFonts w:ascii="inherit" w:eastAsia="Times New Roman" w:hAnsi="inherit" w:cs="Times New Roman"/>
          <w:color w:val="000000"/>
          <w:sz w:val="24"/>
          <w:szCs w:val="24"/>
          <w:lang w:eastAsia="en-GB"/>
        </w:rPr>
        <w:t>For Member States belonging to parts of different synchronous areas, the calculation shall be carried out on a pro rata basis for each of those parts and combined to give the total allocation to that Member State.</w:t>
      </w:r>
    </w:p>
    <w:p w14:paraId="7EAE30C7"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95" w:author="Author">
          <w:pPr>
            <w:shd w:val="clear" w:color="auto" w:fill="FFFFFF"/>
            <w:jc w:val="both"/>
          </w:pPr>
        </w:pPrChange>
      </w:pPr>
      <w:r w:rsidRPr="003B7AE9">
        <w:rPr>
          <w:rFonts w:ascii="inherit" w:eastAsia="Times New Roman" w:hAnsi="inherit" w:cs="Times New Roman"/>
          <w:color w:val="000000"/>
          <w:sz w:val="24"/>
          <w:szCs w:val="24"/>
          <w:lang w:eastAsia="en-GB"/>
        </w:rPr>
        <w:t>3.   The source of the data for applying this Article shall be the ENTSO for Electricity's </w:t>
      </w:r>
      <w:r w:rsidRPr="2D4DAF54">
        <w:rPr>
          <w:rFonts w:ascii="inherit" w:eastAsia="Times New Roman" w:hAnsi="inherit" w:cs="Times New Roman"/>
          <w:i/>
          <w:iCs/>
          <w:color w:val="000000"/>
          <w:sz w:val="24"/>
          <w:szCs w:val="24"/>
          <w:lang w:eastAsia="en-GB"/>
        </w:rPr>
        <w:t>Statistical factsheet</w:t>
      </w:r>
      <w:r w:rsidRPr="003B7AE9">
        <w:rPr>
          <w:rFonts w:ascii="inherit" w:eastAsia="Times New Roman" w:hAnsi="inherit" w:cs="Times New Roman"/>
          <w:color w:val="000000"/>
          <w:sz w:val="24"/>
          <w:szCs w:val="24"/>
          <w:lang w:eastAsia="en-GB"/>
        </w:rPr>
        <w:t> published in 2015.</w:t>
      </w:r>
    </w:p>
    <w:p w14:paraId="7B9244BD"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196" w:author="Author">
            <w:rPr/>
          </w:rPrChange>
        </w:rPr>
        <w:pPrChange w:id="1197"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68</w:t>
      </w:r>
    </w:p>
    <w:p w14:paraId="35641001"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198" w:author="Author">
          <w:pPr>
            <w:shd w:val="clear" w:color="auto" w:fill="FFFFFF"/>
            <w:jc w:val="center"/>
          </w:pPr>
        </w:pPrChange>
      </w:pPr>
      <w:r w:rsidRPr="003B7AE9">
        <w:rPr>
          <w:rFonts w:ascii="inherit" w:eastAsia="Times New Roman" w:hAnsi="inherit" w:cs="Times New Roman"/>
          <w:b/>
          <w:bCs/>
          <w:color w:val="000000"/>
          <w:sz w:val="24"/>
          <w:szCs w:val="24"/>
          <w:lang w:eastAsia="en-GB"/>
        </w:rPr>
        <w:t>Application for classification as an emerging technology</w:t>
      </w:r>
    </w:p>
    <w:p w14:paraId="5AC6CE41"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199" w:author="Author">
          <w:pPr>
            <w:shd w:val="clear" w:color="auto" w:fill="FFFFFF"/>
            <w:jc w:val="both"/>
          </w:pPr>
        </w:pPrChange>
      </w:pPr>
      <w:r w:rsidRPr="003B7AE9">
        <w:rPr>
          <w:rFonts w:ascii="inherit" w:eastAsia="Times New Roman" w:hAnsi="inherit" w:cs="Times New Roman"/>
          <w:color w:val="000000"/>
          <w:sz w:val="24"/>
          <w:szCs w:val="24"/>
          <w:lang w:eastAsia="en-GB"/>
        </w:rPr>
        <w:t>1.   Within six months of the entry into force of this Regulation manufacturers of Type A power-generating modules may submit to the relevant regulatory authority a request for classification of their power-generating module technology as an emerging technology.</w:t>
      </w:r>
    </w:p>
    <w:p w14:paraId="17E36FED"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200" w:author="Author">
          <w:pPr>
            <w:shd w:val="clear" w:color="auto" w:fill="FFFFFF"/>
            <w:jc w:val="both"/>
          </w:pPr>
        </w:pPrChange>
      </w:pPr>
      <w:r w:rsidRPr="003B7AE9">
        <w:rPr>
          <w:rFonts w:ascii="inherit" w:eastAsia="Times New Roman" w:hAnsi="inherit" w:cs="Times New Roman"/>
          <w:color w:val="000000"/>
          <w:sz w:val="24"/>
          <w:szCs w:val="24"/>
          <w:lang w:eastAsia="en-GB"/>
        </w:rPr>
        <w:t>2.   In connection with a request pursuant to paragraph 1, the manufacturer shall inform the relevant regulatory authority of the accumulated sales of the respective power-</w:t>
      </w:r>
      <w:r w:rsidRPr="003B7AE9">
        <w:rPr>
          <w:rFonts w:ascii="inherit" w:eastAsia="Times New Roman" w:hAnsi="inherit" w:cs="Times New Roman"/>
          <w:color w:val="000000"/>
          <w:sz w:val="24"/>
          <w:szCs w:val="24"/>
          <w:lang w:eastAsia="en-GB"/>
        </w:rPr>
        <w:lastRenderedPageBreak/>
        <w:t>generating module technology within each synchronous area at the time of application for classification as an emerging technology.</w:t>
      </w:r>
    </w:p>
    <w:p w14:paraId="0B49A88C"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201" w:author="Author">
          <w:pPr>
            <w:shd w:val="clear" w:color="auto" w:fill="FFFFFF"/>
            <w:jc w:val="both"/>
          </w:pPr>
        </w:pPrChange>
      </w:pPr>
      <w:r w:rsidRPr="003B7AE9">
        <w:rPr>
          <w:rFonts w:ascii="inherit" w:eastAsia="Times New Roman" w:hAnsi="inherit" w:cs="Times New Roman"/>
          <w:color w:val="000000"/>
          <w:sz w:val="24"/>
          <w:szCs w:val="24"/>
          <w:lang w:eastAsia="en-GB"/>
        </w:rPr>
        <w:t>3.   Proof that a request submitted pursuant to paragraph 1 complies with the eligibility criteria laid down in Articles 66 and 67 shall be provided by the manufacturer.</w:t>
      </w:r>
    </w:p>
    <w:p w14:paraId="23D3C759"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202" w:author="Author">
          <w:pPr>
            <w:shd w:val="clear" w:color="auto" w:fill="FFFFFF"/>
            <w:jc w:val="both"/>
          </w:pPr>
        </w:pPrChange>
      </w:pPr>
      <w:r w:rsidRPr="003B7AE9">
        <w:rPr>
          <w:rFonts w:ascii="inherit" w:eastAsia="Times New Roman" w:hAnsi="inherit" w:cs="Times New Roman"/>
          <w:color w:val="000000"/>
          <w:sz w:val="24"/>
          <w:szCs w:val="24"/>
          <w:lang w:eastAsia="en-GB"/>
        </w:rPr>
        <w:t>4.   Where applicable in a Member State, assessment of requests and approval and withdrawal of classification as an emerging technology may be undertaken by authorities other than the regulatory authority.</w:t>
      </w:r>
    </w:p>
    <w:p w14:paraId="0E93558F"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203" w:author="Author">
            <w:rPr/>
          </w:rPrChange>
        </w:rPr>
        <w:pPrChange w:id="1204"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69</w:t>
      </w:r>
    </w:p>
    <w:p w14:paraId="45461994"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205" w:author="Author">
          <w:pPr>
            <w:shd w:val="clear" w:color="auto" w:fill="FFFFFF"/>
            <w:jc w:val="center"/>
          </w:pPr>
        </w:pPrChange>
      </w:pPr>
      <w:r w:rsidRPr="003B7AE9">
        <w:rPr>
          <w:rFonts w:ascii="inherit" w:eastAsia="Times New Roman" w:hAnsi="inherit" w:cs="Times New Roman"/>
          <w:b/>
          <w:bCs/>
          <w:color w:val="000000"/>
          <w:sz w:val="24"/>
          <w:szCs w:val="24"/>
          <w:lang w:eastAsia="en-GB"/>
        </w:rPr>
        <w:t>Assessment and approval of requests for classification as an emerging technology</w:t>
      </w:r>
    </w:p>
    <w:p w14:paraId="2D50194F"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206" w:author="Author">
          <w:pPr>
            <w:shd w:val="clear" w:color="auto" w:fill="FFFFFF"/>
            <w:jc w:val="both"/>
          </w:pPr>
        </w:pPrChange>
      </w:pPr>
      <w:r w:rsidRPr="003B7AE9">
        <w:rPr>
          <w:rFonts w:ascii="inherit" w:eastAsia="Times New Roman" w:hAnsi="inherit" w:cs="Times New Roman"/>
          <w:color w:val="000000"/>
          <w:sz w:val="24"/>
          <w:szCs w:val="24"/>
          <w:lang w:eastAsia="en-GB"/>
        </w:rPr>
        <w:t>1.   By 12 months of the entry into force of this Regulation, the relevant regulatory authority shall decide, in coordination with all the other regulatory authorities of a synchronous area, which power-generating modules, if any, should be classified as an emerging technology. Any regulatory authority of the relevant synchronous area may request a prior opinion from the Agency, which shall be issued within three months of receipt of the request. The decision of the relevant regulatory authority shall take into account the opinion of the Agency.</w:t>
      </w:r>
    </w:p>
    <w:p w14:paraId="74E7BDAB"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207" w:author="Author">
          <w:pPr>
            <w:shd w:val="clear" w:color="auto" w:fill="FFFFFF"/>
            <w:jc w:val="both"/>
          </w:pPr>
        </w:pPrChange>
      </w:pPr>
      <w:r w:rsidRPr="003B7AE9">
        <w:rPr>
          <w:rFonts w:ascii="inherit" w:eastAsia="Times New Roman" w:hAnsi="inherit" w:cs="Times New Roman"/>
          <w:color w:val="000000"/>
          <w:sz w:val="24"/>
          <w:szCs w:val="24"/>
          <w:lang w:eastAsia="en-GB"/>
        </w:rPr>
        <w:t>2.   A list of power-generating modules approved as emerging technologies shall be published by each regulatory authority of a synchronous area.</w:t>
      </w:r>
    </w:p>
    <w:p w14:paraId="79643E61"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208" w:author="Author">
            <w:rPr/>
          </w:rPrChange>
        </w:rPr>
        <w:pPrChange w:id="1209"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70</w:t>
      </w:r>
    </w:p>
    <w:p w14:paraId="15BA19C9"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210" w:author="Author">
          <w:pPr>
            <w:shd w:val="clear" w:color="auto" w:fill="FFFFFF"/>
            <w:jc w:val="center"/>
          </w:pPr>
        </w:pPrChange>
      </w:pPr>
      <w:r w:rsidRPr="003B7AE9">
        <w:rPr>
          <w:rFonts w:ascii="inherit" w:eastAsia="Times New Roman" w:hAnsi="inherit" w:cs="Times New Roman"/>
          <w:b/>
          <w:bCs/>
          <w:color w:val="000000"/>
          <w:sz w:val="24"/>
          <w:szCs w:val="24"/>
          <w:lang w:eastAsia="en-GB"/>
        </w:rPr>
        <w:t>Withdrawal of classification as an emerging technology</w:t>
      </w:r>
    </w:p>
    <w:p w14:paraId="1F7BE1F4"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211" w:author="Author">
          <w:pPr>
            <w:shd w:val="clear" w:color="auto" w:fill="FFFFFF"/>
            <w:jc w:val="both"/>
          </w:pPr>
        </w:pPrChange>
      </w:pPr>
      <w:r w:rsidRPr="003B7AE9">
        <w:rPr>
          <w:rFonts w:ascii="inherit" w:eastAsia="Times New Roman" w:hAnsi="inherit" w:cs="Times New Roman"/>
          <w:color w:val="000000"/>
          <w:sz w:val="24"/>
          <w:szCs w:val="24"/>
          <w:lang w:eastAsia="en-GB"/>
        </w:rPr>
        <w:t>1.   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publicly available the cumulative maximum capacity of power-generating modules classified as emerging technologies.</w:t>
      </w:r>
    </w:p>
    <w:p w14:paraId="6E980E60"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212" w:author="Author">
          <w:pPr>
            <w:shd w:val="clear" w:color="auto" w:fill="FFFFFF"/>
            <w:jc w:val="both"/>
          </w:pPr>
        </w:pPrChange>
      </w:pPr>
      <w:r w:rsidRPr="003B7AE9">
        <w:rPr>
          <w:rFonts w:ascii="inherit" w:eastAsia="Times New Roman" w:hAnsi="inherit" w:cs="Times New Roman"/>
          <w:color w:val="000000"/>
          <w:sz w:val="24"/>
          <w:szCs w:val="24"/>
          <w:lang w:eastAsia="en-GB"/>
        </w:rPr>
        <w:t>2.   In the event that the cumulative maximum capacity of all power-generating modules classified as emerging technologies connected to networks exceeds the threshold established in Article 67, the classification as an emerging technology shall be withdrawn by the relevant regulatory authority. The withdrawal decision shall be published.</w:t>
      </w:r>
    </w:p>
    <w:p w14:paraId="5A6C76AE"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213" w:author="Author">
          <w:pPr>
            <w:shd w:val="clear" w:color="auto" w:fill="FFFFFF"/>
            <w:jc w:val="both"/>
          </w:pPr>
        </w:pPrChange>
      </w:pPr>
      <w:r w:rsidRPr="003B7AE9">
        <w:rPr>
          <w:rFonts w:ascii="inherit" w:eastAsia="Times New Roman" w:hAnsi="inherit" w:cs="Times New Roman"/>
          <w:color w:val="000000"/>
          <w:sz w:val="24"/>
          <w:szCs w:val="24"/>
          <w:lang w:eastAsia="en-GB"/>
        </w:rPr>
        <w:t>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take into account the opinion of the Agency. The withdrawal decision shall be published by each regulatory authority of a synchronous area.</w:t>
      </w:r>
    </w:p>
    <w:p w14:paraId="0E11CA27"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214" w:author="Author">
          <w:pPr>
            <w:shd w:val="clear" w:color="auto" w:fill="FFFFFF"/>
            <w:jc w:val="both"/>
          </w:pPr>
        </w:pPrChange>
      </w:pPr>
      <w:r w:rsidRPr="003B7AE9">
        <w:rPr>
          <w:rFonts w:ascii="inherit" w:eastAsia="Times New Roman" w:hAnsi="inherit" w:cs="Times New Roman"/>
          <w:color w:val="000000"/>
          <w:sz w:val="24"/>
          <w:szCs w:val="24"/>
          <w:lang w:eastAsia="en-GB"/>
        </w:rPr>
        <w: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t>
      </w:r>
    </w:p>
    <w:p w14:paraId="5B8504F2" w14:textId="77777777" w:rsidR="003B7AE9" w:rsidRPr="003B7AE9" w:rsidRDefault="003B7AE9" w:rsidP="0060282F">
      <w:pPr>
        <w:shd w:val="clear" w:color="auto" w:fill="FFFFFF" w:themeFill="background1"/>
        <w:spacing w:before="480" w:after="0" w:line="240" w:lineRule="auto"/>
        <w:jc w:val="center"/>
        <w:rPr>
          <w:rFonts w:ascii="inherit" w:eastAsia="Times New Roman" w:hAnsi="inherit" w:cs="Times New Roman"/>
          <w:b/>
          <w:bCs/>
          <w:color w:val="000000"/>
          <w:sz w:val="24"/>
          <w:szCs w:val="24"/>
          <w:lang w:eastAsia="en-GB"/>
        </w:rPr>
        <w:pPrChange w:id="1215" w:author="Author">
          <w:pPr>
            <w:shd w:val="clear" w:color="auto" w:fill="FFFFFF"/>
            <w:jc w:val="center"/>
          </w:pPr>
        </w:pPrChange>
      </w:pPr>
      <w:r w:rsidRPr="003B7AE9">
        <w:rPr>
          <w:rFonts w:ascii="inherit" w:eastAsia="Times New Roman" w:hAnsi="inherit" w:cs="Times New Roman"/>
          <w:b/>
          <w:bCs/>
          <w:color w:val="000000"/>
          <w:sz w:val="24"/>
          <w:szCs w:val="24"/>
          <w:lang w:eastAsia="en-GB"/>
        </w:rPr>
        <w:lastRenderedPageBreak/>
        <w:t>TITLE VII</w:t>
      </w:r>
    </w:p>
    <w:p w14:paraId="191B9C65" w14:textId="77777777" w:rsidR="003B7AE9" w:rsidRPr="003B7AE9" w:rsidRDefault="003B7AE9" w:rsidP="0060282F">
      <w:pPr>
        <w:shd w:val="clear" w:color="auto" w:fill="FFFFFF" w:themeFill="background1"/>
        <w:spacing w:before="75" w:after="120" w:line="240" w:lineRule="auto"/>
        <w:jc w:val="center"/>
        <w:rPr>
          <w:rFonts w:ascii="inherit" w:eastAsia="Times New Roman" w:hAnsi="inherit" w:cs="Times New Roman"/>
          <w:b/>
          <w:bCs/>
          <w:color w:val="000000"/>
          <w:sz w:val="24"/>
          <w:szCs w:val="24"/>
          <w:lang w:eastAsia="en-GB"/>
        </w:rPr>
        <w:pPrChange w:id="1216" w:author="Author">
          <w:pPr>
            <w:shd w:val="clear" w:color="auto" w:fill="FFFFFF"/>
            <w:jc w:val="center"/>
          </w:pPr>
        </w:pPrChange>
      </w:pPr>
      <w:r w:rsidRPr="003B7AE9">
        <w:rPr>
          <w:rFonts w:ascii="inherit" w:eastAsia="Times New Roman" w:hAnsi="inherit" w:cs="Times New Roman"/>
          <w:b/>
          <w:bCs/>
          <w:color w:val="000000"/>
          <w:sz w:val="24"/>
          <w:szCs w:val="24"/>
          <w:lang w:eastAsia="en-GB"/>
        </w:rPr>
        <w:t>FINAL PROVISIONS</w:t>
      </w:r>
    </w:p>
    <w:p w14:paraId="534B986C"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217" w:author="Author">
            <w:rPr/>
          </w:rPrChange>
        </w:rPr>
        <w:pPrChange w:id="1218"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71</w:t>
      </w:r>
    </w:p>
    <w:p w14:paraId="162336E3"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219" w:author="Author">
          <w:pPr>
            <w:shd w:val="clear" w:color="auto" w:fill="FFFFFF"/>
            <w:jc w:val="center"/>
          </w:pPr>
        </w:pPrChange>
      </w:pPr>
      <w:r w:rsidRPr="003B7AE9">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220" w:author="Author">
          <w:pPr>
            <w:shd w:val="clear" w:color="auto" w:fill="FFFFFF"/>
            <w:jc w:val="both"/>
          </w:pPr>
        </w:pPrChange>
      </w:pPr>
      <w:r w:rsidRPr="003B7AE9">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power-generating modules are brought into compliance with the requirements of this Regulation.</w:t>
      </w:r>
    </w:p>
    <w:p w14:paraId="15526AAA"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221" w:author="Author">
          <w:pPr>
            <w:shd w:val="clear" w:color="auto" w:fill="FFFFFF"/>
            <w:jc w:val="both"/>
          </w:pPr>
        </w:pPrChange>
      </w:pPr>
      <w:r w:rsidRPr="003B7AE9">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power-generating modules subject to all or some of the requirements of this Regulation in accordance with Article 4(1) shall be amended in order to comply with the requirements of this Regulation. The relevant clauses shall be amended within three years following the decision of the regulatory authority or Member State as referred to in Article 4(1).</w:t>
      </w:r>
    </w:p>
    <w:p w14:paraId="15D2BD66"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222" w:author="Author">
          <w:pPr>
            <w:shd w:val="clear" w:color="auto" w:fill="FFFFFF"/>
            <w:jc w:val="both"/>
          </w:pPr>
        </w:pPrChange>
      </w:pPr>
      <w:r w:rsidRPr="003B7AE9">
        <w:rPr>
          <w:rFonts w:ascii="inherit" w:eastAsia="Times New Roman" w:hAnsi="inherit" w:cs="Times New Roman"/>
          <w:color w:val="000000"/>
          <w:sz w:val="24"/>
          <w:szCs w:val="24"/>
          <w:lang w:eastAsia="en-GB"/>
        </w:rPr>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50B8AA07" w14:textId="77777777" w:rsidR="003B7AE9" w:rsidRPr="0060282F" w:rsidRDefault="003B7AE9" w:rsidP="0060282F">
      <w:pPr>
        <w:shd w:val="clear" w:color="auto" w:fill="FFFFFF" w:themeFill="background1"/>
        <w:spacing w:before="360" w:after="120" w:line="240" w:lineRule="auto"/>
        <w:jc w:val="center"/>
        <w:rPr>
          <w:rFonts w:ascii="inherit" w:eastAsia="Times New Roman" w:hAnsi="inherit" w:cs="Times New Roman"/>
          <w:i/>
          <w:iCs/>
          <w:color w:val="000000"/>
          <w:sz w:val="24"/>
          <w:szCs w:val="24"/>
          <w:lang w:eastAsia="en-GB"/>
          <w:rPrChange w:id="1223" w:author="Author">
            <w:rPr/>
          </w:rPrChange>
        </w:rPr>
        <w:pPrChange w:id="1224" w:author="Author">
          <w:pPr>
            <w:shd w:val="clear" w:color="auto" w:fill="FFFFFF"/>
            <w:jc w:val="center"/>
          </w:pPr>
        </w:pPrChange>
      </w:pPr>
      <w:r w:rsidRPr="2D4DAF54">
        <w:rPr>
          <w:rFonts w:ascii="inherit" w:eastAsia="Times New Roman" w:hAnsi="inherit" w:cs="Times New Roman"/>
          <w:i/>
          <w:iCs/>
          <w:color w:val="000000"/>
          <w:sz w:val="24"/>
          <w:szCs w:val="24"/>
          <w:lang w:eastAsia="en-GB"/>
        </w:rPr>
        <w:t>Article 72</w:t>
      </w:r>
    </w:p>
    <w:p w14:paraId="575F9C51" w14:textId="77777777" w:rsidR="003B7AE9" w:rsidRPr="003B7AE9" w:rsidRDefault="003B7AE9" w:rsidP="0060282F">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Change w:id="1225" w:author="Author">
          <w:pPr>
            <w:shd w:val="clear" w:color="auto" w:fill="FFFFFF"/>
            <w:jc w:val="center"/>
          </w:pPr>
        </w:pPrChange>
      </w:pPr>
      <w:r w:rsidRPr="003B7AE9">
        <w:rPr>
          <w:rFonts w:ascii="inherit" w:eastAsia="Times New Roman" w:hAnsi="inherit" w:cs="Times New Roman"/>
          <w:b/>
          <w:bCs/>
          <w:color w:val="000000"/>
          <w:sz w:val="24"/>
          <w:szCs w:val="24"/>
          <w:lang w:eastAsia="en-GB"/>
        </w:rPr>
        <w:t>Entry into force</w:t>
      </w:r>
    </w:p>
    <w:p w14:paraId="09FCBE19"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226" w:author="Author">
          <w:pPr>
            <w:shd w:val="clear" w:color="auto" w:fill="FFFFFF"/>
            <w:jc w:val="both"/>
          </w:pPr>
        </w:pPrChange>
      </w:pPr>
      <w:r w:rsidRPr="003B7AE9">
        <w:rPr>
          <w:rFonts w:ascii="inherit" w:eastAsia="Times New Roman" w:hAnsi="inherit" w:cs="Times New Roman"/>
          <w:color w:val="000000"/>
          <w:sz w:val="24"/>
          <w:szCs w:val="24"/>
          <w:lang w:eastAsia="en-GB"/>
        </w:rPr>
        <w:t>This Regulation shall enter into force on the twentieth day following that of its publication in the </w:t>
      </w:r>
      <w:r w:rsidRPr="2D4DAF54">
        <w:rPr>
          <w:rFonts w:ascii="inherit" w:eastAsia="Times New Roman" w:hAnsi="inherit" w:cs="Times New Roman"/>
          <w:i/>
          <w:iCs/>
          <w:color w:val="000000"/>
          <w:sz w:val="24"/>
          <w:szCs w:val="24"/>
          <w:lang w:eastAsia="en-GB"/>
        </w:rPr>
        <w:t>Official Journal of the European Union</w:t>
      </w:r>
      <w:r w:rsidRPr="003B7AE9">
        <w:rPr>
          <w:rFonts w:ascii="inherit" w:eastAsia="Times New Roman" w:hAnsi="inherit" w:cs="Times New Roman"/>
          <w:color w:val="000000"/>
          <w:sz w:val="24"/>
          <w:szCs w:val="24"/>
          <w:lang w:eastAsia="en-GB"/>
        </w:rPr>
        <w:t>.</w:t>
      </w:r>
    </w:p>
    <w:p w14:paraId="4015836C"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227" w:author="Author">
          <w:pPr>
            <w:shd w:val="clear" w:color="auto" w:fill="FFFFFF"/>
            <w:jc w:val="both"/>
          </w:pPr>
        </w:pPrChange>
      </w:pPr>
      <w:r w:rsidRPr="003B7AE9">
        <w:rPr>
          <w:rFonts w:ascii="inherit" w:eastAsia="Times New Roman" w:hAnsi="inherit" w:cs="Times New Roman"/>
          <w:color w:val="000000"/>
          <w:sz w:val="24"/>
          <w:szCs w:val="24"/>
          <w:lang w:eastAsia="en-GB"/>
        </w:rPr>
        <w:t>Without prejudice to Articles 4(2)(b), 7, 58, 59, 61 and Title VI, the requirements of this Regulation shall apply from three years after publication.</w:t>
      </w:r>
    </w:p>
    <w:p w14:paraId="145FA4DF" w14:textId="77777777" w:rsidR="003B7AE9" w:rsidRPr="003B7AE9" w:rsidRDefault="003B7AE9" w:rsidP="0060282F">
      <w:pPr>
        <w:shd w:val="clear" w:color="auto" w:fill="FFFFFF" w:themeFill="background1"/>
        <w:spacing w:after="0" w:line="240" w:lineRule="auto"/>
        <w:jc w:val="both"/>
        <w:rPr>
          <w:rFonts w:ascii="inherit" w:eastAsia="Times New Roman" w:hAnsi="inherit" w:cs="Times New Roman"/>
          <w:color w:val="000000"/>
          <w:sz w:val="24"/>
          <w:szCs w:val="24"/>
          <w:lang w:eastAsia="en-GB"/>
        </w:rPr>
        <w:pPrChange w:id="1228" w:author="Author">
          <w:pPr>
            <w:shd w:val="clear" w:color="auto" w:fill="FFFFFF"/>
            <w:jc w:val="both"/>
          </w:pPr>
        </w:pPrChange>
      </w:pPr>
      <w:r w:rsidRPr="003B7AE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B7AE9" w:rsidRDefault="003B7AE9" w:rsidP="0060282F">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Change w:id="1229" w:author="Author">
          <w:pPr>
            <w:shd w:val="clear" w:color="auto" w:fill="FFFFFF"/>
            <w:jc w:val="both"/>
          </w:pPr>
        </w:pPrChange>
      </w:pPr>
      <w:r w:rsidRPr="003B7AE9">
        <w:rPr>
          <w:rFonts w:ascii="inherit" w:eastAsia="Times New Roman" w:hAnsi="inherit" w:cs="Times New Roman"/>
          <w:color w:val="000000"/>
          <w:sz w:val="24"/>
          <w:szCs w:val="24"/>
          <w:lang w:eastAsia="en-GB"/>
        </w:rPr>
        <w:t>Done at Brussels, 14 April 2016.</w:t>
      </w:r>
    </w:p>
    <w:p w14:paraId="4CDEBBCB" w14:textId="77777777" w:rsidR="003B7AE9" w:rsidRPr="003B7AE9" w:rsidRDefault="003B7AE9" w:rsidP="0060282F">
      <w:pPr>
        <w:shd w:val="clear" w:color="auto" w:fill="FFFFFF" w:themeFill="background1"/>
        <w:spacing w:before="60" w:after="60" w:line="240" w:lineRule="auto"/>
        <w:jc w:val="center"/>
        <w:rPr>
          <w:rFonts w:ascii="inherit" w:eastAsia="Times New Roman" w:hAnsi="inherit" w:cs="Times New Roman"/>
          <w:color w:val="000000"/>
          <w:sz w:val="24"/>
          <w:szCs w:val="24"/>
          <w:lang w:eastAsia="en-GB"/>
        </w:rPr>
        <w:pPrChange w:id="1230" w:author="Author">
          <w:pPr>
            <w:shd w:val="clear" w:color="auto" w:fill="FFFFFF"/>
            <w:jc w:val="center"/>
          </w:pPr>
        </w:pPrChange>
      </w:pPr>
      <w:r w:rsidRPr="2D4DAF54">
        <w:rPr>
          <w:rFonts w:ascii="inherit" w:eastAsia="Times New Roman" w:hAnsi="inherit" w:cs="Times New Roman"/>
          <w:i/>
          <w:iCs/>
          <w:color w:val="000000"/>
          <w:sz w:val="24"/>
          <w:szCs w:val="24"/>
          <w:lang w:eastAsia="en-GB"/>
        </w:rPr>
        <w:t>For the Commission</w:t>
      </w:r>
    </w:p>
    <w:p w14:paraId="17D740F3" w14:textId="77777777" w:rsidR="003B7AE9" w:rsidRPr="003B7AE9" w:rsidRDefault="003B7AE9" w:rsidP="0060282F">
      <w:pPr>
        <w:shd w:val="clear" w:color="auto" w:fill="FFFFFF" w:themeFill="background1"/>
        <w:spacing w:before="60" w:after="60" w:line="240" w:lineRule="auto"/>
        <w:jc w:val="center"/>
        <w:rPr>
          <w:rFonts w:ascii="inherit" w:eastAsia="Times New Roman" w:hAnsi="inherit" w:cs="Times New Roman"/>
          <w:color w:val="000000"/>
          <w:sz w:val="24"/>
          <w:szCs w:val="24"/>
          <w:lang w:eastAsia="en-GB"/>
        </w:rPr>
        <w:pPrChange w:id="1231" w:author="Author">
          <w:pPr>
            <w:shd w:val="clear" w:color="auto" w:fill="FFFFFF"/>
            <w:jc w:val="center"/>
          </w:pPr>
        </w:pPrChange>
      </w:pPr>
      <w:r w:rsidRPr="2D4DAF54">
        <w:rPr>
          <w:rFonts w:ascii="inherit" w:eastAsia="Times New Roman" w:hAnsi="inherit" w:cs="Times New Roman"/>
          <w:i/>
          <w:iCs/>
          <w:color w:val="000000"/>
          <w:sz w:val="24"/>
          <w:szCs w:val="24"/>
          <w:lang w:eastAsia="en-GB"/>
        </w:rPr>
        <w:t>The President</w:t>
      </w:r>
    </w:p>
    <w:p w14:paraId="37E37AD3" w14:textId="77777777" w:rsidR="003B7AE9" w:rsidRPr="003B7AE9" w:rsidRDefault="003B7AE9" w:rsidP="0060282F">
      <w:pPr>
        <w:shd w:val="clear" w:color="auto" w:fill="FFFFFF" w:themeFill="background1"/>
        <w:spacing w:before="60" w:after="60" w:line="240" w:lineRule="auto"/>
        <w:jc w:val="center"/>
        <w:rPr>
          <w:rFonts w:ascii="inherit" w:eastAsia="Times New Roman" w:hAnsi="inherit" w:cs="Times New Roman"/>
          <w:color w:val="000000"/>
          <w:sz w:val="24"/>
          <w:szCs w:val="24"/>
          <w:lang w:eastAsia="en-GB"/>
        </w:rPr>
        <w:pPrChange w:id="1232" w:author="Author">
          <w:pPr>
            <w:shd w:val="clear" w:color="auto" w:fill="FFFFFF"/>
            <w:jc w:val="center"/>
          </w:pPr>
        </w:pPrChange>
      </w:pPr>
      <w:r w:rsidRPr="003B7AE9">
        <w:rPr>
          <w:rFonts w:ascii="inherit" w:eastAsia="Times New Roman" w:hAnsi="inherit" w:cs="Times New Roman"/>
          <w:color w:val="000000"/>
          <w:sz w:val="24"/>
          <w:szCs w:val="24"/>
          <w:lang w:eastAsia="en-GB"/>
        </w:rPr>
        <w:t>Jean-Claude JUNCKER</w:t>
      </w:r>
    </w:p>
    <w:p w14:paraId="2CEBD49C" w14:textId="77777777" w:rsidR="003B7AE9" w:rsidRPr="003B7AE9" w:rsidRDefault="0060282F" w:rsidP="0060282F">
      <w:pPr>
        <w:shd w:val="clear" w:color="auto" w:fill="FFFFFF" w:themeFill="background1"/>
        <w:spacing w:before="240" w:after="60" w:line="240" w:lineRule="auto"/>
        <w:rPr>
          <w:rFonts w:ascii="Times New Roman" w:eastAsia="Times New Roman" w:hAnsi="Times New Roman" w:cs="Times New Roman"/>
          <w:color w:val="000000"/>
          <w:sz w:val="24"/>
          <w:szCs w:val="24"/>
          <w:lang w:eastAsia="en-GB"/>
        </w:rPr>
        <w:pPrChange w:id="1233" w:author="Author">
          <w:pPr>
            <w:shd w:val="clear" w:color="auto" w:fill="FFFFFF"/>
          </w:pPr>
        </w:pPrChange>
      </w:pPr>
      <w:r>
        <w:rPr>
          <w:rFonts w:ascii="Times New Roman" w:eastAsia="Times New Roman" w:hAnsi="Times New Roman" w:cs="Times New Roman"/>
          <w:color w:val="000000"/>
          <w:sz w:val="24"/>
          <w:szCs w:val="24"/>
          <w:lang w:eastAsia="en-GB"/>
        </w:rPr>
        <w:pict w14:anchorId="6F620CE5">
          <v:rect id="_x0000_i1027" style="width:203.75pt;height:.75pt" o:hrpct="0" o:hrstd="t" o:hrnoshade="t" o:hr="t" fillcolor="black" stroked="f"/>
        </w:pict>
      </w:r>
    </w:p>
    <w:p w14:paraId="6E4823FC" w14:textId="77777777" w:rsidR="003B7AE9" w:rsidRPr="003B7AE9" w:rsidRDefault="00007487" w:rsidP="0060282F">
      <w:pPr>
        <w:shd w:val="clear" w:color="auto" w:fill="FFFFFF" w:themeFill="background1"/>
        <w:spacing w:before="60" w:after="60" w:line="240" w:lineRule="auto"/>
        <w:jc w:val="both"/>
        <w:rPr>
          <w:rFonts w:ascii="inherit" w:eastAsia="Times New Roman" w:hAnsi="inherit" w:cs="Times New Roman"/>
          <w:color w:val="000000"/>
          <w:sz w:val="19"/>
          <w:szCs w:val="19"/>
          <w:lang w:eastAsia="en-GB"/>
        </w:rPr>
        <w:pPrChange w:id="1234" w:author="Author">
          <w:pPr>
            <w:shd w:val="clear" w:color="auto" w:fill="FFFFFF"/>
            <w:jc w:val="both"/>
          </w:pPr>
        </w:pPrChange>
      </w:pPr>
      <w:r>
        <w:fldChar w:fldCharType="begin"/>
      </w:r>
      <w:r>
        <w:instrText xml:space="preserve"> HYPERLINK "https://eur-lex.europa.eu/legal-content/EN/TXT/HTML/?uri=CELEX:32016R0631&amp;from=EN" \l "ntc1-L_2016112EN.01000101-E0001" </w:instrText>
      </w:r>
      <w:r>
        <w:fldChar w:fldCharType="separate"/>
      </w:r>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1</w:t>
      </w:r>
      <w:r w:rsidR="003B7AE9" w:rsidRPr="003B7AE9">
        <w:rPr>
          <w:rFonts w:ascii="inherit" w:eastAsia="Times New Roman" w:hAnsi="inherit" w:cs="Times New Roman"/>
          <w:color w:val="337AB7"/>
          <w:sz w:val="19"/>
          <w:szCs w:val="19"/>
          <w:lang w:eastAsia="en-GB"/>
        </w:rPr>
        <w:t>)</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  </w:t>
      </w:r>
      <w:r>
        <w:fldChar w:fldCharType="begin"/>
      </w:r>
      <w:r>
        <w:instrText xml:space="preserve"> HYPERLINK "https://eur-lex.europa.eu/legal-content/EN/AUTO/?uri=OJ:L:2009:211:TOC" </w:instrText>
      </w:r>
      <w:r>
        <w:fldChar w:fldCharType="separate"/>
      </w:r>
      <w:r w:rsidR="003B7AE9" w:rsidRPr="003B7AE9">
        <w:rPr>
          <w:rFonts w:ascii="inherit" w:eastAsia="Times New Roman" w:hAnsi="inherit" w:cs="Times New Roman"/>
          <w:color w:val="337AB7"/>
          <w:sz w:val="19"/>
          <w:szCs w:val="19"/>
          <w:lang w:eastAsia="en-GB"/>
        </w:rPr>
        <w:t>OJ L 211, 14.8.2009, p. 15</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w:t>
      </w:r>
    </w:p>
    <w:p w14:paraId="6099670B" w14:textId="77777777" w:rsidR="003B7AE9" w:rsidRPr="003B7AE9" w:rsidRDefault="00007487" w:rsidP="0060282F">
      <w:pPr>
        <w:shd w:val="clear" w:color="auto" w:fill="FFFFFF" w:themeFill="background1"/>
        <w:spacing w:before="60" w:after="60" w:line="240" w:lineRule="auto"/>
        <w:jc w:val="both"/>
        <w:rPr>
          <w:rFonts w:ascii="inherit" w:eastAsia="Times New Roman" w:hAnsi="inherit" w:cs="Times New Roman"/>
          <w:color w:val="000000"/>
          <w:sz w:val="19"/>
          <w:szCs w:val="19"/>
          <w:lang w:eastAsia="en-GB"/>
        </w:rPr>
        <w:pPrChange w:id="1235" w:author="Author">
          <w:pPr>
            <w:shd w:val="clear" w:color="auto" w:fill="FFFFFF"/>
            <w:jc w:val="both"/>
          </w:pPr>
        </w:pPrChange>
      </w:pPr>
      <w:r>
        <w:fldChar w:fldCharType="begin"/>
      </w:r>
      <w:r>
        <w:instrText xml:space="preserve"> HYPERLINK "https://eur-lex.europa.eu/legal-content/EN/TXT/HTML/?uri=CELEX:32016R0631&amp;from=EN" \l "ntc2-L_2016112EN.01000101-E0002" </w:instrText>
      </w:r>
      <w:r>
        <w:fldChar w:fldCharType="separate"/>
      </w:r>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2</w:t>
      </w:r>
      <w:r w:rsidR="003B7AE9" w:rsidRPr="003B7AE9">
        <w:rPr>
          <w:rFonts w:ascii="inherit" w:eastAsia="Times New Roman" w:hAnsi="inherit" w:cs="Times New Roman"/>
          <w:color w:val="337AB7"/>
          <w:sz w:val="19"/>
          <w:szCs w:val="19"/>
          <w:lang w:eastAsia="en-GB"/>
        </w:rPr>
        <w:t>)</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r>
        <w:fldChar w:fldCharType="begin"/>
      </w:r>
      <w:r>
        <w:instrText xml:space="preserve"> HYPERLINK "https://eur-lex.europa.eu/legal-content/EN/AUTO/?uri=OJ:L:2009:211:TOC" </w:instrText>
      </w:r>
      <w:r>
        <w:fldChar w:fldCharType="separate"/>
      </w:r>
      <w:r w:rsidR="003B7AE9" w:rsidRPr="003B7AE9">
        <w:rPr>
          <w:rFonts w:ascii="inherit" w:eastAsia="Times New Roman" w:hAnsi="inherit" w:cs="Times New Roman"/>
          <w:color w:val="337AB7"/>
          <w:sz w:val="19"/>
          <w:szCs w:val="19"/>
          <w:lang w:eastAsia="en-GB"/>
        </w:rPr>
        <w:t>OJ L 211, 14.8.2009, p. 55</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w:t>
      </w:r>
    </w:p>
    <w:p w14:paraId="7812EB6E" w14:textId="77777777" w:rsidR="003B7AE9" w:rsidRPr="003B7AE9" w:rsidRDefault="00007487" w:rsidP="0060282F">
      <w:pPr>
        <w:shd w:val="clear" w:color="auto" w:fill="FFFFFF" w:themeFill="background1"/>
        <w:spacing w:before="60" w:after="60" w:line="240" w:lineRule="auto"/>
        <w:jc w:val="both"/>
        <w:rPr>
          <w:rFonts w:ascii="inherit" w:eastAsia="Times New Roman" w:hAnsi="inherit" w:cs="Times New Roman"/>
          <w:color w:val="000000"/>
          <w:sz w:val="19"/>
          <w:szCs w:val="19"/>
          <w:lang w:eastAsia="en-GB"/>
        </w:rPr>
        <w:pPrChange w:id="1236" w:author="Author">
          <w:pPr>
            <w:shd w:val="clear" w:color="auto" w:fill="FFFFFF"/>
            <w:jc w:val="both"/>
          </w:pPr>
        </w:pPrChange>
      </w:pPr>
      <w:r>
        <w:fldChar w:fldCharType="begin"/>
      </w:r>
      <w:r>
        <w:instrText xml:space="preserve"> HYPERLINK "https://eur-lex.europa.eu/legal-content/EN/TXT/HTML/?uri=CELEX:32016R0631&amp;from=EN" \l "ntc3-L_2016112EN.01000101-E0003" </w:instrText>
      </w:r>
      <w:r>
        <w:fldChar w:fldCharType="separate"/>
      </w:r>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3</w:t>
      </w:r>
      <w:r w:rsidR="003B7AE9" w:rsidRPr="003B7AE9">
        <w:rPr>
          <w:rFonts w:ascii="inherit" w:eastAsia="Times New Roman" w:hAnsi="inherit" w:cs="Times New Roman"/>
          <w:color w:val="337AB7"/>
          <w:sz w:val="19"/>
          <w:szCs w:val="19"/>
          <w:lang w:eastAsia="en-GB"/>
        </w:rPr>
        <w:t>)</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r>
        <w:fldChar w:fldCharType="begin"/>
      </w:r>
      <w:r>
        <w:instrText xml:space="preserve"> HYPERLINK "https://eur-lex.europa.eu/legal-content/EN/AUTO/?uri=OJ:L:2012:315:TOC" </w:instrText>
      </w:r>
      <w:r>
        <w:fldChar w:fldCharType="separate"/>
      </w:r>
      <w:r w:rsidR="003B7AE9" w:rsidRPr="003B7AE9">
        <w:rPr>
          <w:rFonts w:ascii="inherit" w:eastAsia="Times New Roman" w:hAnsi="inherit" w:cs="Times New Roman"/>
          <w:color w:val="337AB7"/>
          <w:sz w:val="19"/>
          <w:szCs w:val="19"/>
          <w:lang w:eastAsia="en-GB"/>
        </w:rPr>
        <w:t>OJ L 315, 14.11.2012, p. 1</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w:t>
      </w:r>
    </w:p>
    <w:p w14:paraId="08DEE462" w14:textId="77777777" w:rsidR="003B7AE9" w:rsidRPr="003B7AE9" w:rsidRDefault="00007487" w:rsidP="0060282F">
      <w:pPr>
        <w:shd w:val="clear" w:color="auto" w:fill="FFFFFF" w:themeFill="background1"/>
        <w:spacing w:before="60" w:after="60" w:line="240" w:lineRule="auto"/>
        <w:jc w:val="both"/>
        <w:rPr>
          <w:rFonts w:ascii="inherit" w:eastAsia="Times New Roman" w:hAnsi="inherit" w:cs="Times New Roman"/>
          <w:color w:val="000000"/>
          <w:sz w:val="19"/>
          <w:szCs w:val="19"/>
          <w:lang w:eastAsia="en-GB"/>
        </w:rPr>
        <w:pPrChange w:id="1237" w:author="Author">
          <w:pPr>
            <w:shd w:val="clear" w:color="auto" w:fill="FFFFFF"/>
            <w:jc w:val="both"/>
          </w:pPr>
        </w:pPrChange>
      </w:pPr>
      <w:r>
        <w:fldChar w:fldCharType="begin"/>
      </w:r>
      <w:r>
        <w:instrText xml:space="preserve"> HYPERLINK "https://eur-lex.europa.eu/legal-content/EN/TXT/HTML/?uri=CELEX:32016R0631&amp;from=EN" \l "ntc4-L_2016112EN.01000101-E0004" </w:instrText>
      </w:r>
      <w:r>
        <w:fldChar w:fldCharType="separate"/>
      </w:r>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4</w:t>
      </w:r>
      <w:r w:rsidR="003B7AE9" w:rsidRPr="003B7AE9">
        <w:rPr>
          <w:rFonts w:ascii="inherit" w:eastAsia="Times New Roman" w:hAnsi="inherit" w:cs="Times New Roman"/>
          <w:color w:val="337AB7"/>
          <w:sz w:val="19"/>
          <w:szCs w:val="19"/>
          <w:lang w:eastAsia="en-GB"/>
        </w:rPr>
        <w:t>)</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r>
        <w:fldChar w:fldCharType="begin"/>
      </w:r>
      <w:r>
        <w:instrText xml:space="preserve"> HYPERLINK "https://eur-lex.europa.eu/legal-content/EN/AUTO/?uri=OJ:L:2015:197:TOC" </w:instrText>
      </w:r>
      <w:r>
        <w:fldChar w:fldCharType="separate"/>
      </w:r>
      <w:r w:rsidR="003B7AE9" w:rsidRPr="003B7AE9">
        <w:rPr>
          <w:rFonts w:ascii="inherit" w:eastAsia="Times New Roman" w:hAnsi="inherit" w:cs="Times New Roman"/>
          <w:color w:val="337AB7"/>
          <w:sz w:val="19"/>
          <w:szCs w:val="19"/>
          <w:lang w:eastAsia="en-GB"/>
        </w:rPr>
        <w:t>OJ L 197, 25.7.2015, p. 24</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w:t>
      </w:r>
    </w:p>
    <w:p w14:paraId="69EC3C2C" w14:textId="77777777" w:rsidR="003B7AE9" w:rsidRPr="003B7AE9" w:rsidRDefault="00007487" w:rsidP="0060282F">
      <w:pPr>
        <w:shd w:val="clear" w:color="auto" w:fill="FFFFFF" w:themeFill="background1"/>
        <w:spacing w:before="60" w:after="60" w:line="240" w:lineRule="auto"/>
        <w:jc w:val="both"/>
        <w:rPr>
          <w:rFonts w:ascii="inherit" w:eastAsia="Times New Roman" w:hAnsi="inherit" w:cs="Times New Roman"/>
          <w:color w:val="000000"/>
          <w:sz w:val="19"/>
          <w:szCs w:val="19"/>
          <w:lang w:eastAsia="en-GB"/>
        </w:rPr>
        <w:pPrChange w:id="1238" w:author="Author">
          <w:pPr>
            <w:shd w:val="clear" w:color="auto" w:fill="FFFFFF"/>
            <w:jc w:val="both"/>
          </w:pPr>
        </w:pPrChange>
      </w:pPr>
      <w:r>
        <w:fldChar w:fldCharType="begin"/>
      </w:r>
      <w:r>
        <w:instrText xml:space="preserve"> HYPERLINK "https://eur-lex.europa.eu/legal-content/EN/TXT/HTML/?uri=CELEX:32016R0631&amp;from=EN" \l "ntc5-L_2016112EN.01000101-E0005" </w:instrText>
      </w:r>
      <w:r>
        <w:fldChar w:fldCharType="separate"/>
      </w:r>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5</w:t>
      </w:r>
      <w:r w:rsidR="003B7AE9" w:rsidRPr="003B7AE9">
        <w:rPr>
          <w:rFonts w:ascii="inherit" w:eastAsia="Times New Roman" w:hAnsi="inherit" w:cs="Times New Roman"/>
          <w:color w:val="337AB7"/>
          <w:sz w:val="19"/>
          <w:szCs w:val="19"/>
          <w:lang w:eastAsia="en-GB"/>
        </w:rPr>
        <w:t>)</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r>
        <w:fldChar w:fldCharType="begin"/>
      </w:r>
      <w:r>
        <w:instrText xml:space="preserve"> HYPERLINK "https://eur-lex.europa.eu/legal-content/EN/AUTO/?uri=OJ:L:2013:163:TOC" </w:instrText>
      </w:r>
      <w:r>
        <w:fldChar w:fldCharType="separate"/>
      </w:r>
      <w:r w:rsidR="003B7AE9" w:rsidRPr="003B7AE9">
        <w:rPr>
          <w:rFonts w:ascii="inherit" w:eastAsia="Times New Roman" w:hAnsi="inherit" w:cs="Times New Roman"/>
          <w:color w:val="337AB7"/>
          <w:sz w:val="19"/>
          <w:szCs w:val="19"/>
          <w:lang w:eastAsia="en-GB"/>
        </w:rPr>
        <w:t>OJ L 163, 15.6.2013, p. 1</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w:t>
      </w:r>
    </w:p>
    <w:p w14:paraId="26CD4325" w14:textId="77777777" w:rsidR="003B7AE9" w:rsidRPr="003B7AE9" w:rsidRDefault="00007487" w:rsidP="0060282F">
      <w:pPr>
        <w:shd w:val="clear" w:color="auto" w:fill="FFFFFF" w:themeFill="background1"/>
        <w:spacing w:before="60" w:after="60" w:line="240" w:lineRule="auto"/>
        <w:jc w:val="both"/>
        <w:rPr>
          <w:rFonts w:ascii="inherit" w:eastAsia="Times New Roman" w:hAnsi="inherit" w:cs="Times New Roman"/>
          <w:color w:val="000000"/>
          <w:sz w:val="19"/>
          <w:szCs w:val="19"/>
          <w:lang w:eastAsia="en-GB"/>
        </w:rPr>
        <w:pPrChange w:id="1239" w:author="Author">
          <w:pPr>
            <w:shd w:val="clear" w:color="auto" w:fill="FFFFFF"/>
            <w:jc w:val="both"/>
          </w:pPr>
        </w:pPrChange>
      </w:pPr>
      <w:r>
        <w:lastRenderedPageBreak/>
        <w:fldChar w:fldCharType="begin"/>
      </w:r>
      <w:r>
        <w:instrText xml:space="preserve"> HYPERLINK "https://eur-lex.europa.eu/legal-content/EN/TXT/HTML/?uri=CELEX:32016R0631&amp;from=EN" \l "ntc6-L_2016112EN.01000101-E0006" </w:instrText>
      </w:r>
      <w:r>
        <w:fldChar w:fldCharType="separate"/>
      </w:r>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6</w:t>
      </w:r>
      <w:r w:rsidR="003B7AE9" w:rsidRPr="003B7AE9">
        <w:rPr>
          <w:rFonts w:ascii="inherit" w:eastAsia="Times New Roman" w:hAnsi="inherit" w:cs="Times New Roman"/>
          <w:color w:val="337AB7"/>
          <w:sz w:val="19"/>
          <w:szCs w:val="19"/>
          <w:lang w:eastAsia="en-GB"/>
        </w:rPr>
        <w:t>)</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r>
        <w:fldChar w:fldCharType="begin"/>
      </w:r>
      <w:r>
        <w:instrText xml:space="preserve"> HYPERLINK "https://eur-lex.europa.eu/legal-content/EN/AUTO/?uri=OJ:L:2008:218:TOC" </w:instrText>
      </w:r>
      <w:r>
        <w:fldChar w:fldCharType="separate"/>
      </w:r>
      <w:r w:rsidR="003B7AE9" w:rsidRPr="003B7AE9">
        <w:rPr>
          <w:rFonts w:ascii="inherit" w:eastAsia="Times New Roman" w:hAnsi="inherit" w:cs="Times New Roman"/>
          <w:color w:val="337AB7"/>
          <w:sz w:val="19"/>
          <w:szCs w:val="19"/>
          <w:lang w:eastAsia="en-GB"/>
        </w:rPr>
        <w:t>OJ L 218, 13.8.2008, p. 30</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w:t>
      </w:r>
    </w:p>
    <w:p w14:paraId="2B95B025" w14:textId="77777777" w:rsidR="003B7AE9" w:rsidRPr="003B7AE9" w:rsidRDefault="0060282F"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4" w:anchor="ntc*-L_2016112EN.01000101-E0007"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below 300 kV.</w:t>
      </w:r>
    </w:p>
    <w:p w14:paraId="28933CC8" w14:textId="77777777" w:rsidR="003B7AE9" w:rsidRPr="003B7AE9" w:rsidRDefault="0060282F"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5" w:anchor="ntc**-L_2016112EN.01000101-E0008"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from 300 kV to 400 kV.</w:t>
      </w:r>
    </w:p>
    <w:p w14:paraId="338F871E" w14:textId="77777777" w:rsidR="003B7AE9" w:rsidRPr="003B7AE9" w:rsidRDefault="00007487" w:rsidP="0060282F">
      <w:pPr>
        <w:shd w:val="clear" w:color="auto" w:fill="FFFFFF" w:themeFill="background1"/>
        <w:spacing w:before="60" w:after="60" w:line="240" w:lineRule="auto"/>
        <w:jc w:val="both"/>
        <w:rPr>
          <w:rFonts w:ascii="inherit" w:eastAsia="Times New Roman" w:hAnsi="inherit" w:cs="Times New Roman"/>
          <w:color w:val="000000"/>
          <w:sz w:val="19"/>
          <w:szCs w:val="19"/>
          <w:lang w:eastAsia="en-GB"/>
        </w:rPr>
        <w:pPrChange w:id="1240" w:author="Author">
          <w:pPr>
            <w:shd w:val="clear" w:color="auto" w:fill="FFFFFF"/>
            <w:jc w:val="both"/>
          </w:pPr>
        </w:pPrChange>
      </w:pPr>
      <w:r>
        <w:fldChar w:fldCharType="begin"/>
      </w:r>
      <w:r>
        <w:instrText xml:space="preserve"> HYPERLINK "https://eur-lex.europa.eu/legal-content/EN/TXT/HTML/?uri=CELEX:32016R0631&amp;from=EN" \l "ntc***-L_2016112EN.01000101-E0009" </w:instrText>
      </w:r>
      <w:r>
        <w:fldChar w:fldCharType="separate"/>
      </w:r>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3B7AE9" w:rsidRDefault="00007487" w:rsidP="0060282F">
      <w:pPr>
        <w:shd w:val="clear" w:color="auto" w:fill="FFFFFF" w:themeFill="background1"/>
        <w:spacing w:before="60" w:after="60" w:line="240" w:lineRule="auto"/>
        <w:jc w:val="both"/>
        <w:rPr>
          <w:rFonts w:ascii="inherit" w:eastAsia="Times New Roman" w:hAnsi="inherit" w:cs="Times New Roman"/>
          <w:color w:val="000000"/>
          <w:sz w:val="19"/>
          <w:szCs w:val="19"/>
          <w:lang w:eastAsia="en-GB"/>
        </w:rPr>
        <w:pPrChange w:id="1241" w:author="Author">
          <w:pPr>
            <w:shd w:val="clear" w:color="auto" w:fill="FFFFFF"/>
            <w:jc w:val="both"/>
          </w:pPr>
        </w:pPrChange>
      </w:pPr>
      <w:r>
        <w:fldChar w:fldCharType="begin"/>
      </w:r>
      <w:r>
        <w:instrText xml:space="preserve"> HYPERLINK "https://eur-lex.europa.eu/legal-content/EN/TXT/HTML/?uri=CELEX:32016R0631&amp;from=EN" \l "ntc****-L_2016112EN.01000101-E0010" </w:instrText>
      </w:r>
      <w:r>
        <w:fldChar w:fldCharType="separate"/>
      </w:r>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r>
        <w:rPr>
          <w:rFonts w:ascii="inherit" w:eastAsia="Times New Roman" w:hAnsi="inherit" w:cs="Times New Roman"/>
          <w:color w:val="337AB7"/>
          <w:sz w:val="19"/>
          <w:szCs w:val="19"/>
          <w:lang w:eastAsia="en-GB"/>
        </w:rPr>
        <w:fldChar w:fldCharType="end"/>
      </w:r>
      <w:r w:rsidR="003B7AE9" w:rsidRPr="003B7AE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B7AE9" w:rsidRDefault="0060282F" w:rsidP="0060282F">
      <w:pPr>
        <w:shd w:val="clear" w:color="auto" w:fill="FFFFFF" w:themeFill="background1"/>
        <w:spacing w:before="120" w:after="120" w:line="240" w:lineRule="auto"/>
        <w:rPr>
          <w:rFonts w:ascii="Times New Roman" w:eastAsia="Times New Roman" w:hAnsi="Times New Roman" w:cs="Times New Roman"/>
          <w:color w:val="000000"/>
          <w:sz w:val="24"/>
          <w:szCs w:val="24"/>
          <w:lang w:eastAsia="en-GB"/>
        </w:rPr>
        <w:pPrChange w:id="1242" w:author="Author">
          <w:pPr>
            <w:shd w:val="clear" w:color="auto" w:fill="FFFFFF"/>
          </w:pPr>
        </w:pPrChange>
      </w:pPr>
      <w:r>
        <w:rPr>
          <w:rFonts w:ascii="Times New Roman" w:eastAsia="Times New Roman" w:hAnsi="Times New Roman" w:cs="Times New Roman"/>
          <w:color w:val="000000"/>
          <w:sz w:val="24"/>
          <w:szCs w:val="24"/>
          <w:lang w:eastAsia="en-GB"/>
        </w:rPr>
        <w:pict w14:anchorId="1F95AB26">
          <v:rect id="_x0000_i1028" style="width:203.75pt;height:.75pt" o:hrpct="0" o:hralign="center" o:hrstd="t" o:hrnoshade="t" o:hr="t" fillcolor="black" stroked="f"/>
        </w:pict>
      </w:r>
    </w:p>
    <w:p w14:paraId="1EE8CD00" w14:textId="77777777" w:rsidR="00F9206B" w:rsidRDefault="0060282F"/>
    <w:sectPr w:rsidR="00F9206B" w:rsidSect="0054023C">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4" w:author="Author" w:initials="A">
    <w:p w14:paraId="286369F3" w14:textId="77777777" w:rsidR="000D4633" w:rsidRDefault="000D4633" w:rsidP="000D4633">
      <w:pPr>
        <w:pStyle w:val="CommentText"/>
      </w:pPr>
      <w:r>
        <w:rPr>
          <w:rStyle w:val="CommentReference"/>
        </w:rPr>
        <w:annotationRef/>
      </w:r>
      <w:r>
        <w:t>Use this phrase for all topics covered in EN 50549</w:t>
      </w:r>
    </w:p>
  </w:comment>
  <w:comment w:id="123" w:author="Author" w:initials="A">
    <w:p w14:paraId="4421727A" w14:textId="77777777" w:rsidR="00F62E56" w:rsidRDefault="00F62E56" w:rsidP="00F62E56">
      <w:pPr>
        <w:pStyle w:val="CommentText"/>
      </w:pPr>
      <w:r>
        <w:rPr>
          <w:rStyle w:val="CommentReference"/>
        </w:rPr>
        <w:annotationRef/>
      </w:r>
      <w:r>
        <w:t>Use this phrase for all topics covered in EN 50549</w:t>
      </w:r>
    </w:p>
  </w:comment>
  <w:comment w:id="142" w:author="Author" w:initials="A">
    <w:p w14:paraId="42F3D9AF" w14:textId="77777777" w:rsidR="00007487" w:rsidRDefault="00007487" w:rsidP="00C543A8">
      <w:pPr>
        <w:pStyle w:val="CommentText"/>
      </w:pPr>
      <w:r>
        <w:rPr>
          <w:rStyle w:val="CommentReference"/>
        </w:rPr>
        <w:annotationRef/>
      </w:r>
      <w:r w:rsidRPr="00354138">
        <w:t>Note: numbering of figures and references to Figures should be updated accordingly.</w:t>
      </w:r>
    </w:p>
  </w:comment>
  <w:comment w:id="189" w:author="Author" w:initials="A">
    <w:p w14:paraId="67C462D8" w14:textId="77777777" w:rsidR="00F55904" w:rsidRDefault="00F55904" w:rsidP="00FB4D3A">
      <w:pPr>
        <w:pStyle w:val="CommentText"/>
      </w:pPr>
      <w:r>
        <w:rPr>
          <w:rStyle w:val="CommentReference"/>
        </w:rPr>
        <w:annotationRef/>
      </w:r>
      <w:r w:rsidRPr="00354138">
        <w:t>Note: numbering of figures and references to Figures should be updated accordingly.</w:t>
      </w:r>
    </w:p>
  </w:comment>
  <w:comment w:id="196" w:author="Author" w:initials="A">
    <w:p w14:paraId="014CC35D" w14:textId="5A636517" w:rsidR="00A0631A" w:rsidRDefault="00A0631A">
      <w:pPr>
        <w:pStyle w:val="CommentText"/>
      </w:pPr>
      <w:r>
        <w:rPr>
          <w:rStyle w:val="CommentReference"/>
        </w:rPr>
        <w:annotationRef/>
      </w:r>
      <w:r>
        <w:t>remove text of two bullets in the figure.</w:t>
      </w:r>
    </w:p>
  </w:comment>
  <w:comment w:id="235" w:author="Author" w:initials="A">
    <w:p w14:paraId="5180E5F7" w14:textId="77777777" w:rsidR="00B47FD3" w:rsidRDefault="00B47FD3" w:rsidP="003C7D87">
      <w:pPr>
        <w:pStyle w:val="CommentText"/>
      </w:pPr>
      <w:r>
        <w:rPr>
          <w:rStyle w:val="CommentReference"/>
        </w:rPr>
        <w:annotationRef/>
      </w:r>
      <w:r w:rsidRPr="00354138">
        <w:t>Note: numbering of figures and references to Figures should be updated accordingly.</w:t>
      </w:r>
    </w:p>
  </w:comment>
  <w:comment w:id="236" w:author="Author" w:initials="A">
    <w:p w14:paraId="08371BF4" w14:textId="01C5FDBC" w:rsidR="00B47FD3" w:rsidRDefault="00B47FD3" w:rsidP="002622A0">
      <w:pPr>
        <w:pStyle w:val="CommentText"/>
      </w:pPr>
      <w:r>
        <w:rPr>
          <w:rStyle w:val="CommentReference"/>
        </w:rPr>
        <w:annotationRef/>
      </w:r>
      <w:r w:rsidRPr="00354138">
        <w:t>Note: numbering of figures and references to Tables should be updated accordingly.</w:t>
      </w:r>
    </w:p>
  </w:comment>
  <w:comment w:id="361" w:author="Author" w:initials="A">
    <w:p w14:paraId="668EE918" w14:textId="77777777" w:rsidR="00B47FD3" w:rsidRDefault="00B47FD3" w:rsidP="00415DEA">
      <w:pPr>
        <w:pStyle w:val="CommentText"/>
      </w:pPr>
      <w:r>
        <w:rPr>
          <w:rStyle w:val="CommentReference"/>
        </w:rPr>
        <w:annotationRef/>
      </w:r>
      <w:r w:rsidRPr="00354138">
        <w:t>Note: numbering of figures and references to Figures/Tables should be updated accordingly.</w:t>
      </w:r>
    </w:p>
  </w:comment>
  <w:comment w:id="836" w:author="Author" w:initials="A">
    <w:p w14:paraId="563D49A5" w14:textId="77777777" w:rsidR="00A0631A" w:rsidRDefault="00A0631A" w:rsidP="00A0631A">
      <w:pPr>
        <w:pStyle w:val="CommentText"/>
      </w:pPr>
      <w:r>
        <w:rPr>
          <w:rStyle w:val="CommentReference"/>
        </w:rPr>
        <w:annotationRef/>
      </w:r>
      <w:r>
        <w:t>Use this phrase for all topics covered in EN 50549</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86369F3" w15:done="0"/>
  <w15:commentEx w15:paraId="4421727A" w15:done="0"/>
  <w15:commentEx w15:paraId="42F3D9AF" w15:done="0"/>
  <w15:commentEx w15:paraId="67C462D8" w15:done="0"/>
  <w15:commentEx w15:paraId="014CC35D" w15:done="0"/>
  <w15:commentEx w15:paraId="5180E5F7" w15:done="0"/>
  <w15:commentEx w15:paraId="08371BF4" w15:done="0"/>
  <w15:commentEx w15:paraId="668EE918" w15:done="0"/>
  <w15:commentEx w15:paraId="563D49A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6369F3" w16cid:durableId="271E3996"/>
  <w16cid:commentId w16cid:paraId="4421727A" w16cid:durableId="271E34D8"/>
  <w16cid:commentId w16cid:paraId="42F3D9AF" w16cid:durableId="270A2009"/>
  <w16cid:commentId w16cid:paraId="67C462D8" w16cid:durableId="270A6E7E"/>
  <w16cid:commentId w16cid:paraId="014CC35D" w16cid:durableId="271E36C9"/>
  <w16cid:commentId w16cid:paraId="5180E5F7" w16cid:durableId="270A7253"/>
  <w16cid:commentId w16cid:paraId="08371BF4" w16cid:durableId="270A7244"/>
  <w16cid:commentId w16cid:paraId="668EE918" w16cid:durableId="270A727D"/>
  <w16cid:commentId w16cid:paraId="563D49A5" w16cid:durableId="271E386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426A2" w14:textId="77777777" w:rsidR="00870B7D" w:rsidRDefault="00870B7D" w:rsidP="00870B7D">
      <w:pPr>
        <w:spacing w:after="0" w:line="240" w:lineRule="auto"/>
      </w:pPr>
      <w:r>
        <w:separator/>
      </w:r>
    </w:p>
  </w:endnote>
  <w:endnote w:type="continuationSeparator" w:id="0">
    <w:p w14:paraId="1F51779A" w14:textId="77777777" w:rsidR="00870B7D" w:rsidRDefault="00870B7D" w:rsidP="00870B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9D027" w14:textId="77777777" w:rsidR="00870B7D" w:rsidRDefault="00870B7D" w:rsidP="00870B7D">
      <w:pPr>
        <w:spacing w:after="0" w:line="240" w:lineRule="auto"/>
      </w:pPr>
      <w:r>
        <w:separator/>
      </w:r>
    </w:p>
  </w:footnote>
  <w:footnote w:type="continuationSeparator" w:id="0">
    <w:p w14:paraId="238FFCD4" w14:textId="77777777" w:rsidR="00870B7D" w:rsidRDefault="00870B7D" w:rsidP="00870B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94709D"/>
    <w:multiLevelType w:val="hybridMultilevel"/>
    <w:tmpl w:val="E31C4CEA"/>
    <w:lvl w:ilvl="0" w:tplc="A90CC130">
      <w:start w:val="8"/>
      <w:numFmt w:val="bullet"/>
      <w:lvlText w:val="-"/>
      <w:lvlJc w:val="left"/>
      <w:pPr>
        <w:ind w:left="720" w:hanging="360"/>
      </w:pPr>
      <w:rPr>
        <w:rFonts w:ascii="inherit" w:eastAsia="Times New Roman" w:hAnsi="inheri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0812832">
    <w:abstractNumId w:val="0"/>
  </w:num>
  <w:num w:numId="2" w16cid:durableId="6944236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AE9"/>
    <w:rsid w:val="00007487"/>
    <w:rsid w:val="00030F91"/>
    <w:rsid w:val="00054FB1"/>
    <w:rsid w:val="00057664"/>
    <w:rsid w:val="000D4633"/>
    <w:rsid w:val="000E4583"/>
    <w:rsid w:val="000F1BDB"/>
    <w:rsid w:val="001B0BEF"/>
    <w:rsid w:val="001E5E15"/>
    <w:rsid w:val="0022207A"/>
    <w:rsid w:val="00354138"/>
    <w:rsid w:val="00391116"/>
    <w:rsid w:val="003B71D2"/>
    <w:rsid w:val="003B7AE9"/>
    <w:rsid w:val="003E5A92"/>
    <w:rsid w:val="00446E0D"/>
    <w:rsid w:val="00513EE3"/>
    <w:rsid w:val="0054023C"/>
    <w:rsid w:val="00601D56"/>
    <w:rsid w:val="0060282F"/>
    <w:rsid w:val="00617F47"/>
    <w:rsid w:val="0062733B"/>
    <w:rsid w:val="00641147"/>
    <w:rsid w:val="00663204"/>
    <w:rsid w:val="006716CD"/>
    <w:rsid w:val="00690388"/>
    <w:rsid w:val="006A62C9"/>
    <w:rsid w:val="00710321"/>
    <w:rsid w:val="007B3EB6"/>
    <w:rsid w:val="007D5447"/>
    <w:rsid w:val="00820E13"/>
    <w:rsid w:val="00845EE9"/>
    <w:rsid w:val="00854ECD"/>
    <w:rsid w:val="0086131E"/>
    <w:rsid w:val="00870B7D"/>
    <w:rsid w:val="00916B1C"/>
    <w:rsid w:val="00A0631A"/>
    <w:rsid w:val="00A34AB7"/>
    <w:rsid w:val="00A93617"/>
    <w:rsid w:val="00AA0F46"/>
    <w:rsid w:val="00B03DE8"/>
    <w:rsid w:val="00B20EDF"/>
    <w:rsid w:val="00B47FD3"/>
    <w:rsid w:val="00B574EC"/>
    <w:rsid w:val="00B70454"/>
    <w:rsid w:val="00C07462"/>
    <w:rsid w:val="00C36991"/>
    <w:rsid w:val="00C65E69"/>
    <w:rsid w:val="00CA1AEF"/>
    <w:rsid w:val="00CA5045"/>
    <w:rsid w:val="00CF3C5C"/>
    <w:rsid w:val="00D71BA8"/>
    <w:rsid w:val="00D827C7"/>
    <w:rsid w:val="00E07166"/>
    <w:rsid w:val="00E1013D"/>
    <w:rsid w:val="00EC2DAE"/>
    <w:rsid w:val="00F06A84"/>
    <w:rsid w:val="00F55904"/>
    <w:rsid w:val="00F62E56"/>
    <w:rsid w:val="00F71A0C"/>
    <w:rsid w:val="00FB4C92"/>
    <w:rsid w:val="2D4DAF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B7AE9"/>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andard1">
    <w:name w:val="Standard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 w:type="character" w:styleId="CommentReference">
    <w:name w:val="annotation reference"/>
    <w:basedOn w:val="DefaultParagraphFont"/>
    <w:uiPriority w:val="99"/>
    <w:semiHidden/>
    <w:unhideWhenUsed/>
    <w:rsid w:val="00601D56"/>
    <w:rPr>
      <w:sz w:val="16"/>
      <w:szCs w:val="16"/>
    </w:rPr>
  </w:style>
  <w:style w:type="paragraph" w:styleId="CommentText">
    <w:name w:val="annotation text"/>
    <w:basedOn w:val="Normal"/>
    <w:link w:val="CommentTextChar"/>
    <w:uiPriority w:val="99"/>
    <w:unhideWhenUsed/>
    <w:rsid w:val="00601D56"/>
    <w:pPr>
      <w:spacing w:line="240" w:lineRule="auto"/>
    </w:pPr>
    <w:rPr>
      <w:sz w:val="20"/>
      <w:szCs w:val="20"/>
    </w:rPr>
  </w:style>
  <w:style w:type="character" w:customStyle="1" w:styleId="CommentTextChar">
    <w:name w:val="Comment Text Char"/>
    <w:basedOn w:val="DefaultParagraphFont"/>
    <w:link w:val="CommentText"/>
    <w:uiPriority w:val="99"/>
    <w:rsid w:val="00601D56"/>
    <w:rPr>
      <w:sz w:val="20"/>
      <w:szCs w:val="20"/>
    </w:rPr>
  </w:style>
  <w:style w:type="paragraph" w:styleId="CommentSubject">
    <w:name w:val="annotation subject"/>
    <w:basedOn w:val="CommentText"/>
    <w:next w:val="CommentText"/>
    <w:link w:val="CommentSubjectChar"/>
    <w:uiPriority w:val="99"/>
    <w:semiHidden/>
    <w:unhideWhenUsed/>
    <w:rsid w:val="00601D56"/>
    <w:rPr>
      <w:b/>
      <w:bCs/>
    </w:rPr>
  </w:style>
  <w:style w:type="character" w:customStyle="1" w:styleId="CommentSubjectChar">
    <w:name w:val="Comment Subject Char"/>
    <w:basedOn w:val="CommentTextChar"/>
    <w:link w:val="CommentSubject"/>
    <w:uiPriority w:val="99"/>
    <w:semiHidden/>
    <w:rsid w:val="00601D56"/>
    <w:rPr>
      <w:b/>
      <w:bCs/>
      <w:sz w:val="20"/>
      <w:szCs w:val="20"/>
    </w:rPr>
  </w:style>
  <w:style w:type="paragraph" w:styleId="ListParagraph">
    <w:name w:val="List Paragraph"/>
    <w:basedOn w:val="Normal"/>
    <w:uiPriority w:val="34"/>
    <w:qFormat/>
    <w:rsid w:val="00C074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image" Target="media/image5.jpeg"/><Relationship Id="rId26" Type="http://schemas.openxmlformats.org/officeDocument/2006/relationships/image" Target="media/image13.jpeg"/><Relationship Id="rId39" Type="http://schemas.openxmlformats.org/officeDocument/2006/relationships/hyperlink" Target="https://eur-lex.europa.eu/legal-content/EN/TXT/HTML/?uri=CELEX:32016R0631&amp;from=EN" TargetMode="External"/><Relationship Id="rId21" Type="http://schemas.openxmlformats.org/officeDocument/2006/relationships/image" Target="media/image8.jpeg"/><Relationship Id="rId34" Type="http://schemas.openxmlformats.org/officeDocument/2006/relationships/hyperlink" Target="https://eur-lex.europa.eu/legal-content/EN/TXT/HTML/?uri=CELEX:32016R0631&amp;from=EN" TargetMode="External"/><Relationship Id="rId42" Type="http://schemas.openxmlformats.org/officeDocument/2006/relationships/hyperlink" Target="https://eur-lex.europa.eu/legal-content/EN/TXT/HTML/?uri=CELEX:32016R0631&amp;from=EN" TargetMode="External"/><Relationship Id="rId47" Type="http://schemas.openxmlformats.org/officeDocument/2006/relationships/theme" Target="theme/theme1.xml"/><Relationship Id="rId50" Type="http://schemas.openxmlformats.org/officeDocument/2006/relationships/customXml" Target="../customXml/item3.xml"/><Relationship Id="rId7" Type="http://schemas.openxmlformats.org/officeDocument/2006/relationships/hyperlink" Target="https://eur-lex.europa.eu/legal-content/EN/TXT/HTML/?uri=CELEX:32016R0631&amp;from=EN" TargetMode="External"/><Relationship Id="rId2" Type="http://schemas.openxmlformats.org/officeDocument/2006/relationships/styles" Target="styles.xml"/><Relationship Id="rId16" Type="http://schemas.openxmlformats.org/officeDocument/2006/relationships/image" Target="media/image3.jpeg"/><Relationship Id="rId29" Type="http://schemas.openxmlformats.org/officeDocument/2006/relationships/hyperlink" Target="https://eur-lex.europa.eu/legal-content/EN/TXT/HTML/?uri=CELEX:32016R0631&amp;from=EN" TargetMode="External"/><Relationship Id="rId11" Type="http://schemas.microsoft.com/office/2011/relationships/commentsExtended" Target="commentsExtended.xml"/><Relationship Id="rId24" Type="http://schemas.openxmlformats.org/officeDocument/2006/relationships/image" Target="media/image11.jpeg"/><Relationship Id="rId32" Type="http://schemas.openxmlformats.org/officeDocument/2006/relationships/hyperlink" Target="https://eur-lex.europa.eu/legal-content/EN/TXT/HTML/?uri=CELEX:32016R0631&amp;from=EN" TargetMode="External"/><Relationship Id="rId37" Type="http://schemas.openxmlformats.org/officeDocument/2006/relationships/hyperlink" Target="https://eur-lex.europa.eu/legal-content/EN/TXT/HTML/?uri=CELEX:32016R0631&amp;from=EN" TargetMode="External"/><Relationship Id="rId40" Type="http://schemas.openxmlformats.org/officeDocument/2006/relationships/hyperlink" Target="https://eur-lex.europa.eu/legal-content/EN/TXT/HTML/?uri=CELEX:32016R0631&amp;from=EN" TargetMode="External"/><Relationship Id="rId45" Type="http://schemas.openxmlformats.org/officeDocument/2006/relationships/hyperlink" Target="https://eur-lex.europa.eu/legal-content/EN/TXT/HTML/?uri=CELEX:32016R0631&amp;from=EN" TargetMode="External"/><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10.jpeg"/><Relationship Id="rId28" Type="http://schemas.openxmlformats.org/officeDocument/2006/relationships/hyperlink" Target="https://eur-lex.europa.eu/legal-content/EN/TXT/HTML/?uri=CELEX:32016R0631&amp;from=EN" TargetMode="External"/><Relationship Id="rId36" Type="http://schemas.openxmlformats.org/officeDocument/2006/relationships/hyperlink" Target="https://eur-lex.europa.eu/legal-content/EN/TXT/HTML/?uri=CELEX:32016R0631&amp;from=EN" TargetMode="External"/><Relationship Id="rId49" Type="http://schemas.openxmlformats.org/officeDocument/2006/relationships/customXml" Target="../customXml/item2.xml"/><Relationship Id="rId10" Type="http://schemas.openxmlformats.org/officeDocument/2006/relationships/comments" Target="comments.xml"/><Relationship Id="rId19" Type="http://schemas.openxmlformats.org/officeDocument/2006/relationships/image" Target="media/image6.jpeg"/><Relationship Id="rId31" Type="http://schemas.openxmlformats.org/officeDocument/2006/relationships/hyperlink" Target="https://eur-lex.europa.eu/legal-content/EN/TXT/HTML/?uri=CELEX:32016R0631&amp;from=EN" TargetMode="External"/><Relationship Id="rId44" Type="http://schemas.openxmlformats.org/officeDocument/2006/relationships/hyperlink" Target="https://eur-lex.europa.eu/legal-content/EN/TXT/HTML/?uri=CELEX:32016R0631&amp;from=EN" TargetMode="External"/><Relationship Id="rId4" Type="http://schemas.openxmlformats.org/officeDocument/2006/relationships/webSettings" Target="webSettings.xml"/><Relationship Id="rId9" Type="http://schemas.openxmlformats.org/officeDocument/2006/relationships/hyperlink" Target="https://eur-lex.europa.eu/legal-content/EN/TXT/HTML/?uri=CELEX:32016R0631&amp;from=EN" TargetMode="External"/><Relationship Id="rId14" Type="http://schemas.openxmlformats.org/officeDocument/2006/relationships/image" Target="media/image2.png"/><Relationship Id="rId22" Type="http://schemas.openxmlformats.org/officeDocument/2006/relationships/image" Target="media/image9.jpeg"/><Relationship Id="rId27" Type="http://schemas.openxmlformats.org/officeDocument/2006/relationships/hyperlink" Target="https://eur-lex.europa.eu/legal-content/EN/TXT/HTML/?uri=CELEX:32016R0631&amp;from=EN" TargetMode="External"/><Relationship Id="rId30" Type="http://schemas.openxmlformats.org/officeDocument/2006/relationships/hyperlink" Target="https://eur-lex.europa.eu/legal-content/EN/TXT/HTML/?uri=CELEX:32016R0631&amp;from=EN" TargetMode="External"/><Relationship Id="rId35" Type="http://schemas.openxmlformats.org/officeDocument/2006/relationships/hyperlink" Target="https://eur-lex.europa.eu/legal-content/EN/TXT/HTML/?uri=CELEX:32016R0631&amp;from=EN" TargetMode="External"/><Relationship Id="rId43" Type="http://schemas.openxmlformats.org/officeDocument/2006/relationships/hyperlink" Target="https://eur-lex.europa.eu/legal-content/EN/TXT/HTML/?uri=CELEX:32016R0631&amp;from=EN" TargetMode="External"/><Relationship Id="rId48" Type="http://schemas.openxmlformats.org/officeDocument/2006/relationships/customXml" Target="../customXml/item1.xml"/><Relationship Id="rId8" Type="http://schemas.openxmlformats.org/officeDocument/2006/relationships/hyperlink" Target="https://eur-lex.europa.eu/legal-content/EN/TXT/HTML/?uri=CELEX:32016R0631&amp;from=EN" TargetMode="External"/><Relationship Id="rId3" Type="http://schemas.openxmlformats.org/officeDocument/2006/relationships/settings" Target="settings.xml"/><Relationship Id="rId12" Type="http://schemas.microsoft.com/office/2016/09/relationships/commentsIds" Target="commentsIds.xml"/><Relationship Id="rId17" Type="http://schemas.openxmlformats.org/officeDocument/2006/relationships/image" Target="media/image4.jpeg"/><Relationship Id="rId25" Type="http://schemas.openxmlformats.org/officeDocument/2006/relationships/image" Target="media/image12.jpeg"/><Relationship Id="rId33" Type="http://schemas.openxmlformats.org/officeDocument/2006/relationships/hyperlink" Target="https://eur-lex.europa.eu/legal-content/EN/TXT/HTML/?uri=CELEX:32016R0631&amp;from=EN" TargetMode="External"/><Relationship Id="rId38" Type="http://schemas.openxmlformats.org/officeDocument/2006/relationships/hyperlink" Target="https://eur-lex.europa.eu/legal-content/EN/TXT/HTML/?uri=CELEX:32016R0631&amp;from=EN" TargetMode="External"/><Relationship Id="rId46" Type="http://schemas.openxmlformats.org/officeDocument/2006/relationships/fontTable" Target="fontTable.xml"/><Relationship Id="rId20" Type="http://schemas.openxmlformats.org/officeDocument/2006/relationships/image" Target="media/image7.jpeg"/><Relationship Id="rId41" Type="http://schemas.openxmlformats.org/officeDocument/2006/relationships/hyperlink" Target="https://eur-lex.europa.eu/legal-content/EN/TXT/HTML/?uri=CELEX:32016R0631&amp;from=EN"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D80E3F9D-3B55-44E9-94AD-15077044F60F}"/>
</file>

<file path=customXml/itemProps2.xml><?xml version="1.0" encoding="utf-8"?>
<ds:datastoreItem xmlns:ds="http://schemas.openxmlformats.org/officeDocument/2006/customXml" ds:itemID="{65B6F3CC-A561-4D56-B038-3A28305765DD}"/>
</file>

<file path=customXml/itemProps3.xml><?xml version="1.0" encoding="utf-8"?>
<ds:datastoreItem xmlns:ds="http://schemas.openxmlformats.org/officeDocument/2006/customXml" ds:itemID="{9A2585BE-8DA3-4348-9DED-6B226D100DCF}"/>
</file>

<file path=docProps/app.xml><?xml version="1.0" encoding="utf-8"?>
<Properties xmlns="http://schemas.openxmlformats.org/officeDocument/2006/extended-properties" xmlns:vt="http://schemas.openxmlformats.org/officeDocument/2006/docPropsVTypes">
  <Template>Normal</Template>
  <TotalTime>0</TotalTime>
  <Pages>94</Pages>
  <Words>33222</Words>
  <Characters>189368</Characters>
  <Application>Microsoft Office Word</Application>
  <DocSecurity>0</DocSecurity>
  <Lines>1578</Lines>
  <Paragraphs>444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2022-11-24T14:52:00Z</dcterms:created>
  <dcterms:modified xsi:type="dcterms:W3CDTF">2022-11-24T14:52:00Z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