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A3240B"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4B6DE56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view of the different </w:t>
            </w:r>
            <w:del w:id="0" w:author="Author">
              <w:r w:rsidRPr="003B7AE9" w:rsidDel="00C03967">
                <w:rPr>
                  <w:rFonts w:ascii="inherit" w:eastAsia="Times New Roman" w:hAnsi="inherit" w:cs="Times New Roman"/>
                  <w:sz w:val="24"/>
                  <w:szCs w:val="24"/>
                  <w:lang w:eastAsia="en-GB"/>
                </w:rPr>
                <w:delText xml:space="preserve">voltage level at which generators are connected and their maximum generating capacity, this Regulation should make a distinction between different </w:delText>
              </w:r>
            </w:del>
            <w:r w:rsidRPr="003B7AE9">
              <w:rPr>
                <w:rFonts w:ascii="inherit" w:eastAsia="Times New Roman" w:hAnsi="inherit" w:cs="Times New Roman"/>
                <w:sz w:val="24"/>
                <w:szCs w:val="24"/>
                <w:lang w:eastAsia="en-GB"/>
              </w:rPr>
              <w:t xml:space="preserve">types of generators </w:t>
            </w:r>
            <w:ins w:id="1" w:author="Author">
              <w:r w:rsidR="00C03967">
                <w:rPr>
                  <w:rFonts w:ascii="inherit" w:eastAsia="Times New Roman" w:hAnsi="inherit" w:cs="Times New Roman"/>
                  <w:sz w:val="24"/>
                  <w:szCs w:val="24"/>
                  <w:lang w:eastAsia="en-GB"/>
                </w:rPr>
                <w:t xml:space="preserve">that </w:t>
              </w:r>
              <w:r w:rsidR="00FE2FA1">
                <w:rPr>
                  <w:rFonts w:ascii="inherit" w:eastAsia="Times New Roman" w:hAnsi="inherit" w:cs="Times New Roman"/>
                  <w:sz w:val="24"/>
                  <w:szCs w:val="24"/>
                  <w:lang w:eastAsia="en-GB"/>
                </w:rPr>
                <w:t>shall defined</w:t>
              </w:r>
              <w:r w:rsidR="00C03967">
                <w:rPr>
                  <w:rFonts w:ascii="inherit" w:eastAsia="Times New Roman" w:hAnsi="inherit" w:cs="Times New Roman"/>
                  <w:sz w:val="24"/>
                  <w:szCs w:val="24"/>
                  <w:lang w:eastAsia="en-GB"/>
                </w:rPr>
                <w:t xml:space="preserve"> by this Regulation, the voltage level at which connect each type of Power Generating Modules shall be established at national level.</w:t>
              </w:r>
              <w:r w:rsidR="00FE2FA1">
                <w:rPr>
                  <w:rFonts w:ascii="inherit" w:eastAsia="Times New Roman" w:hAnsi="inherit" w:cs="Times New Roman"/>
                  <w:sz w:val="24"/>
                  <w:szCs w:val="24"/>
                  <w:lang w:eastAsia="en-GB"/>
                </w:rPr>
                <w:t xml:space="preserve"> For each type of Power Generating Modules the present Regulation shall establish </w:t>
              </w:r>
            </w:ins>
            <w:del w:id="2" w:author="Author">
              <w:r w:rsidRPr="003B7AE9" w:rsidDel="00FE2FA1">
                <w:rPr>
                  <w:rFonts w:ascii="inherit" w:eastAsia="Times New Roman" w:hAnsi="inherit" w:cs="Times New Roman"/>
                  <w:sz w:val="24"/>
                  <w:szCs w:val="24"/>
                  <w:lang w:eastAsia="en-GB"/>
                </w:rPr>
                <w:delText xml:space="preserve">by establishing </w:delText>
              </w:r>
            </w:del>
            <w:r w:rsidRPr="003B7AE9">
              <w:rPr>
                <w:rFonts w:ascii="inherit" w:eastAsia="Times New Roman" w:hAnsi="inherit" w:cs="Times New Roman"/>
                <w:sz w:val="24"/>
                <w:szCs w:val="24"/>
                <w:lang w:eastAsia="en-GB"/>
              </w:rPr>
              <w:t xml:space="preserve">different levels of requirements. </w:t>
            </w:r>
            <w:del w:id="3" w:author="Author">
              <w:r w:rsidRPr="003B7AE9" w:rsidDel="00FE2FA1">
                <w:rPr>
                  <w:rFonts w:ascii="inherit" w:eastAsia="Times New Roman" w:hAnsi="inherit" w:cs="Times New Roman"/>
                  <w:sz w:val="24"/>
                  <w:szCs w:val="24"/>
                  <w:lang w:eastAsia="en-GB"/>
                </w:rPr>
                <w:delText>This Regulation does not set the rules to determine the voltage level of the connection point to which the power-generating module shall be connected.</w:delText>
              </w:r>
            </w:del>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w:t>
            </w:r>
            <w:r w:rsidRPr="003B7AE9">
              <w:rPr>
                <w:rFonts w:ascii="inherit" w:eastAsia="Times New Roman" w:hAnsi="inherit" w:cs="Times New Roman"/>
                <w:sz w:val="24"/>
                <w:szCs w:val="24"/>
                <w:lang w:eastAsia="en-GB"/>
              </w:rPr>
              <w:lastRenderedPageBreak/>
              <w:t>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4" w:author="Author">
          <w:tblPr>
            <w:tblW w:w="5000" w:type="pct"/>
            <w:tblCellMar>
              <w:left w:w="0" w:type="dxa"/>
              <w:right w:w="0" w:type="dxa"/>
            </w:tblCellMar>
            <w:tblLook w:val="04A0" w:firstRow="1" w:lastRow="0" w:firstColumn="1" w:lastColumn="0" w:noHBand="0" w:noVBand="1"/>
          </w:tblPr>
        </w:tblPrChange>
      </w:tblPr>
      <w:tblGrid>
        <w:gridCol w:w="450"/>
        <w:gridCol w:w="8576"/>
        <w:tblGridChange w:id="5">
          <w:tblGrid>
            <w:gridCol w:w="450"/>
            <w:gridCol w:w="8576"/>
          </w:tblGrid>
        </w:tblGridChange>
      </w:tblGrid>
      <w:tr w:rsidR="003B7AE9" w:rsidRPr="003B7AE9" w14:paraId="57296341" w14:textId="77777777" w:rsidTr="00A3240B">
        <w:trPr>
          <w:trHeight w:val="567"/>
        </w:trPr>
        <w:tc>
          <w:tcPr>
            <w:tcW w:w="0" w:type="auto"/>
            <w:shd w:val="clear" w:color="auto" w:fill="auto"/>
            <w:hideMark/>
            <w:tcPrChange w:id="6" w:author="Author">
              <w:tcPr>
                <w:tcW w:w="0" w:type="auto"/>
                <w:shd w:val="clear" w:color="auto" w:fill="auto"/>
                <w:hideMark/>
              </w:tcPr>
            </w:tcPrChange>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Change w:id="7" w:author="Author">
              <w:tcPr>
                <w:tcW w:w="0" w:type="auto"/>
                <w:shd w:val="clear" w:color="auto" w:fill="auto"/>
                <w:hideMark/>
              </w:tcPr>
            </w:tcPrChange>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05A3C95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w:t>
      </w:r>
      <w:ins w:id="8" w:author="Author">
        <w:r w:rsidR="0071365A">
          <w:rPr>
            <w:rFonts w:ascii="inherit" w:eastAsia="Times New Roman" w:hAnsi="inherit" w:cs="Times New Roman"/>
            <w:color w:val="000000"/>
            <w:sz w:val="24"/>
            <w:szCs w:val="24"/>
            <w:lang w:eastAsia="en-GB"/>
          </w:rPr>
          <w:t xml:space="preserve"> </w:t>
        </w:r>
      </w:ins>
      <w:del w:id="9" w:author="Author">
        <w:r w:rsidRPr="003B7AE9" w:rsidDel="0071365A">
          <w:rPr>
            <w:rFonts w:ascii="inherit" w:eastAsia="Times New Roman" w:hAnsi="inherit" w:cs="Times New Roman"/>
            <w:color w:val="000000"/>
            <w:sz w:val="24"/>
            <w:szCs w:val="24"/>
            <w:lang w:eastAsia="en-GB"/>
          </w:rPr>
          <w:delText xml:space="preserve"> </w:delText>
        </w:r>
      </w:del>
      <w:r w:rsidRPr="003B7AE9">
        <w:rPr>
          <w:rFonts w:ascii="inherit" w:eastAsia="Times New Roman" w:hAnsi="inherit" w:cs="Times New Roman"/>
          <w:color w:val="000000"/>
          <w:sz w:val="24"/>
          <w:szCs w:val="24"/>
          <w:lang w:eastAsia="en-GB"/>
        </w:rPr>
        <w:t>facilities, namely synchronous power-generating modules, power park modules</w:t>
      </w:r>
      <w:ins w:id="10" w:author="Author">
        <w:r w:rsidR="00090E6C">
          <w:rPr>
            <w:rFonts w:ascii="inherit" w:eastAsia="Times New Roman" w:hAnsi="inherit" w:cs="Times New Roman"/>
            <w:color w:val="000000"/>
            <w:sz w:val="24"/>
            <w:szCs w:val="24"/>
            <w:lang w:eastAsia="en-GB"/>
          </w:rPr>
          <w:t>,</w:t>
        </w:r>
      </w:ins>
      <w:r w:rsidRPr="003B7AE9">
        <w:rPr>
          <w:rFonts w:ascii="inherit" w:eastAsia="Times New Roman" w:hAnsi="inherit" w:cs="Times New Roman"/>
          <w:color w:val="000000"/>
          <w:sz w:val="24"/>
          <w:szCs w:val="24"/>
          <w:lang w:eastAsia="en-GB"/>
        </w:rPr>
        <w:t xml:space="preserve"> and offshore power park modules</w:t>
      </w:r>
      <w:ins w:id="11" w:author="Author">
        <w:del w:id="12" w:author="Author">
          <w:r w:rsidR="00090E6C" w:rsidDel="00EB3F7A">
            <w:rPr>
              <w:rFonts w:ascii="inherit" w:eastAsia="Times New Roman" w:hAnsi="inherit" w:cs="Times New Roman"/>
              <w:color w:val="000000"/>
              <w:sz w:val="24"/>
              <w:szCs w:val="24"/>
              <w:lang w:eastAsia="en-GB"/>
            </w:rPr>
            <w:delText xml:space="preserve"> and </w:delText>
          </w:r>
          <w:r w:rsidR="00DD2F94" w:rsidDel="00EB3F7A">
            <w:rPr>
              <w:rFonts w:ascii="inherit" w:eastAsia="Times New Roman" w:hAnsi="inherit" w:cs="Times New Roman"/>
              <w:color w:val="000000"/>
              <w:sz w:val="24"/>
              <w:szCs w:val="24"/>
              <w:lang w:eastAsia="en-GB"/>
            </w:rPr>
            <w:delText xml:space="preserve">Electrical Energy Storage </w:delText>
          </w:r>
          <w:r w:rsidR="006C7773" w:rsidDel="00EB3F7A">
            <w:rPr>
              <w:rFonts w:ascii="inherit" w:eastAsia="Times New Roman" w:hAnsi="inherit" w:cs="Times New Roman"/>
              <w:color w:val="000000"/>
              <w:sz w:val="24"/>
              <w:szCs w:val="24"/>
              <w:lang w:eastAsia="en-GB"/>
            </w:rPr>
            <w:delText>S</w:delText>
          </w:r>
          <w:r w:rsidR="00DD2F94" w:rsidDel="00EB3F7A">
            <w:rPr>
              <w:rFonts w:ascii="inherit" w:eastAsia="Times New Roman" w:hAnsi="inherit" w:cs="Times New Roman"/>
              <w:color w:val="000000"/>
              <w:sz w:val="24"/>
              <w:szCs w:val="24"/>
              <w:lang w:eastAsia="en-GB"/>
            </w:rPr>
            <w:delText>ystems</w:delText>
          </w:r>
          <w:r w:rsidR="00BD6D0B" w:rsidDel="00EB3F7A">
            <w:rPr>
              <w:rFonts w:ascii="inherit" w:eastAsia="Times New Roman" w:hAnsi="inherit" w:cs="Times New Roman"/>
              <w:color w:val="000000"/>
              <w:sz w:val="24"/>
              <w:szCs w:val="24"/>
              <w:lang w:eastAsia="en-GB"/>
            </w:rPr>
            <w:delText xml:space="preserve"> modules</w:delText>
          </w:r>
        </w:del>
      </w:ins>
      <w:r w:rsidRPr="003B7AE9">
        <w:rPr>
          <w:rFonts w:ascii="inherit" w:eastAsia="Times New Roman" w:hAnsi="inherit" w:cs="Times New Roman"/>
          <w:color w:val="000000"/>
          <w:sz w:val="24"/>
          <w:szCs w:val="24"/>
          <w:lang w:eastAsia="en-GB"/>
        </w:rPr>
        <w:t>,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6A64FFA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w:t>
      </w:r>
      <w:del w:id="13" w:author="Author">
        <w:r w:rsidRPr="003B7AE9" w:rsidDel="00AE095C">
          <w:rPr>
            <w:rFonts w:ascii="inherit" w:eastAsia="Times New Roman" w:hAnsi="inherit" w:cs="Times New Roman"/>
            <w:color w:val="000000"/>
            <w:sz w:val="24"/>
            <w:szCs w:val="24"/>
            <w:lang w:eastAsia="en-GB"/>
          </w:rPr>
          <w:delText xml:space="preserve"> 714/2009</w:delText>
        </w:r>
      </w:del>
      <w:ins w:id="14" w:author="Author">
        <w:r w:rsidR="00AE095C">
          <w:rPr>
            <w:rFonts w:ascii="inherit" w:eastAsia="Times New Roman" w:hAnsi="inherit" w:cs="Times New Roman"/>
            <w:color w:val="000000"/>
            <w:sz w:val="24"/>
            <w:szCs w:val="24"/>
            <w:lang w:eastAsia="en-GB"/>
          </w:rPr>
          <w:t>943/2019</w:t>
        </w:r>
      </w:ins>
      <w:r w:rsidRPr="003B7AE9">
        <w:rPr>
          <w:rFonts w:ascii="inherit" w:eastAsia="Times New Roman" w:hAnsi="inherit" w:cs="Times New Roman"/>
          <w:color w:val="000000"/>
          <w:sz w:val="24"/>
          <w:szCs w:val="24"/>
          <w:lang w:eastAsia="en-GB"/>
        </w:rPr>
        <w:t>,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xml:space="preserve"> and Article 2 of Directive </w:t>
      </w:r>
      <w:del w:id="15" w:author="Author">
        <w:r w:rsidRPr="003B7AE9" w:rsidDel="00AE095C">
          <w:rPr>
            <w:rFonts w:ascii="inherit" w:eastAsia="Times New Roman" w:hAnsi="inherit" w:cs="Times New Roman"/>
            <w:color w:val="000000"/>
            <w:sz w:val="24"/>
            <w:szCs w:val="24"/>
            <w:lang w:eastAsia="en-GB"/>
          </w:rPr>
          <w:delText>2009/72/</w:delText>
        </w:r>
      </w:del>
      <w:ins w:id="16" w:author="Author">
        <w:r w:rsidR="00AE095C">
          <w:rPr>
            <w:rFonts w:ascii="inherit" w:eastAsia="Times New Roman" w:hAnsi="inherit" w:cs="Times New Roman"/>
            <w:color w:val="000000"/>
            <w:sz w:val="24"/>
            <w:szCs w:val="24"/>
            <w:lang w:eastAsia="en-GB"/>
          </w:rPr>
          <w:t xml:space="preserve">2019/944 </w:t>
        </w:r>
      </w:ins>
      <w:r w:rsidRPr="003B7AE9">
        <w:rPr>
          <w:rFonts w:ascii="inherit" w:eastAsia="Times New Roman" w:hAnsi="inherit" w:cs="Times New Roman"/>
          <w:color w:val="000000"/>
          <w:sz w:val="24"/>
          <w:szCs w:val="24"/>
          <w:lang w:eastAsia="en-GB"/>
        </w:rPr>
        <w:t>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510AB51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w:t>
            </w:r>
            <w:ins w:id="17" w:author="Author">
              <w:r w:rsidR="00F94295">
                <w:rPr>
                  <w:rFonts w:ascii="inherit" w:eastAsia="Times New Roman" w:hAnsi="inherit" w:cs="Times New Roman"/>
                  <w:sz w:val="24"/>
                  <w:szCs w:val="24"/>
                  <w:lang w:eastAsia="en-GB"/>
                </w:rPr>
                <w:t>,</w:t>
              </w:r>
            </w:ins>
            <w:del w:id="18" w:author="Author">
              <w:r w:rsidRPr="003B7AE9" w:rsidDel="00F94295">
                <w:rPr>
                  <w:rFonts w:ascii="inherit" w:eastAsia="Times New Roman" w:hAnsi="inherit" w:cs="Times New Roman"/>
                  <w:sz w:val="24"/>
                  <w:szCs w:val="24"/>
                  <w:lang w:eastAsia="en-GB"/>
                </w:rPr>
                <w:delText xml:space="preserve"> or</w:delText>
              </w:r>
            </w:del>
            <w:r w:rsidRPr="003B7AE9">
              <w:rPr>
                <w:rFonts w:ascii="inherit" w:eastAsia="Times New Roman" w:hAnsi="inherit" w:cs="Times New Roman"/>
                <w:sz w:val="24"/>
                <w:szCs w:val="24"/>
                <w:lang w:eastAsia="en-GB"/>
              </w:rPr>
              <w:t xml:space="preserve"> a power park module</w:t>
            </w:r>
            <w:ins w:id="19" w:author="Author">
              <w:r w:rsidR="00F94295">
                <w:rPr>
                  <w:rFonts w:ascii="inherit" w:eastAsia="Times New Roman" w:hAnsi="inherit" w:cs="Times New Roman"/>
                  <w:sz w:val="24"/>
                  <w:szCs w:val="24"/>
                  <w:lang w:eastAsia="en-GB"/>
                </w:rPr>
                <w:t xml:space="preserve"> or a </w:t>
              </w:r>
              <w:r w:rsidR="00A85EA8">
                <w:rPr>
                  <w:rFonts w:ascii="inherit" w:eastAsia="Times New Roman" w:hAnsi="inherit" w:cs="Times New Roman"/>
                  <w:sz w:val="24"/>
                  <w:szCs w:val="24"/>
                  <w:lang w:eastAsia="en-GB"/>
                </w:rPr>
                <w:t xml:space="preserve">electric energy </w:t>
              </w:r>
              <w:r w:rsidR="00F94295">
                <w:rPr>
                  <w:rFonts w:ascii="inherit" w:eastAsia="Times New Roman" w:hAnsi="inherit" w:cs="Times New Roman"/>
                  <w:sz w:val="24"/>
                  <w:szCs w:val="24"/>
                  <w:lang w:eastAsia="en-GB"/>
                </w:rPr>
                <w:t>storage</w:t>
              </w:r>
              <w:r w:rsidR="00BD0454">
                <w:rPr>
                  <w:rFonts w:ascii="inherit" w:eastAsia="Times New Roman" w:hAnsi="inherit" w:cs="Times New Roman"/>
                  <w:sz w:val="24"/>
                  <w:szCs w:val="24"/>
                  <w:lang w:eastAsia="en-GB"/>
                </w:rPr>
                <w:t xml:space="preserve"> system module</w:t>
              </w:r>
            </w:ins>
            <w:r w:rsidRPr="003B7AE9">
              <w:rPr>
                <w:rFonts w:ascii="inherit" w:eastAsia="Times New Roman" w:hAnsi="inherit" w:cs="Times New Roman"/>
                <w:sz w:val="24"/>
                <w:szCs w:val="24"/>
                <w:lang w:eastAsia="en-GB"/>
              </w:rPr>
              <w:t>;</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34BC15A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w:t>
            </w:r>
            <w:del w:id="20" w:author="Author">
              <w:r w:rsidRPr="003B7AE9" w:rsidDel="00293CCE">
                <w:rPr>
                  <w:rFonts w:ascii="inherit" w:eastAsia="Times New Roman" w:hAnsi="inherit" w:cs="Times New Roman"/>
                  <w:sz w:val="24"/>
                  <w:szCs w:val="24"/>
                  <w:lang w:eastAsia="en-GB"/>
                </w:rPr>
                <w:delText xml:space="preserve"> at one or more connection points</w:delText>
              </w:r>
            </w:del>
            <w:r w:rsidRPr="003B7AE9">
              <w:rPr>
                <w:rFonts w:ascii="inherit" w:eastAsia="Times New Roman" w:hAnsi="inherit" w:cs="Times New Roman"/>
                <w:sz w:val="24"/>
                <w:szCs w:val="24"/>
                <w:lang w:eastAsia="en-GB"/>
              </w:rPr>
              <w:t>;</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3B117C2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w:t>
            </w:r>
            <w:del w:id="21" w:author="Author">
              <w:r w:rsidRPr="003B7AE9" w:rsidDel="00517CEB">
                <w:rPr>
                  <w:rFonts w:ascii="inherit" w:eastAsia="Times New Roman" w:hAnsi="inherit" w:cs="Times New Roman"/>
                  <w:sz w:val="24"/>
                  <w:szCs w:val="24"/>
                  <w:lang w:eastAsia="en-GB"/>
                </w:rPr>
                <w:delText xml:space="preserve"> </w:delText>
              </w:r>
            </w:del>
            <w:r w:rsidRPr="003B7AE9">
              <w:rPr>
                <w:rFonts w:ascii="inherit" w:eastAsia="Times New Roman" w:hAnsi="inherit" w:cs="Times New Roman"/>
                <w:sz w:val="24"/>
                <w:szCs w:val="24"/>
                <w:lang w:eastAsia="en-GB"/>
              </w:rPr>
              <w:t>has been demonstrated and provides the necessary data and statements, including a statement of compliance;</w:t>
            </w:r>
            <w:ins w:id="22" w:author="Author">
              <w:r w:rsidR="00517CEB">
                <w:rPr>
                  <w:rFonts w:ascii="inherit" w:eastAsia="Times New Roman" w:hAnsi="inherit" w:cs="Times New Roman"/>
                  <w:sz w:val="24"/>
                  <w:szCs w:val="24"/>
                  <w:lang w:eastAsia="en-GB"/>
                </w:rPr>
                <w:t xml:space="preserve"> requirements and compliance should be refereed to</w:t>
              </w:r>
              <w:r w:rsidR="00A903C2">
                <w:rPr>
                  <w:rFonts w:ascii="inherit" w:eastAsia="Times New Roman" w:hAnsi="inherit" w:cs="Times New Roman"/>
                  <w:sz w:val="24"/>
                  <w:szCs w:val="24"/>
                  <w:lang w:eastAsia="en-GB"/>
                </w:rPr>
                <w:t xml:space="preserve"> to harmonized </w:t>
              </w:r>
              <w:r w:rsidR="009571EB">
                <w:rPr>
                  <w:rFonts w:ascii="inherit" w:eastAsia="Times New Roman" w:hAnsi="inherit" w:cs="Times New Roman"/>
                  <w:sz w:val="24"/>
                  <w:szCs w:val="24"/>
                  <w:lang w:eastAsia="en-GB"/>
                </w:rPr>
                <w:t>Technical Standard (f.i. CENELEC)</w:t>
              </w:r>
              <w:r w:rsidR="00A903C2">
                <w:rPr>
                  <w:rFonts w:ascii="inherit" w:eastAsia="Times New Roman" w:hAnsi="inherit" w:cs="Times New Roman"/>
                  <w:sz w:val="24"/>
                  <w:szCs w:val="24"/>
                  <w:lang w:eastAsia="en-GB"/>
                </w:rPr>
                <w:t>, if existing.</w:t>
              </w:r>
              <w:r w:rsidR="00517CEB">
                <w:rPr>
                  <w:rFonts w:ascii="inherit" w:eastAsia="Times New Roman" w:hAnsi="inherit" w:cs="Times New Roman"/>
                  <w:sz w:val="24"/>
                  <w:szCs w:val="24"/>
                  <w:lang w:eastAsia="en-GB"/>
                </w:rPr>
                <w:t xml:space="preserve"> </w:t>
              </w:r>
            </w:ins>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460E8F5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r w:rsidRPr="00991EED">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03331652" w:rsidR="00743C6E" w:rsidRPr="003B7AE9" w:rsidRDefault="003B7AE9" w:rsidP="00C8640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DA5328" w:rsidRDefault="003B7AE9" w:rsidP="003B7AE9">
            <w:pPr>
              <w:spacing w:before="120" w:after="0" w:line="240" w:lineRule="auto"/>
              <w:jc w:val="both"/>
              <w:rPr>
                <w:rFonts w:ascii="inherit" w:eastAsia="Times New Roman" w:hAnsi="inherit" w:cs="Times New Roman"/>
                <w:sz w:val="24"/>
                <w:szCs w:val="24"/>
                <w:lang w:eastAsia="en-GB"/>
              </w:rPr>
            </w:pPr>
            <w:r w:rsidRPr="00DA5328">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DA5328" w:rsidRDefault="003B7AE9" w:rsidP="003B7AE9">
            <w:pPr>
              <w:spacing w:before="120" w:after="0" w:line="240" w:lineRule="auto"/>
              <w:jc w:val="both"/>
              <w:rPr>
                <w:rFonts w:ascii="inherit" w:eastAsia="Times New Roman" w:hAnsi="inherit" w:cs="Times New Roman"/>
                <w:sz w:val="24"/>
                <w:szCs w:val="24"/>
                <w:lang w:eastAsia="en-GB"/>
              </w:rPr>
            </w:pPr>
            <w:r w:rsidRPr="00DA5328">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991EED" w14:paraId="480BAB97" w14:textId="77777777" w:rsidTr="003B7AE9">
        <w:tc>
          <w:tcPr>
            <w:tcW w:w="0" w:type="auto"/>
            <w:shd w:val="clear" w:color="auto" w:fill="auto"/>
            <w:hideMark/>
          </w:tcPr>
          <w:p w14:paraId="16E4C105"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991EED"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991EED" w14:paraId="5876189A" w14:textId="77777777" w:rsidTr="003B7AE9">
        <w:tc>
          <w:tcPr>
            <w:tcW w:w="0" w:type="auto"/>
            <w:shd w:val="clear" w:color="auto" w:fill="auto"/>
            <w:hideMark/>
          </w:tcPr>
          <w:p w14:paraId="0185F133"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991EED"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991EED" w:rsidRDefault="003B7AE9" w:rsidP="003B7AE9">
            <w:pPr>
              <w:spacing w:before="120" w:after="0" w:line="240" w:lineRule="auto"/>
              <w:jc w:val="both"/>
              <w:rPr>
                <w:rFonts w:ascii="inherit" w:eastAsia="Times New Roman" w:hAnsi="inherit" w:cs="Times New Roman"/>
                <w:sz w:val="24"/>
                <w:szCs w:val="24"/>
                <w:lang w:eastAsia="en-GB"/>
              </w:rPr>
            </w:pPr>
            <w:r w:rsidRPr="00991EED">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22518B" w14:paraId="50DD9CBB" w14:textId="77777777" w:rsidTr="003B7AE9">
        <w:tc>
          <w:tcPr>
            <w:tcW w:w="0" w:type="auto"/>
            <w:shd w:val="clear" w:color="auto" w:fill="auto"/>
            <w:hideMark/>
          </w:tcPr>
          <w:p w14:paraId="2C8722AD"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22518B"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(55)</w:t>
            </w:r>
          </w:p>
        </w:tc>
        <w:tc>
          <w:tcPr>
            <w:tcW w:w="0" w:type="auto"/>
            <w:shd w:val="clear" w:color="auto" w:fill="auto"/>
            <w:hideMark/>
          </w:tcPr>
          <w:p w14:paraId="6AF774A6" w14:textId="13DA4E4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‘fast fault current’ means a current injected by a power park module</w:t>
            </w:r>
            <w:ins w:id="23" w:author="Author">
              <w:r w:rsidR="00FC2DD4" w:rsidRPr="0022518B">
                <w:rPr>
                  <w:rFonts w:ascii="inherit" w:eastAsia="Times New Roman" w:hAnsi="inherit" w:cs="Times New Roman"/>
                  <w:sz w:val="24"/>
                  <w:szCs w:val="24"/>
                  <w:lang w:eastAsia="en-GB"/>
                </w:rPr>
                <w:t xml:space="preserve">, </w:t>
              </w:r>
              <w:r w:rsidR="00512F95" w:rsidRPr="0022518B">
                <w:rPr>
                  <w:rFonts w:ascii="inherit" w:eastAsia="Times New Roman" w:hAnsi="inherit" w:cs="Times New Roman"/>
                  <w:sz w:val="24"/>
                  <w:szCs w:val="24"/>
                  <w:lang w:eastAsia="en-GB"/>
                </w:rPr>
                <w:t xml:space="preserve">electric energy storage system module </w:t>
              </w:r>
            </w:ins>
            <w:del w:id="24" w:author="Author">
              <w:r w:rsidRPr="0022518B" w:rsidDel="00512F95">
                <w:rPr>
                  <w:rFonts w:ascii="inherit" w:eastAsia="Times New Roman" w:hAnsi="inherit" w:cs="Times New Roman"/>
                  <w:sz w:val="24"/>
                  <w:szCs w:val="24"/>
                  <w:lang w:eastAsia="en-GB"/>
                </w:rPr>
                <w:delText xml:space="preserve"> </w:delText>
              </w:r>
            </w:del>
            <w:r w:rsidRPr="0022518B">
              <w:rPr>
                <w:rFonts w:ascii="inherit" w:eastAsia="Times New Roman" w:hAnsi="inherit" w:cs="Times New Roman"/>
                <w:sz w:val="24"/>
                <w:szCs w:val="24"/>
                <w:lang w:eastAsia="en-GB"/>
              </w:rPr>
              <w:t>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22518B" w14:paraId="59CBB969" w14:textId="77777777" w:rsidTr="003B7AE9">
        <w:tc>
          <w:tcPr>
            <w:tcW w:w="0" w:type="auto"/>
            <w:shd w:val="clear" w:color="auto" w:fill="auto"/>
            <w:hideMark/>
          </w:tcPr>
          <w:p w14:paraId="2559CEFE"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22518B"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22518B" w14:paraId="3D8F0046" w14:textId="77777777" w:rsidTr="003B7AE9">
        <w:tc>
          <w:tcPr>
            <w:tcW w:w="0" w:type="auto"/>
            <w:shd w:val="clear" w:color="auto" w:fill="auto"/>
            <w:hideMark/>
          </w:tcPr>
          <w:p w14:paraId="235E559F"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22518B"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22518B" w14:paraId="20F7495A" w14:textId="77777777" w:rsidTr="003B7AE9">
        <w:tc>
          <w:tcPr>
            <w:tcW w:w="0" w:type="auto"/>
            <w:shd w:val="clear" w:color="auto" w:fill="auto"/>
            <w:hideMark/>
          </w:tcPr>
          <w:p w14:paraId="50F3CD0D"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22518B"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22518B" w14:paraId="38CEFE9A" w14:textId="77777777" w:rsidTr="003B7AE9">
        <w:tc>
          <w:tcPr>
            <w:tcW w:w="0" w:type="auto"/>
            <w:shd w:val="clear" w:color="auto" w:fill="auto"/>
            <w:hideMark/>
          </w:tcPr>
          <w:p w14:paraId="42289A9F"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22518B"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25" w:author="Author">
          <w:tblPr>
            <w:tblW w:w="5000" w:type="pct"/>
            <w:tblCellMar>
              <w:left w:w="0" w:type="dxa"/>
              <w:right w:w="0" w:type="dxa"/>
            </w:tblCellMar>
            <w:tblLook w:val="04A0" w:firstRow="1" w:lastRow="0" w:firstColumn="1" w:lastColumn="0" w:noHBand="0" w:noVBand="1"/>
          </w:tblPr>
        </w:tblPrChange>
      </w:tblPr>
      <w:tblGrid>
        <w:gridCol w:w="450"/>
        <w:gridCol w:w="8576"/>
        <w:tblGridChange w:id="26">
          <w:tblGrid>
            <w:gridCol w:w="5"/>
            <w:gridCol w:w="445"/>
            <w:gridCol w:w="15"/>
            <w:gridCol w:w="8556"/>
            <w:gridCol w:w="5"/>
          </w:tblGrid>
        </w:tblGridChange>
      </w:tblGrid>
      <w:tr w:rsidR="003B7AE9" w:rsidRPr="003B7AE9" w14:paraId="67AE2038" w14:textId="77777777" w:rsidTr="00A3240B">
        <w:tc>
          <w:tcPr>
            <w:tcW w:w="0" w:type="auto"/>
            <w:shd w:val="clear" w:color="auto" w:fill="auto"/>
            <w:hideMark/>
            <w:tcPrChange w:id="27" w:author="Author">
              <w:tcPr>
                <w:tcW w:w="0" w:type="auto"/>
                <w:gridSpan w:val="2"/>
                <w:shd w:val="clear" w:color="auto" w:fill="auto"/>
                <w:hideMark/>
              </w:tcPr>
            </w:tcPrChange>
          </w:tcPr>
          <w:p w14:paraId="3BE16723" w14:textId="77777777" w:rsidR="003B7AE9" w:rsidRPr="0022518B" w:rsidRDefault="003B7AE9" w:rsidP="003B7AE9">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(65)</w:t>
            </w:r>
          </w:p>
        </w:tc>
        <w:tc>
          <w:tcPr>
            <w:tcW w:w="0" w:type="auto"/>
            <w:shd w:val="clear" w:color="auto" w:fill="auto"/>
            <w:hideMark/>
            <w:tcPrChange w:id="28" w:author="Author">
              <w:tcPr>
                <w:tcW w:w="0" w:type="auto"/>
                <w:gridSpan w:val="3"/>
                <w:shd w:val="clear" w:color="auto" w:fill="auto"/>
                <w:hideMark/>
              </w:tcPr>
            </w:tcPrChange>
          </w:tcPr>
          <w:p w14:paraId="513E8CD8" w14:textId="59FF61DF" w:rsidR="002567FE" w:rsidRPr="003B7AE9" w:rsidRDefault="003B7AE9" w:rsidP="007301FA">
            <w:pPr>
              <w:spacing w:before="120" w:after="0" w:line="240" w:lineRule="auto"/>
              <w:jc w:val="both"/>
              <w:rPr>
                <w:rFonts w:ascii="inherit" w:eastAsia="Times New Roman" w:hAnsi="inherit" w:cs="Times New Roman"/>
                <w:sz w:val="24"/>
                <w:szCs w:val="24"/>
                <w:lang w:eastAsia="en-GB"/>
              </w:rPr>
            </w:pPr>
            <w:r w:rsidRPr="0022518B">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ins w:id="29" w:author="Author">
              <w:r w:rsidR="003667DE" w:rsidRPr="0022518B">
                <w:rPr>
                  <w:rFonts w:ascii="inherit" w:eastAsia="Times New Roman" w:hAnsi="inherit" w:cs="Times New Roman"/>
                  <w:sz w:val="24"/>
                  <w:szCs w:val="24"/>
                  <w:lang w:eastAsia="en-GB"/>
                </w:rPr>
                <w:t>;</w:t>
              </w:r>
            </w:ins>
            <w:del w:id="30" w:author="Author">
              <w:r w:rsidRPr="0022518B" w:rsidDel="003667DE">
                <w:rPr>
                  <w:rFonts w:ascii="inherit" w:eastAsia="Times New Roman" w:hAnsi="inherit" w:cs="Times New Roman"/>
                  <w:sz w:val="24"/>
                  <w:szCs w:val="24"/>
                  <w:lang w:eastAsia="en-GB"/>
                </w:rPr>
                <w:delText>.</w:delText>
              </w:r>
            </w:del>
          </w:p>
        </w:tc>
      </w:tr>
      <w:tr w:rsidR="007301FA" w:rsidRPr="003B7AE9" w14:paraId="1450BBF9" w14:textId="77777777" w:rsidTr="00A3240B">
        <w:tblPrEx>
          <w:tblPrExChange w:id="31" w:author="Autho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ins w:id="32" w:author="Author"/>
          <w:trPrChange w:id="33" w:author="Author">
            <w:trPr>
              <w:gridBefore w:val="1"/>
              <w:gridAfter w:val="0"/>
            </w:trPr>
          </w:trPrChange>
        </w:trPr>
        <w:tc>
          <w:tcPr>
            <w:tcW w:w="0" w:type="auto"/>
            <w:shd w:val="clear" w:color="auto" w:fill="auto"/>
            <w:tcPrChange w:id="34" w:author="Author">
              <w:tcPr>
                <w:tcW w:w="0" w:type="auto"/>
                <w:gridSpan w:val="2"/>
                <w:shd w:val="clear" w:color="auto" w:fill="auto"/>
              </w:tcPr>
            </w:tcPrChange>
          </w:tcPr>
          <w:p w14:paraId="7F6D6318" w14:textId="1DE3D008" w:rsidR="007301FA" w:rsidRPr="003B7AE9" w:rsidRDefault="007301FA" w:rsidP="003B7AE9">
            <w:pPr>
              <w:spacing w:before="120" w:after="0" w:line="240" w:lineRule="auto"/>
              <w:jc w:val="both"/>
              <w:rPr>
                <w:ins w:id="35" w:author="Author"/>
                <w:rFonts w:ascii="inherit" w:eastAsia="Times New Roman" w:hAnsi="inherit" w:cs="Times New Roman"/>
                <w:sz w:val="24"/>
                <w:szCs w:val="24"/>
                <w:lang w:eastAsia="en-GB"/>
              </w:rPr>
            </w:pPr>
            <w:ins w:id="36" w:author="Author">
              <w:r>
                <w:rPr>
                  <w:rFonts w:ascii="inherit" w:eastAsia="Times New Roman" w:hAnsi="inherit" w:cs="Times New Roman"/>
                  <w:sz w:val="24"/>
                  <w:szCs w:val="24"/>
                  <w:lang w:eastAsia="en-GB"/>
                </w:rPr>
                <w:t>(66)</w:t>
              </w:r>
            </w:ins>
          </w:p>
        </w:tc>
        <w:tc>
          <w:tcPr>
            <w:tcW w:w="0" w:type="auto"/>
            <w:shd w:val="clear" w:color="auto" w:fill="auto"/>
            <w:tcPrChange w:id="37" w:author="Author">
              <w:tcPr>
                <w:tcW w:w="0" w:type="auto"/>
                <w:shd w:val="clear" w:color="auto" w:fill="auto"/>
              </w:tcPr>
            </w:tcPrChange>
          </w:tcPr>
          <w:p w14:paraId="227F9A57" w14:textId="3FB8107F" w:rsidR="00A85EA8" w:rsidRPr="003B7AE9" w:rsidRDefault="009D3090" w:rsidP="00A85EA8">
            <w:pPr>
              <w:spacing w:before="120" w:after="0" w:line="240" w:lineRule="auto"/>
              <w:jc w:val="both"/>
              <w:rPr>
                <w:ins w:id="38" w:author="Author"/>
                <w:rFonts w:ascii="inherit" w:eastAsia="Times New Roman" w:hAnsi="inherit" w:cs="Times New Roman"/>
                <w:sz w:val="24"/>
                <w:szCs w:val="24"/>
                <w:lang w:eastAsia="en-GB"/>
              </w:rPr>
            </w:pPr>
            <w:ins w:id="39" w:author="Author">
              <w:r>
                <w:rPr>
                  <w:rFonts w:ascii="inherit" w:eastAsia="Times New Roman" w:hAnsi="inherit" w:cs="Times New Roman"/>
                  <w:sz w:val="24"/>
                  <w:szCs w:val="24"/>
                  <w:lang w:eastAsia="en-GB"/>
                </w:rPr>
                <w:t xml:space="preserve">‘Electric Energy Storage System module’ or </w:t>
              </w:r>
              <w:r w:rsidR="00840F80">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EESS</w:t>
              </w:r>
              <w:r w:rsidR="00840F80">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module</w:t>
              </w:r>
              <w:r w:rsidR="00840F80">
                <w:rPr>
                  <w:rFonts w:ascii="inherit" w:eastAsia="Times New Roman" w:hAnsi="inherit" w:cs="Times New Roman"/>
                  <w:sz w:val="24"/>
                  <w:szCs w:val="24"/>
                  <w:lang w:eastAsia="en-GB"/>
                </w:rPr>
                <w:t xml:space="preserve">’ </w:t>
              </w:r>
              <w:r w:rsidR="00E664F9">
                <w:rPr>
                  <w:rFonts w:ascii="inherit" w:eastAsia="Times New Roman" w:hAnsi="inherit" w:cs="Times New Roman"/>
                  <w:sz w:val="24"/>
                  <w:szCs w:val="24"/>
                  <w:lang w:eastAsia="en-GB"/>
                </w:rPr>
                <w:t xml:space="preserve">means an </w:t>
              </w:r>
              <w:r w:rsidR="00AC4B06" w:rsidRPr="00AC4B06">
                <w:rPr>
                  <w:rFonts w:ascii="inherit" w:eastAsia="Times New Roman" w:hAnsi="inherit" w:cs="Times New Roman"/>
                  <w:sz w:val="24"/>
                  <w:szCs w:val="24"/>
                  <w:lang w:eastAsia="en-GB"/>
                </w:rPr>
                <w:t>installation able to absorb electrical energy, to store it for a certain amount of time and to release</w:t>
              </w:r>
              <w:r w:rsidR="00AC4B06">
                <w:rPr>
                  <w:rFonts w:ascii="inherit" w:eastAsia="Times New Roman" w:hAnsi="inherit" w:cs="Times New Roman"/>
                  <w:sz w:val="24"/>
                  <w:szCs w:val="24"/>
                  <w:lang w:eastAsia="en-GB"/>
                </w:rPr>
                <w:t xml:space="preserve"> </w:t>
              </w:r>
              <w:r w:rsidR="00AC4B06" w:rsidRPr="00AC4B06">
                <w:rPr>
                  <w:rFonts w:ascii="inherit" w:eastAsia="Times New Roman" w:hAnsi="inherit" w:cs="Times New Roman"/>
                  <w:sz w:val="24"/>
                  <w:szCs w:val="24"/>
                  <w:lang w:eastAsia="en-GB"/>
                </w:rPr>
                <w:t>electrical energy during which energy conversion processes may be included</w:t>
              </w:r>
              <w:r w:rsidR="00AC4B06">
                <w:rPr>
                  <w:rFonts w:ascii="inherit" w:eastAsia="Times New Roman" w:hAnsi="inherit" w:cs="Times New Roman"/>
                  <w:sz w:val="24"/>
                  <w:szCs w:val="24"/>
                  <w:lang w:eastAsia="en-GB"/>
                </w:rPr>
                <w:t>.</w:t>
              </w:r>
            </w:ins>
          </w:p>
        </w:tc>
      </w:tr>
    </w:tbl>
    <w:p w14:paraId="1E16F7D0" w14:textId="393DAB8C" w:rsidR="003B7AE9" w:rsidRPr="003B7AE9" w:rsidRDefault="003B7AE9" w:rsidP="00A85EA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60295DA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0" w:author="Author">
              <w:r w:rsidRPr="003B7AE9" w:rsidDel="00912A57">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5866755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limited frequency sensitive mode — over</w:t>
      </w:r>
      <w:ins w:id="41" w:author="Author">
        <w:r w:rsidR="00B74F1A">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844" w:type="pct"/>
        <w:tblInd w:w="302" w:type="dxa"/>
        <w:tblCellMar>
          <w:left w:w="0" w:type="dxa"/>
          <w:right w:w="0" w:type="dxa"/>
        </w:tblCellMar>
        <w:tblLook w:val="04A0" w:firstRow="1" w:lastRow="0" w:firstColumn="1" w:lastColumn="0" w:noHBand="0" w:noVBand="1"/>
        <w:tblPrChange w:id="42" w:author="Author">
          <w:tblPr>
            <w:tblW w:w="5000" w:type="pct"/>
            <w:tblCellMar>
              <w:left w:w="0" w:type="dxa"/>
              <w:right w:w="0" w:type="dxa"/>
            </w:tblCellMar>
            <w:tblLook w:val="04A0" w:firstRow="1" w:lastRow="0" w:firstColumn="1" w:lastColumn="0" w:noHBand="0" w:noVBand="1"/>
          </w:tblPr>
        </w:tblPrChange>
      </w:tblPr>
      <w:tblGrid>
        <w:gridCol w:w="303"/>
        <w:gridCol w:w="8441"/>
        <w:tblGridChange w:id="43">
          <w:tblGrid>
            <w:gridCol w:w="302"/>
            <w:gridCol w:w="8724"/>
          </w:tblGrid>
        </w:tblGridChange>
      </w:tblGrid>
      <w:tr w:rsidR="003B7AE9" w:rsidRPr="003B7AE9" w:rsidDel="00DD3F66" w14:paraId="31E5EA51" w14:textId="69BE3944" w:rsidTr="00A3240B">
        <w:trPr>
          <w:del w:id="44" w:author="Author"/>
        </w:trPr>
        <w:tc>
          <w:tcPr>
            <w:tcW w:w="173" w:type="pct"/>
            <w:shd w:val="clear" w:color="auto" w:fill="auto"/>
            <w:hideMark/>
            <w:tcPrChange w:id="45" w:author="Author">
              <w:tcPr>
                <w:tcW w:w="0" w:type="auto"/>
                <w:shd w:val="clear" w:color="auto" w:fill="auto"/>
                <w:hideMark/>
              </w:tcPr>
            </w:tcPrChange>
          </w:tcPr>
          <w:p w14:paraId="27724BB6" w14:textId="2D54D7C1" w:rsidR="003B7AE9" w:rsidRPr="003B7AE9" w:rsidDel="00DD3F66" w:rsidRDefault="003B7AE9" w:rsidP="003B7AE9">
            <w:pPr>
              <w:spacing w:before="120" w:after="0" w:line="240" w:lineRule="auto"/>
              <w:jc w:val="both"/>
              <w:rPr>
                <w:del w:id="46" w:author="Author"/>
                <w:rFonts w:ascii="inherit" w:eastAsia="Times New Roman" w:hAnsi="inherit" w:cs="Times New Roman"/>
                <w:sz w:val="24"/>
                <w:szCs w:val="24"/>
                <w:lang w:eastAsia="en-GB"/>
              </w:rPr>
            </w:pPr>
            <w:del w:id="47" w:author="Author">
              <w:r w:rsidRPr="003B7AE9" w:rsidDel="00DD3F66">
                <w:rPr>
                  <w:rFonts w:ascii="inherit" w:eastAsia="Times New Roman" w:hAnsi="inherit" w:cs="Times New Roman"/>
                  <w:sz w:val="24"/>
                  <w:szCs w:val="24"/>
                  <w:lang w:eastAsia="en-GB"/>
                </w:rPr>
                <w:delText>(g)</w:delText>
              </w:r>
            </w:del>
          </w:p>
        </w:tc>
        <w:tc>
          <w:tcPr>
            <w:tcW w:w="0" w:type="auto"/>
            <w:shd w:val="clear" w:color="auto" w:fill="auto"/>
            <w:hideMark/>
            <w:tcPrChange w:id="48" w:author="Author">
              <w:tcPr>
                <w:tcW w:w="0" w:type="auto"/>
                <w:shd w:val="clear" w:color="auto" w:fill="auto"/>
                <w:hideMark/>
              </w:tcPr>
            </w:tcPrChange>
          </w:tcPr>
          <w:p w14:paraId="66CF50F1" w14:textId="112D8AB9" w:rsidR="003B7AE9" w:rsidRPr="003B7AE9" w:rsidDel="00DD3F66" w:rsidRDefault="003B7AE9" w:rsidP="003B7AE9">
            <w:pPr>
              <w:spacing w:before="120" w:after="0" w:line="240" w:lineRule="auto"/>
              <w:jc w:val="both"/>
              <w:rPr>
                <w:del w:id="49" w:author="Author"/>
                <w:rFonts w:ascii="inherit" w:eastAsia="Times New Roman" w:hAnsi="inherit" w:cs="Times New Roman"/>
                <w:sz w:val="24"/>
                <w:szCs w:val="24"/>
                <w:lang w:eastAsia="en-GB"/>
              </w:rPr>
            </w:pPr>
            <w:del w:id="50" w:author="Author">
              <w:r w:rsidRPr="003B7AE9" w:rsidDel="00DD3F66">
                <w:rPr>
                  <w:rFonts w:ascii="inherit" w:eastAsia="Times New Roman" w:hAnsi="inherit" w:cs="Times New Roman"/>
                  <w:sz w:val="24"/>
                  <w:szCs w:val="24"/>
                  <w:lang w:eastAsia="en-GB"/>
                </w:rPr>
                <w:delText>the power-generating module shall be capable of operating stably during LFSM-O operation. When LFSM-O is active, the LFSM-O setpoint will prevail over any other active power setpoints.</w:delText>
              </w:r>
            </w:del>
          </w:p>
          <w:p w14:paraId="3A6126DC" w14:textId="0C1CAEC2" w:rsidR="003B7AE9" w:rsidRPr="003B7AE9" w:rsidDel="00DD3F66" w:rsidRDefault="003B7AE9" w:rsidP="003B7AE9">
            <w:pPr>
              <w:spacing w:before="240" w:after="120" w:line="240" w:lineRule="auto"/>
              <w:jc w:val="both"/>
              <w:rPr>
                <w:del w:id="51" w:author="Author"/>
                <w:rFonts w:ascii="inherit" w:eastAsia="Times New Roman" w:hAnsi="inherit" w:cs="Times New Roman"/>
                <w:b/>
                <w:bCs/>
                <w:sz w:val="24"/>
                <w:szCs w:val="24"/>
                <w:lang w:eastAsia="en-GB"/>
              </w:rPr>
            </w:pPr>
            <w:del w:id="52" w:author="Author">
              <w:r w:rsidRPr="003B7AE9" w:rsidDel="00DD3F66">
                <w:rPr>
                  <w:rFonts w:ascii="inherit" w:eastAsia="Times New Roman" w:hAnsi="inherit" w:cs="Times New Roman"/>
                  <w:b/>
                  <w:bCs/>
                  <w:i/>
                  <w:iCs/>
                  <w:sz w:val="24"/>
                  <w:szCs w:val="24"/>
                  <w:lang w:eastAsia="en-GB"/>
                </w:rPr>
                <w:delText>Figure 1</w:delText>
              </w:r>
            </w:del>
          </w:p>
          <w:p w14:paraId="3C1CA2AF" w14:textId="2B718A04" w:rsidR="003B7AE9" w:rsidRPr="003B7AE9" w:rsidDel="00DD3F66" w:rsidRDefault="003B7AE9" w:rsidP="003B7AE9">
            <w:pPr>
              <w:spacing w:before="240" w:after="120" w:line="240" w:lineRule="auto"/>
              <w:jc w:val="both"/>
              <w:rPr>
                <w:del w:id="53" w:author="Author"/>
                <w:rFonts w:ascii="inherit" w:eastAsia="Times New Roman" w:hAnsi="inherit" w:cs="Times New Roman"/>
                <w:b/>
                <w:bCs/>
                <w:sz w:val="24"/>
                <w:szCs w:val="24"/>
                <w:lang w:eastAsia="en-GB"/>
              </w:rPr>
            </w:pPr>
            <w:del w:id="54" w:author="Author">
              <w:r w:rsidRPr="003B7AE9" w:rsidDel="00DD3F66">
                <w:rPr>
                  <w:rFonts w:ascii="inherit" w:eastAsia="Times New Roman" w:hAnsi="inherit" w:cs="Times New Roman"/>
                  <w:b/>
                  <w:bCs/>
                  <w:sz w:val="24"/>
                  <w:szCs w:val="24"/>
                  <w:lang w:eastAsia="en-GB"/>
                </w:rPr>
                <w:delText>Active power frequency response capability of power-generating modules in LFSM-O</w:delText>
              </w:r>
            </w:del>
          </w:p>
          <w:p w14:paraId="3199E878" w14:textId="503CF0A3" w:rsidR="003B7AE9" w:rsidRPr="003B7AE9" w:rsidDel="00DD3F66" w:rsidRDefault="003B7AE9" w:rsidP="003B7AE9">
            <w:pPr>
              <w:spacing w:after="0" w:line="240" w:lineRule="auto"/>
              <w:rPr>
                <w:del w:id="55" w:author="Author"/>
                <w:rFonts w:ascii="inherit" w:eastAsia="Times New Roman" w:hAnsi="inherit" w:cs="Times New Roman"/>
                <w:sz w:val="24"/>
                <w:szCs w:val="24"/>
                <w:lang w:eastAsia="en-GB"/>
              </w:rPr>
            </w:pPr>
            <w:del w:id="56" w:author="Author">
              <w:r w:rsidRPr="003B7AE9" w:rsidDel="00DD3F66">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del>
          </w:p>
          <w:p w14:paraId="787815B6" w14:textId="0B12C28C" w:rsidR="003B7AE9" w:rsidRPr="003B7AE9" w:rsidDel="00DD3F66" w:rsidRDefault="003B7AE9" w:rsidP="003B7AE9">
            <w:pPr>
              <w:spacing w:before="120" w:after="0" w:line="240" w:lineRule="auto"/>
              <w:jc w:val="both"/>
              <w:rPr>
                <w:del w:id="57" w:author="Author"/>
                <w:rFonts w:ascii="inherit" w:eastAsia="Times New Roman" w:hAnsi="inherit" w:cs="Times New Roman"/>
                <w:sz w:val="24"/>
                <w:szCs w:val="24"/>
                <w:lang w:eastAsia="en-GB"/>
              </w:rPr>
            </w:pPr>
            <w:del w:id="58" w:author="Author">
              <w:r w:rsidRPr="003B7AE9" w:rsidDel="00DD3F66">
                <w:rPr>
                  <w:rFonts w:ascii="inherit" w:eastAsia="Times New Roman" w:hAnsi="inherit" w:cs="Times New Roman"/>
                  <w:sz w:val="24"/>
                  <w:szCs w:val="24"/>
                  <w:lang w:eastAsia="en-GB"/>
                </w:rPr>
                <w:delText>P</w:delText>
              </w:r>
              <w:r w:rsidRPr="003B7AE9" w:rsidDel="00DD3F66">
                <w:rPr>
                  <w:rFonts w:ascii="inherit" w:eastAsia="Times New Roman" w:hAnsi="inherit" w:cs="Times New Roman"/>
                  <w:sz w:val="17"/>
                  <w:szCs w:val="17"/>
                  <w:vertAlign w:val="subscript"/>
                  <w:lang w:eastAsia="en-GB"/>
                </w:rPr>
                <w:delText>ref</w:delText>
              </w:r>
              <w:r w:rsidRPr="003B7AE9" w:rsidDel="00DD3F66">
                <w:rPr>
                  <w:rFonts w:ascii="inherit" w:eastAsia="Times New Roman" w:hAnsi="inherit" w:cs="Times New Roman"/>
                  <w:sz w:val="24"/>
                  <w:szCs w:val="24"/>
                  <w:lang w:eastAsia="en-GB"/>
                </w:rPr>
                <w:delText> is the reference active power to which ΔΡ is related and may be specified differently for synchronous power-generating modules and power park modules. ΔΡ is the change in active power output from the power-generating module. f</w:delText>
              </w:r>
              <w:r w:rsidRPr="003B7AE9" w:rsidDel="00DD3F66">
                <w:rPr>
                  <w:rFonts w:ascii="inherit" w:eastAsia="Times New Roman" w:hAnsi="inherit" w:cs="Times New Roman"/>
                  <w:sz w:val="17"/>
                  <w:szCs w:val="17"/>
                  <w:vertAlign w:val="subscript"/>
                  <w:lang w:eastAsia="en-GB"/>
                </w:rPr>
                <w:delText>n</w:delText>
              </w:r>
              <w:r w:rsidRPr="003B7AE9" w:rsidDel="00DD3F66">
                <w:rPr>
                  <w:rFonts w:ascii="inherit" w:eastAsia="Times New Roman" w:hAnsi="inherit" w:cs="Times New Roman"/>
                  <w:sz w:val="24"/>
                  <w:szCs w:val="24"/>
                  <w:lang w:eastAsia="en-GB"/>
                </w:rPr>
                <w:delText> is the nominal frequency (50 Hz) in the network and Δf is the frequency deviation in the network. At overfrequencies where Δf is above Δf</w:delText>
              </w:r>
              <w:r w:rsidRPr="003B7AE9" w:rsidDel="00DD3F66">
                <w:rPr>
                  <w:rFonts w:ascii="inherit" w:eastAsia="Times New Roman" w:hAnsi="inherit" w:cs="Times New Roman"/>
                  <w:sz w:val="17"/>
                  <w:szCs w:val="17"/>
                  <w:vertAlign w:val="subscript"/>
                  <w:lang w:eastAsia="en-GB"/>
                </w:rPr>
                <w:delText>1,</w:delText>
              </w:r>
              <w:r w:rsidRPr="003B7AE9" w:rsidDel="00DD3F66">
                <w:rPr>
                  <w:rFonts w:ascii="inherit" w:eastAsia="Times New Roman" w:hAnsi="inherit" w:cs="Times New Roman"/>
                  <w:sz w:val="24"/>
                  <w:szCs w:val="24"/>
                  <w:lang w:eastAsia="en-GB"/>
                </w:rPr>
                <w:delText> the power-generating module has to provide a negative active power output change according to the droop S</w:delText>
              </w:r>
              <w:r w:rsidRPr="003B7AE9" w:rsidDel="00DD3F66">
                <w:rPr>
                  <w:rFonts w:ascii="inherit" w:eastAsia="Times New Roman" w:hAnsi="inherit" w:cs="Times New Roman"/>
                  <w:sz w:val="17"/>
                  <w:szCs w:val="17"/>
                  <w:vertAlign w:val="subscript"/>
                  <w:lang w:eastAsia="en-GB"/>
                </w:rPr>
                <w:delText>2</w:delText>
              </w:r>
              <w:r w:rsidRPr="003B7AE9" w:rsidDel="00DD3F66">
                <w:rPr>
                  <w:rFonts w:ascii="inherit" w:eastAsia="Times New Roman" w:hAnsi="inherit" w:cs="Times New Roman"/>
                  <w:sz w:val="24"/>
                  <w:szCs w:val="24"/>
                  <w:lang w:eastAsia="en-GB"/>
                </w:rPr>
                <w:delText>.</w:delText>
              </w:r>
            </w:del>
          </w:p>
        </w:tc>
      </w:tr>
    </w:tbl>
    <w:p w14:paraId="5C5B015D" w14:textId="26A8031B" w:rsidR="003B7AE9" w:rsidRPr="003B7AE9" w:rsidDel="00DD3F66" w:rsidRDefault="003B7AE9" w:rsidP="003B7AE9">
      <w:pPr>
        <w:shd w:val="clear" w:color="auto" w:fill="FFFFFF"/>
        <w:spacing w:before="120" w:after="0" w:line="240" w:lineRule="auto"/>
        <w:jc w:val="both"/>
        <w:rPr>
          <w:del w:id="59" w:author="Author"/>
          <w:rFonts w:ascii="inherit" w:eastAsia="Times New Roman" w:hAnsi="inherit" w:cs="Times New Roman"/>
          <w:color w:val="000000"/>
          <w:sz w:val="24"/>
          <w:szCs w:val="24"/>
          <w:lang w:eastAsia="en-GB"/>
        </w:rPr>
      </w:pPr>
      <w:del w:id="60" w:author="Author">
        <w:r w:rsidRPr="003B7AE9" w:rsidDel="00DD3F66">
          <w:rPr>
            <w:rFonts w:ascii="inherit" w:eastAsia="Times New Roman" w:hAnsi="inherit" w:cs="Times New Roman"/>
            <w:color w:val="000000"/>
            <w:sz w:val="24"/>
            <w:szCs w:val="24"/>
            <w:lang w:eastAsia="en-GB"/>
          </w:rPr>
          <w:delTex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delText>
        </w:r>
      </w:del>
    </w:p>
    <w:p w14:paraId="2A5021C1" w14:textId="252A7B8E" w:rsidR="003B7AE9" w:rsidRPr="003B7AE9" w:rsidDel="00DD3F66" w:rsidRDefault="003B7AE9" w:rsidP="003B7AE9">
      <w:pPr>
        <w:shd w:val="clear" w:color="auto" w:fill="FFFFFF"/>
        <w:spacing w:before="120" w:after="0" w:line="240" w:lineRule="auto"/>
        <w:jc w:val="both"/>
        <w:rPr>
          <w:del w:id="61" w:author="Author"/>
          <w:rFonts w:ascii="inherit" w:eastAsia="Times New Roman" w:hAnsi="inherit" w:cs="Times New Roman"/>
          <w:color w:val="000000"/>
          <w:sz w:val="24"/>
          <w:szCs w:val="24"/>
          <w:lang w:eastAsia="en-GB"/>
        </w:rPr>
      </w:pPr>
      <w:del w:id="62" w:author="Author">
        <w:r w:rsidRPr="003B7AE9" w:rsidDel="00DD3F66">
          <w:rPr>
            <w:rFonts w:ascii="inherit" w:eastAsia="Times New Roman" w:hAnsi="inherit" w:cs="Times New Roman"/>
            <w:color w:val="000000"/>
            <w:sz w:val="24"/>
            <w:szCs w:val="24"/>
            <w:lang w:eastAsia="en-GB"/>
          </w:rPr>
          <w:delText>4.   The relevant TSO shall specify admissible active power reduction from maximum output with falling frequency in its control area as a rate of reduction falling within the boundaries, illustrated by the full lines in Figure 2:</w:delText>
        </w:r>
      </w:del>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DD3F66" w14:paraId="476A9F8C" w14:textId="23EABF8E" w:rsidTr="003B7AE9">
        <w:trPr>
          <w:del w:id="63" w:author="Author"/>
        </w:trPr>
        <w:tc>
          <w:tcPr>
            <w:tcW w:w="0" w:type="auto"/>
            <w:shd w:val="clear" w:color="auto" w:fill="auto"/>
            <w:hideMark/>
          </w:tcPr>
          <w:p w14:paraId="5F2BC234" w14:textId="529390D2" w:rsidR="003B7AE9" w:rsidRPr="003B7AE9" w:rsidDel="00DD3F66" w:rsidRDefault="003B7AE9" w:rsidP="003B7AE9">
            <w:pPr>
              <w:spacing w:before="120" w:after="0" w:line="240" w:lineRule="auto"/>
              <w:jc w:val="both"/>
              <w:rPr>
                <w:del w:id="64" w:author="Author"/>
                <w:rFonts w:ascii="inherit" w:eastAsia="Times New Roman" w:hAnsi="inherit" w:cs="Times New Roman"/>
                <w:sz w:val="24"/>
                <w:szCs w:val="24"/>
                <w:lang w:eastAsia="en-GB"/>
              </w:rPr>
            </w:pPr>
            <w:del w:id="65" w:author="Author">
              <w:r w:rsidRPr="003B7AE9" w:rsidDel="00DD3F66">
                <w:rPr>
                  <w:rFonts w:ascii="inherit" w:eastAsia="Times New Roman" w:hAnsi="inherit" w:cs="Times New Roman"/>
                  <w:sz w:val="24"/>
                  <w:szCs w:val="24"/>
                  <w:lang w:eastAsia="en-GB"/>
                </w:rPr>
                <w:delText>(a)</w:delText>
              </w:r>
            </w:del>
          </w:p>
        </w:tc>
        <w:tc>
          <w:tcPr>
            <w:tcW w:w="0" w:type="auto"/>
            <w:shd w:val="clear" w:color="auto" w:fill="auto"/>
            <w:hideMark/>
          </w:tcPr>
          <w:p w14:paraId="2CC61D9B" w14:textId="4DD5F37C" w:rsidR="003B7AE9" w:rsidRPr="003B7AE9" w:rsidDel="00DD3F66" w:rsidRDefault="003B7AE9" w:rsidP="003B7AE9">
            <w:pPr>
              <w:spacing w:before="120" w:after="0" w:line="240" w:lineRule="auto"/>
              <w:jc w:val="both"/>
              <w:rPr>
                <w:del w:id="66" w:author="Author"/>
                <w:rFonts w:ascii="inherit" w:eastAsia="Times New Roman" w:hAnsi="inherit" w:cs="Times New Roman"/>
                <w:sz w:val="24"/>
                <w:szCs w:val="24"/>
                <w:lang w:eastAsia="en-GB"/>
              </w:rPr>
            </w:pPr>
            <w:del w:id="67" w:author="Author">
              <w:r w:rsidRPr="003B7AE9" w:rsidDel="00DD3F66">
                <w:rPr>
                  <w:rFonts w:ascii="inherit" w:eastAsia="Times New Roman" w:hAnsi="inherit" w:cs="Times New Roman"/>
                  <w:sz w:val="24"/>
                  <w:szCs w:val="24"/>
                  <w:lang w:eastAsia="en-GB"/>
                </w:rPr>
                <w:delText>below 49 Hz falling by a reduction rate of 2 % of the maximum capacity at 50 Hz per 1 Hz frequency drop;</w:delText>
              </w:r>
            </w:del>
          </w:p>
        </w:tc>
      </w:tr>
    </w:tbl>
    <w:p w14:paraId="60778856" w14:textId="7FC36673" w:rsidR="003B7AE9" w:rsidRPr="003B7AE9" w:rsidDel="00DD3F66" w:rsidRDefault="003B7AE9" w:rsidP="003B7AE9">
      <w:pPr>
        <w:shd w:val="clear" w:color="auto" w:fill="FFFFFF"/>
        <w:spacing w:after="0" w:line="240" w:lineRule="auto"/>
        <w:rPr>
          <w:del w:id="6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DD3F66" w14:paraId="6F73D087" w14:textId="7D559194" w:rsidTr="003B7AE9">
        <w:trPr>
          <w:del w:id="69" w:author="Author"/>
        </w:trPr>
        <w:tc>
          <w:tcPr>
            <w:tcW w:w="0" w:type="auto"/>
            <w:shd w:val="clear" w:color="auto" w:fill="auto"/>
            <w:hideMark/>
          </w:tcPr>
          <w:p w14:paraId="64B63A36" w14:textId="1F698B58" w:rsidR="003B7AE9" w:rsidRPr="003B7AE9" w:rsidDel="00DD3F66" w:rsidRDefault="003B7AE9" w:rsidP="003B7AE9">
            <w:pPr>
              <w:spacing w:before="120" w:after="0" w:line="240" w:lineRule="auto"/>
              <w:jc w:val="both"/>
              <w:rPr>
                <w:del w:id="70" w:author="Author"/>
                <w:rFonts w:ascii="inherit" w:eastAsia="Times New Roman" w:hAnsi="inherit" w:cs="Times New Roman"/>
                <w:sz w:val="24"/>
                <w:szCs w:val="24"/>
                <w:lang w:eastAsia="en-GB"/>
              </w:rPr>
            </w:pPr>
            <w:del w:id="71" w:author="Author">
              <w:r w:rsidRPr="003B7AE9" w:rsidDel="00DD3F66">
                <w:rPr>
                  <w:rFonts w:ascii="inherit" w:eastAsia="Times New Roman" w:hAnsi="inherit" w:cs="Times New Roman"/>
                  <w:sz w:val="24"/>
                  <w:szCs w:val="24"/>
                  <w:lang w:eastAsia="en-GB"/>
                </w:rPr>
                <w:delText>(b)</w:delText>
              </w:r>
            </w:del>
          </w:p>
        </w:tc>
        <w:tc>
          <w:tcPr>
            <w:tcW w:w="0" w:type="auto"/>
            <w:shd w:val="clear" w:color="auto" w:fill="auto"/>
            <w:hideMark/>
          </w:tcPr>
          <w:p w14:paraId="3DE403D5" w14:textId="61A47627" w:rsidR="003B7AE9" w:rsidRPr="003B7AE9" w:rsidDel="00DD3F66" w:rsidRDefault="003B7AE9" w:rsidP="003B7AE9">
            <w:pPr>
              <w:spacing w:before="120" w:after="0" w:line="240" w:lineRule="auto"/>
              <w:jc w:val="both"/>
              <w:rPr>
                <w:del w:id="72" w:author="Author"/>
                <w:rFonts w:ascii="inherit" w:eastAsia="Times New Roman" w:hAnsi="inherit" w:cs="Times New Roman"/>
                <w:sz w:val="24"/>
                <w:szCs w:val="24"/>
                <w:lang w:eastAsia="en-GB"/>
              </w:rPr>
            </w:pPr>
            <w:del w:id="73" w:author="Author">
              <w:r w:rsidRPr="00AF41C7" w:rsidDel="00DD3F66">
                <w:rPr>
                  <w:rFonts w:ascii="inherit" w:eastAsia="Times New Roman" w:hAnsi="inherit" w:cs="Times New Roman"/>
                  <w:sz w:val="24"/>
                  <w:szCs w:val="24"/>
                  <w:lang w:eastAsia="en-GB"/>
                </w:rPr>
                <w:delText>below 49,5</w:delText>
              </w:r>
              <w:r w:rsidRPr="00AF41C7" w:rsidDel="00DD3F66">
                <w:rPr>
                  <w:rFonts w:ascii="inherit" w:eastAsia="Times New Roman" w:hAnsi="inherit" w:cs="Times New Roman" w:hint="eastAsia"/>
                  <w:sz w:val="24"/>
                  <w:szCs w:val="24"/>
                  <w:lang w:eastAsia="en-GB"/>
                </w:rPr>
                <w:delText> </w:delText>
              </w:r>
              <w:r w:rsidRPr="00AF41C7" w:rsidDel="00DD3F66">
                <w:rPr>
                  <w:rFonts w:ascii="inherit" w:eastAsia="Times New Roman" w:hAnsi="inherit" w:cs="Times New Roman"/>
                  <w:sz w:val="24"/>
                  <w:szCs w:val="24"/>
                  <w:lang w:eastAsia="en-GB"/>
                </w:rPr>
                <w:delText>Hz falling by a reduction rate of 10 % of the maximum capacity at 50</w:delText>
              </w:r>
              <w:r w:rsidRPr="00AF41C7" w:rsidDel="00DD3F66">
                <w:rPr>
                  <w:rFonts w:ascii="inherit" w:eastAsia="Times New Roman" w:hAnsi="inherit" w:cs="Times New Roman" w:hint="eastAsia"/>
                  <w:sz w:val="24"/>
                  <w:szCs w:val="24"/>
                  <w:lang w:eastAsia="en-GB"/>
                </w:rPr>
                <w:delText> </w:delText>
              </w:r>
              <w:r w:rsidRPr="00AF41C7" w:rsidDel="00DD3F66">
                <w:rPr>
                  <w:rFonts w:ascii="inherit" w:eastAsia="Times New Roman" w:hAnsi="inherit" w:cs="Times New Roman"/>
                  <w:sz w:val="24"/>
                  <w:szCs w:val="24"/>
                  <w:lang w:eastAsia="en-GB"/>
                </w:rPr>
                <w:delText>Hz per 1 Hz frequency drop.</w:delText>
              </w:r>
            </w:del>
          </w:p>
        </w:tc>
      </w:tr>
    </w:tbl>
    <w:p w14:paraId="4913B631" w14:textId="7098C838" w:rsidR="003B7AE9" w:rsidRPr="003B7AE9" w:rsidDel="00DD3F66" w:rsidRDefault="003B7AE9" w:rsidP="003B7AE9">
      <w:pPr>
        <w:shd w:val="clear" w:color="auto" w:fill="FFFFFF"/>
        <w:spacing w:before="120" w:after="0" w:line="240" w:lineRule="auto"/>
        <w:jc w:val="both"/>
        <w:rPr>
          <w:del w:id="74" w:author="Author"/>
          <w:rFonts w:ascii="inherit" w:eastAsia="Times New Roman" w:hAnsi="inherit" w:cs="Times New Roman"/>
          <w:color w:val="000000"/>
          <w:sz w:val="24"/>
          <w:szCs w:val="24"/>
          <w:lang w:eastAsia="en-GB"/>
        </w:rPr>
      </w:pPr>
      <w:del w:id="75" w:author="Author">
        <w:r w:rsidRPr="003B7AE9" w:rsidDel="00DD3F66">
          <w:rPr>
            <w:rFonts w:ascii="inherit" w:eastAsia="Times New Roman" w:hAnsi="inherit" w:cs="Times New Roman"/>
            <w:color w:val="000000"/>
            <w:sz w:val="24"/>
            <w:szCs w:val="24"/>
            <w:lang w:eastAsia="en-GB"/>
          </w:rPr>
          <w:delText>5.   The admissible active power reduction from maximum output shall:</w:delText>
        </w:r>
      </w:del>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rsidDel="00DD3F66" w14:paraId="710F36A2" w14:textId="53ADAE44" w:rsidTr="003B7AE9">
        <w:trPr>
          <w:del w:id="76" w:author="Author"/>
        </w:trPr>
        <w:tc>
          <w:tcPr>
            <w:tcW w:w="0" w:type="auto"/>
            <w:shd w:val="clear" w:color="auto" w:fill="auto"/>
            <w:hideMark/>
          </w:tcPr>
          <w:p w14:paraId="1441460D" w14:textId="0AD7C320" w:rsidR="003B7AE9" w:rsidRPr="003B7AE9" w:rsidDel="00DD3F66" w:rsidRDefault="003B7AE9" w:rsidP="003B7AE9">
            <w:pPr>
              <w:spacing w:before="120" w:after="0" w:line="240" w:lineRule="auto"/>
              <w:jc w:val="both"/>
              <w:rPr>
                <w:del w:id="77" w:author="Author"/>
                <w:rFonts w:ascii="inherit" w:eastAsia="Times New Roman" w:hAnsi="inherit" w:cs="Times New Roman"/>
                <w:sz w:val="24"/>
                <w:szCs w:val="24"/>
                <w:lang w:eastAsia="en-GB"/>
              </w:rPr>
            </w:pPr>
            <w:del w:id="78" w:author="Author">
              <w:r w:rsidRPr="003B7AE9" w:rsidDel="00DD3F66">
                <w:rPr>
                  <w:rFonts w:ascii="inherit" w:eastAsia="Times New Roman" w:hAnsi="inherit" w:cs="Times New Roman"/>
                  <w:sz w:val="24"/>
                  <w:szCs w:val="24"/>
                  <w:lang w:eastAsia="en-GB"/>
                </w:rPr>
                <w:delText>(a)</w:delText>
              </w:r>
            </w:del>
          </w:p>
        </w:tc>
        <w:tc>
          <w:tcPr>
            <w:tcW w:w="0" w:type="auto"/>
            <w:shd w:val="clear" w:color="auto" w:fill="auto"/>
            <w:hideMark/>
          </w:tcPr>
          <w:p w14:paraId="272928CE" w14:textId="531B26D5" w:rsidR="003B7AE9" w:rsidRPr="003B7AE9" w:rsidDel="00DD3F66" w:rsidRDefault="003B7AE9" w:rsidP="003B7AE9">
            <w:pPr>
              <w:spacing w:before="120" w:after="0" w:line="240" w:lineRule="auto"/>
              <w:jc w:val="both"/>
              <w:rPr>
                <w:del w:id="79" w:author="Author"/>
                <w:rFonts w:ascii="inherit" w:eastAsia="Times New Roman" w:hAnsi="inherit" w:cs="Times New Roman"/>
                <w:sz w:val="24"/>
                <w:szCs w:val="24"/>
                <w:lang w:eastAsia="en-GB"/>
              </w:rPr>
            </w:pPr>
            <w:del w:id="80" w:author="Author">
              <w:r w:rsidRPr="003B7AE9" w:rsidDel="00DD3F66">
                <w:rPr>
                  <w:rFonts w:ascii="inherit" w:eastAsia="Times New Roman" w:hAnsi="inherit" w:cs="Times New Roman"/>
                  <w:sz w:val="24"/>
                  <w:szCs w:val="24"/>
                  <w:lang w:eastAsia="en-GB"/>
                </w:rPr>
                <w:delText>clearly specify the ambient conditions applicable;</w:delText>
              </w:r>
            </w:del>
          </w:p>
        </w:tc>
      </w:tr>
    </w:tbl>
    <w:p w14:paraId="6FAFCFD9" w14:textId="49034E54" w:rsidR="003B7AE9" w:rsidRPr="003B7AE9" w:rsidDel="00DD3F66" w:rsidRDefault="003B7AE9" w:rsidP="003B7AE9">
      <w:pPr>
        <w:shd w:val="clear" w:color="auto" w:fill="FFFFFF"/>
        <w:spacing w:after="0" w:line="240" w:lineRule="auto"/>
        <w:rPr>
          <w:del w:id="8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DD3F66" w14:paraId="5E1F6339" w14:textId="3C7DC087" w:rsidTr="003B7AE9">
        <w:trPr>
          <w:del w:id="82" w:author="Author"/>
        </w:trPr>
        <w:tc>
          <w:tcPr>
            <w:tcW w:w="0" w:type="auto"/>
            <w:shd w:val="clear" w:color="auto" w:fill="auto"/>
            <w:hideMark/>
          </w:tcPr>
          <w:p w14:paraId="46C5A05B" w14:textId="3159F4E5" w:rsidR="003B7AE9" w:rsidRPr="003B7AE9" w:rsidDel="00DD3F66" w:rsidRDefault="003B7AE9" w:rsidP="003B7AE9">
            <w:pPr>
              <w:spacing w:before="120" w:after="0" w:line="240" w:lineRule="auto"/>
              <w:jc w:val="both"/>
              <w:rPr>
                <w:del w:id="83" w:author="Author"/>
                <w:rFonts w:ascii="inherit" w:eastAsia="Times New Roman" w:hAnsi="inherit" w:cs="Times New Roman"/>
                <w:sz w:val="24"/>
                <w:szCs w:val="24"/>
                <w:lang w:eastAsia="en-GB"/>
              </w:rPr>
            </w:pPr>
            <w:del w:id="84" w:author="Author">
              <w:r w:rsidRPr="003B7AE9" w:rsidDel="00DD3F66">
                <w:rPr>
                  <w:rFonts w:ascii="inherit" w:eastAsia="Times New Roman" w:hAnsi="inherit" w:cs="Times New Roman"/>
                  <w:sz w:val="24"/>
                  <w:szCs w:val="24"/>
                  <w:lang w:eastAsia="en-GB"/>
                </w:rPr>
                <w:delText>(b)</w:delText>
              </w:r>
            </w:del>
          </w:p>
        </w:tc>
        <w:tc>
          <w:tcPr>
            <w:tcW w:w="0" w:type="auto"/>
            <w:shd w:val="clear" w:color="auto" w:fill="auto"/>
            <w:hideMark/>
          </w:tcPr>
          <w:p w14:paraId="26A5ABE3" w14:textId="2D6EB913" w:rsidR="003B7AE9" w:rsidRPr="003B7AE9" w:rsidDel="00DD3F66" w:rsidRDefault="003B7AE9" w:rsidP="003B7AE9">
            <w:pPr>
              <w:spacing w:before="120" w:after="0" w:line="240" w:lineRule="auto"/>
              <w:jc w:val="both"/>
              <w:rPr>
                <w:del w:id="85" w:author="Author"/>
                <w:rFonts w:ascii="inherit" w:eastAsia="Times New Roman" w:hAnsi="inherit" w:cs="Times New Roman"/>
                <w:sz w:val="24"/>
                <w:szCs w:val="24"/>
                <w:lang w:eastAsia="en-GB"/>
              </w:rPr>
            </w:pPr>
            <w:del w:id="86" w:author="Author">
              <w:r w:rsidRPr="003B7AE9" w:rsidDel="00DD3F66">
                <w:rPr>
                  <w:rFonts w:ascii="inherit" w:eastAsia="Times New Roman" w:hAnsi="inherit" w:cs="Times New Roman"/>
                  <w:sz w:val="24"/>
                  <w:szCs w:val="24"/>
                  <w:lang w:eastAsia="en-GB"/>
                </w:rPr>
                <w:delText>take account of the technical capabilities of power-generating modules.</w:delText>
              </w:r>
            </w:del>
          </w:p>
          <w:p w14:paraId="3CBFDB5D" w14:textId="34B6623E" w:rsidR="003B7AE9" w:rsidRPr="003B7AE9" w:rsidDel="00DD3F66" w:rsidRDefault="003B7AE9" w:rsidP="003B7AE9">
            <w:pPr>
              <w:spacing w:before="240" w:after="120" w:line="240" w:lineRule="auto"/>
              <w:jc w:val="both"/>
              <w:rPr>
                <w:del w:id="87" w:author="Author"/>
                <w:rFonts w:ascii="inherit" w:eastAsia="Times New Roman" w:hAnsi="inherit" w:cs="Times New Roman"/>
                <w:b/>
                <w:bCs/>
                <w:sz w:val="24"/>
                <w:szCs w:val="24"/>
                <w:lang w:eastAsia="en-GB"/>
              </w:rPr>
            </w:pPr>
            <w:del w:id="88" w:author="Author">
              <w:r w:rsidRPr="003B7AE9" w:rsidDel="00DD3F66">
                <w:rPr>
                  <w:rFonts w:ascii="inherit" w:eastAsia="Times New Roman" w:hAnsi="inherit" w:cs="Times New Roman"/>
                  <w:b/>
                  <w:bCs/>
                  <w:i/>
                  <w:iCs/>
                  <w:sz w:val="24"/>
                  <w:szCs w:val="24"/>
                  <w:lang w:eastAsia="en-GB"/>
                </w:rPr>
                <w:delText>Figure 2</w:delText>
              </w:r>
            </w:del>
          </w:p>
          <w:p w14:paraId="274F4598" w14:textId="5FA3CEA4" w:rsidR="003B7AE9" w:rsidRPr="003B7AE9" w:rsidDel="00DD3F66" w:rsidRDefault="003B7AE9" w:rsidP="003B7AE9">
            <w:pPr>
              <w:spacing w:before="240" w:after="120" w:line="240" w:lineRule="auto"/>
              <w:jc w:val="both"/>
              <w:rPr>
                <w:del w:id="89" w:author="Author"/>
                <w:rFonts w:ascii="inherit" w:eastAsia="Times New Roman" w:hAnsi="inherit" w:cs="Times New Roman"/>
                <w:b/>
                <w:bCs/>
                <w:sz w:val="24"/>
                <w:szCs w:val="24"/>
                <w:lang w:eastAsia="en-GB"/>
              </w:rPr>
            </w:pPr>
            <w:del w:id="90" w:author="Author">
              <w:r w:rsidRPr="003B7AE9" w:rsidDel="00DD3F66">
                <w:rPr>
                  <w:rFonts w:ascii="inherit" w:eastAsia="Times New Roman" w:hAnsi="inherit" w:cs="Times New Roman"/>
                  <w:b/>
                  <w:bCs/>
                  <w:sz w:val="24"/>
                  <w:szCs w:val="24"/>
                  <w:lang w:eastAsia="en-GB"/>
                </w:rPr>
                <w:delText>Maximum power capability reduction with falling frequency</w:delText>
              </w:r>
            </w:del>
          </w:p>
          <w:p w14:paraId="272DA4A6" w14:textId="41ACADFB" w:rsidR="003B7AE9" w:rsidRPr="003B7AE9" w:rsidDel="00DD3F66" w:rsidRDefault="003B7AE9" w:rsidP="003B7AE9">
            <w:pPr>
              <w:spacing w:after="0" w:line="240" w:lineRule="auto"/>
              <w:rPr>
                <w:del w:id="91" w:author="Author"/>
                <w:rFonts w:ascii="inherit" w:eastAsia="Times New Roman" w:hAnsi="inherit" w:cs="Times New Roman"/>
                <w:sz w:val="24"/>
                <w:szCs w:val="24"/>
                <w:lang w:eastAsia="en-GB"/>
              </w:rPr>
            </w:pPr>
            <w:del w:id="92" w:author="Author">
              <w:r w:rsidRPr="003B7AE9" w:rsidDel="00DD3F66">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del>
          </w:p>
          <w:p w14:paraId="1D123246" w14:textId="162C4C74" w:rsidR="003B7AE9" w:rsidRPr="003B7AE9" w:rsidDel="00DD3F66" w:rsidRDefault="003B7AE9" w:rsidP="003B7AE9">
            <w:pPr>
              <w:spacing w:before="120" w:after="0" w:line="240" w:lineRule="auto"/>
              <w:jc w:val="both"/>
              <w:rPr>
                <w:del w:id="93" w:author="Author"/>
                <w:rFonts w:ascii="inherit" w:eastAsia="Times New Roman" w:hAnsi="inherit" w:cs="Times New Roman"/>
                <w:sz w:val="24"/>
                <w:szCs w:val="24"/>
                <w:lang w:eastAsia="en-GB"/>
              </w:rPr>
            </w:pPr>
            <w:del w:id="94" w:author="Author">
              <w:r w:rsidRPr="003B7AE9" w:rsidDel="00DD3F66">
                <w:rPr>
                  <w:rFonts w:ascii="inherit" w:eastAsia="Times New Roman" w:hAnsi="inherit" w:cs="Times New Roman"/>
                  <w:sz w:val="24"/>
                  <w:szCs w:val="24"/>
                  <w:lang w:eastAsia="en-GB"/>
                </w:rPr>
                <w:delText>The diagram represents the boundaries in which the capability can be specified by the relevant TSO.</w:delText>
              </w:r>
            </w:del>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BE636B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ins w:id="95" w:author="Author">
        <w:r w:rsidR="00740447" w:rsidRPr="00740447">
          <w:t xml:space="preserve"> </w:t>
        </w:r>
        <w:r w:rsidR="00740447" w:rsidRPr="00740447">
          <w:rPr>
            <w:rFonts w:ascii="inherit" w:eastAsia="Times New Roman" w:hAnsi="inherit" w:cs="Times New Roman"/>
            <w:color w:val="000000"/>
            <w:sz w:val="24"/>
            <w:szCs w:val="24"/>
            <w:lang w:eastAsia="en-GB"/>
          </w:rPr>
          <w:t>referring to the EN 50549 family standard of CENELEC, except for Article 13(2)(b).</w:t>
        </w:r>
      </w:ins>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A3240B">
        <w:rPr>
          <w:rFonts w:ascii="inherit" w:eastAsia="Times New Roman" w:hAnsi="inherit" w:cs="Times New Roman"/>
          <w:b/>
          <w:bCs/>
          <w:color w:val="000000"/>
          <w:sz w:val="24"/>
          <w:szCs w:val="24"/>
          <w:highlight w:val="yellow"/>
          <w:lang w:eastAsia="en-GB"/>
          <w:rPrChange w:id="96" w:author="Author">
            <w:rPr>
              <w:rFonts w:ascii="inherit" w:eastAsia="Times New Roman" w:hAnsi="inherit" w:cs="Times New Roman"/>
              <w:b/>
              <w:bCs/>
              <w:color w:val="000000"/>
              <w:sz w:val="24"/>
              <w:szCs w:val="24"/>
              <w:lang w:eastAsia="en-GB"/>
            </w:rPr>
          </w:rPrChange>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565946DD" w:rsidR="003B7AE9" w:rsidRDefault="003B7AE9" w:rsidP="003B7AE9">
      <w:pPr>
        <w:shd w:val="clear" w:color="auto" w:fill="FFFFFF"/>
        <w:spacing w:before="120" w:after="0" w:line="240" w:lineRule="auto"/>
        <w:jc w:val="both"/>
        <w:rPr>
          <w:ins w:id="97"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3A008361" w14:textId="7681CD7B" w:rsidR="00E30304" w:rsidRDefault="00E30304" w:rsidP="003B7AE9">
      <w:pPr>
        <w:shd w:val="clear" w:color="auto" w:fill="FFFFFF"/>
        <w:spacing w:before="120" w:after="0" w:line="240" w:lineRule="auto"/>
        <w:jc w:val="both"/>
        <w:rPr>
          <w:ins w:id="98" w:author="Author"/>
          <w:rFonts w:ascii="inherit" w:eastAsia="Times New Roman" w:hAnsi="inherit" w:cs="Times New Roman"/>
          <w:color w:val="000000"/>
          <w:sz w:val="24"/>
          <w:szCs w:val="24"/>
          <w:lang w:eastAsia="en-GB"/>
        </w:rPr>
      </w:pPr>
    </w:p>
    <w:p w14:paraId="6CB4E004" w14:textId="77777777" w:rsidR="00E30304" w:rsidRPr="003B7AE9" w:rsidRDefault="00E3030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A3240B"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en-US" w:eastAsia="en-GB"/>
          <w:rPrChange w:id="99" w:author="Author">
            <w:rPr>
              <w:rFonts w:ascii="inherit" w:eastAsia="Times New Roman" w:hAnsi="inherit" w:cs="Times New Roman"/>
              <w:i/>
              <w:iCs/>
              <w:color w:val="000000"/>
              <w:sz w:val="24"/>
              <w:szCs w:val="24"/>
              <w:lang w:val="fr-FR" w:eastAsia="en-GB"/>
            </w:rPr>
          </w:rPrChange>
        </w:rPr>
      </w:pPr>
      <w:r w:rsidRPr="00A3240B">
        <w:rPr>
          <w:rFonts w:ascii="inherit" w:eastAsia="Times New Roman" w:hAnsi="inherit" w:cs="Times New Roman"/>
          <w:i/>
          <w:iCs/>
          <w:color w:val="000000"/>
          <w:sz w:val="24"/>
          <w:szCs w:val="24"/>
          <w:lang w:val="en-US" w:eastAsia="en-GB"/>
          <w:rPrChange w:id="100" w:author="Author">
            <w:rPr>
              <w:rFonts w:ascii="inherit" w:eastAsia="Times New Roman" w:hAnsi="inherit" w:cs="Times New Roman"/>
              <w:i/>
              <w:iCs/>
              <w:color w:val="000000"/>
              <w:sz w:val="24"/>
              <w:szCs w:val="24"/>
              <w:lang w:val="fr-FR" w:eastAsia="en-GB"/>
            </w:rPr>
          </w:rPrChange>
        </w:rPr>
        <w:t>Article 58</w:t>
      </w:r>
    </w:p>
    <w:p w14:paraId="0816BE4E" w14:textId="77777777" w:rsidR="003B7AE9" w:rsidRPr="00A3240B"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en-US" w:eastAsia="en-GB"/>
          <w:rPrChange w:id="101" w:author="Author">
            <w:rPr>
              <w:rFonts w:ascii="inherit" w:eastAsia="Times New Roman" w:hAnsi="inherit" w:cs="Times New Roman"/>
              <w:b/>
              <w:bCs/>
              <w:color w:val="000000"/>
              <w:sz w:val="24"/>
              <w:szCs w:val="24"/>
              <w:lang w:val="fr-FR" w:eastAsia="en-GB"/>
            </w:rPr>
          </w:rPrChange>
        </w:rPr>
      </w:pPr>
      <w:r w:rsidRPr="00A3240B">
        <w:rPr>
          <w:rFonts w:ascii="inherit" w:eastAsia="Times New Roman" w:hAnsi="inherit" w:cs="Times New Roman"/>
          <w:b/>
          <w:bCs/>
          <w:color w:val="000000"/>
          <w:sz w:val="24"/>
          <w:szCs w:val="24"/>
          <w:lang w:val="en-US" w:eastAsia="en-GB"/>
          <w:rPrChange w:id="102" w:author="Author">
            <w:rPr>
              <w:rFonts w:ascii="inherit" w:eastAsia="Times New Roman" w:hAnsi="inherit" w:cs="Times New Roman"/>
              <w:b/>
              <w:bCs/>
              <w:color w:val="000000"/>
              <w:sz w:val="24"/>
              <w:szCs w:val="24"/>
              <w:lang w:val="fr-FR" w:eastAsia="en-GB"/>
            </w:rPr>
          </w:rPrChange>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A3240B"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A3240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A3240B"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A3240B"/>
    <w:sectPr w:rsidR="00F9206B">
      <w:headerReference w:type="default" r:id="rId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17E60" w14:textId="77777777" w:rsidR="00E1137F" w:rsidRDefault="00E1137F" w:rsidP="00F62853">
      <w:pPr>
        <w:spacing w:after="0" w:line="240" w:lineRule="auto"/>
      </w:pPr>
      <w:r>
        <w:separator/>
      </w:r>
    </w:p>
  </w:endnote>
  <w:endnote w:type="continuationSeparator" w:id="0">
    <w:p w14:paraId="6AD096AC" w14:textId="77777777" w:rsidR="00E1137F" w:rsidRDefault="00E1137F" w:rsidP="00F62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80536" w14:textId="77777777" w:rsidR="00E1137F" w:rsidRDefault="00E1137F" w:rsidP="00F62853">
      <w:pPr>
        <w:spacing w:after="0" w:line="240" w:lineRule="auto"/>
      </w:pPr>
      <w:r>
        <w:separator/>
      </w:r>
    </w:p>
  </w:footnote>
  <w:footnote w:type="continuationSeparator" w:id="0">
    <w:p w14:paraId="5CE9482A" w14:textId="77777777" w:rsidR="00E1137F" w:rsidRDefault="00E1137F" w:rsidP="00F628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F0E8B" w14:textId="698A2008" w:rsidR="00F62853" w:rsidRDefault="00A3240B">
    <w:pPr>
      <w:pStyle w:val="Header"/>
    </w:pPr>
    <w:r>
      <w:rPr>
        <w:noProof/>
      </w:rPr>
      <mc:AlternateContent>
        <mc:Choice Requires="wps">
          <w:drawing>
            <wp:anchor distT="0" distB="0" distL="114300" distR="114300" simplePos="0" relativeHeight="251659264" behindDoc="0" locked="0" layoutInCell="0" allowOverlap="1" wp14:anchorId="72FBBCDA" wp14:editId="327C3C38">
              <wp:simplePos x="0" y="0"/>
              <wp:positionH relativeFrom="page">
                <wp:posOffset>0</wp:posOffset>
              </wp:positionH>
              <wp:positionV relativeFrom="page">
                <wp:posOffset>190500</wp:posOffset>
              </wp:positionV>
              <wp:extent cx="7560310" cy="252095"/>
              <wp:effectExtent l="0" t="0" r="0" b="14605"/>
              <wp:wrapNone/>
              <wp:docPr id="2" name="MSIPCMa8ad4d30b1e8ae5847e12927" descr="{&quot;HashCode&quot;:-7551278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9C2068" w14:textId="2CB07D13" w:rsidR="00A3240B" w:rsidRPr="00A3240B" w:rsidRDefault="00A3240B" w:rsidP="00A3240B">
                          <w:pPr>
                            <w:spacing w:after="0"/>
                            <w:jc w:val="center"/>
                            <w:rPr>
                              <w:rFonts w:ascii="Arial" w:hAnsi="Arial" w:cs="Arial"/>
                              <w:color w:val="000000"/>
                              <w:sz w:val="16"/>
                            </w:rPr>
                          </w:pPr>
                          <w:r w:rsidRPr="00A3240B">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2FBBCDA" id="_x0000_t202" coordsize="21600,21600" o:spt="202" path="m,l,21600r21600,l21600,xe">
              <v:stroke joinstyle="miter"/>
              <v:path gradientshapeok="t" o:connecttype="rect"/>
            </v:shapetype>
            <v:shape id="MSIPCMa8ad4d30b1e8ae5847e12927" o:spid="_x0000_s1026" type="#_x0000_t202" alt="{&quot;HashCode&quot;:-75512786,&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" o:allowincell="f" filled="f" stroked="f" strokeweight=".5pt">
              <v:fill o:detectmouseclick="t"/>
              <v:textbox inset=",0,,0">
                <w:txbxContent>
                  <w:p w14:paraId="269C2068" w14:textId="2CB07D13" w:rsidR="00A3240B" w:rsidRPr="00A3240B" w:rsidRDefault="00A3240B" w:rsidP="00A3240B">
                    <w:pPr>
                      <w:spacing w:after="0"/>
                      <w:jc w:val="center"/>
                      <w:rPr>
                        <w:rFonts w:ascii="Arial" w:hAnsi="Arial" w:cs="Arial"/>
                        <w:color w:val="000000"/>
                        <w:sz w:val="16"/>
                      </w:rPr>
                    </w:pPr>
                    <w:r w:rsidRPr="00A3240B">
                      <w:rPr>
                        <w:rFonts w:ascii="Arial" w:hAnsi="Arial" w:cs="Arial"/>
                        <w:color w:val="000000"/>
                        <w:sz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1422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hyphenationZone w:val="283"/>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E9"/>
    <w:rsid w:val="000450AE"/>
    <w:rsid w:val="00090E6C"/>
    <w:rsid w:val="000A02B9"/>
    <w:rsid w:val="000A1D0B"/>
    <w:rsid w:val="000F30B5"/>
    <w:rsid w:val="00122F04"/>
    <w:rsid w:val="00156071"/>
    <w:rsid w:val="001B0BEF"/>
    <w:rsid w:val="001D2600"/>
    <w:rsid w:val="001E6527"/>
    <w:rsid w:val="0021272F"/>
    <w:rsid w:val="0022518B"/>
    <w:rsid w:val="002567FE"/>
    <w:rsid w:val="00290B04"/>
    <w:rsid w:val="00293CCE"/>
    <w:rsid w:val="002B1245"/>
    <w:rsid w:val="002B64EC"/>
    <w:rsid w:val="002C3283"/>
    <w:rsid w:val="002D6EC8"/>
    <w:rsid w:val="00307246"/>
    <w:rsid w:val="003217E3"/>
    <w:rsid w:val="00327CEE"/>
    <w:rsid w:val="003341EB"/>
    <w:rsid w:val="003370AD"/>
    <w:rsid w:val="00361134"/>
    <w:rsid w:val="003667DE"/>
    <w:rsid w:val="00373FBA"/>
    <w:rsid w:val="003B7AE9"/>
    <w:rsid w:val="003D52B7"/>
    <w:rsid w:val="003E5A92"/>
    <w:rsid w:val="00407997"/>
    <w:rsid w:val="0046123C"/>
    <w:rsid w:val="0049643F"/>
    <w:rsid w:val="004F458B"/>
    <w:rsid w:val="00512F95"/>
    <w:rsid w:val="00513EE3"/>
    <w:rsid w:val="00517CEB"/>
    <w:rsid w:val="005231E6"/>
    <w:rsid w:val="00537407"/>
    <w:rsid w:val="005447C2"/>
    <w:rsid w:val="00582DCD"/>
    <w:rsid w:val="00617F47"/>
    <w:rsid w:val="00621E0E"/>
    <w:rsid w:val="0062733B"/>
    <w:rsid w:val="00646589"/>
    <w:rsid w:val="006716CD"/>
    <w:rsid w:val="00675DB1"/>
    <w:rsid w:val="006776F6"/>
    <w:rsid w:val="006864EF"/>
    <w:rsid w:val="006C7773"/>
    <w:rsid w:val="006E5E56"/>
    <w:rsid w:val="006F283B"/>
    <w:rsid w:val="007041E1"/>
    <w:rsid w:val="0071365A"/>
    <w:rsid w:val="007301FA"/>
    <w:rsid w:val="00740447"/>
    <w:rsid w:val="00743C6E"/>
    <w:rsid w:val="00772D45"/>
    <w:rsid w:val="0077463C"/>
    <w:rsid w:val="00776E51"/>
    <w:rsid w:val="007B3214"/>
    <w:rsid w:val="007D4AE7"/>
    <w:rsid w:val="00806EF1"/>
    <w:rsid w:val="00820E13"/>
    <w:rsid w:val="008354FA"/>
    <w:rsid w:val="00840F80"/>
    <w:rsid w:val="008B41F8"/>
    <w:rsid w:val="00912A57"/>
    <w:rsid w:val="00913D08"/>
    <w:rsid w:val="009571EB"/>
    <w:rsid w:val="0098404E"/>
    <w:rsid w:val="00986066"/>
    <w:rsid w:val="00987A01"/>
    <w:rsid w:val="00991EED"/>
    <w:rsid w:val="009D3090"/>
    <w:rsid w:val="00A3240B"/>
    <w:rsid w:val="00A80CA6"/>
    <w:rsid w:val="00A85EA8"/>
    <w:rsid w:val="00A903C2"/>
    <w:rsid w:val="00AA0F46"/>
    <w:rsid w:val="00AC4B06"/>
    <w:rsid w:val="00AE095C"/>
    <w:rsid w:val="00AF41C7"/>
    <w:rsid w:val="00B1213D"/>
    <w:rsid w:val="00B31D29"/>
    <w:rsid w:val="00B6585E"/>
    <w:rsid w:val="00B74F1A"/>
    <w:rsid w:val="00BB3F7B"/>
    <w:rsid w:val="00BD0454"/>
    <w:rsid w:val="00BD6D0B"/>
    <w:rsid w:val="00BE6C64"/>
    <w:rsid w:val="00BE6E21"/>
    <w:rsid w:val="00C036D1"/>
    <w:rsid w:val="00C03967"/>
    <w:rsid w:val="00C312C4"/>
    <w:rsid w:val="00C5054D"/>
    <w:rsid w:val="00C86409"/>
    <w:rsid w:val="00CF3C5C"/>
    <w:rsid w:val="00CF6DAE"/>
    <w:rsid w:val="00D61906"/>
    <w:rsid w:val="00D64549"/>
    <w:rsid w:val="00D71BA8"/>
    <w:rsid w:val="00DA5328"/>
    <w:rsid w:val="00DB07A1"/>
    <w:rsid w:val="00DD2F94"/>
    <w:rsid w:val="00DD3F66"/>
    <w:rsid w:val="00E07166"/>
    <w:rsid w:val="00E1013D"/>
    <w:rsid w:val="00E1137F"/>
    <w:rsid w:val="00E17E89"/>
    <w:rsid w:val="00E30304"/>
    <w:rsid w:val="00E37C86"/>
    <w:rsid w:val="00E416E9"/>
    <w:rsid w:val="00E5211B"/>
    <w:rsid w:val="00E664F9"/>
    <w:rsid w:val="00E91FE9"/>
    <w:rsid w:val="00EB3F7A"/>
    <w:rsid w:val="00F40054"/>
    <w:rsid w:val="00F62853"/>
    <w:rsid w:val="00F77BD7"/>
    <w:rsid w:val="00F94295"/>
    <w:rsid w:val="00FB4955"/>
    <w:rsid w:val="00FC2DD4"/>
    <w:rsid w:val="00FE2F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e1">
    <w:name w:val="Normale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FE2FA1"/>
    <w:rPr>
      <w:sz w:val="16"/>
      <w:szCs w:val="16"/>
    </w:rPr>
  </w:style>
  <w:style w:type="paragraph" w:styleId="CommentText">
    <w:name w:val="annotation text"/>
    <w:basedOn w:val="Normal"/>
    <w:link w:val="CommentTextChar"/>
    <w:uiPriority w:val="99"/>
    <w:unhideWhenUsed/>
    <w:rsid w:val="00FE2FA1"/>
    <w:pPr>
      <w:spacing w:line="240" w:lineRule="auto"/>
    </w:pPr>
    <w:rPr>
      <w:sz w:val="20"/>
      <w:szCs w:val="20"/>
    </w:rPr>
  </w:style>
  <w:style w:type="character" w:customStyle="1" w:styleId="CommentTextChar">
    <w:name w:val="Comment Text Char"/>
    <w:basedOn w:val="DefaultParagraphFont"/>
    <w:link w:val="CommentText"/>
    <w:uiPriority w:val="99"/>
    <w:rsid w:val="00FE2FA1"/>
    <w:rPr>
      <w:sz w:val="20"/>
      <w:szCs w:val="20"/>
    </w:rPr>
  </w:style>
  <w:style w:type="paragraph" w:styleId="CommentSubject">
    <w:name w:val="annotation subject"/>
    <w:basedOn w:val="CommentText"/>
    <w:next w:val="CommentText"/>
    <w:link w:val="CommentSubjectChar"/>
    <w:uiPriority w:val="99"/>
    <w:semiHidden/>
    <w:unhideWhenUsed/>
    <w:rsid w:val="00FE2FA1"/>
    <w:rPr>
      <w:b/>
      <w:bCs/>
    </w:rPr>
  </w:style>
  <w:style w:type="character" w:customStyle="1" w:styleId="CommentSubjectChar">
    <w:name w:val="Comment Subject Char"/>
    <w:basedOn w:val="CommentTextChar"/>
    <w:link w:val="CommentSubject"/>
    <w:uiPriority w:val="99"/>
    <w:semiHidden/>
    <w:rsid w:val="00FE2FA1"/>
    <w:rPr>
      <w:b/>
      <w:bCs/>
      <w:sz w:val="20"/>
      <w:szCs w:val="20"/>
    </w:rPr>
  </w:style>
  <w:style w:type="paragraph" w:styleId="Header">
    <w:name w:val="header"/>
    <w:basedOn w:val="Normal"/>
    <w:link w:val="HeaderChar"/>
    <w:uiPriority w:val="99"/>
    <w:unhideWhenUsed/>
    <w:rsid w:val="00F62853"/>
    <w:pPr>
      <w:tabs>
        <w:tab w:val="center" w:pos="4819"/>
        <w:tab w:val="right" w:pos="9638"/>
      </w:tabs>
      <w:spacing w:after="0" w:line="240" w:lineRule="auto"/>
    </w:pPr>
  </w:style>
  <w:style w:type="character" w:customStyle="1" w:styleId="HeaderChar">
    <w:name w:val="Header Char"/>
    <w:basedOn w:val="DefaultParagraphFont"/>
    <w:link w:val="Header"/>
    <w:uiPriority w:val="99"/>
    <w:rsid w:val="00F62853"/>
  </w:style>
  <w:style w:type="paragraph" w:styleId="Footer">
    <w:name w:val="footer"/>
    <w:basedOn w:val="Normal"/>
    <w:link w:val="FooterChar"/>
    <w:uiPriority w:val="99"/>
    <w:unhideWhenUsed/>
    <w:rsid w:val="00F62853"/>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2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1529567324">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63"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6.jpeg"/><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64" Type="http://schemas.openxmlformats.org/officeDocument/2006/relationships/customXml" Target="../customXml/item4.xm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header" Target="header1.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6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1BB34F48-31E9-402C-BE10-D3CC34C5A1A4}"/>
</file>

<file path=customXml/itemProps2.xml><?xml version="1.0" encoding="utf-8"?>
<ds:datastoreItem xmlns:ds="http://schemas.openxmlformats.org/officeDocument/2006/customXml" ds:itemID="{7C73903D-B592-43EC-9350-AB2C4A049D5A}"/>
</file>

<file path=customXml/itemProps3.xml><?xml version="1.0" encoding="utf-8"?>
<ds:datastoreItem xmlns:ds="http://schemas.openxmlformats.org/officeDocument/2006/customXml" ds:itemID="{C1CC30DE-C17D-4E9A-A67C-D675328B9C5D}"/>
</file>

<file path=customXml/itemProps4.xml><?xml version="1.0" encoding="utf-8"?>
<ds:datastoreItem xmlns:ds="http://schemas.openxmlformats.org/officeDocument/2006/customXml" ds:itemID="{FCAEC4C9-8247-4E40-8BC5-1B55437D4F93}"/>
</file>

<file path=docProps/app.xml><?xml version="1.0" encoding="utf-8"?>
<Properties xmlns="http://schemas.openxmlformats.org/officeDocument/2006/extended-properties" xmlns:vt="http://schemas.openxmlformats.org/officeDocument/2006/docPropsVTypes">
  <Template>Normal</Template>
  <TotalTime>0</TotalTime>
  <Pages>87</Pages>
  <Words>32443</Words>
  <Characters>181686</Characters>
  <Application>Microsoft Office Word</Application>
  <DocSecurity>0</DocSecurity>
  <Lines>4542</Lines>
  <Paragraphs>2519</Paragraphs>
  <ScaleCrop>false</ScaleCrop>
  <Company/>
  <LinksUpToDate>false</LinksUpToDate>
  <CharactersWithSpaces>211610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2022-11-24T19:23:00Z</dcterms:created>
  <dcterms:modified xsi:type="dcterms:W3CDTF">2022-11-24T19:23:00Z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caf5e1bd76d64faeb722202ab98b6514a190da066638b3655abcd9e73288cc92</vt:lpwstr>
  </property>
  <property fmtid="{D5CDD505-2E9C-101B-9397-08002B2CF9AE}" pid="3" name="MSIP_Label_797ad33d-ed35-43c0-b526-22bc83c17deb_Enabled">
    <vt:lpwstr>true</vt:lpwstr>
  </property>
  <property fmtid="{D5CDD505-2E9C-101B-9397-08002B2CF9AE}" pid="4" name="MSIP_Label_797ad33d-ed35-43c0-b526-22bc83c17deb_SetDate">
    <vt:lpwstr>2022-11-24T19:23:32Z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a2369107-da3e-4825-a2c0-add9ccaef51e</vt:lpwstr>
  </property>
  <property fmtid="{D5CDD505-2E9C-101B-9397-08002B2CF9AE}" pid="9" name="MSIP_Label_797ad33d-ed35-43c0-b526-22bc83c17deb_ContentBits">
    <vt:lpwstr>1</vt:lpwstr>
  </property>
  <property fmtid="{D5CDD505-2E9C-101B-9397-08002B2CF9AE}" pid="10" name="ContentTypeId">
    <vt:lpwstr>0x01010043E53488C602EA48B779D6F9D1672068</vt:lpwstr>
  </property>
</Properties>
</file>