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46266C"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1"/>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commentRangeEnd w:id="1"/>
            <w:r w:rsidR="00821C5C">
              <w:rPr>
                <w:rStyle w:val="CommentReference"/>
              </w:rPr>
              <w:commentReference w:id="1"/>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2"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3"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4"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5"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commentRangeStart w:id="2"/>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commentRangeEnd w:id="2"/>
            <w:r w:rsidR="00821C5C">
              <w:rPr>
                <w:rStyle w:val="CommentReference"/>
              </w:rPr>
              <w:commentReference w:id="2"/>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r w:rsidR="00821C5C" w:rsidRPr="003B7AE9" w14:paraId="4570EFDF" w14:textId="77777777" w:rsidTr="00F964C6">
        <w:trPr>
          <w:ins w:id="3" w:author="Author"/>
        </w:trPr>
        <w:tc>
          <w:tcPr>
            <w:tcW w:w="0" w:type="auto"/>
            <w:shd w:val="clear" w:color="auto" w:fill="auto"/>
            <w:hideMark/>
          </w:tcPr>
          <w:p w14:paraId="1676BA11" w14:textId="35099142" w:rsidR="00821C5C" w:rsidRPr="003B7AE9" w:rsidRDefault="00821C5C" w:rsidP="00F964C6">
            <w:pPr>
              <w:spacing w:before="120" w:after="0" w:line="240" w:lineRule="auto"/>
              <w:jc w:val="both"/>
              <w:rPr>
                <w:ins w:id="4" w:author="Author"/>
                <w:rFonts w:ascii="inherit" w:eastAsia="Times New Roman" w:hAnsi="inherit" w:cs="Times New Roman"/>
                <w:sz w:val="24"/>
                <w:szCs w:val="24"/>
                <w:lang w:eastAsia="en-GB"/>
              </w:rPr>
            </w:pPr>
            <w:ins w:id="5"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6</w:t>
              </w:r>
              <w:r w:rsidRPr="003B7AE9">
                <w:rPr>
                  <w:rFonts w:ascii="inherit" w:eastAsia="Times New Roman" w:hAnsi="inherit" w:cs="Times New Roman"/>
                  <w:sz w:val="24"/>
                  <w:szCs w:val="24"/>
                  <w:lang w:eastAsia="en-GB"/>
                </w:rPr>
                <w:t>)</w:t>
              </w:r>
            </w:ins>
          </w:p>
        </w:tc>
        <w:tc>
          <w:tcPr>
            <w:tcW w:w="0" w:type="auto"/>
            <w:shd w:val="clear" w:color="auto" w:fill="auto"/>
            <w:hideMark/>
          </w:tcPr>
          <w:p w14:paraId="63CCDE16" w14:textId="7602D40F" w:rsidR="00821C5C" w:rsidRPr="003B7AE9" w:rsidRDefault="00821C5C" w:rsidP="00F964C6">
            <w:pPr>
              <w:spacing w:before="120" w:after="0" w:line="240" w:lineRule="auto"/>
              <w:jc w:val="both"/>
              <w:rPr>
                <w:ins w:id="6" w:author="Author"/>
                <w:rFonts w:ascii="inherit" w:eastAsia="Times New Roman" w:hAnsi="inherit" w:cs="Times New Roman"/>
                <w:sz w:val="24"/>
                <w:szCs w:val="24"/>
                <w:lang w:eastAsia="en-GB"/>
              </w:rPr>
            </w:pPr>
            <w:ins w:id="7" w:author="Author">
              <w:r w:rsidRPr="00821C5C">
                <w:rPr>
                  <w:rFonts w:ascii="inherit" w:eastAsia="Times New Roman" w:hAnsi="inherit" w:cs="Times New Roman"/>
                  <w:sz w:val="24"/>
                  <w:szCs w:val="24"/>
                  <w:lang w:eastAsia="en-GB"/>
                </w:rPr>
                <w:t>Use or refer definition on 'energy storage', included on  Directive (E</w:t>
              </w:r>
              <w:r>
                <w:rPr>
                  <w:rFonts w:ascii="inherit" w:eastAsia="Times New Roman" w:hAnsi="inherit" w:cs="Times New Roman"/>
                  <w:sz w:val="24"/>
                  <w:szCs w:val="24"/>
                  <w:lang w:eastAsia="en-GB"/>
                </w:rPr>
                <w:t>U</w:t>
              </w:r>
              <w:r w:rsidRPr="00821C5C">
                <w:rPr>
                  <w:rFonts w:ascii="inherit" w:eastAsia="Times New Roman" w:hAnsi="inherit" w:cs="Times New Roman"/>
                  <w:sz w:val="24"/>
                  <w:szCs w:val="24"/>
                  <w:lang w:eastAsia="en-GB"/>
                </w:rPr>
                <w:t>) 2019/944 (in the electricity system, deferring the final use of electricity to a time later than when it was generated, or the conversion of electrical energy into a form of energy that can be stored, the storage of that energy and the subsequent reconversion of that energy into electrical energy or its use as another energy carrier)</w:t>
              </w:r>
              <w:r w:rsidRPr="003B7AE9">
                <w:rPr>
                  <w:rFonts w:ascii="inherit" w:eastAsia="Times New Roman" w:hAnsi="inherit" w:cs="Times New Roman"/>
                  <w:sz w:val="24"/>
                  <w:szCs w:val="24"/>
                  <w:lang w:eastAsia="en-GB"/>
                </w:rPr>
                <w:t>.</w:t>
              </w:r>
            </w:ins>
          </w:p>
        </w:tc>
      </w:tr>
      <w:tr w:rsidR="00821C5C" w:rsidRPr="003B7AE9" w14:paraId="32B29093" w14:textId="77777777" w:rsidTr="00F964C6">
        <w:trPr>
          <w:ins w:id="8" w:author="Author"/>
        </w:trPr>
        <w:tc>
          <w:tcPr>
            <w:tcW w:w="0" w:type="auto"/>
            <w:shd w:val="clear" w:color="auto" w:fill="auto"/>
            <w:hideMark/>
          </w:tcPr>
          <w:p w14:paraId="214E0797" w14:textId="1858E812" w:rsidR="00821C5C" w:rsidRPr="003B7AE9" w:rsidRDefault="00821C5C" w:rsidP="00F964C6">
            <w:pPr>
              <w:spacing w:before="120" w:after="0" w:line="240" w:lineRule="auto"/>
              <w:jc w:val="both"/>
              <w:rPr>
                <w:ins w:id="9" w:author="Author"/>
                <w:rFonts w:ascii="inherit" w:eastAsia="Times New Roman" w:hAnsi="inherit" w:cs="Times New Roman"/>
                <w:sz w:val="24"/>
                <w:szCs w:val="24"/>
                <w:lang w:eastAsia="en-GB"/>
              </w:rPr>
            </w:pPr>
            <w:ins w:id="10"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7</w:t>
              </w:r>
              <w:r w:rsidRPr="003B7AE9">
                <w:rPr>
                  <w:rFonts w:ascii="inherit" w:eastAsia="Times New Roman" w:hAnsi="inherit" w:cs="Times New Roman"/>
                  <w:sz w:val="24"/>
                  <w:szCs w:val="24"/>
                  <w:lang w:eastAsia="en-GB"/>
                </w:rPr>
                <w:t>)</w:t>
              </w:r>
            </w:ins>
          </w:p>
        </w:tc>
        <w:tc>
          <w:tcPr>
            <w:tcW w:w="0" w:type="auto"/>
            <w:shd w:val="clear" w:color="auto" w:fill="auto"/>
            <w:hideMark/>
          </w:tcPr>
          <w:p w14:paraId="4985F270" w14:textId="614442A9" w:rsidR="00821C5C" w:rsidRPr="003B7AE9" w:rsidRDefault="00821C5C" w:rsidP="00F964C6">
            <w:pPr>
              <w:spacing w:before="120" w:after="0" w:line="240" w:lineRule="auto"/>
              <w:jc w:val="both"/>
              <w:rPr>
                <w:ins w:id="11" w:author="Author"/>
                <w:rFonts w:ascii="inherit" w:eastAsia="Times New Roman" w:hAnsi="inherit" w:cs="Times New Roman"/>
                <w:sz w:val="24"/>
                <w:szCs w:val="24"/>
                <w:lang w:eastAsia="en-GB"/>
              </w:rPr>
            </w:pPr>
            <w:ins w:id="12" w:author="Author">
              <w:r w:rsidRPr="00821C5C">
                <w:rPr>
                  <w:rFonts w:ascii="inherit" w:eastAsia="Times New Roman" w:hAnsi="inherit" w:cs="Times New Roman"/>
                  <w:sz w:val="24"/>
                  <w:szCs w:val="24"/>
                  <w:lang w:eastAsia="en-GB"/>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ins>
          </w:p>
        </w:tc>
      </w:tr>
      <w:tr w:rsidR="00821C5C" w:rsidRPr="003B7AE9" w14:paraId="3E447C73" w14:textId="77777777" w:rsidTr="00F964C6">
        <w:trPr>
          <w:ins w:id="13" w:author="Author"/>
        </w:trPr>
        <w:tc>
          <w:tcPr>
            <w:tcW w:w="0" w:type="auto"/>
            <w:shd w:val="clear" w:color="auto" w:fill="auto"/>
            <w:hideMark/>
          </w:tcPr>
          <w:p w14:paraId="6DA3B260" w14:textId="04E07A2B" w:rsidR="00821C5C" w:rsidRPr="003B7AE9" w:rsidRDefault="00821C5C" w:rsidP="00F964C6">
            <w:pPr>
              <w:spacing w:before="120" w:after="0" w:line="240" w:lineRule="auto"/>
              <w:jc w:val="both"/>
              <w:rPr>
                <w:ins w:id="14" w:author="Author"/>
                <w:rFonts w:ascii="inherit" w:eastAsia="Times New Roman" w:hAnsi="inherit" w:cs="Times New Roman"/>
                <w:sz w:val="24"/>
                <w:szCs w:val="24"/>
                <w:lang w:eastAsia="en-GB"/>
              </w:rPr>
            </w:pPr>
            <w:ins w:id="15"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8</w:t>
              </w:r>
              <w:r w:rsidRPr="003B7AE9">
                <w:rPr>
                  <w:rFonts w:ascii="inherit" w:eastAsia="Times New Roman" w:hAnsi="inherit" w:cs="Times New Roman"/>
                  <w:sz w:val="24"/>
                  <w:szCs w:val="24"/>
                  <w:lang w:eastAsia="en-GB"/>
                </w:rPr>
                <w:t>)</w:t>
              </w:r>
            </w:ins>
          </w:p>
        </w:tc>
        <w:tc>
          <w:tcPr>
            <w:tcW w:w="0" w:type="auto"/>
            <w:shd w:val="clear" w:color="auto" w:fill="auto"/>
            <w:hideMark/>
          </w:tcPr>
          <w:p w14:paraId="3BFEEFDB" w14:textId="4B820F26" w:rsidR="00821C5C" w:rsidRPr="003B7AE9" w:rsidRDefault="00821C5C" w:rsidP="00F964C6">
            <w:pPr>
              <w:spacing w:before="120" w:after="0" w:line="240" w:lineRule="auto"/>
              <w:jc w:val="both"/>
              <w:rPr>
                <w:ins w:id="16" w:author="Author"/>
                <w:rFonts w:ascii="inherit" w:eastAsia="Times New Roman" w:hAnsi="inherit" w:cs="Times New Roman"/>
                <w:sz w:val="24"/>
                <w:szCs w:val="24"/>
                <w:lang w:eastAsia="en-GB"/>
              </w:rPr>
            </w:pPr>
            <w:ins w:id="17" w:author="Author">
              <w:r w:rsidRPr="00821C5C">
                <w:rPr>
                  <w:rFonts w:ascii="inherit" w:eastAsia="Times New Roman" w:hAnsi="inherit" w:cs="Times New Roman"/>
                  <w:sz w:val="24"/>
                  <w:szCs w:val="24"/>
                  <w:lang w:eastAsia="en-GB"/>
                </w:rPr>
                <w:t>‘</w:t>
              </w:r>
              <w:commentRangeStart w:id="18"/>
              <w:r w:rsidRPr="00821C5C">
                <w:rPr>
                  <w:rFonts w:ascii="inherit" w:eastAsia="Times New Roman" w:hAnsi="inherit" w:cs="Times New Roman"/>
                  <w:sz w:val="24"/>
                  <w:szCs w:val="24"/>
                  <w:lang w:eastAsia="en-GB"/>
                </w:rPr>
                <w:t>electricity storage module’ means a power generating module which can inject and consume active power to and from the network</w:t>
              </w:r>
              <w:r w:rsidRPr="003B7AE9">
                <w:rPr>
                  <w:rFonts w:ascii="inherit" w:eastAsia="Times New Roman" w:hAnsi="inherit" w:cs="Times New Roman"/>
                  <w:sz w:val="24"/>
                  <w:szCs w:val="24"/>
                  <w:lang w:eastAsia="en-GB"/>
                </w:rPr>
                <w:t>.</w:t>
              </w:r>
              <w:commentRangeEnd w:id="18"/>
              <w:r>
                <w:rPr>
                  <w:rStyle w:val="CommentReference"/>
                </w:rPr>
                <w:commentReference w:id="18"/>
              </w:r>
            </w:ins>
          </w:p>
        </w:tc>
      </w:tr>
      <w:tr w:rsidR="00821C5C" w:rsidRPr="003B7AE9" w14:paraId="1698FCC9" w14:textId="77777777" w:rsidTr="00F964C6">
        <w:trPr>
          <w:ins w:id="19" w:author="Author"/>
        </w:trPr>
        <w:tc>
          <w:tcPr>
            <w:tcW w:w="0" w:type="auto"/>
            <w:shd w:val="clear" w:color="auto" w:fill="auto"/>
            <w:hideMark/>
          </w:tcPr>
          <w:p w14:paraId="341242A2" w14:textId="47AA46F4" w:rsidR="00821C5C" w:rsidRPr="003B7AE9" w:rsidRDefault="00821C5C" w:rsidP="00F964C6">
            <w:pPr>
              <w:spacing w:before="120" w:after="0" w:line="240" w:lineRule="auto"/>
              <w:jc w:val="both"/>
              <w:rPr>
                <w:ins w:id="20" w:author="Author"/>
                <w:rFonts w:ascii="inherit" w:eastAsia="Times New Roman" w:hAnsi="inherit" w:cs="Times New Roman"/>
                <w:sz w:val="24"/>
                <w:szCs w:val="24"/>
                <w:lang w:eastAsia="en-GB"/>
              </w:rPr>
            </w:pPr>
            <w:ins w:id="21"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9</w:t>
              </w:r>
              <w:r w:rsidRPr="003B7AE9">
                <w:rPr>
                  <w:rFonts w:ascii="inherit" w:eastAsia="Times New Roman" w:hAnsi="inherit" w:cs="Times New Roman"/>
                  <w:sz w:val="24"/>
                  <w:szCs w:val="24"/>
                  <w:lang w:eastAsia="en-GB"/>
                </w:rPr>
                <w:t>)</w:t>
              </w:r>
            </w:ins>
          </w:p>
        </w:tc>
        <w:tc>
          <w:tcPr>
            <w:tcW w:w="0" w:type="auto"/>
            <w:shd w:val="clear" w:color="auto" w:fill="auto"/>
            <w:hideMark/>
          </w:tcPr>
          <w:p w14:paraId="3B932255" w14:textId="618B079B" w:rsidR="00821C5C" w:rsidRPr="003B7AE9" w:rsidRDefault="0030421D" w:rsidP="00F964C6">
            <w:pPr>
              <w:spacing w:before="120" w:after="0" w:line="240" w:lineRule="auto"/>
              <w:jc w:val="both"/>
              <w:rPr>
                <w:ins w:id="22" w:author="Author"/>
                <w:rFonts w:ascii="inherit" w:eastAsia="Times New Roman" w:hAnsi="inherit" w:cs="Times New Roman"/>
                <w:sz w:val="24"/>
                <w:szCs w:val="24"/>
                <w:lang w:eastAsia="en-GB"/>
              </w:rPr>
            </w:pPr>
            <w:commentRangeStart w:id="23"/>
            <w:ins w:id="24" w:author="Author">
              <w:r w:rsidRPr="0030421D">
                <w:rPr>
                  <w:rFonts w:ascii="inherit" w:eastAsia="Times New Roman" w:hAnsi="inherit" w:cs="Times New Roman"/>
                  <w:sz w:val="24"/>
                  <w:szCs w:val="24"/>
                  <w:lang w:eastAsia="en-GB"/>
                </w:rPr>
                <w:t>'Maximum storage equipment capacity' means the value of the maximum active power declared by the operator that can be produced by the storage equipment while complying with the relevant technical requirements.</w:t>
              </w:r>
              <w:commentRangeEnd w:id="23"/>
              <w:r>
                <w:rPr>
                  <w:rStyle w:val="CommentReference"/>
                </w:rPr>
                <w:commentReference w:id="23"/>
              </w:r>
            </w:ins>
          </w:p>
        </w:tc>
      </w:tr>
      <w:tr w:rsidR="00821C5C" w:rsidRPr="003B7AE9" w14:paraId="521C8469" w14:textId="77777777" w:rsidTr="00F964C6">
        <w:trPr>
          <w:ins w:id="25" w:author="Author"/>
        </w:trPr>
        <w:tc>
          <w:tcPr>
            <w:tcW w:w="0" w:type="auto"/>
            <w:shd w:val="clear" w:color="auto" w:fill="auto"/>
            <w:hideMark/>
          </w:tcPr>
          <w:p w14:paraId="1DD7FCE3" w14:textId="5525CEC6" w:rsidR="00821C5C" w:rsidRPr="003B7AE9" w:rsidRDefault="00821C5C" w:rsidP="00F964C6">
            <w:pPr>
              <w:spacing w:before="120" w:after="0" w:line="240" w:lineRule="auto"/>
              <w:jc w:val="both"/>
              <w:rPr>
                <w:ins w:id="26" w:author="Author"/>
                <w:rFonts w:ascii="inherit" w:eastAsia="Times New Roman" w:hAnsi="inherit" w:cs="Times New Roman"/>
                <w:sz w:val="24"/>
                <w:szCs w:val="24"/>
                <w:lang w:eastAsia="en-GB"/>
              </w:rPr>
            </w:pPr>
            <w:ins w:id="27"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70</w:t>
              </w:r>
              <w:r w:rsidRPr="003B7AE9">
                <w:rPr>
                  <w:rFonts w:ascii="inherit" w:eastAsia="Times New Roman" w:hAnsi="inherit" w:cs="Times New Roman"/>
                  <w:sz w:val="24"/>
                  <w:szCs w:val="24"/>
                  <w:lang w:eastAsia="en-GB"/>
                </w:rPr>
                <w:t>)</w:t>
              </w:r>
            </w:ins>
          </w:p>
        </w:tc>
        <w:tc>
          <w:tcPr>
            <w:tcW w:w="0" w:type="auto"/>
            <w:shd w:val="clear" w:color="auto" w:fill="auto"/>
            <w:hideMark/>
          </w:tcPr>
          <w:p w14:paraId="020D44FE" w14:textId="21F447E8" w:rsidR="00821C5C" w:rsidRPr="003B7AE9" w:rsidRDefault="0030421D" w:rsidP="00F964C6">
            <w:pPr>
              <w:spacing w:before="120" w:after="0" w:line="240" w:lineRule="auto"/>
              <w:jc w:val="both"/>
              <w:rPr>
                <w:ins w:id="28" w:author="Author"/>
                <w:rFonts w:ascii="inherit" w:eastAsia="Times New Roman" w:hAnsi="inherit" w:cs="Times New Roman"/>
                <w:sz w:val="24"/>
                <w:szCs w:val="24"/>
                <w:lang w:eastAsia="en-GB"/>
              </w:rPr>
            </w:pPr>
            <w:ins w:id="29" w:author="Author">
              <w:r w:rsidRPr="0030421D">
                <w:rPr>
                  <w:rFonts w:ascii="inherit" w:eastAsia="Times New Roman" w:hAnsi="inherit" w:cs="Times New Roman"/>
                  <w:sz w:val="24"/>
                  <w:szCs w:val="24"/>
                  <w:lang w:eastAsia="en-GB"/>
                </w:rPr>
                <w:t>'Maximum import capacity of storage equipment' means the value of the maximum active power declared by the operator that can be consumed by the storage equipment while simultaneously complying with the relevant technical requirements.</w:t>
              </w:r>
            </w:ins>
          </w:p>
        </w:tc>
      </w:tr>
      <w:tr w:rsidR="00821C5C" w:rsidRPr="003B7AE9" w14:paraId="6EEAEF7A" w14:textId="77777777" w:rsidTr="00F964C6">
        <w:trPr>
          <w:ins w:id="30" w:author="Author"/>
        </w:trPr>
        <w:tc>
          <w:tcPr>
            <w:tcW w:w="0" w:type="auto"/>
            <w:shd w:val="clear" w:color="auto" w:fill="auto"/>
            <w:hideMark/>
          </w:tcPr>
          <w:p w14:paraId="2FAB64CA" w14:textId="7AE4FB46" w:rsidR="00821C5C" w:rsidRPr="003B7AE9" w:rsidRDefault="00821C5C" w:rsidP="00F964C6">
            <w:pPr>
              <w:spacing w:before="120" w:after="0" w:line="240" w:lineRule="auto"/>
              <w:jc w:val="both"/>
              <w:rPr>
                <w:ins w:id="31" w:author="Author"/>
                <w:rFonts w:ascii="inherit" w:eastAsia="Times New Roman" w:hAnsi="inherit" w:cs="Times New Roman"/>
                <w:sz w:val="24"/>
                <w:szCs w:val="24"/>
                <w:lang w:eastAsia="en-GB"/>
              </w:rPr>
            </w:pPr>
            <w:ins w:id="32"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71</w:t>
              </w:r>
              <w:r w:rsidRPr="003B7AE9">
                <w:rPr>
                  <w:rFonts w:ascii="inherit" w:eastAsia="Times New Roman" w:hAnsi="inherit" w:cs="Times New Roman"/>
                  <w:sz w:val="24"/>
                  <w:szCs w:val="24"/>
                  <w:lang w:eastAsia="en-GB"/>
                </w:rPr>
                <w:t>)</w:t>
              </w:r>
            </w:ins>
          </w:p>
        </w:tc>
        <w:tc>
          <w:tcPr>
            <w:tcW w:w="0" w:type="auto"/>
            <w:shd w:val="clear" w:color="auto" w:fill="auto"/>
            <w:hideMark/>
          </w:tcPr>
          <w:p w14:paraId="5D4659AB" w14:textId="3D0256D2" w:rsidR="00821C5C" w:rsidRPr="003B7AE9" w:rsidRDefault="0030421D" w:rsidP="00F964C6">
            <w:pPr>
              <w:spacing w:before="120" w:after="0" w:line="240" w:lineRule="auto"/>
              <w:jc w:val="both"/>
              <w:rPr>
                <w:ins w:id="33" w:author="Author"/>
                <w:rFonts w:ascii="inherit" w:eastAsia="Times New Roman" w:hAnsi="inherit" w:cs="Times New Roman"/>
                <w:sz w:val="24"/>
                <w:szCs w:val="24"/>
                <w:lang w:eastAsia="en-GB"/>
              </w:rPr>
            </w:pPr>
            <w:commentRangeStart w:id="34"/>
            <w:ins w:id="35" w:author="Author">
              <w:r w:rsidRPr="0030421D">
                <w:rPr>
                  <w:rFonts w:ascii="inherit" w:eastAsia="Times New Roman" w:hAnsi="inherit" w:cs="Times New Roman"/>
                  <w:sz w:val="24"/>
                  <w:szCs w:val="24"/>
                  <w:lang w:eastAsia="en-GB"/>
                </w:rPr>
                <w:t xml:space="preserve">'hybrid installation' </w:t>
              </w:r>
              <w:commentRangeEnd w:id="34"/>
              <w:r>
                <w:rPr>
                  <w:rStyle w:val="CommentReference"/>
                </w:rPr>
                <w:commentReference w:id="34"/>
              </w:r>
              <w:r w:rsidRPr="0030421D">
                <w:rPr>
                  <w:rFonts w:ascii="inherit" w:eastAsia="Times New Roman" w:hAnsi="inherit" w:cs="Times New Roman"/>
                  <w:sz w:val="24"/>
                  <w:szCs w:val="24"/>
                  <w:lang w:eastAsia="en-GB"/>
                </w:rPr>
                <w:t xml:space="preserve">means an installation with access to the same grid connection point consisting of one or more electricity generation modules and one or more storage equipment using different generation and/or storage technologies. In the case of hybridization with storage, there could be two cases: the storage injecting or consuming, if it has technical and legal capacity, its energy to the grid through its own alternators or electronic converters and is able to run independently even if the neighbouring unit is off, it is called “autonomous storage”; or the storage and the power pool module as a whole injecting or consuming, if it has technical and legal capacity, its energy to the grid through its own or shared alternators or electronic converters, and it is not able to run independently, it is called “annex storage”. In the first case, the storage equipment is considered separately from any electricity generation module constituting the hybrid installation for the purposes of the </w:t>
              </w:r>
              <w:r w:rsidRPr="0030421D">
                <w:rPr>
                  <w:rFonts w:ascii="inherit" w:eastAsia="Times New Roman" w:hAnsi="inherit" w:cs="Times New Roman"/>
                  <w:sz w:val="24"/>
                  <w:szCs w:val="24"/>
                  <w:lang w:eastAsia="en-GB"/>
                </w:rPr>
                <w:lastRenderedPageBreak/>
                <w:t>applicability of technical requirements, information exchanges and measurements. In the second case, the technical requirements shall apply to the generation module plus storage equipment.</w:t>
              </w:r>
            </w:ins>
          </w:p>
        </w:tc>
      </w:tr>
      <w:tr w:rsidR="00821C5C" w:rsidRPr="003B7AE9" w14:paraId="49AF790F" w14:textId="77777777" w:rsidTr="00F964C6">
        <w:trPr>
          <w:ins w:id="36" w:author="Author"/>
        </w:trPr>
        <w:tc>
          <w:tcPr>
            <w:tcW w:w="0" w:type="auto"/>
            <w:shd w:val="clear" w:color="auto" w:fill="auto"/>
            <w:hideMark/>
          </w:tcPr>
          <w:p w14:paraId="5125833A" w14:textId="59E53AA9" w:rsidR="00821C5C" w:rsidRPr="003B7AE9" w:rsidRDefault="00821C5C" w:rsidP="00F964C6">
            <w:pPr>
              <w:spacing w:before="120" w:after="0" w:line="240" w:lineRule="auto"/>
              <w:jc w:val="both"/>
              <w:rPr>
                <w:ins w:id="37" w:author="Author"/>
                <w:rFonts w:ascii="inherit" w:eastAsia="Times New Roman" w:hAnsi="inherit" w:cs="Times New Roman"/>
                <w:sz w:val="24"/>
                <w:szCs w:val="24"/>
                <w:lang w:eastAsia="en-GB"/>
              </w:rPr>
            </w:pPr>
            <w:ins w:id="38" w:author="Author">
              <w:r w:rsidRPr="003B7AE9">
                <w:rPr>
                  <w:rFonts w:ascii="inherit" w:eastAsia="Times New Roman" w:hAnsi="inherit" w:cs="Times New Roman"/>
                  <w:sz w:val="24"/>
                  <w:szCs w:val="24"/>
                  <w:lang w:eastAsia="en-GB"/>
                </w:rPr>
                <w:lastRenderedPageBreak/>
                <w:t>(</w:t>
              </w:r>
              <w:r>
                <w:rPr>
                  <w:rFonts w:ascii="inherit" w:eastAsia="Times New Roman" w:hAnsi="inherit" w:cs="Times New Roman"/>
                  <w:sz w:val="24"/>
                  <w:szCs w:val="24"/>
                  <w:lang w:eastAsia="en-GB"/>
                </w:rPr>
                <w:t>72</w:t>
              </w:r>
              <w:r w:rsidRPr="003B7AE9">
                <w:rPr>
                  <w:rFonts w:ascii="inherit" w:eastAsia="Times New Roman" w:hAnsi="inherit" w:cs="Times New Roman"/>
                  <w:sz w:val="24"/>
                  <w:szCs w:val="24"/>
                  <w:lang w:eastAsia="en-GB"/>
                </w:rPr>
                <w:t>)</w:t>
              </w:r>
            </w:ins>
          </w:p>
        </w:tc>
        <w:tc>
          <w:tcPr>
            <w:tcW w:w="0" w:type="auto"/>
            <w:shd w:val="clear" w:color="auto" w:fill="auto"/>
            <w:hideMark/>
          </w:tcPr>
          <w:p w14:paraId="27282210" w14:textId="4F17E0C9" w:rsidR="00821C5C" w:rsidRPr="003B7AE9" w:rsidRDefault="0030421D" w:rsidP="00F964C6">
            <w:pPr>
              <w:spacing w:before="120" w:after="0" w:line="240" w:lineRule="auto"/>
              <w:jc w:val="both"/>
              <w:rPr>
                <w:ins w:id="39" w:author="Author"/>
                <w:rFonts w:ascii="inherit" w:eastAsia="Times New Roman" w:hAnsi="inherit" w:cs="Times New Roman"/>
                <w:sz w:val="24"/>
                <w:szCs w:val="24"/>
                <w:lang w:eastAsia="en-GB"/>
              </w:rPr>
            </w:pPr>
            <w:commentRangeStart w:id="40"/>
            <w:ins w:id="41" w:author="Author">
              <w:r w:rsidRPr="0030421D">
                <w:rPr>
                  <w:rFonts w:ascii="inherit" w:eastAsia="Times New Roman" w:hAnsi="inherit" w:cs="Times New Roman"/>
                  <w:sz w:val="24"/>
                  <w:szCs w:val="24"/>
                  <w:lang w:eastAsia="en-GB"/>
                </w:rPr>
                <w:t>Use or refer to definition on ' fully integrated network components ', included on Directive (UE) 2019/944 (network components integrated into the transmission or distribution system, including storage facilities, which are used for the sole purpose of ensuring secure and reliable operation of the transmission or distribution system, and not for balancing or congestion management purposes)</w:t>
              </w:r>
              <w:r>
                <w:rPr>
                  <w:rFonts w:ascii="inherit" w:eastAsia="Times New Roman" w:hAnsi="inherit" w:cs="Times New Roman"/>
                  <w:sz w:val="24"/>
                  <w:szCs w:val="24"/>
                  <w:lang w:eastAsia="en-GB"/>
                </w:rPr>
                <w:t>.</w:t>
              </w:r>
              <w:commentRangeEnd w:id="40"/>
              <w:r>
                <w:rPr>
                  <w:rStyle w:val="CommentReference"/>
                </w:rPr>
                <w:commentReference w:id="40"/>
              </w:r>
            </w:ins>
          </w:p>
        </w:tc>
      </w:tr>
      <w:tr w:rsidR="00821C5C" w:rsidRPr="003B7AE9" w14:paraId="2EA644E5" w14:textId="77777777" w:rsidTr="00F964C6">
        <w:trPr>
          <w:ins w:id="42" w:author="Author"/>
        </w:trPr>
        <w:tc>
          <w:tcPr>
            <w:tcW w:w="0" w:type="auto"/>
            <w:shd w:val="clear" w:color="auto" w:fill="auto"/>
            <w:hideMark/>
          </w:tcPr>
          <w:p w14:paraId="41709A83" w14:textId="513E82BC" w:rsidR="00821C5C" w:rsidRPr="003B7AE9" w:rsidRDefault="00821C5C" w:rsidP="00F964C6">
            <w:pPr>
              <w:spacing w:before="120" w:after="0" w:line="240" w:lineRule="auto"/>
              <w:jc w:val="both"/>
              <w:rPr>
                <w:ins w:id="43" w:author="Author"/>
                <w:rFonts w:ascii="inherit" w:eastAsia="Times New Roman" w:hAnsi="inherit" w:cs="Times New Roman"/>
                <w:sz w:val="24"/>
                <w:szCs w:val="24"/>
                <w:lang w:eastAsia="en-GB"/>
              </w:rPr>
            </w:pPr>
            <w:commentRangeStart w:id="44"/>
            <w:ins w:id="45"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73</w:t>
              </w:r>
              <w:r w:rsidRPr="003B7AE9">
                <w:rPr>
                  <w:rFonts w:ascii="inherit" w:eastAsia="Times New Roman" w:hAnsi="inherit" w:cs="Times New Roman"/>
                  <w:sz w:val="24"/>
                  <w:szCs w:val="24"/>
                  <w:lang w:eastAsia="en-GB"/>
                </w:rPr>
                <w:t>)</w:t>
              </w:r>
            </w:ins>
          </w:p>
        </w:tc>
        <w:tc>
          <w:tcPr>
            <w:tcW w:w="0" w:type="auto"/>
            <w:shd w:val="clear" w:color="auto" w:fill="auto"/>
            <w:hideMark/>
          </w:tcPr>
          <w:p w14:paraId="17E45BE6" w14:textId="067DCFAE" w:rsidR="00821C5C" w:rsidRPr="003B7AE9" w:rsidRDefault="0030421D" w:rsidP="00F964C6">
            <w:pPr>
              <w:spacing w:before="120" w:after="0" w:line="240" w:lineRule="auto"/>
              <w:jc w:val="both"/>
              <w:rPr>
                <w:ins w:id="46" w:author="Author"/>
                <w:rFonts w:ascii="inherit" w:eastAsia="Times New Roman" w:hAnsi="inherit" w:cs="Times New Roman"/>
                <w:sz w:val="24"/>
                <w:szCs w:val="24"/>
                <w:lang w:eastAsia="en-GB"/>
              </w:rPr>
            </w:pPr>
            <w:ins w:id="47" w:author="Author">
              <w:r w:rsidRPr="0030421D">
                <w:rPr>
                  <w:rFonts w:ascii="inherit" w:eastAsia="Times New Roman" w:hAnsi="inherit" w:cs="Times New Roman"/>
                  <w:sz w:val="24"/>
                  <w:szCs w:val="24"/>
                  <w:lang w:eastAsia="en-GB"/>
                </w:rPr>
                <w:t>Use or refer to definition on 'citizen energy community', included on Directive (UE) 2019/944 (a legal entity which: (a) is based on voluntary and open participation and is effectively controlled by partners or members who are natural persons, local authorities, including municipalities, or small enterprises, (b) whose primary objective is to deliver environmental, economic or social benefits to its members or partners or to the locality in which it operates, (c) is involved in the generation, including from renewable sources, distribution, supply, consumption, aggregation, storage of energy, the provision of energy efficiency services or the provision of electric vehicle charging or other energy services to its members or partners)</w:t>
              </w:r>
              <w:commentRangeEnd w:id="44"/>
              <w:r>
                <w:rPr>
                  <w:rStyle w:val="CommentReference"/>
                </w:rPr>
                <w:commentReference w:id="44"/>
              </w:r>
            </w:ins>
          </w:p>
        </w:tc>
      </w:tr>
      <w:tr w:rsidR="00821C5C" w:rsidRPr="003B7AE9" w14:paraId="34EA5736" w14:textId="77777777" w:rsidTr="00F964C6">
        <w:trPr>
          <w:ins w:id="48" w:author="Author"/>
        </w:trPr>
        <w:tc>
          <w:tcPr>
            <w:tcW w:w="0" w:type="auto"/>
            <w:shd w:val="clear" w:color="auto" w:fill="auto"/>
            <w:hideMark/>
          </w:tcPr>
          <w:p w14:paraId="48BB0E36" w14:textId="1EDFF557" w:rsidR="00821C5C" w:rsidRPr="003B7AE9" w:rsidRDefault="00821C5C" w:rsidP="00F964C6">
            <w:pPr>
              <w:spacing w:before="120" w:after="0" w:line="240" w:lineRule="auto"/>
              <w:jc w:val="both"/>
              <w:rPr>
                <w:ins w:id="49" w:author="Author"/>
                <w:rFonts w:ascii="inherit" w:eastAsia="Times New Roman" w:hAnsi="inherit" w:cs="Times New Roman"/>
                <w:sz w:val="24"/>
                <w:szCs w:val="24"/>
                <w:lang w:eastAsia="en-GB"/>
              </w:rPr>
            </w:pPr>
            <w:ins w:id="50"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74</w:t>
              </w:r>
              <w:r w:rsidRPr="003B7AE9">
                <w:rPr>
                  <w:rFonts w:ascii="inherit" w:eastAsia="Times New Roman" w:hAnsi="inherit" w:cs="Times New Roman"/>
                  <w:sz w:val="24"/>
                  <w:szCs w:val="24"/>
                  <w:lang w:eastAsia="en-GB"/>
                </w:rPr>
                <w:t>)</w:t>
              </w:r>
            </w:ins>
          </w:p>
        </w:tc>
        <w:tc>
          <w:tcPr>
            <w:tcW w:w="0" w:type="auto"/>
            <w:shd w:val="clear" w:color="auto" w:fill="auto"/>
            <w:hideMark/>
          </w:tcPr>
          <w:p w14:paraId="4B1D0F8C" w14:textId="32C9FD40" w:rsidR="00821C5C" w:rsidRPr="003B7AE9" w:rsidRDefault="0030421D" w:rsidP="0030421D">
            <w:pPr>
              <w:spacing w:before="120" w:after="0" w:line="240" w:lineRule="auto"/>
              <w:jc w:val="both"/>
              <w:rPr>
                <w:ins w:id="51" w:author="Author"/>
                <w:rFonts w:ascii="inherit" w:eastAsia="Times New Roman" w:hAnsi="inherit" w:cs="Times New Roman"/>
                <w:sz w:val="24"/>
                <w:szCs w:val="24"/>
                <w:lang w:eastAsia="en-GB"/>
              </w:rPr>
            </w:pPr>
            <w:commentRangeStart w:id="52"/>
            <w:ins w:id="53" w:author="Author">
              <w:r w:rsidRPr="0030421D">
                <w:rPr>
                  <w:rFonts w:ascii="inherit" w:eastAsia="Times New Roman" w:hAnsi="inherit" w:cs="Times New Roman"/>
                  <w:sz w:val="24"/>
                  <w:szCs w:val="24"/>
                  <w:lang w:eastAsia="en-GB"/>
                </w:rPr>
                <w:t>'Electric vehicle charging point or installation' means the infrastructure necessary to safely conduct electrical energy between the electricity supply grid and the electric vehicle.</w:t>
              </w:r>
              <w:commentRangeEnd w:id="52"/>
              <w:r>
                <w:rPr>
                  <w:rStyle w:val="CommentReference"/>
                </w:rPr>
                <w:commentReference w:id="52"/>
              </w:r>
            </w:ins>
          </w:p>
        </w:tc>
      </w:tr>
      <w:tr w:rsidR="00821C5C" w:rsidRPr="003B7AE9" w14:paraId="63E8A15C" w14:textId="77777777" w:rsidTr="00F964C6">
        <w:trPr>
          <w:ins w:id="54" w:author="Author"/>
        </w:trPr>
        <w:tc>
          <w:tcPr>
            <w:tcW w:w="0" w:type="auto"/>
            <w:shd w:val="clear" w:color="auto" w:fill="auto"/>
            <w:hideMark/>
          </w:tcPr>
          <w:p w14:paraId="3D3031C3" w14:textId="2F2EB6F2" w:rsidR="00821C5C" w:rsidRPr="003B7AE9" w:rsidRDefault="00821C5C" w:rsidP="00F964C6">
            <w:pPr>
              <w:spacing w:before="120" w:after="0" w:line="240" w:lineRule="auto"/>
              <w:jc w:val="both"/>
              <w:rPr>
                <w:ins w:id="55" w:author="Author"/>
                <w:rFonts w:ascii="inherit" w:eastAsia="Times New Roman" w:hAnsi="inherit" w:cs="Times New Roman"/>
                <w:sz w:val="24"/>
                <w:szCs w:val="24"/>
                <w:lang w:eastAsia="en-GB"/>
              </w:rPr>
            </w:pPr>
            <w:ins w:id="56"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75</w:t>
              </w:r>
              <w:r w:rsidRPr="003B7AE9">
                <w:rPr>
                  <w:rFonts w:ascii="inherit" w:eastAsia="Times New Roman" w:hAnsi="inherit" w:cs="Times New Roman"/>
                  <w:sz w:val="24"/>
                  <w:szCs w:val="24"/>
                  <w:lang w:eastAsia="en-GB"/>
                </w:rPr>
                <w:t>)</w:t>
              </w:r>
            </w:ins>
          </w:p>
        </w:tc>
        <w:tc>
          <w:tcPr>
            <w:tcW w:w="0" w:type="auto"/>
            <w:shd w:val="clear" w:color="auto" w:fill="auto"/>
            <w:hideMark/>
          </w:tcPr>
          <w:p w14:paraId="7CF1D0EA" w14:textId="57F5A03D" w:rsidR="00821C5C" w:rsidRPr="003B7AE9" w:rsidRDefault="0030421D" w:rsidP="00F964C6">
            <w:pPr>
              <w:spacing w:before="120" w:after="0" w:line="240" w:lineRule="auto"/>
              <w:jc w:val="both"/>
              <w:rPr>
                <w:ins w:id="57" w:author="Author"/>
                <w:rFonts w:ascii="inherit" w:eastAsia="Times New Roman" w:hAnsi="inherit" w:cs="Times New Roman"/>
                <w:sz w:val="24"/>
                <w:szCs w:val="24"/>
                <w:lang w:eastAsia="en-GB"/>
              </w:rPr>
            </w:pPr>
            <w:ins w:id="58" w:author="Author">
              <w:r w:rsidRPr="0030421D">
                <w:rPr>
                  <w:rFonts w:ascii="inherit" w:eastAsia="Times New Roman" w:hAnsi="inherit" w:cs="Times New Roman"/>
                  <w:sz w:val="24"/>
                  <w:szCs w:val="24"/>
                  <w:lang w:eastAsia="en-GB"/>
                </w:rPr>
                <w:t>'one-way electric vehicle charging point or installation' means the infrastructure necessary to safely conduct electrical energy from the electricity supply grid to the electric vehicle with demand-only behaviour.</w:t>
              </w:r>
            </w:ins>
          </w:p>
        </w:tc>
      </w:tr>
      <w:tr w:rsidR="00821C5C" w:rsidRPr="003B7AE9" w14:paraId="48F019DF" w14:textId="77777777" w:rsidTr="00F964C6">
        <w:trPr>
          <w:ins w:id="59" w:author="Author"/>
        </w:trPr>
        <w:tc>
          <w:tcPr>
            <w:tcW w:w="0" w:type="auto"/>
            <w:shd w:val="clear" w:color="auto" w:fill="auto"/>
            <w:hideMark/>
          </w:tcPr>
          <w:p w14:paraId="1DD7C9EA" w14:textId="66818D32" w:rsidR="00821C5C" w:rsidRPr="003B7AE9" w:rsidRDefault="00821C5C" w:rsidP="00F964C6">
            <w:pPr>
              <w:spacing w:before="120" w:after="0" w:line="240" w:lineRule="auto"/>
              <w:jc w:val="both"/>
              <w:rPr>
                <w:ins w:id="60" w:author="Author"/>
                <w:rFonts w:ascii="inherit" w:eastAsia="Times New Roman" w:hAnsi="inherit" w:cs="Times New Roman"/>
                <w:sz w:val="24"/>
                <w:szCs w:val="24"/>
                <w:lang w:eastAsia="en-GB"/>
              </w:rPr>
            </w:pPr>
            <w:ins w:id="61"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76</w:t>
              </w:r>
              <w:r w:rsidRPr="003B7AE9">
                <w:rPr>
                  <w:rFonts w:ascii="inherit" w:eastAsia="Times New Roman" w:hAnsi="inherit" w:cs="Times New Roman"/>
                  <w:sz w:val="24"/>
                  <w:szCs w:val="24"/>
                  <w:lang w:eastAsia="en-GB"/>
                </w:rPr>
                <w:t>)</w:t>
              </w:r>
            </w:ins>
          </w:p>
        </w:tc>
        <w:tc>
          <w:tcPr>
            <w:tcW w:w="0" w:type="auto"/>
            <w:shd w:val="clear" w:color="auto" w:fill="auto"/>
            <w:hideMark/>
          </w:tcPr>
          <w:p w14:paraId="7A69D3D2" w14:textId="4524C7FC" w:rsidR="00821C5C" w:rsidRPr="003B7AE9" w:rsidRDefault="0030421D" w:rsidP="00F964C6">
            <w:pPr>
              <w:spacing w:before="120" w:after="0" w:line="240" w:lineRule="auto"/>
              <w:jc w:val="both"/>
              <w:rPr>
                <w:ins w:id="62" w:author="Author"/>
                <w:rFonts w:ascii="inherit" w:eastAsia="Times New Roman" w:hAnsi="inherit" w:cs="Times New Roman"/>
                <w:sz w:val="24"/>
                <w:szCs w:val="24"/>
                <w:lang w:eastAsia="en-GB"/>
              </w:rPr>
            </w:pPr>
            <w:ins w:id="63" w:author="Author">
              <w:r w:rsidRPr="0030421D">
                <w:rPr>
                  <w:rFonts w:ascii="inherit" w:eastAsia="Times New Roman" w:hAnsi="inherit" w:cs="Times New Roman"/>
                  <w:sz w:val="24"/>
                  <w:szCs w:val="24"/>
                  <w:lang w:eastAsia="en-GB"/>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behaviour.</w:t>
              </w:r>
            </w:ins>
          </w:p>
        </w:tc>
      </w:tr>
      <w:tr w:rsidR="00821C5C" w:rsidRPr="003B7AE9" w14:paraId="66D354F1" w14:textId="77777777" w:rsidTr="00F964C6">
        <w:trPr>
          <w:ins w:id="64" w:author="Author"/>
        </w:trPr>
        <w:tc>
          <w:tcPr>
            <w:tcW w:w="0" w:type="auto"/>
            <w:shd w:val="clear" w:color="auto" w:fill="auto"/>
            <w:hideMark/>
          </w:tcPr>
          <w:p w14:paraId="4F157594" w14:textId="0205E8B6" w:rsidR="00821C5C" w:rsidRPr="003B7AE9" w:rsidRDefault="00821C5C" w:rsidP="00F964C6">
            <w:pPr>
              <w:spacing w:before="120" w:after="0" w:line="240" w:lineRule="auto"/>
              <w:jc w:val="both"/>
              <w:rPr>
                <w:ins w:id="65" w:author="Author"/>
                <w:rFonts w:ascii="inherit" w:eastAsia="Times New Roman" w:hAnsi="inherit" w:cs="Times New Roman"/>
                <w:sz w:val="24"/>
                <w:szCs w:val="24"/>
                <w:lang w:eastAsia="en-GB"/>
              </w:rPr>
            </w:pPr>
            <w:ins w:id="66"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77</w:t>
              </w:r>
              <w:r w:rsidRPr="003B7AE9">
                <w:rPr>
                  <w:rFonts w:ascii="inherit" w:eastAsia="Times New Roman" w:hAnsi="inherit" w:cs="Times New Roman"/>
                  <w:sz w:val="24"/>
                  <w:szCs w:val="24"/>
                  <w:lang w:eastAsia="en-GB"/>
                </w:rPr>
                <w:t>)</w:t>
              </w:r>
            </w:ins>
          </w:p>
        </w:tc>
        <w:tc>
          <w:tcPr>
            <w:tcW w:w="0" w:type="auto"/>
            <w:shd w:val="clear" w:color="auto" w:fill="auto"/>
            <w:hideMark/>
          </w:tcPr>
          <w:p w14:paraId="054C9A97" w14:textId="08859499" w:rsidR="00821C5C" w:rsidRPr="003B7AE9" w:rsidRDefault="0030421D" w:rsidP="00F964C6">
            <w:pPr>
              <w:spacing w:before="120" w:after="0" w:line="240" w:lineRule="auto"/>
              <w:jc w:val="both"/>
              <w:rPr>
                <w:ins w:id="67" w:author="Author"/>
                <w:rFonts w:ascii="inherit" w:eastAsia="Times New Roman" w:hAnsi="inherit" w:cs="Times New Roman"/>
                <w:sz w:val="24"/>
                <w:szCs w:val="24"/>
                <w:lang w:eastAsia="en-GB"/>
              </w:rPr>
            </w:pPr>
            <w:ins w:id="68" w:author="Author">
              <w:r>
                <w:rPr>
                  <w:rFonts w:ascii="inherit" w:eastAsia="Times New Roman" w:hAnsi="inherit" w:cs="Times New Roman"/>
                  <w:sz w:val="24"/>
                  <w:szCs w:val="24"/>
                  <w:lang w:eastAsia="en-GB"/>
                </w:rPr>
                <w:t>A ‘</w:t>
              </w:r>
              <w:r w:rsidRPr="0030421D">
                <w:rPr>
                  <w:rFonts w:ascii="inherit" w:eastAsia="Times New Roman" w:hAnsi="inherit" w:cs="Times New Roman"/>
                  <w:sz w:val="24"/>
                  <w:szCs w:val="24"/>
                  <w:lang w:eastAsia="en-GB"/>
                </w:rPr>
                <w:t>Mixed Customer Site</w:t>
              </w:r>
              <w:r>
                <w:rPr>
                  <w:rFonts w:ascii="inherit" w:eastAsia="Times New Roman" w:hAnsi="inherit" w:cs="Times New Roman"/>
                  <w:sz w:val="24"/>
                  <w:szCs w:val="24"/>
                  <w:lang w:eastAsia="en-GB"/>
                </w:rPr>
                <w:t>’</w:t>
              </w:r>
              <w:r w:rsidRPr="0030421D">
                <w:rPr>
                  <w:rFonts w:ascii="inherit" w:eastAsia="Times New Roman" w:hAnsi="inherit" w:cs="Times New Roman"/>
                  <w:sz w:val="24"/>
                  <w:szCs w:val="24"/>
                  <w:lang w:eastAsia="en-GB"/>
                </w:rPr>
                <w:t xml:space="preserve"> is a site with one or several power-generating modules and consumption connected behind a single connection point. For the avoidance of doubt, the auxiliary services of the power-generating module should not be considered as consumption in this definition. This definition can be applied on both CDSO and non-CDSO sites.</w:t>
              </w:r>
            </w:ins>
          </w:p>
        </w:tc>
      </w:tr>
      <w:tr w:rsidR="0030421D" w:rsidRPr="003B7AE9" w14:paraId="0D6E914D" w14:textId="77777777" w:rsidTr="00F964C6">
        <w:trPr>
          <w:ins w:id="69" w:author="Author"/>
        </w:trPr>
        <w:tc>
          <w:tcPr>
            <w:tcW w:w="0" w:type="auto"/>
            <w:shd w:val="clear" w:color="auto" w:fill="auto"/>
          </w:tcPr>
          <w:p w14:paraId="0C3B4233" w14:textId="32F64677" w:rsidR="0030421D" w:rsidRPr="003B7AE9" w:rsidRDefault="0030421D" w:rsidP="0030421D">
            <w:pPr>
              <w:spacing w:before="120" w:after="0" w:line="240" w:lineRule="auto"/>
              <w:jc w:val="both"/>
              <w:rPr>
                <w:ins w:id="70" w:author="Author"/>
                <w:rFonts w:ascii="inherit" w:eastAsia="Times New Roman" w:hAnsi="inherit" w:cs="Times New Roman"/>
                <w:sz w:val="24"/>
                <w:szCs w:val="24"/>
                <w:lang w:eastAsia="en-GB"/>
              </w:rPr>
            </w:pPr>
            <w:ins w:id="71"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78</w:t>
              </w:r>
              <w:r w:rsidRPr="003B7AE9">
                <w:rPr>
                  <w:rFonts w:ascii="inherit" w:eastAsia="Times New Roman" w:hAnsi="inherit" w:cs="Times New Roman"/>
                  <w:sz w:val="24"/>
                  <w:szCs w:val="24"/>
                  <w:lang w:eastAsia="en-GB"/>
                </w:rPr>
                <w:t>)</w:t>
              </w:r>
            </w:ins>
          </w:p>
        </w:tc>
        <w:tc>
          <w:tcPr>
            <w:tcW w:w="0" w:type="auto"/>
            <w:shd w:val="clear" w:color="auto" w:fill="auto"/>
          </w:tcPr>
          <w:p w14:paraId="58674929" w14:textId="266E326A" w:rsidR="0030421D" w:rsidRPr="003B7AE9" w:rsidRDefault="0030421D" w:rsidP="0030421D">
            <w:pPr>
              <w:spacing w:before="120" w:after="0" w:line="240" w:lineRule="auto"/>
              <w:jc w:val="both"/>
              <w:rPr>
                <w:ins w:id="72" w:author="Author"/>
                <w:rFonts w:ascii="inherit" w:eastAsia="Times New Roman" w:hAnsi="inherit" w:cs="Times New Roman"/>
                <w:sz w:val="24"/>
                <w:szCs w:val="24"/>
                <w:lang w:eastAsia="en-GB"/>
              </w:rPr>
            </w:pPr>
            <w:ins w:id="73" w:author="Author">
              <w:r w:rsidRPr="003B7AE9">
                <w:rPr>
                  <w:rFonts w:ascii="inherit" w:eastAsia="Times New Roman" w:hAnsi="inherit" w:cs="Times New Roman"/>
                  <w:sz w:val="24"/>
                  <w:szCs w:val="24"/>
                  <w:lang w:eastAsia="en-GB"/>
                </w:rPr>
                <w:t>‘</w:t>
              </w:r>
              <w:r w:rsidRPr="0030421D">
                <w:rPr>
                  <w:rFonts w:ascii="inherit" w:eastAsia="Times New Roman" w:hAnsi="inherit" w:cs="Times New Roman"/>
                  <w:sz w:val="24"/>
                  <w:szCs w:val="24"/>
                  <w:lang w:eastAsia="en-GB"/>
                </w:rPr>
                <w:t>Rate of Change of Frequency (RoCoF)’ is the time derivative of the power system frequency (df/dt). It shall be measured during a sliding period of time. A classical value used in the calculation is 500 ms.</w:t>
              </w:r>
            </w:ins>
          </w:p>
        </w:tc>
      </w:tr>
      <w:tr w:rsidR="0030421D" w:rsidRPr="003B7AE9" w14:paraId="7E9B6EC3" w14:textId="77777777" w:rsidTr="00F964C6">
        <w:trPr>
          <w:ins w:id="74" w:author="Author"/>
        </w:trPr>
        <w:tc>
          <w:tcPr>
            <w:tcW w:w="0" w:type="auto"/>
            <w:shd w:val="clear" w:color="auto" w:fill="auto"/>
          </w:tcPr>
          <w:p w14:paraId="6DD9C054" w14:textId="77777777" w:rsidR="0030421D" w:rsidRPr="003B7AE9" w:rsidRDefault="0030421D" w:rsidP="0030421D">
            <w:pPr>
              <w:spacing w:before="120" w:after="0" w:line="240" w:lineRule="auto"/>
              <w:jc w:val="both"/>
              <w:rPr>
                <w:ins w:id="75" w:author="Author"/>
                <w:rFonts w:ascii="inherit" w:eastAsia="Times New Roman" w:hAnsi="inherit" w:cs="Times New Roman"/>
                <w:sz w:val="24"/>
                <w:szCs w:val="24"/>
                <w:lang w:eastAsia="en-GB"/>
              </w:rPr>
            </w:pPr>
          </w:p>
        </w:tc>
        <w:tc>
          <w:tcPr>
            <w:tcW w:w="0" w:type="auto"/>
            <w:shd w:val="clear" w:color="auto" w:fill="auto"/>
          </w:tcPr>
          <w:p w14:paraId="55B43D2B" w14:textId="77777777" w:rsidR="0030421D" w:rsidRPr="003B7AE9" w:rsidRDefault="0030421D" w:rsidP="0030421D">
            <w:pPr>
              <w:spacing w:before="120" w:after="0" w:line="240" w:lineRule="auto"/>
              <w:jc w:val="both"/>
              <w:rPr>
                <w:ins w:id="76" w:author="Author"/>
                <w:rFonts w:ascii="inherit" w:eastAsia="Times New Roman" w:hAnsi="inherit" w:cs="Times New Roman"/>
                <w:sz w:val="24"/>
                <w:szCs w:val="24"/>
                <w:lang w:eastAsia="en-GB"/>
              </w:rPr>
            </w:pPr>
          </w:p>
        </w:tc>
      </w:tr>
      <w:tr w:rsidR="0030421D" w:rsidRPr="003B7AE9" w14:paraId="49CF5F6C" w14:textId="77777777" w:rsidTr="00F964C6">
        <w:trPr>
          <w:ins w:id="77" w:author="Author"/>
        </w:trPr>
        <w:tc>
          <w:tcPr>
            <w:tcW w:w="0" w:type="auto"/>
            <w:shd w:val="clear" w:color="auto" w:fill="auto"/>
          </w:tcPr>
          <w:p w14:paraId="12EC1EF1" w14:textId="77777777" w:rsidR="0030421D" w:rsidRPr="003B7AE9" w:rsidRDefault="0030421D" w:rsidP="0030421D">
            <w:pPr>
              <w:spacing w:before="120" w:after="0" w:line="240" w:lineRule="auto"/>
              <w:jc w:val="both"/>
              <w:rPr>
                <w:ins w:id="78" w:author="Author"/>
                <w:rFonts w:ascii="inherit" w:eastAsia="Times New Roman" w:hAnsi="inherit" w:cs="Times New Roman"/>
                <w:sz w:val="24"/>
                <w:szCs w:val="24"/>
                <w:lang w:eastAsia="en-GB"/>
              </w:rPr>
            </w:pPr>
          </w:p>
        </w:tc>
        <w:tc>
          <w:tcPr>
            <w:tcW w:w="0" w:type="auto"/>
            <w:shd w:val="clear" w:color="auto" w:fill="auto"/>
          </w:tcPr>
          <w:p w14:paraId="076BB36F" w14:textId="77777777" w:rsidR="0030421D" w:rsidRPr="003B7AE9" w:rsidRDefault="0030421D" w:rsidP="0030421D">
            <w:pPr>
              <w:spacing w:before="120" w:after="0" w:line="240" w:lineRule="auto"/>
              <w:jc w:val="both"/>
              <w:rPr>
                <w:ins w:id="79" w:author="Author"/>
                <w:rFonts w:ascii="inherit" w:eastAsia="Times New Roman" w:hAnsi="inherit" w:cs="Times New Roman"/>
                <w:sz w:val="24"/>
                <w:szCs w:val="24"/>
                <w:lang w:eastAsia="en-GB"/>
              </w:rPr>
            </w:pPr>
          </w:p>
        </w:tc>
      </w:tr>
      <w:tr w:rsidR="0030421D" w:rsidRPr="003B7AE9" w14:paraId="789EF83B" w14:textId="77777777" w:rsidTr="003B7AE9">
        <w:trPr>
          <w:ins w:id="80" w:author="Author"/>
        </w:trPr>
        <w:tc>
          <w:tcPr>
            <w:tcW w:w="0" w:type="auto"/>
            <w:shd w:val="clear" w:color="auto" w:fill="auto"/>
          </w:tcPr>
          <w:p w14:paraId="16C48E09" w14:textId="77777777" w:rsidR="0030421D" w:rsidRPr="003B7AE9" w:rsidRDefault="0030421D" w:rsidP="0030421D">
            <w:pPr>
              <w:spacing w:before="120" w:after="0" w:line="240" w:lineRule="auto"/>
              <w:jc w:val="both"/>
              <w:rPr>
                <w:ins w:id="81" w:author="Author"/>
                <w:rFonts w:ascii="inherit" w:eastAsia="Times New Roman" w:hAnsi="inherit" w:cs="Times New Roman"/>
                <w:sz w:val="24"/>
                <w:szCs w:val="24"/>
                <w:lang w:eastAsia="en-GB"/>
              </w:rPr>
            </w:pPr>
          </w:p>
        </w:tc>
        <w:tc>
          <w:tcPr>
            <w:tcW w:w="0" w:type="auto"/>
            <w:shd w:val="clear" w:color="auto" w:fill="auto"/>
          </w:tcPr>
          <w:p w14:paraId="0D89C032" w14:textId="77777777" w:rsidR="0030421D" w:rsidRPr="003B7AE9" w:rsidRDefault="0030421D" w:rsidP="0030421D">
            <w:pPr>
              <w:spacing w:before="120" w:after="0" w:line="240" w:lineRule="auto"/>
              <w:jc w:val="both"/>
              <w:rPr>
                <w:ins w:id="82" w:author="Author"/>
                <w:rFonts w:ascii="inherit" w:eastAsia="Times New Roman" w:hAnsi="inherit" w:cs="Times New Roman"/>
                <w:sz w:val="24"/>
                <w:szCs w:val="24"/>
                <w:lang w:eastAsia="en-GB"/>
              </w:rPr>
            </w:pPr>
          </w:p>
        </w:tc>
      </w:tr>
      <w:tr w:rsidR="0030421D" w:rsidRPr="003B7AE9" w14:paraId="294C1EAC" w14:textId="77777777" w:rsidTr="003B7AE9">
        <w:trPr>
          <w:ins w:id="83" w:author="Author"/>
        </w:trPr>
        <w:tc>
          <w:tcPr>
            <w:tcW w:w="0" w:type="auto"/>
            <w:shd w:val="clear" w:color="auto" w:fill="auto"/>
          </w:tcPr>
          <w:p w14:paraId="21A4749A" w14:textId="77777777" w:rsidR="0030421D" w:rsidRPr="003B7AE9" w:rsidRDefault="0030421D" w:rsidP="0030421D">
            <w:pPr>
              <w:spacing w:before="120" w:after="0" w:line="240" w:lineRule="auto"/>
              <w:jc w:val="both"/>
              <w:rPr>
                <w:ins w:id="84" w:author="Author"/>
                <w:rFonts w:ascii="inherit" w:eastAsia="Times New Roman" w:hAnsi="inherit" w:cs="Times New Roman"/>
                <w:sz w:val="24"/>
                <w:szCs w:val="24"/>
                <w:lang w:eastAsia="en-GB"/>
              </w:rPr>
            </w:pPr>
          </w:p>
        </w:tc>
        <w:tc>
          <w:tcPr>
            <w:tcW w:w="0" w:type="auto"/>
            <w:shd w:val="clear" w:color="auto" w:fill="auto"/>
          </w:tcPr>
          <w:p w14:paraId="3D19FEAE" w14:textId="77777777" w:rsidR="0030421D" w:rsidRPr="003B7AE9" w:rsidRDefault="0030421D" w:rsidP="0030421D">
            <w:pPr>
              <w:spacing w:before="120" w:after="0" w:line="240" w:lineRule="auto"/>
              <w:jc w:val="both"/>
              <w:rPr>
                <w:ins w:id="85" w:author="Author"/>
                <w:rFonts w:ascii="inherit" w:eastAsia="Times New Roman" w:hAnsi="inherit" w:cs="Times New Roman"/>
                <w:sz w:val="24"/>
                <w:szCs w:val="24"/>
                <w:lang w:eastAsia="en-GB"/>
              </w:rPr>
            </w:pPr>
          </w:p>
        </w:tc>
      </w:tr>
      <w:tr w:rsidR="0030421D" w:rsidRPr="003B7AE9" w14:paraId="5280F84D" w14:textId="77777777" w:rsidTr="003B7AE9">
        <w:trPr>
          <w:ins w:id="86" w:author="Author"/>
        </w:trPr>
        <w:tc>
          <w:tcPr>
            <w:tcW w:w="0" w:type="auto"/>
            <w:shd w:val="clear" w:color="auto" w:fill="auto"/>
          </w:tcPr>
          <w:p w14:paraId="026F676F" w14:textId="77777777" w:rsidR="0030421D" w:rsidRPr="003B7AE9" w:rsidRDefault="0030421D" w:rsidP="0030421D">
            <w:pPr>
              <w:spacing w:before="120" w:after="0" w:line="240" w:lineRule="auto"/>
              <w:jc w:val="both"/>
              <w:rPr>
                <w:ins w:id="87" w:author="Author"/>
                <w:rFonts w:ascii="inherit" w:eastAsia="Times New Roman" w:hAnsi="inherit" w:cs="Times New Roman"/>
                <w:sz w:val="24"/>
                <w:szCs w:val="24"/>
                <w:lang w:eastAsia="en-GB"/>
              </w:rPr>
            </w:pPr>
          </w:p>
        </w:tc>
        <w:tc>
          <w:tcPr>
            <w:tcW w:w="0" w:type="auto"/>
            <w:shd w:val="clear" w:color="auto" w:fill="auto"/>
          </w:tcPr>
          <w:p w14:paraId="06DFCB25" w14:textId="77777777" w:rsidR="0030421D" w:rsidRPr="003B7AE9" w:rsidRDefault="0030421D" w:rsidP="0030421D">
            <w:pPr>
              <w:spacing w:before="120" w:after="0" w:line="240" w:lineRule="auto"/>
              <w:jc w:val="both"/>
              <w:rPr>
                <w:ins w:id="88" w:author="Author"/>
                <w:rFonts w:ascii="inherit" w:eastAsia="Times New Roman" w:hAnsi="inherit" w:cs="Times New Roman"/>
                <w:sz w:val="24"/>
                <w:szCs w:val="24"/>
                <w:lang w:eastAsia="en-GB"/>
              </w:rPr>
            </w:pPr>
          </w:p>
        </w:tc>
      </w:tr>
      <w:tr w:rsidR="0030421D" w:rsidRPr="003B7AE9" w14:paraId="20FB7435" w14:textId="77777777" w:rsidTr="003B7AE9">
        <w:trPr>
          <w:ins w:id="89" w:author="Author"/>
        </w:trPr>
        <w:tc>
          <w:tcPr>
            <w:tcW w:w="0" w:type="auto"/>
            <w:shd w:val="clear" w:color="auto" w:fill="auto"/>
          </w:tcPr>
          <w:p w14:paraId="6F3A56FE" w14:textId="77777777" w:rsidR="0030421D" w:rsidRPr="003B7AE9" w:rsidRDefault="0030421D" w:rsidP="0030421D">
            <w:pPr>
              <w:spacing w:before="120" w:after="0" w:line="240" w:lineRule="auto"/>
              <w:jc w:val="both"/>
              <w:rPr>
                <w:ins w:id="90" w:author="Author"/>
                <w:rFonts w:ascii="inherit" w:eastAsia="Times New Roman" w:hAnsi="inherit" w:cs="Times New Roman"/>
                <w:sz w:val="24"/>
                <w:szCs w:val="24"/>
                <w:lang w:eastAsia="en-GB"/>
              </w:rPr>
            </w:pPr>
          </w:p>
        </w:tc>
        <w:tc>
          <w:tcPr>
            <w:tcW w:w="0" w:type="auto"/>
            <w:shd w:val="clear" w:color="auto" w:fill="auto"/>
          </w:tcPr>
          <w:p w14:paraId="2C284C14" w14:textId="77777777" w:rsidR="0030421D" w:rsidRPr="003B7AE9" w:rsidRDefault="0030421D" w:rsidP="0030421D">
            <w:pPr>
              <w:spacing w:before="120" w:after="0" w:line="240" w:lineRule="auto"/>
              <w:jc w:val="both"/>
              <w:rPr>
                <w:ins w:id="91" w:author="Author"/>
                <w:rFonts w:ascii="inherit" w:eastAsia="Times New Roman" w:hAnsi="inherit" w:cs="Times New Roman"/>
                <w:sz w:val="24"/>
                <w:szCs w:val="24"/>
                <w:lang w:eastAsia="en-GB"/>
              </w:rPr>
            </w:pPr>
          </w:p>
        </w:tc>
      </w:tr>
      <w:tr w:rsidR="0030421D" w:rsidRPr="003B7AE9" w14:paraId="2A18FDB5" w14:textId="77777777" w:rsidTr="003B7AE9">
        <w:trPr>
          <w:ins w:id="92" w:author="Author"/>
        </w:trPr>
        <w:tc>
          <w:tcPr>
            <w:tcW w:w="0" w:type="auto"/>
            <w:shd w:val="clear" w:color="auto" w:fill="auto"/>
          </w:tcPr>
          <w:p w14:paraId="678E61B3" w14:textId="77777777" w:rsidR="0030421D" w:rsidRPr="003B7AE9" w:rsidRDefault="0030421D" w:rsidP="0030421D">
            <w:pPr>
              <w:spacing w:before="120" w:after="0" w:line="240" w:lineRule="auto"/>
              <w:jc w:val="both"/>
              <w:rPr>
                <w:ins w:id="93" w:author="Author"/>
                <w:rFonts w:ascii="inherit" w:eastAsia="Times New Roman" w:hAnsi="inherit" w:cs="Times New Roman"/>
                <w:sz w:val="24"/>
                <w:szCs w:val="24"/>
                <w:lang w:eastAsia="en-GB"/>
              </w:rPr>
            </w:pPr>
          </w:p>
        </w:tc>
        <w:tc>
          <w:tcPr>
            <w:tcW w:w="0" w:type="auto"/>
            <w:shd w:val="clear" w:color="auto" w:fill="auto"/>
          </w:tcPr>
          <w:p w14:paraId="5C46FB06" w14:textId="77777777" w:rsidR="0030421D" w:rsidRPr="003B7AE9" w:rsidRDefault="0030421D" w:rsidP="0030421D">
            <w:pPr>
              <w:spacing w:before="120" w:after="0" w:line="240" w:lineRule="auto"/>
              <w:jc w:val="both"/>
              <w:rPr>
                <w:ins w:id="94" w:author="Author"/>
                <w:rFonts w:ascii="inherit" w:eastAsia="Times New Roman" w:hAnsi="inherit" w:cs="Times New Roman"/>
                <w:sz w:val="24"/>
                <w:szCs w:val="24"/>
                <w:lang w:eastAsia="en-GB"/>
              </w:rPr>
            </w:pPr>
          </w:p>
        </w:tc>
      </w:tr>
      <w:tr w:rsidR="0030421D" w:rsidRPr="003B7AE9" w14:paraId="0162B81A" w14:textId="77777777" w:rsidTr="003B7AE9">
        <w:trPr>
          <w:ins w:id="95" w:author="Author"/>
        </w:trPr>
        <w:tc>
          <w:tcPr>
            <w:tcW w:w="0" w:type="auto"/>
            <w:shd w:val="clear" w:color="auto" w:fill="auto"/>
          </w:tcPr>
          <w:p w14:paraId="05B7B344" w14:textId="77777777" w:rsidR="0030421D" w:rsidRPr="003B7AE9" w:rsidRDefault="0030421D" w:rsidP="0030421D">
            <w:pPr>
              <w:spacing w:before="120" w:after="0" w:line="240" w:lineRule="auto"/>
              <w:jc w:val="both"/>
              <w:rPr>
                <w:ins w:id="96" w:author="Author"/>
                <w:rFonts w:ascii="inherit" w:eastAsia="Times New Roman" w:hAnsi="inherit" w:cs="Times New Roman"/>
                <w:sz w:val="24"/>
                <w:szCs w:val="24"/>
                <w:lang w:eastAsia="en-GB"/>
              </w:rPr>
            </w:pPr>
          </w:p>
        </w:tc>
        <w:tc>
          <w:tcPr>
            <w:tcW w:w="0" w:type="auto"/>
            <w:shd w:val="clear" w:color="auto" w:fill="auto"/>
          </w:tcPr>
          <w:p w14:paraId="7364E99A" w14:textId="77777777" w:rsidR="0030421D" w:rsidRPr="003B7AE9" w:rsidRDefault="0030421D" w:rsidP="0030421D">
            <w:pPr>
              <w:spacing w:before="120" w:after="0" w:line="240" w:lineRule="auto"/>
              <w:jc w:val="both"/>
              <w:rPr>
                <w:ins w:id="97" w:author="Author"/>
                <w:rFonts w:ascii="inherit" w:eastAsia="Times New Roman" w:hAnsi="inherit" w:cs="Times New Roman"/>
                <w:sz w:val="24"/>
                <w:szCs w:val="24"/>
                <w:lang w:eastAsia="en-GB"/>
              </w:rPr>
            </w:pPr>
          </w:p>
        </w:tc>
      </w:tr>
      <w:tr w:rsidR="0030421D" w:rsidRPr="003B7AE9" w14:paraId="7117B4AE" w14:textId="77777777" w:rsidTr="003B7AE9">
        <w:trPr>
          <w:ins w:id="98" w:author="Author"/>
        </w:trPr>
        <w:tc>
          <w:tcPr>
            <w:tcW w:w="0" w:type="auto"/>
            <w:shd w:val="clear" w:color="auto" w:fill="auto"/>
          </w:tcPr>
          <w:p w14:paraId="478421EB" w14:textId="77777777" w:rsidR="0030421D" w:rsidRPr="003B7AE9" w:rsidRDefault="0030421D" w:rsidP="0030421D">
            <w:pPr>
              <w:spacing w:before="120" w:after="0" w:line="240" w:lineRule="auto"/>
              <w:jc w:val="both"/>
              <w:rPr>
                <w:ins w:id="99" w:author="Author"/>
                <w:rFonts w:ascii="inherit" w:eastAsia="Times New Roman" w:hAnsi="inherit" w:cs="Times New Roman"/>
                <w:sz w:val="24"/>
                <w:szCs w:val="24"/>
                <w:lang w:eastAsia="en-GB"/>
              </w:rPr>
            </w:pPr>
          </w:p>
        </w:tc>
        <w:tc>
          <w:tcPr>
            <w:tcW w:w="0" w:type="auto"/>
            <w:shd w:val="clear" w:color="auto" w:fill="auto"/>
          </w:tcPr>
          <w:p w14:paraId="3316145B" w14:textId="77777777" w:rsidR="0030421D" w:rsidRPr="003B7AE9" w:rsidRDefault="0030421D" w:rsidP="0030421D">
            <w:pPr>
              <w:spacing w:before="120" w:after="0" w:line="240" w:lineRule="auto"/>
              <w:jc w:val="both"/>
              <w:rPr>
                <w:ins w:id="100" w:author="Author"/>
                <w:rFonts w:ascii="inherit" w:eastAsia="Times New Roman" w:hAnsi="inherit" w:cs="Times New Roman"/>
                <w:sz w:val="24"/>
                <w:szCs w:val="24"/>
                <w:lang w:eastAsia="en-GB"/>
              </w:rPr>
            </w:pPr>
          </w:p>
        </w:tc>
      </w:tr>
      <w:tr w:rsidR="0030421D" w:rsidRPr="003B7AE9" w14:paraId="64D876B8" w14:textId="77777777" w:rsidTr="003B7AE9">
        <w:trPr>
          <w:ins w:id="101" w:author="Author"/>
        </w:trPr>
        <w:tc>
          <w:tcPr>
            <w:tcW w:w="0" w:type="auto"/>
            <w:shd w:val="clear" w:color="auto" w:fill="auto"/>
          </w:tcPr>
          <w:p w14:paraId="6BF91178" w14:textId="77777777" w:rsidR="0030421D" w:rsidRPr="003B7AE9" w:rsidRDefault="0030421D" w:rsidP="0030421D">
            <w:pPr>
              <w:spacing w:before="120" w:after="0" w:line="240" w:lineRule="auto"/>
              <w:jc w:val="both"/>
              <w:rPr>
                <w:ins w:id="102" w:author="Author"/>
                <w:rFonts w:ascii="inherit" w:eastAsia="Times New Roman" w:hAnsi="inherit" w:cs="Times New Roman"/>
                <w:sz w:val="24"/>
                <w:szCs w:val="24"/>
                <w:lang w:eastAsia="en-GB"/>
              </w:rPr>
            </w:pPr>
          </w:p>
        </w:tc>
        <w:tc>
          <w:tcPr>
            <w:tcW w:w="0" w:type="auto"/>
            <w:shd w:val="clear" w:color="auto" w:fill="auto"/>
          </w:tcPr>
          <w:p w14:paraId="4D202280" w14:textId="77777777" w:rsidR="0030421D" w:rsidRPr="003B7AE9" w:rsidRDefault="0030421D" w:rsidP="0030421D">
            <w:pPr>
              <w:spacing w:before="120" w:after="0" w:line="240" w:lineRule="auto"/>
              <w:jc w:val="both"/>
              <w:rPr>
                <w:ins w:id="103" w:author="Author"/>
                <w:rFonts w:ascii="inherit" w:eastAsia="Times New Roman" w:hAnsi="inherit" w:cs="Times New Roman"/>
                <w:sz w:val="24"/>
                <w:szCs w:val="24"/>
                <w:lang w:eastAsia="en-GB"/>
              </w:rPr>
            </w:pPr>
          </w:p>
        </w:tc>
      </w:tr>
      <w:tr w:rsidR="0030421D" w:rsidRPr="003B7AE9" w14:paraId="097AF6EE" w14:textId="77777777" w:rsidTr="003B7AE9">
        <w:trPr>
          <w:ins w:id="104" w:author="Author"/>
        </w:trPr>
        <w:tc>
          <w:tcPr>
            <w:tcW w:w="0" w:type="auto"/>
            <w:shd w:val="clear" w:color="auto" w:fill="auto"/>
          </w:tcPr>
          <w:p w14:paraId="3512F1BD" w14:textId="77777777" w:rsidR="0030421D" w:rsidRPr="003B7AE9" w:rsidRDefault="0030421D" w:rsidP="0030421D">
            <w:pPr>
              <w:spacing w:before="120" w:after="0" w:line="240" w:lineRule="auto"/>
              <w:jc w:val="both"/>
              <w:rPr>
                <w:ins w:id="105" w:author="Author"/>
                <w:rFonts w:ascii="inherit" w:eastAsia="Times New Roman" w:hAnsi="inherit" w:cs="Times New Roman"/>
                <w:sz w:val="24"/>
                <w:szCs w:val="24"/>
                <w:lang w:eastAsia="en-GB"/>
              </w:rPr>
            </w:pPr>
          </w:p>
        </w:tc>
        <w:tc>
          <w:tcPr>
            <w:tcW w:w="0" w:type="auto"/>
            <w:shd w:val="clear" w:color="auto" w:fill="auto"/>
          </w:tcPr>
          <w:p w14:paraId="32D0A5F2" w14:textId="77777777" w:rsidR="0030421D" w:rsidRPr="003B7AE9" w:rsidRDefault="0030421D" w:rsidP="0030421D">
            <w:pPr>
              <w:spacing w:before="120" w:after="0" w:line="240" w:lineRule="auto"/>
              <w:jc w:val="both"/>
              <w:rPr>
                <w:ins w:id="106" w:author="Author"/>
                <w:rFonts w:ascii="inherit" w:eastAsia="Times New Roman" w:hAnsi="inherit" w:cs="Times New Roman"/>
                <w:sz w:val="24"/>
                <w:szCs w:val="24"/>
                <w:lang w:eastAsia="en-GB"/>
              </w:rPr>
            </w:pPr>
          </w:p>
        </w:tc>
      </w:tr>
      <w:tr w:rsidR="0030421D" w:rsidRPr="003B7AE9" w14:paraId="7849D9FF" w14:textId="77777777" w:rsidTr="003B7AE9">
        <w:trPr>
          <w:ins w:id="107" w:author="Author"/>
        </w:trPr>
        <w:tc>
          <w:tcPr>
            <w:tcW w:w="0" w:type="auto"/>
            <w:shd w:val="clear" w:color="auto" w:fill="auto"/>
          </w:tcPr>
          <w:p w14:paraId="26AEF5EC" w14:textId="77777777" w:rsidR="0030421D" w:rsidRPr="003B7AE9" w:rsidRDefault="0030421D" w:rsidP="0030421D">
            <w:pPr>
              <w:spacing w:before="120" w:after="0" w:line="240" w:lineRule="auto"/>
              <w:jc w:val="both"/>
              <w:rPr>
                <w:ins w:id="108" w:author="Author"/>
                <w:rFonts w:ascii="inherit" w:eastAsia="Times New Roman" w:hAnsi="inherit" w:cs="Times New Roman"/>
                <w:sz w:val="24"/>
                <w:szCs w:val="24"/>
                <w:lang w:eastAsia="en-GB"/>
              </w:rPr>
            </w:pPr>
          </w:p>
        </w:tc>
        <w:tc>
          <w:tcPr>
            <w:tcW w:w="0" w:type="auto"/>
            <w:shd w:val="clear" w:color="auto" w:fill="auto"/>
          </w:tcPr>
          <w:p w14:paraId="211D3368" w14:textId="77777777" w:rsidR="0030421D" w:rsidRPr="003B7AE9" w:rsidRDefault="0030421D" w:rsidP="0030421D">
            <w:pPr>
              <w:spacing w:before="120" w:after="0" w:line="240" w:lineRule="auto"/>
              <w:jc w:val="both"/>
              <w:rPr>
                <w:ins w:id="109" w:author="Author"/>
                <w:rFonts w:ascii="inherit" w:eastAsia="Times New Roman" w:hAnsi="inherit" w:cs="Times New Roman"/>
                <w:sz w:val="24"/>
                <w:szCs w:val="24"/>
                <w:lang w:eastAsia="en-GB"/>
              </w:rPr>
            </w:pPr>
          </w:p>
        </w:tc>
      </w:tr>
      <w:tr w:rsidR="0030421D" w:rsidRPr="003B7AE9" w14:paraId="38049A5C" w14:textId="77777777" w:rsidTr="003B7AE9">
        <w:trPr>
          <w:ins w:id="110" w:author="Author"/>
        </w:trPr>
        <w:tc>
          <w:tcPr>
            <w:tcW w:w="0" w:type="auto"/>
            <w:shd w:val="clear" w:color="auto" w:fill="auto"/>
          </w:tcPr>
          <w:p w14:paraId="050363E3" w14:textId="77777777" w:rsidR="0030421D" w:rsidRPr="003B7AE9" w:rsidRDefault="0030421D" w:rsidP="0030421D">
            <w:pPr>
              <w:spacing w:before="120" w:after="0" w:line="240" w:lineRule="auto"/>
              <w:jc w:val="both"/>
              <w:rPr>
                <w:ins w:id="111" w:author="Author"/>
                <w:rFonts w:ascii="inherit" w:eastAsia="Times New Roman" w:hAnsi="inherit" w:cs="Times New Roman"/>
                <w:sz w:val="24"/>
                <w:szCs w:val="24"/>
                <w:lang w:eastAsia="en-GB"/>
              </w:rPr>
            </w:pPr>
          </w:p>
        </w:tc>
        <w:tc>
          <w:tcPr>
            <w:tcW w:w="0" w:type="auto"/>
            <w:shd w:val="clear" w:color="auto" w:fill="auto"/>
          </w:tcPr>
          <w:p w14:paraId="6E1BB53B" w14:textId="77777777" w:rsidR="0030421D" w:rsidRPr="003B7AE9" w:rsidRDefault="0030421D" w:rsidP="0030421D">
            <w:pPr>
              <w:spacing w:before="120" w:after="0" w:line="240" w:lineRule="auto"/>
              <w:jc w:val="both"/>
              <w:rPr>
                <w:ins w:id="112" w:author="Author"/>
                <w:rFonts w:ascii="inherit" w:eastAsia="Times New Roman" w:hAnsi="inherit" w:cs="Times New Roman"/>
                <w:sz w:val="24"/>
                <w:szCs w:val="24"/>
                <w:lang w:eastAsia="en-GB"/>
              </w:rPr>
            </w:pPr>
          </w:p>
        </w:tc>
      </w:tr>
      <w:tr w:rsidR="0030421D" w:rsidRPr="003B7AE9" w14:paraId="3D928B50" w14:textId="77777777" w:rsidTr="003B7AE9">
        <w:trPr>
          <w:ins w:id="113" w:author="Author"/>
        </w:trPr>
        <w:tc>
          <w:tcPr>
            <w:tcW w:w="0" w:type="auto"/>
            <w:shd w:val="clear" w:color="auto" w:fill="auto"/>
          </w:tcPr>
          <w:p w14:paraId="6F58FB00" w14:textId="77777777" w:rsidR="0030421D" w:rsidRPr="003B7AE9" w:rsidRDefault="0030421D" w:rsidP="0030421D">
            <w:pPr>
              <w:spacing w:before="120" w:after="0" w:line="240" w:lineRule="auto"/>
              <w:jc w:val="both"/>
              <w:rPr>
                <w:ins w:id="114" w:author="Author"/>
                <w:rFonts w:ascii="inherit" w:eastAsia="Times New Roman" w:hAnsi="inherit" w:cs="Times New Roman"/>
                <w:sz w:val="24"/>
                <w:szCs w:val="24"/>
                <w:lang w:eastAsia="en-GB"/>
              </w:rPr>
            </w:pPr>
          </w:p>
        </w:tc>
        <w:tc>
          <w:tcPr>
            <w:tcW w:w="0" w:type="auto"/>
            <w:shd w:val="clear" w:color="auto" w:fill="auto"/>
          </w:tcPr>
          <w:p w14:paraId="43A21F2B" w14:textId="77777777" w:rsidR="0030421D" w:rsidRPr="003B7AE9" w:rsidRDefault="0030421D" w:rsidP="0030421D">
            <w:pPr>
              <w:spacing w:before="120" w:after="0" w:line="240" w:lineRule="auto"/>
              <w:jc w:val="both"/>
              <w:rPr>
                <w:ins w:id="115" w:author="Author"/>
                <w:rFonts w:ascii="inherit" w:eastAsia="Times New Roman" w:hAnsi="inherit" w:cs="Times New Roman"/>
                <w:sz w:val="24"/>
                <w:szCs w:val="24"/>
                <w:lang w:eastAsia="en-GB"/>
              </w:rPr>
            </w:pP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54C19D7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commentRangeStart w:id="116"/>
      <w:r w:rsidRPr="003B7AE9">
        <w:rPr>
          <w:rFonts w:ascii="inherit" w:eastAsia="Times New Roman" w:hAnsi="inherit" w:cs="Times New Roman"/>
          <w:color w:val="000000"/>
          <w:sz w:val="24"/>
          <w:szCs w:val="24"/>
          <w:lang w:eastAsia="en-GB"/>
        </w:rPr>
        <w:t xml:space="preserve">  The connection requirements set out in this Regulation shall apply to new power-generating modules </w:t>
      </w:r>
      <w:ins w:id="117" w:author="Author">
        <w:r w:rsidR="0030421D" w:rsidRPr="0030421D">
          <w:rPr>
            <w:rFonts w:ascii="inherit" w:eastAsia="Times New Roman" w:hAnsi="inherit" w:cs="Times New Roman"/>
            <w:color w:val="000000"/>
            <w:sz w:val="24"/>
            <w:szCs w:val="24"/>
            <w:lang w:eastAsia="en-GB"/>
          </w:rPr>
          <w:t xml:space="preserve">and new electricity storage modules </w:t>
        </w:r>
      </w:ins>
      <w:r w:rsidRPr="003B7AE9">
        <w:rPr>
          <w:rFonts w:ascii="inherit" w:eastAsia="Times New Roman" w:hAnsi="inherit" w:cs="Times New Roman"/>
          <w:color w:val="000000"/>
          <w:sz w:val="24"/>
          <w:szCs w:val="24"/>
          <w:lang w:eastAsia="en-GB"/>
        </w:rPr>
        <w:t>which are considered significant in accordance with Article 5, unless otherwise provided.</w:t>
      </w:r>
      <w:commentRangeEnd w:id="116"/>
      <w:r w:rsidR="0030421D">
        <w:rPr>
          <w:rStyle w:val="CommentReference"/>
        </w:rPr>
        <w:commentReference w:id="116"/>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0191325" w14:textId="74C34889" w:rsidR="00353130" w:rsidRDefault="00353130" w:rsidP="003B7AE9">
            <w:pPr>
              <w:spacing w:before="120" w:after="0" w:line="240" w:lineRule="auto"/>
              <w:jc w:val="both"/>
              <w:rPr>
                <w:ins w:id="118" w:author="Author"/>
                <w:rFonts w:ascii="inherit" w:eastAsia="Times New Roman" w:hAnsi="inherit" w:cs="Times New Roman"/>
                <w:sz w:val="24"/>
                <w:szCs w:val="24"/>
                <w:lang w:eastAsia="en-GB"/>
              </w:rPr>
            </w:pPr>
            <w:ins w:id="119" w:author="Author">
              <w:r w:rsidRPr="00353130">
                <w:rPr>
                  <w:rFonts w:ascii="inherit" w:eastAsia="Times New Roman" w:hAnsi="inherit" w:cs="Times New Roman"/>
                  <w:sz w:val="24"/>
                  <w:szCs w:val="24"/>
                  <w:lang w:eastAsia="en-GB"/>
                </w:rPr>
                <w:t>storages owned by system operators which are considered as fully integrated elements serving the purpose of providing security of supply at specific points in the system and where they are not participating in electricity markets.</w:t>
              </w:r>
            </w:ins>
          </w:p>
          <w:p w14:paraId="3E15AC33" w14:textId="1776B561" w:rsidR="003B7AE9" w:rsidRPr="003B7AE9" w:rsidRDefault="0030421D" w:rsidP="003B7AE9">
            <w:pPr>
              <w:spacing w:before="120" w:after="0" w:line="240" w:lineRule="auto"/>
              <w:jc w:val="both"/>
              <w:rPr>
                <w:rFonts w:ascii="inherit" w:eastAsia="Times New Roman" w:hAnsi="inherit" w:cs="Times New Roman"/>
                <w:sz w:val="24"/>
                <w:szCs w:val="24"/>
                <w:lang w:eastAsia="en-GB"/>
              </w:rPr>
            </w:pPr>
            <w:ins w:id="120" w:author="Author">
              <w:r w:rsidRPr="0046266C">
                <w:rPr>
                  <w:rFonts w:ascii="inherit" w:eastAsia="Times New Roman" w:hAnsi="inherit" w:cs="Times New Roman"/>
                  <w:i/>
                  <w:iCs/>
                  <w:sz w:val="24"/>
                  <w:szCs w:val="24"/>
                  <w:lang w:eastAsia="en-GB"/>
                  <w:rPrChange w:id="121" w:author="Author">
                    <w:rPr>
                      <w:rFonts w:ascii="inherit" w:eastAsia="Times New Roman" w:hAnsi="inherit" w:cs="Times New Roman"/>
                      <w:sz w:val="24"/>
                      <w:szCs w:val="24"/>
                      <w:lang w:eastAsia="en-GB"/>
                    </w:rPr>
                  </w:rPrChange>
                </w:rPr>
                <w:t xml:space="preserve">Whether an active consumer shall comply with NC RfG, NC DC or both should be clearly identified in line with the definition ED 2019/944 art 2. (8) </w:t>
              </w:r>
              <w:r w:rsidRPr="0046266C">
                <w:rPr>
                  <w:rFonts w:ascii="inherit" w:eastAsia="Times New Roman" w:hAnsi="inherit" w:cs="Times New Roman" w:hint="eastAsia"/>
                  <w:i/>
                  <w:iCs/>
                  <w:sz w:val="24"/>
                  <w:szCs w:val="24"/>
                  <w:lang w:eastAsia="en-GB"/>
                  <w:rPrChange w:id="122" w:author="Author">
                    <w:rPr>
                      <w:rFonts w:ascii="inherit" w:eastAsia="Times New Roman" w:hAnsi="inherit" w:cs="Times New Roman" w:hint="eastAsia"/>
                      <w:sz w:val="24"/>
                      <w:szCs w:val="24"/>
                      <w:lang w:eastAsia="en-GB"/>
                    </w:rPr>
                  </w:rPrChange>
                </w:rPr>
                <w:t>‘</w:t>
              </w:r>
              <w:r w:rsidRPr="0046266C">
                <w:rPr>
                  <w:rFonts w:ascii="inherit" w:eastAsia="Times New Roman" w:hAnsi="inherit" w:cs="Times New Roman"/>
                  <w:i/>
                  <w:iCs/>
                  <w:sz w:val="24"/>
                  <w:szCs w:val="24"/>
                  <w:lang w:eastAsia="en-GB"/>
                  <w:rPrChange w:id="123" w:author="Author">
                    <w:rPr>
                      <w:rFonts w:ascii="inherit" w:eastAsia="Times New Roman" w:hAnsi="inherit" w:cs="Times New Roman"/>
                      <w:sz w:val="24"/>
                      <w:szCs w:val="24"/>
                      <w:lang w:eastAsia="en-GB"/>
                    </w:rPr>
                  </w:rPrChange>
                </w:rPr>
                <w:t>active customer</w:t>
              </w:r>
              <w:r w:rsidRPr="0046266C">
                <w:rPr>
                  <w:rFonts w:ascii="inherit" w:eastAsia="Times New Roman" w:hAnsi="inherit" w:cs="Times New Roman" w:hint="eastAsia"/>
                  <w:i/>
                  <w:iCs/>
                  <w:sz w:val="24"/>
                  <w:szCs w:val="24"/>
                  <w:lang w:eastAsia="en-GB"/>
                  <w:rPrChange w:id="124" w:author="Author">
                    <w:rPr>
                      <w:rFonts w:ascii="inherit" w:eastAsia="Times New Roman" w:hAnsi="inherit" w:cs="Times New Roman" w:hint="eastAsia"/>
                      <w:sz w:val="24"/>
                      <w:szCs w:val="24"/>
                      <w:lang w:eastAsia="en-GB"/>
                    </w:rPr>
                  </w:rPrChange>
                </w:rPr>
                <w:t>’</w:t>
              </w:r>
              <w:r w:rsidRPr="0046266C">
                <w:rPr>
                  <w:rFonts w:ascii="inherit" w:eastAsia="Times New Roman" w:hAnsi="inherit" w:cs="Times New Roman"/>
                  <w:i/>
                  <w:iCs/>
                  <w:sz w:val="24"/>
                  <w:szCs w:val="24"/>
                  <w:lang w:eastAsia="en-GB"/>
                  <w:rPrChange w:id="125" w:author="Author">
                    <w:rPr>
                      <w:rFonts w:ascii="inherit" w:eastAsia="Times New Roman" w:hAnsi="inherit" w:cs="Times New Roman"/>
                      <w:sz w:val="24"/>
                      <w:szCs w:val="24"/>
                      <w:lang w:eastAsia="en-GB"/>
                    </w:rPr>
                  </w:rPrChange>
                </w:rPr>
                <w:t xml:space="preserve"> means a final customer, or a group of jointly acting final customers, who consumes or stores electricity generated within its premises located within confined boundaries or, where permitted by a Member State, within other premises, or who sells self-generated </w:t>
              </w:r>
              <w:r w:rsidRPr="0046266C">
                <w:rPr>
                  <w:rFonts w:ascii="inherit" w:eastAsia="Times New Roman" w:hAnsi="inherit" w:cs="Times New Roman"/>
                  <w:i/>
                  <w:iCs/>
                  <w:sz w:val="24"/>
                  <w:szCs w:val="24"/>
                  <w:lang w:eastAsia="en-GB"/>
                  <w:rPrChange w:id="126" w:author="Author">
                    <w:rPr>
                      <w:rFonts w:ascii="inherit" w:eastAsia="Times New Roman" w:hAnsi="inherit" w:cs="Times New Roman"/>
                      <w:sz w:val="24"/>
                      <w:szCs w:val="24"/>
                      <w:lang w:eastAsia="en-GB"/>
                    </w:rPr>
                  </w:rPrChange>
                </w:rPr>
                <w:lastRenderedPageBreak/>
                <w:t>electricity or participates in flexibility or energy efficiency schemes, provided that those activities do not constitute its primary commercial or professional activity</w:t>
              </w:r>
              <w:r w:rsidRPr="0030421D">
                <w:rPr>
                  <w:rFonts w:ascii="inherit" w:eastAsia="Times New Roman" w:hAnsi="inherit" w:cs="Times New Roman"/>
                  <w:sz w:val="24"/>
                  <w:szCs w:val="24"/>
                  <w:lang w:eastAsia="en-GB"/>
                </w:rPr>
                <w:t xml:space="preserve">.  </w:t>
              </w:r>
            </w:ins>
            <w:del w:id="127" w:author="Author">
              <w:r w:rsidR="003B7AE9" w:rsidRPr="003B7AE9" w:rsidDel="0030421D">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128"/>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commentRangeEnd w:id="128"/>
            <w:r w:rsidR="00353130">
              <w:rPr>
                <w:rStyle w:val="CommentReference"/>
              </w:rPr>
              <w:commentReference w:id="128"/>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670749D8" w:rsidR="003B7AE9" w:rsidRDefault="003B7AE9" w:rsidP="003B7AE9">
      <w:pPr>
        <w:shd w:val="clear" w:color="auto" w:fill="FFFFFF"/>
        <w:spacing w:before="120" w:after="0" w:line="240" w:lineRule="auto"/>
        <w:jc w:val="both"/>
        <w:rPr>
          <w:ins w:id="12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1DA8C434" w14:textId="6E7BC578" w:rsidR="00353130" w:rsidRDefault="00353130" w:rsidP="003B7AE9">
      <w:pPr>
        <w:shd w:val="clear" w:color="auto" w:fill="FFFFFF"/>
        <w:spacing w:before="120" w:after="0" w:line="240" w:lineRule="auto"/>
        <w:jc w:val="both"/>
        <w:rPr>
          <w:ins w:id="130" w:author="Author"/>
          <w:rFonts w:ascii="inherit" w:eastAsia="Times New Roman" w:hAnsi="inherit" w:cs="Times New Roman"/>
          <w:color w:val="000000"/>
          <w:sz w:val="24"/>
          <w:szCs w:val="24"/>
          <w:lang w:eastAsia="en-GB"/>
        </w:rPr>
      </w:pPr>
    </w:p>
    <w:p w14:paraId="03BC672C" w14:textId="615C98CE" w:rsidR="00353130" w:rsidRPr="00353130" w:rsidRDefault="00353130" w:rsidP="00353130">
      <w:pPr>
        <w:shd w:val="clear" w:color="auto" w:fill="FFFFFF"/>
        <w:spacing w:before="120" w:after="0" w:line="240" w:lineRule="auto"/>
        <w:jc w:val="both"/>
        <w:rPr>
          <w:ins w:id="131" w:author="Author"/>
          <w:rFonts w:ascii="inherit" w:eastAsia="Times New Roman" w:hAnsi="inherit" w:cs="Times New Roman"/>
          <w:color w:val="000000"/>
          <w:sz w:val="24"/>
          <w:szCs w:val="24"/>
          <w:lang w:eastAsia="en-GB"/>
        </w:rPr>
      </w:pPr>
      <w:ins w:id="132" w:author="Author">
        <w:r w:rsidRPr="00353130">
          <w:rPr>
            <w:rFonts w:ascii="inherit" w:eastAsia="Times New Roman" w:hAnsi="inherit" w:cs="Times New Roman"/>
            <w:color w:val="000000"/>
            <w:sz w:val="24"/>
            <w:szCs w:val="24"/>
            <w:lang w:eastAsia="en-GB"/>
          </w:rPr>
          <w:lastRenderedPageBreak/>
          <w:t>Where parts, components or units of an existing power generating module are replaced or new units  are added to an existing power generating module, those new or replacement units should be compliant with the requirements of this regulation, to the extent applicable</w:t>
        </w:r>
        <w:r>
          <w:rPr>
            <w:rFonts w:ascii="inherit" w:eastAsia="Times New Roman" w:hAnsi="inherit" w:cs="Times New Roman"/>
            <w:color w:val="000000"/>
            <w:sz w:val="24"/>
            <w:szCs w:val="24"/>
            <w:lang w:eastAsia="en-GB"/>
          </w:rPr>
          <w:t>.</w:t>
        </w:r>
      </w:ins>
    </w:p>
    <w:p w14:paraId="1D5390D8" w14:textId="3C36A9F6" w:rsidR="00353130" w:rsidRDefault="00353130" w:rsidP="00353130">
      <w:pPr>
        <w:shd w:val="clear" w:color="auto" w:fill="FFFFFF"/>
        <w:spacing w:before="120" w:after="0" w:line="240" w:lineRule="auto"/>
        <w:jc w:val="both"/>
        <w:rPr>
          <w:ins w:id="133" w:author="Author"/>
          <w:rFonts w:ascii="inherit" w:eastAsia="Times New Roman" w:hAnsi="inherit" w:cs="Times New Roman"/>
          <w:color w:val="000000"/>
          <w:sz w:val="24"/>
          <w:szCs w:val="24"/>
          <w:lang w:eastAsia="en-GB"/>
        </w:rPr>
      </w:pPr>
      <w:ins w:id="134" w:author="Author">
        <w:r w:rsidRPr="00353130">
          <w:rPr>
            <w:rFonts w:ascii="inherit" w:eastAsia="Times New Roman" w:hAnsi="inherit" w:cs="Times New Roman"/>
            <w:color w:val="000000"/>
            <w:sz w:val="24"/>
            <w:szCs w:val="24"/>
            <w:lang w:eastAsia="en-GB"/>
          </w:rPr>
          <w:t>This paragraph shall not apply to maintenance activities or to spare parts, whether or not those parts are purchased at the time of their incorporation in the power generating module. The notions maintenance and spare parts is to be considered as the classical definition used in common industrial practices and in international standards. Maintenance activities are commonly defined as “activities to retain or maintain the original required function of the item” and a spare part as “an item to replace a corresponding item in order to retain or maintain the original required function of the item”. This definition shall also include the replacement of huge parts of the installation, which can also be considered as spare parts.</w:t>
        </w:r>
      </w:ins>
    </w:p>
    <w:p w14:paraId="18231DC8" w14:textId="77777777" w:rsidR="00353130" w:rsidRPr="003B7AE9" w:rsidRDefault="00353130" w:rsidP="00353130">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3C16C61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ins w:id="135" w:author="Author">
        <w:r w:rsidR="00353130">
          <w:rPr>
            <w:rFonts w:ascii="inherit" w:eastAsia="Times New Roman" w:hAnsi="inherit" w:cs="Times New Roman"/>
            <w:color w:val="000000"/>
            <w:sz w:val="24"/>
            <w:szCs w:val="24"/>
            <w:lang w:eastAsia="en-GB"/>
          </w:rPr>
          <w:tab/>
        </w:r>
      </w:ins>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DFE748D" w14:textId="28700182" w:rsidR="00717A13" w:rsidRDefault="003B7AE9" w:rsidP="003B7AE9">
            <w:pPr>
              <w:spacing w:before="120" w:after="0" w:line="240" w:lineRule="auto"/>
              <w:jc w:val="both"/>
              <w:rPr>
                <w:ins w:id="136" w:author="Author"/>
                <w:rFonts w:ascii="inherit" w:eastAsia="Times New Roman" w:hAnsi="inherit" w:cs="Times New Roman"/>
                <w:sz w:val="24"/>
                <w:szCs w:val="24"/>
                <w:lang w:eastAsia="en-GB"/>
              </w:rPr>
            </w:pPr>
            <w:commentRangeStart w:id="137"/>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6B84D76A" w14:textId="76258F85" w:rsidR="00717A13" w:rsidRPr="003B7AE9" w:rsidRDefault="00717A13" w:rsidP="003B7AE9">
            <w:pPr>
              <w:spacing w:before="120" w:after="0" w:line="240" w:lineRule="auto"/>
              <w:jc w:val="both"/>
              <w:rPr>
                <w:rFonts w:ascii="inherit" w:eastAsia="Times New Roman" w:hAnsi="inherit" w:cs="Times New Roman"/>
                <w:sz w:val="24"/>
                <w:szCs w:val="24"/>
                <w:lang w:eastAsia="en-GB"/>
              </w:rPr>
            </w:pPr>
            <w:ins w:id="138" w:author="Author">
              <w:r w:rsidRPr="00717A13">
                <w:rPr>
                  <w:rFonts w:ascii="inherit" w:eastAsia="Times New Roman" w:hAnsi="inherit" w:cs="Times New Roman"/>
                  <w:sz w:val="24"/>
                  <w:szCs w:val="24"/>
                  <w:lang w:eastAsia="en-GB"/>
                </w:rPr>
                <w:t>110 kV should be used unless the regulatory authority decides something else</w:t>
              </w:r>
              <w:r>
                <w:rPr>
                  <w:rFonts w:ascii="inherit" w:eastAsia="Times New Roman" w:hAnsi="inherit" w:cs="Times New Roman"/>
                  <w:sz w:val="24"/>
                  <w:szCs w:val="24"/>
                  <w:lang w:eastAsia="en-GB"/>
                </w:rPr>
                <w:t>.</w:t>
              </w:r>
              <w:commentRangeEnd w:id="137"/>
              <w:r>
                <w:rPr>
                  <w:rStyle w:val="CommentReference"/>
                </w:rPr>
                <w:commentReference w:id="137"/>
              </w:r>
            </w:ins>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88E2DBC" w14:textId="0D5F8F10" w:rsidR="00353130" w:rsidRDefault="003B7AE9" w:rsidP="003B7AE9">
      <w:pPr>
        <w:shd w:val="clear" w:color="auto" w:fill="FFFFFF"/>
        <w:spacing w:before="120" w:after="0" w:line="240" w:lineRule="auto"/>
        <w:jc w:val="both"/>
        <w:rPr>
          <w:ins w:id="13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4B1DD60A" w14:textId="3DA18ED4" w:rsidR="00353130" w:rsidRPr="00353130" w:rsidRDefault="00353130" w:rsidP="00353130">
      <w:pPr>
        <w:shd w:val="clear" w:color="auto" w:fill="FFFFFF"/>
        <w:spacing w:before="120" w:after="0" w:line="240" w:lineRule="auto"/>
        <w:jc w:val="both"/>
        <w:rPr>
          <w:ins w:id="140" w:author="Author"/>
          <w:rFonts w:ascii="inherit" w:eastAsia="Times New Roman" w:hAnsi="inherit" w:cs="Times New Roman"/>
          <w:color w:val="000000"/>
          <w:sz w:val="24"/>
          <w:szCs w:val="24"/>
          <w:lang w:eastAsia="en-GB"/>
        </w:rPr>
      </w:pPr>
      <w:ins w:id="141" w:author="Author">
        <w:r w:rsidRPr="00353130">
          <w:rPr>
            <w:rFonts w:ascii="inherit" w:eastAsia="Times New Roman" w:hAnsi="inherit" w:cs="Times New Roman"/>
            <w:color w:val="000000"/>
            <w:sz w:val="24"/>
            <w:szCs w:val="24"/>
            <w:lang w:eastAsia="en-GB"/>
          </w:rPr>
          <w:t>6.</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 xml:space="preserve">However, in the case of electricity generation modules belonging to self-consumption installations without surplus, the significance of such modules shall be assessed, on an aggregate basis where applicable, exclusively by the maximum capacity without considering the voltage of the connection point of the associated demand-side installation. The significance of the MCS will be considered as the access and connection permit in those installation which the exceeding energy is below of the 30% of the total installation capacity.  </w:t>
        </w:r>
      </w:ins>
    </w:p>
    <w:p w14:paraId="39C0081B" w14:textId="4587B539" w:rsidR="00353130" w:rsidRPr="00353130" w:rsidRDefault="00353130" w:rsidP="00353130">
      <w:pPr>
        <w:shd w:val="clear" w:color="auto" w:fill="FFFFFF"/>
        <w:spacing w:before="120" w:after="0" w:line="240" w:lineRule="auto"/>
        <w:jc w:val="both"/>
        <w:rPr>
          <w:ins w:id="142" w:author="Author"/>
          <w:rFonts w:ascii="inherit" w:eastAsia="Times New Roman" w:hAnsi="inherit" w:cs="Times New Roman"/>
          <w:color w:val="000000"/>
          <w:sz w:val="24"/>
          <w:szCs w:val="24"/>
          <w:lang w:eastAsia="en-GB"/>
        </w:rPr>
      </w:pPr>
      <w:ins w:id="143" w:author="Author">
        <w:r w:rsidRPr="00353130">
          <w:rPr>
            <w:rFonts w:ascii="inherit" w:eastAsia="Times New Roman" w:hAnsi="inherit" w:cs="Times New Roman"/>
            <w:color w:val="000000"/>
            <w:sz w:val="24"/>
            <w:szCs w:val="24"/>
            <w:lang w:eastAsia="en-GB"/>
          </w:rPr>
          <w:t>7.</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In the case of hybridisation with storage, significance should be assessed taking into account the location of the storage equipment, whether it evacuates or consumes from the grid independently or together. In the first case, the storage equipment  (“autonomous storage”) is considered separately from any electricity generation module constituting the hybrid installation for the purpose of assessing significance and consequently the applicability of technical requirements, information exchanges and measures. In the second case, the technical requirements shall apply to the generation module plus storage equipment (“annexe storage”) as a whole.</w:t>
        </w:r>
      </w:ins>
    </w:p>
    <w:p w14:paraId="08D28106" w14:textId="43BFB992" w:rsidR="00353130" w:rsidRPr="00353130" w:rsidRDefault="00353130" w:rsidP="00353130">
      <w:pPr>
        <w:shd w:val="clear" w:color="auto" w:fill="FFFFFF"/>
        <w:spacing w:before="120" w:after="0" w:line="240" w:lineRule="auto"/>
        <w:jc w:val="both"/>
        <w:rPr>
          <w:ins w:id="144" w:author="Author"/>
          <w:rFonts w:ascii="inherit" w:eastAsia="Times New Roman" w:hAnsi="inherit" w:cs="Times New Roman"/>
          <w:color w:val="000000"/>
          <w:sz w:val="24"/>
          <w:szCs w:val="24"/>
          <w:lang w:eastAsia="en-GB"/>
        </w:rPr>
      </w:pPr>
      <w:ins w:id="145" w:author="Author">
        <w:r w:rsidRPr="00353130">
          <w:rPr>
            <w:rFonts w:ascii="inherit" w:eastAsia="Times New Roman" w:hAnsi="inherit" w:cs="Times New Roman"/>
            <w:color w:val="000000"/>
            <w:sz w:val="24"/>
            <w:szCs w:val="24"/>
            <w:lang w:eastAsia="en-GB"/>
          </w:rPr>
          <w:t>8.</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Standalone storage facilities shall be assessed taking into account the maximum injection capacity, but in addition they must meet the technical requirements as demand for maximum import capacity for the purposes of Regulation (EU) 2016/1388.</w:t>
        </w:r>
      </w:ins>
    </w:p>
    <w:p w14:paraId="07B00F76" w14:textId="387D7C9B" w:rsidR="00353130" w:rsidRPr="00353130" w:rsidRDefault="00353130" w:rsidP="00353130">
      <w:pPr>
        <w:shd w:val="clear" w:color="auto" w:fill="FFFFFF"/>
        <w:spacing w:before="120" w:after="0" w:line="240" w:lineRule="auto"/>
        <w:jc w:val="both"/>
        <w:rPr>
          <w:ins w:id="146" w:author="Author"/>
          <w:rFonts w:ascii="inherit" w:eastAsia="Times New Roman" w:hAnsi="inherit" w:cs="Times New Roman"/>
          <w:color w:val="000000"/>
          <w:sz w:val="24"/>
          <w:szCs w:val="24"/>
          <w:lang w:eastAsia="en-GB"/>
        </w:rPr>
      </w:pPr>
      <w:ins w:id="147" w:author="Author">
        <w:r w:rsidRPr="00353130">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In the case of power park modules that are joined to form an economic unit and share a connection point, the assessment of their significance shall be made according to their aggregated capacity, whereby their significance shall be assessed according to the sum of the maximum capacity of each power park module that is connected at the same connection point.</w:t>
        </w:r>
      </w:ins>
    </w:p>
    <w:p w14:paraId="2A7D5F7B" w14:textId="4EDA545A" w:rsidR="00353130" w:rsidRPr="00353130" w:rsidRDefault="00353130" w:rsidP="00353130">
      <w:pPr>
        <w:shd w:val="clear" w:color="auto" w:fill="FFFFFF"/>
        <w:spacing w:before="120" w:after="0" w:line="240" w:lineRule="auto"/>
        <w:jc w:val="both"/>
        <w:rPr>
          <w:ins w:id="148" w:author="Author"/>
          <w:rFonts w:ascii="inherit" w:eastAsia="Times New Roman" w:hAnsi="inherit" w:cs="Times New Roman"/>
          <w:color w:val="000000"/>
          <w:sz w:val="24"/>
          <w:szCs w:val="24"/>
          <w:lang w:eastAsia="en-GB"/>
        </w:rPr>
      </w:pPr>
      <w:ins w:id="149" w:author="Author">
        <w:r w:rsidRPr="00353130">
          <w:rPr>
            <w:rFonts w:ascii="inherit" w:eastAsia="Times New Roman" w:hAnsi="inherit" w:cs="Times New Roman"/>
            <w:color w:val="000000"/>
            <w:sz w:val="24"/>
            <w:szCs w:val="24"/>
            <w:lang w:eastAsia="en-GB"/>
          </w:rPr>
          <w:t>10.</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Synchronous compensators that do not form part of an electricity generation module shall comply with the requirements established for synchronous electricity generation modules with the logical exceptions derived from the limitation that their operation shall be neither as a producer nor as a consumer. The synchronous compensator shall be treated in the same way as synchronous electricity generation modules, considering its nominal apparent power as its maximum capacity.</w:t>
        </w:r>
      </w:ins>
    </w:p>
    <w:p w14:paraId="666D491A" w14:textId="57F7F2A1" w:rsidR="00353130" w:rsidRPr="00353130" w:rsidRDefault="00353130" w:rsidP="00353130">
      <w:pPr>
        <w:shd w:val="clear" w:color="auto" w:fill="FFFFFF"/>
        <w:spacing w:before="120" w:after="0" w:line="240" w:lineRule="auto"/>
        <w:jc w:val="both"/>
        <w:rPr>
          <w:ins w:id="150" w:author="Author"/>
          <w:rFonts w:ascii="inherit" w:eastAsia="Times New Roman" w:hAnsi="inherit" w:cs="Times New Roman"/>
          <w:color w:val="000000"/>
          <w:sz w:val="24"/>
          <w:szCs w:val="24"/>
          <w:lang w:eastAsia="en-GB"/>
        </w:rPr>
      </w:pPr>
      <w:ins w:id="151" w:author="Author">
        <w:r w:rsidRPr="00353130">
          <w:rPr>
            <w:rFonts w:ascii="inherit" w:eastAsia="Times New Roman" w:hAnsi="inherit" w:cs="Times New Roman"/>
            <w:color w:val="000000"/>
            <w:sz w:val="24"/>
            <w:szCs w:val="24"/>
            <w:lang w:eastAsia="en-GB"/>
          </w:rPr>
          <w:t>11.</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In the case of energy communities, electricity generation modules belonging to the same energy community, the generators shall be counted in an aggregated way, exclusively by the maximum capacity without considering the voltage of the connection point of the associated demand-side installation.</w:t>
        </w:r>
      </w:ins>
    </w:p>
    <w:p w14:paraId="099A4842" w14:textId="26248299" w:rsidR="00353130" w:rsidRPr="00353130" w:rsidRDefault="00353130" w:rsidP="00353130">
      <w:pPr>
        <w:shd w:val="clear" w:color="auto" w:fill="FFFFFF"/>
        <w:spacing w:before="120" w:after="0" w:line="240" w:lineRule="auto"/>
        <w:jc w:val="both"/>
        <w:rPr>
          <w:ins w:id="152" w:author="Author"/>
          <w:rFonts w:ascii="inherit" w:eastAsia="Times New Roman" w:hAnsi="inherit" w:cs="Times New Roman"/>
          <w:color w:val="000000"/>
          <w:sz w:val="24"/>
          <w:szCs w:val="24"/>
          <w:lang w:eastAsia="en-GB"/>
        </w:rPr>
      </w:pPr>
      <w:ins w:id="153" w:author="Author">
        <w:r w:rsidRPr="00353130">
          <w:rPr>
            <w:rFonts w:ascii="inherit" w:eastAsia="Times New Roman" w:hAnsi="inherit" w:cs="Times New Roman"/>
            <w:color w:val="000000"/>
            <w:sz w:val="24"/>
            <w:szCs w:val="24"/>
            <w:lang w:eastAsia="en-GB"/>
          </w:rPr>
          <w:lastRenderedPageBreak/>
          <w:t>12.</w:t>
        </w:r>
        <w:r>
          <w:rPr>
            <w:rFonts w:ascii="inherit" w:eastAsia="Times New Roman" w:hAnsi="inherit" w:cs="Times New Roman"/>
            <w:color w:val="000000"/>
            <w:sz w:val="24"/>
            <w:szCs w:val="24"/>
            <w:lang w:eastAsia="en-GB"/>
          </w:rPr>
          <w:t xml:space="preserve">   </w:t>
        </w:r>
        <w:r w:rsidRPr="00353130">
          <w:rPr>
            <w:rFonts w:ascii="inherit" w:eastAsia="Times New Roman" w:hAnsi="inherit" w:cs="Times New Roman"/>
            <w:color w:val="000000"/>
            <w:sz w:val="24"/>
            <w:szCs w:val="24"/>
            <w:lang w:eastAsia="en-GB"/>
          </w:rPr>
          <w:t>Bi-directional recharging points shall be subject on the grid feed-in side to the requirements for generators in this Regulation while being subject to the technical requirements as demand for maximum import capacity within the meaning of Regulation (EU) 2016/1388.</w:t>
        </w:r>
      </w:ins>
    </w:p>
    <w:p w14:paraId="28CE0C49" w14:textId="77777777" w:rsidR="00353130" w:rsidRPr="003B7AE9" w:rsidRDefault="0035313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61BE2331" w14:textId="77777777" w:rsidR="00717A13" w:rsidRPr="00717A13" w:rsidRDefault="00717A13" w:rsidP="00717A13">
      <w:pPr>
        <w:shd w:val="clear" w:color="auto" w:fill="FFFFFF"/>
        <w:spacing w:before="120" w:after="0" w:line="240" w:lineRule="auto"/>
        <w:jc w:val="both"/>
        <w:rPr>
          <w:ins w:id="154" w:author="Author"/>
          <w:rFonts w:ascii="inherit" w:eastAsia="Times New Roman" w:hAnsi="inherit" w:cs="Times New Roman"/>
          <w:color w:val="000000"/>
          <w:sz w:val="24"/>
          <w:szCs w:val="24"/>
          <w:lang w:eastAsia="en-GB"/>
        </w:rPr>
      </w:pPr>
      <w:ins w:id="155" w:author="Author">
        <w:r w:rsidRPr="00717A13">
          <w:rPr>
            <w:rFonts w:ascii="inherit" w:eastAsia="Times New Roman" w:hAnsi="inherit" w:cs="Times New Roman"/>
            <w:color w:val="000000"/>
            <w:sz w:val="24"/>
            <w:szCs w:val="24"/>
            <w:lang w:eastAsia="en-GB"/>
          </w:rPr>
          <w:t>(</w:t>
        </w:r>
        <w:commentRangeStart w:id="156"/>
        <w:r w:rsidRPr="00717A13">
          <w:rPr>
            <w:rFonts w:ascii="inherit" w:eastAsia="Times New Roman" w:hAnsi="inherit" w:cs="Times New Roman"/>
            <w:color w:val="000000"/>
            <w:sz w:val="24"/>
            <w:szCs w:val="24"/>
            <w:lang w:eastAsia="en-GB"/>
          </w:rPr>
          <w:t xml:space="preserve">2) Pump-storage power-generating modules shall fulfil the requirements in generating operation, pumping operation and synchronous compensation mode as described below. </w:t>
        </w:r>
        <w:commentRangeEnd w:id="156"/>
        <w:r>
          <w:rPr>
            <w:rStyle w:val="CommentReference"/>
          </w:rPr>
          <w:commentReference w:id="156"/>
        </w:r>
      </w:ins>
    </w:p>
    <w:p w14:paraId="56590004" w14:textId="4D2A39F2" w:rsidR="00717A13" w:rsidRPr="00717A13" w:rsidRDefault="00717A13" w:rsidP="0046266C">
      <w:pPr>
        <w:shd w:val="clear" w:color="auto" w:fill="FFFFFF"/>
        <w:spacing w:before="120" w:after="0" w:line="240" w:lineRule="auto"/>
        <w:ind w:left="720"/>
        <w:jc w:val="both"/>
        <w:rPr>
          <w:ins w:id="157" w:author="Author"/>
          <w:rFonts w:ascii="inherit" w:eastAsia="Times New Roman" w:hAnsi="inherit" w:cs="Times New Roman"/>
          <w:color w:val="000000"/>
          <w:sz w:val="24"/>
          <w:szCs w:val="24"/>
          <w:lang w:eastAsia="en-GB"/>
        </w:rPr>
        <w:pPrChange w:id="158" w:author="Author">
          <w:pPr>
            <w:shd w:val="clear" w:color="auto" w:fill="FFFFFF"/>
            <w:spacing w:before="120" w:after="0" w:line="240" w:lineRule="auto"/>
            <w:jc w:val="both"/>
          </w:pPr>
        </w:pPrChange>
      </w:pPr>
      <w:ins w:id="159" w:author="Author">
        <w:r w:rsidRPr="00717A13">
          <w:rPr>
            <w:rFonts w:ascii="inherit" w:eastAsia="Times New Roman" w:hAnsi="inherit" w:cs="Times New Roman"/>
            <w:color w:val="000000"/>
            <w:sz w:val="24"/>
            <w:szCs w:val="24"/>
            <w:lang w:eastAsia="en-GB"/>
          </w:rPr>
          <w:t xml:space="preserve">a)Synchronous compensation operation of pump-storage power-generating modules shall not be limited in time by the technical design of power-generating modules. Synchronous compensation operation of full-converter variable speed machines is performed by the converters. </w:t>
        </w:r>
      </w:ins>
    </w:p>
    <w:p w14:paraId="2F6284E7" w14:textId="6FBCF95D" w:rsidR="00717A13" w:rsidRPr="00717A13" w:rsidRDefault="00717A13" w:rsidP="0046266C">
      <w:pPr>
        <w:shd w:val="clear" w:color="auto" w:fill="FFFFFF"/>
        <w:spacing w:before="120" w:after="0" w:line="240" w:lineRule="auto"/>
        <w:ind w:left="720"/>
        <w:jc w:val="both"/>
        <w:rPr>
          <w:ins w:id="160" w:author="Author"/>
          <w:rFonts w:ascii="inherit" w:eastAsia="Times New Roman" w:hAnsi="inherit" w:cs="Times New Roman"/>
          <w:color w:val="000000"/>
          <w:sz w:val="24"/>
          <w:szCs w:val="24"/>
          <w:lang w:eastAsia="en-GB"/>
        </w:rPr>
        <w:pPrChange w:id="161" w:author="Author">
          <w:pPr>
            <w:shd w:val="clear" w:color="auto" w:fill="FFFFFF"/>
            <w:spacing w:before="120" w:after="0" w:line="240" w:lineRule="auto"/>
            <w:jc w:val="both"/>
          </w:pPr>
        </w:pPrChange>
      </w:pPr>
      <w:ins w:id="162" w:author="Author">
        <w:r w:rsidRPr="00717A13">
          <w:rPr>
            <w:rFonts w:ascii="inherit" w:eastAsia="Times New Roman" w:hAnsi="inherit" w:cs="Times New Roman"/>
            <w:color w:val="000000"/>
            <w:sz w:val="24"/>
            <w:szCs w:val="24"/>
            <w:lang w:eastAsia="en-GB"/>
          </w:rPr>
          <w:t>b)Pump-storage power-generating modules with fixed speed machines and single shaft ternary machines shall be considered as synchronous power generating modules.</w:t>
        </w:r>
      </w:ins>
    </w:p>
    <w:p w14:paraId="71915786" w14:textId="50B92060" w:rsidR="00717A13" w:rsidRPr="00717A13" w:rsidRDefault="00717A13" w:rsidP="0046266C">
      <w:pPr>
        <w:shd w:val="clear" w:color="auto" w:fill="FFFFFF"/>
        <w:spacing w:before="120" w:after="0" w:line="240" w:lineRule="auto"/>
        <w:ind w:left="720"/>
        <w:jc w:val="both"/>
        <w:rPr>
          <w:ins w:id="163" w:author="Author"/>
          <w:rFonts w:ascii="inherit" w:eastAsia="Times New Roman" w:hAnsi="inherit" w:cs="Times New Roman"/>
          <w:color w:val="000000"/>
          <w:sz w:val="24"/>
          <w:szCs w:val="24"/>
          <w:lang w:eastAsia="en-GB"/>
        </w:rPr>
        <w:pPrChange w:id="164" w:author="Author">
          <w:pPr>
            <w:shd w:val="clear" w:color="auto" w:fill="FFFFFF"/>
            <w:spacing w:before="120" w:after="0" w:line="240" w:lineRule="auto"/>
            <w:jc w:val="both"/>
          </w:pPr>
        </w:pPrChange>
      </w:pPr>
      <w:ins w:id="165" w:author="Author">
        <w:r w:rsidRPr="00717A13">
          <w:rPr>
            <w:rFonts w:ascii="inherit" w:eastAsia="Times New Roman" w:hAnsi="inherit" w:cs="Times New Roman"/>
            <w:color w:val="000000"/>
            <w:sz w:val="24"/>
            <w:szCs w:val="24"/>
            <w:lang w:eastAsia="en-GB"/>
          </w:rPr>
          <w:t>c)Pump-storage power-generating modules with variable speed machines shall be considered as power park modules. For doubly-fed induction machines, the parameters of Table 3.1 or Table 7.1 shall apply to define the voltage-against-time profile with regard to fault-ride-through capability.</w:t>
        </w:r>
      </w:ins>
    </w:p>
    <w:p w14:paraId="6FD7A610" w14:textId="6AE4FFA8" w:rsidR="00717A13" w:rsidRPr="00717A13" w:rsidRDefault="00717A13" w:rsidP="0046266C">
      <w:pPr>
        <w:shd w:val="clear" w:color="auto" w:fill="FFFFFF"/>
        <w:spacing w:before="120" w:after="0" w:line="240" w:lineRule="auto"/>
        <w:ind w:left="720"/>
        <w:jc w:val="both"/>
        <w:rPr>
          <w:ins w:id="166" w:author="Author"/>
          <w:rFonts w:ascii="inherit" w:eastAsia="Times New Roman" w:hAnsi="inherit" w:cs="Times New Roman"/>
          <w:color w:val="000000"/>
          <w:sz w:val="24"/>
          <w:szCs w:val="24"/>
          <w:lang w:eastAsia="en-GB"/>
        </w:rPr>
        <w:pPrChange w:id="167" w:author="Author">
          <w:pPr>
            <w:shd w:val="clear" w:color="auto" w:fill="FFFFFF"/>
            <w:spacing w:before="120" w:after="0" w:line="240" w:lineRule="auto"/>
            <w:jc w:val="both"/>
          </w:pPr>
        </w:pPrChange>
      </w:pPr>
      <w:ins w:id="168" w:author="Author">
        <w:r w:rsidRPr="00717A13">
          <w:rPr>
            <w:rFonts w:ascii="inherit" w:eastAsia="Times New Roman" w:hAnsi="inherit" w:cs="Times New Roman"/>
            <w:color w:val="000000"/>
            <w:sz w:val="24"/>
            <w:szCs w:val="24"/>
            <w:lang w:eastAsia="en-GB"/>
          </w:rPr>
          <w:t>d)In pumping mode no technical capability to remain connected and continue operation is requested for frequencies below 49 Hz, unless a higher value of this threshold is defined by the relevant TSO.</w:t>
        </w:r>
      </w:ins>
    </w:p>
    <w:p w14:paraId="3F0AB3B7" w14:textId="5A15DE4C" w:rsidR="00717A13" w:rsidRPr="00717A13" w:rsidRDefault="00717A13" w:rsidP="0046266C">
      <w:pPr>
        <w:shd w:val="clear" w:color="auto" w:fill="FFFFFF"/>
        <w:spacing w:before="120" w:after="0" w:line="240" w:lineRule="auto"/>
        <w:ind w:left="720"/>
        <w:jc w:val="both"/>
        <w:rPr>
          <w:ins w:id="169" w:author="Author"/>
          <w:rFonts w:ascii="inherit" w:eastAsia="Times New Roman" w:hAnsi="inherit" w:cs="Times New Roman"/>
          <w:color w:val="000000"/>
          <w:sz w:val="24"/>
          <w:szCs w:val="24"/>
          <w:lang w:eastAsia="en-GB"/>
        </w:rPr>
        <w:pPrChange w:id="170" w:author="Author">
          <w:pPr>
            <w:shd w:val="clear" w:color="auto" w:fill="FFFFFF"/>
            <w:spacing w:before="120" w:after="0" w:line="240" w:lineRule="auto"/>
            <w:jc w:val="both"/>
          </w:pPr>
        </w:pPrChange>
      </w:pPr>
      <w:ins w:id="171" w:author="Author">
        <w:r w:rsidRPr="00717A13">
          <w:rPr>
            <w:rFonts w:ascii="inherit" w:eastAsia="Times New Roman" w:hAnsi="inherit" w:cs="Times New Roman"/>
            <w:color w:val="000000"/>
            <w:sz w:val="24"/>
            <w:szCs w:val="24"/>
            <w:lang w:eastAsia="en-GB"/>
          </w:rPr>
          <w:t>e)To pump-storage power-generating modules with fixed speed machines in pumping operation mode and synchronous compensation operation mode, Articles 13(2), 13(3), 13(4), 13(5), 13(7), 14(2), 15(2), 15(5) and 15(6) (e) shall not apply. In pumping operation mode, the second sentence of Article 17(3) shall not apply; in synchronous compensation operation mode, Article 17(3) shall not apply entirely.</w:t>
        </w:r>
      </w:ins>
    </w:p>
    <w:p w14:paraId="189D4FB8" w14:textId="3621E990" w:rsidR="00717A13" w:rsidRPr="00717A13" w:rsidRDefault="00717A13" w:rsidP="0046266C">
      <w:pPr>
        <w:shd w:val="clear" w:color="auto" w:fill="FFFFFF"/>
        <w:spacing w:before="120" w:after="0" w:line="240" w:lineRule="auto"/>
        <w:ind w:left="720"/>
        <w:jc w:val="both"/>
        <w:rPr>
          <w:ins w:id="172" w:author="Author"/>
          <w:rFonts w:ascii="inherit" w:eastAsia="Times New Roman" w:hAnsi="inherit" w:cs="Times New Roman"/>
          <w:color w:val="000000"/>
          <w:sz w:val="24"/>
          <w:szCs w:val="24"/>
          <w:lang w:eastAsia="en-GB"/>
        </w:rPr>
        <w:pPrChange w:id="173" w:author="Author">
          <w:pPr>
            <w:shd w:val="clear" w:color="auto" w:fill="FFFFFF"/>
            <w:spacing w:before="120" w:after="0" w:line="240" w:lineRule="auto"/>
            <w:jc w:val="both"/>
          </w:pPr>
        </w:pPrChange>
      </w:pPr>
      <w:ins w:id="174" w:author="Author">
        <w:r w:rsidRPr="00717A13">
          <w:rPr>
            <w:rFonts w:ascii="inherit" w:eastAsia="Times New Roman" w:hAnsi="inherit" w:cs="Times New Roman"/>
            <w:color w:val="000000"/>
            <w:sz w:val="24"/>
            <w:szCs w:val="24"/>
            <w:lang w:eastAsia="en-GB"/>
          </w:rPr>
          <w:t>f)To pump-storage power-generating modules with single shaft ternary machines in pumping operation mode, Articles 13(4), 13(5) and 15(5) shall not apply. In addition, Articles 13(2), 13(3), 13(7), 14(2), 15(2), 15(6)(e) and the second sentence of Article 17(3) shall not apply, if only pumps are operated. Where Articles 13(2) or 15(2) are applicable, the reference active power for LFSM-O or LFSM-U respectively is the maximum capacity of the turbine.</w:t>
        </w:r>
      </w:ins>
    </w:p>
    <w:p w14:paraId="66081052" w14:textId="0AA73111" w:rsidR="00717A13" w:rsidRPr="00717A13" w:rsidRDefault="00717A13" w:rsidP="0046266C">
      <w:pPr>
        <w:shd w:val="clear" w:color="auto" w:fill="FFFFFF"/>
        <w:spacing w:before="120" w:after="0" w:line="240" w:lineRule="auto"/>
        <w:ind w:left="720"/>
        <w:jc w:val="both"/>
        <w:rPr>
          <w:ins w:id="175" w:author="Author"/>
          <w:rFonts w:ascii="inherit" w:eastAsia="Times New Roman" w:hAnsi="inherit" w:cs="Times New Roman"/>
          <w:color w:val="000000"/>
          <w:sz w:val="24"/>
          <w:szCs w:val="24"/>
          <w:lang w:eastAsia="en-GB"/>
        </w:rPr>
        <w:pPrChange w:id="176" w:author="Author">
          <w:pPr>
            <w:shd w:val="clear" w:color="auto" w:fill="FFFFFF"/>
            <w:spacing w:before="120" w:after="0" w:line="240" w:lineRule="auto"/>
            <w:jc w:val="both"/>
          </w:pPr>
        </w:pPrChange>
      </w:pPr>
      <w:ins w:id="177" w:author="Author">
        <w:r w:rsidRPr="00717A13">
          <w:rPr>
            <w:rFonts w:ascii="inherit" w:eastAsia="Times New Roman" w:hAnsi="inherit" w:cs="Times New Roman"/>
            <w:color w:val="000000"/>
            <w:sz w:val="24"/>
            <w:szCs w:val="24"/>
            <w:lang w:eastAsia="en-GB"/>
          </w:rPr>
          <w:lastRenderedPageBreak/>
          <w:t>g)To pump-storage power-generating modules with single shaft ternary machines in synchronous compensation operation mode, Articles 13(2), 13(3), 13(4), 13(5), 13(7), 14(2), 15(2), 15(5), 15(6)(e) and 17(3) shall not apply.</w:t>
        </w:r>
      </w:ins>
    </w:p>
    <w:p w14:paraId="5E6708C2" w14:textId="1EAE741C" w:rsidR="00717A13" w:rsidRPr="00717A13" w:rsidRDefault="00717A13" w:rsidP="0046266C">
      <w:pPr>
        <w:shd w:val="clear" w:color="auto" w:fill="FFFFFF"/>
        <w:spacing w:before="120" w:after="0" w:line="240" w:lineRule="auto"/>
        <w:ind w:left="720"/>
        <w:jc w:val="both"/>
        <w:rPr>
          <w:ins w:id="178" w:author="Author"/>
          <w:rFonts w:ascii="inherit" w:eastAsia="Times New Roman" w:hAnsi="inherit" w:cs="Times New Roman"/>
          <w:color w:val="000000"/>
          <w:sz w:val="24"/>
          <w:szCs w:val="24"/>
          <w:lang w:eastAsia="en-GB"/>
        </w:rPr>
        <w:pPrChange w:id="179" w:author="Author">
          <w:pPr>
            <w:shd w:val="clear" w:color="auto" w:fill="FFFFFF"/>
            <w:spacing w:before="120" w:after="0" w:line="240" w:lineRule="auto"/>
            <w:jc w:val="both"/>
          </w:pPr>
        </w:pPrChange>
      </w:pPr>
      <w:ins w:id="180" w:author="Author">
        <w:r w:rsidRPr="00717A13">
          <w:rPr>
            <w:rFonts w:ascii="inherit" w:eastAsia="Times New Roman" w:hAnsi="inherit" w:cs="Times New Roman"/>
            <w:color w:val="000000"/>
            <w:sz w:val="24"/>
            <w:szCs w:val="24"/>
            <w:lang w:eastAsia="en-GB"/>
          </w:rPr>
          <w:t>h)To pump-storage power-generating modules with variable speed machines in pumping operation mode, Articles 13(4), 13(5) and 15(5) shall not apply.</w:t>
        </w:r>
      </w:ins>
    </w:p>
    <w:p w14:paraId="153300F6" w14:textId="41FFE756" w:rsidR="003B7AE9" w:rsidDel="00717A13" w:rsidRDefault="00717A13" w:rsidP="0046266C">
      <w:pPr>
        <w:shd w:val="clear" w:color="auto" w:fill="FFFFFF"/>
        <w:spacing w:before="120" w:after="0" w:line="240" w:lineRule="auto"/>
        <w:ind w:left="720"/>
        <w:jc w:val="both"/>
        <w:rPr>
          <w:del w:id="181" w:author="Author"/>
          <w:rFonts w:ascii="inherit" w:eastAsia="Times New Roman" w:hAnsi="inherit" w:cs="Times New Roman"/>
          <w:color w:val="000000"/>
          <w:sz w:val="24"/>
          <w:szCs w:val="24"/>
          <w:lang w:eastAsia="en-GB"/>
        </w:rPr>
        <w:pPrChange w:id="182" w:author="Author">
          <w:pPr>
            <w:shd w:val="clear" w:color="auto" w:fill="FFFFFF"/>
            <w:spacing w:before="120" w:after="0" w:line="240" w:lineRule="auto"/>
            <w:jc w:val="both"/>
          </w:pPr>
        </w:pPrChange>
      </w:pPr>
      <w:ins w:id="183" w:author="Author">
        <w:r w:rsidRPr="00717A13">
          <w:rPr>
            <w:rFonts w:ascii="inherit" w:eastAsia="Times New Roman" w:hAnsi="inherit" w:cs="Times New Roman"/>
            <w:color w:val="000000"/>
            <w:sz w:val="24"/>
            <w:szCs w:val="24"/>
            <w:lang w:eastAsia="en-GB"/>
          </w:rPr>
          <w:t>i)To pump-storage power-generating modules with variable speed machines in synchronous compensation operation mode, Articles 13(2), 13(3), 13(4), 13(5), 13(7), 14(2), 15(2), 15(5) and 15(6)(e) shall not apply.</w:t>
        </w:r>
      </w:ins>
      <w:del w:id="184" w:author="Author">
        <w:r w:rsidR="003B7AE9" w:rsidRPr="003B7AE9" w:rsidDel="00717A13">
          <w:rPr>
            <w:rFonts w:ascii="inherit" w:eastAsia="Times New Roman" w:hAnsi="inherit" w:cs="Times New Roman"/>
            <w:color w:val="000000"/>
            <w:sz w:val="24"/>
            <w:szCs w:val="24"/>
            <w:lang w:eastAsia="en-GB"/>
          </w:rPr>
          <w:delTex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delText>
        </w:r>
      </w:del>
    </w:p>
    <w:p w14:paraId="115AAC35" w14:textId="77777777" w:rsidR="00717A13" w:rsidRPr="003B7AE9" w:rsidRDefault="00717A13" w:rsidP="0046266C">
      <w:pPr>
        <w:shd w:val="clear" w:color="auto" w:fill="FFFFFF"/>
        <w:spacing w:before="120" w:after="0" w:line="240" w:lineRule="auto"/>
        <w:ind w:left="720"/>
        <w:jc w:val="both"/>
        <w:rPr>
          <w:ins w:id="185" w:author="Author"/>
          <w:rFonts w:ascii="inherit" w:eastAsia="Times New Roman" w:hAnsi="inherit" w:cs="Times New Roman"/>
          <w:color w:val="000000"/>
          <w:sz w:val="24"/>
          <w:szCs w:val="24"/>
          <w:lang w:eastAsia="en-GB"/>
        </w:rPr>
        <w:pPrChange w:id="186" w:author="Author">
          <w:pPr>
            <w:shd w:val="clear" w:color="auto" w:fill="FFFFFF"/>
            <w:spacing w:before="120" w:after="0" w:line="240" w:lineRule="auto"/>
            <w:jc w:val="both"/>
          </w:pPr>
        </w:pPrChange>
      </w:pP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commentRangeStart w:id="187"/>
      <w:r w:rsidRPr="003B7AE9">
        <w:rPr>
          <w:rFonts w:ascii="inherit" w:eastAsia="Times New Roman" w:hAnsi="inherit" w:cs="Times New Roman"/>
          <w:b/>
          <w:bCs/>
          <w:color w:val="000000"/>
          <w:sz w:val="24"/>
          <w:szCs w:val="24"/>
          <w:lang w:eastAsia="en-GB"/>
        </w:rPr>
        <w:t>REQUIREMENTS</w:t>
      </w:r>
      <w:commentRangeEnd w:id="187"/>
      <w:r w:rsidR="001135C1">
        <w:rPr>
          <w:rStyle w:val="CommentReference"/>
        </w:rPr>
        <w:commentReference w:id="187"/>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2AB60F1E" w:rsidR="003B7AE9" w:rsidRDefault="003B7AE9" w:rsidP="003B7AE9">
      <w:pPr>
        <w:shd w:val="clear" w:color="auto" w:fill="FFFFFF"/>
        <w:spacing w:before="60" w:after="120" w:line="240" w:lineRule="auto"/>
        <w:jc w:val="center"/>
        <w:rPr>
          <w:ins w:id="188" w:author="Autho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627CF1AD" w14:textId="77777777" w:rsidR="001135C1" w:rsidRPr="0046266C" w:rsidRDefault="001135C1" w:rsidP="001135C1">
      <w:pPr>
        <w:shd w:val="clear" w:color="auto" w:fill="FFFFFF"/>
        <w:spacing w:before="60" w:after="120" w:line="240" w:lineRule="auto"/>
        <w:rPr>
          <w:ins w:id="189" w:author="Author"/>
          <w:rFonts w:ascii="inherit" w:eastAsia="Times New Roman" w:hAnsi="inherit" w:cs="Times New Roman"/>
          <w:color w:val="000000"/>
          <w:sz w:val="24"/>
          <w:szCs w:val="24"/>
          <w:lang w:eastAsia="en-GB"/>
          <w:rPrChange w:id="190" w:author="Author">
            <w:rPr>
              <w:ins w:id="191" w:author="Author"/>
              <w:rFonts w:ascii="inherit" w:eastAsia="Times New Roman" w:hAnsi="inherit" w:cs="Times New Roman"/>
              <w:b/>
              <w:bCs/>
              <w:color w:val="000000"/>
              <w:sz w:val="24"/>
              <w:szCs w:val="24"/>
              <w:lang w:eastAsia="en-GB"/>
            </w:rPr>
          </w:rPrChange>
        </w:rPr>
      </w:pPr>
      <w:commentRangeStart w:id="192"/>
      <w:ins w:id="193" w:author="Author">
        <w:r w:rsidRPr="0046266C">
          <w:rPr>
            <w:rFonts w:ascii="inherit" w:eastAsia="Times New Roman" w:hAnsi="inherit" w:cs="Times New Roman"/>
            <w:color w:val="000000"/>
            <w:sz w:val="24"/>
            <w:szCs w:val="24"/>
            <w:lang w:eastAsia="en-GB"/>
            <w:rPrChange w:id="194" w:author="Author">
              <w:rPr>
                <w:rFonts w:ascii="inherit" w:eastAsia="Times New Roman" w:hAnsi="inherit" w:cs="Times New Roman"/>
                <w:b/>
                <w:bCs/>
                <w:color w:val="000000"/>
                <w:sz w:val="24"/>
                <w:szCs w:val="24"/>
                <w:lang w:eastAsia="en-GB"/>
              </w:rPr>
            </w:rPrChange>
          </w:rPr>
          <w:t>For type A installations of 250 kW and above (or perhaps even 100kW since some countries have a threshold for type B set below 250kW), the following data should be provided to the system operator, to foster flexibility and in any case to develop the relevant regulation by Member States to make it possible.</w:t>
        </w:r>
      </w:ins>
    </w:p>
    <w:p w14:paraId="6E505303" w14:textId="77777777" w:rsidR="001135C1" w:rsidRPr="0046266C" w:rsidRDefault="001135C1" w:rsidP="001135C1">
      <w:pPr>
        <w:shd w:val="clear" w:color="auto" w:fill="FFFFFF"/>
        <w:spacing w:before="60" w:after="120" w:line="240" w:lineRule="auto"/>
        <w:rPr>
          <w:ins w:id="195" w:author="Author"/>
          <w:rFonts w:ascii="inherit" w:eastAsia="Times New Roman" w:hAnsi="inherit" w:cs="Times New Roman"/>
          <w:color w:val="000000"/>
          <w:sz w:val="24"/>
          <w:szCs w:val="24"/>
          <w:lang w:eastAsia="en-GB"/>
          <w:rPrChange w:id="196" w:author="Author">
            <w:rPr>
              <w:ins w:id="197" w:author="Author"/>
              <w:rFonts w:ascii="inherit" w:eastAsia="Times New Roman" w:hAnsi="inherit" w:cs="Times New Roman"/>
              <w:b/>
              <w:bCs/>
              <w:color w:val="000000"/>
              <w:sz w:val="24"/>
              <w:szCs w:val="24"/>
              <w:lang w:eastAsia="en-GB"/>
            </w:rPr>
          </w:rPrChange>
        </w:rPr>
      </w:pPr>
    </w:p>
    <w:p w14:paraId="1A8D79C7" w14:textId="77777777" w:rsidR="001135C1" w:rsidRPr="0046266C" w:rsidRDefault="001135C1" w:rsidP="001135C1">
      <w:pPr>
        <w:shd w:val="clear" w:color="auto" w:fill="FFFFFF"/>
        <w:spacing w:before="60" w:after="120" w:line="240" w:lineRule="auto"/>
        <w:rPr>
          <w:ins w:id="198" w:author="Author"/>
          <w:rFonts w:ascii="inherit" w:eastAsia="Times New Roman" w:hAnsi="inherit" w:cs="Times New Roman"/>
          <w:color w:val="000000"/>
          <w:sz w:val="24"/>
          <w:szCs w:val="24"/>
          <w:lang w:eastAsia="en-GB"/>
          <w:rPrChange w:id="199" w:author="Author">
            <w:rPr>
              <w:ins w:id="200" w:author="Author"/>
              <w:rFonts w:ascii="inherit" w:eastAsia="Times New Roman" w:hAnsi="inherit" w:cs="Times New Roman"/>
              <w:b/>
              <w:bCs/>
              <w:color w:val="000000"/>
              <w:sz w:val="24"/>
              <w:szCs w:val="24"/>
              <w:lang w:eastAsia="en-GB"/>
            </w:rPr>
          </w:rPrChange>
        </w:rPr>
      </w:pPr>
      <w:ins w:id="201" w:author="Author">
        <w:r w:rsidRPr="0046266C">
          <w:rPr>
            <w:rFonts w:ascii="inherit" w:eastAsia="Times New Roman" w:hAnsi="inherit" w:cs="Times New Roman"/>
            <w:color w:val="000000"/>
            <w:sz w:val="24"/>
            <w:szCs w:val="24"/>
            <w:lang w:eastAsia="en-GB"/>
            <w:rPrChange w:id="202" w:author="Author">
              <w:rPr>
                <w:rFonts w:ascii="inherit" w:eastAsia="Times New Roman" w:hAnsi="inherit" w:cs="Times New Roman"/>
                <w:b/>
                <w:bCs/>
                <w:color w:val="000000"/>
                <w:sz w:val="24"/>
                <w:szCs w:val="24"/>
                <w:lang w:eastAsia="en-GB"/>
              </w:rPr>
            </w:rPrChange>
          </w:rPr>
          <w:t>Measures:</w:t>
        </w:r>
      </w:ins>
    </w:p>
    <w:p w14:paraId="4085791F" w14:textId="77777777" w:rsidR="001135C1" w:rsidRPr="0046266C" w:rsidRDefault="001135C1" w:rsidP="001135C1">
      <w:pPr>
        <w:shd w:val="clear" w:color="auto" w:fill="FFFFFF"/>
        <w:spacing w:before="60" w:after="120" w:line="240" w:lineRule="auto"/>
        <w:rPr>
          <w:ins w:id="203" w:author="Author"/>
          <w:rFonts w:ascii="inherit" w:eastAsia="Times New Roman" w:hAnsi="inherit" w:cs="Times New Roman"/>
          <w:color w:val="000000"/>
          <w:sz w:val="24"/>
          <w:szCs w:val="24"/>
          <w:lang w:eastAsia="en-GB"/>
          <w:rPrChange w:id="204" w:author="Author">
            <w:rPr>
              <w:ins w:id="205" w:author="Author"/>
              <w:rFonts w:ascii="inherit" w:eastAsia="Times New Roman" w:hAnsi="inherit" w:cs="Times New Roman"/>
              <w:b/>
              <w:bCs/>
              <w:color w:val="000000"/>
              <w:sz w:val="24"/>
              <w:szCs w:val="24"/>
              <w:lang w:eastAsia="en-GB"/>
            </w:rPr>
          </w:rPrChange>
        </w:rPr>
      </w:pPr>
      <w:ins w:id="206" w:author="Author">
        <w:r w:rsidRPr="0046266C">
          <w:rPr>
            <w:rFonts w:ascii="inherit" w:eastAsia="Times New Roman" w:hAnsi="inherit" w:cs="Times New Roman"/>
            <w:color w:val="000000"/>
            <w:sz w:val="24"/>
            <w:szCs w:val="24"/>
            <w:lang w:eastAsia="en-GB"/>
            <w:rPrChange w:id="207" w:author="Author">
              <w:rPr>
                <w:rFonts w:ascii="inherit" w:eastAsia="Times New Roman" w:hAnsi="inherit" w:cs="Times New Roman"/>
                <w:b/>
                <w:bCs/>
                <w:color w:val="000000"/>
                <w:sz w:val="24"/>
                <w:szCs w:val="24"/>
                <w:lang w:eastAsia="en-GB"/>
              </w:rPr>
            </w:rPrChange>
          </w:rPr>
          <w:t>MV/LV Voltage (kV)</w:t>
        </w:r>
      </w:ins>
    </w:p>
    <w:p w14:paraId="5B846C15" w14:textId="77777777" w:rsidR="001135C1" w:rsidRPr="0046266C" w:rsidRDefault="001135C1" w:rsidP="001135C1">
      <w:pPr>
        <w:shd w:val="clear" w:color="auto" w:fill="FFFFFF"/>
        <w:spacing w:before="60" w:after="120" w:line="240" w:lineRule="auto"/>
        <w:rPr>
          <w:ins w:id="208" w:author="Author"/>
          <w:rFonts w:ascii="inherit" w:eastAsia="Times New Roman" w:hAnsi="inherit" w:cs="Times New Roman"/>
          <w:color w:val="000000"/>
          <w:sz w:val="24"/>
          <w:szCs w:val="24"/>
          <w:lang w:eastAsia="en-GB"/>
          <w:rPrChange w:id="209" w:author="Author">
            <w:rPr>
              <w:ins w:id="210" w:author="Author"/>
              <w:rFonts w:ascii="inherit" w:eastAsia="Times New Roman" w:hAnsi="inherit" w:cs="Times New Roman"/>
              <w:b/>
              <w:bCs/>
              <w:color w:val="000000"/>
              <w:sz w:val="24"/>
              <w:szCs w:val="24"/>
              <w:lang w:eastAsia="en-GB"/>
            </w:rPr>
          </w:rPrChange>
        </w:rPr>
      </w:pPr>
      <w:ins w:id="211" w:author="Author">
        <w:r w:rsidRPr="0046266C">
          <w:rPr>
            <w:rFonts w:ascii="inherit" w:eastAsia="Times New Roman" w:hAnsi="inherit" w:cs="Times New Roman"/>
            <w:color w:val="000000"/>
            <w:sz w:val="24"/>
            <w:szCs w:val="24"/>
            <w:lang w:eastAsia="en-GB"/>
            <w:rPrChange w:id="212" w:author="Author">
              <w:rPr>
                <w:rFonts w:ascii="inherit" w:eastAsia="Times New Roman" w:hAnsi="inherit" w:cs="Times New Roman"/>
                <w:b/>
                <w:bCs/>
                <w:color w:val="000000"/>
                <w:sz w:val="24"/>
                <w:szCs w:val="24"/>
                <w:lang w:eastAsia="en-GB"/>
              </w:rPr>
            </w:rPrChange>
          </w:rPr>
          <w:t>MV/LV Current  (A)</w:t>
        </w:r>
      </w:ins>
    </w:p>
    <w:p w14:paraId="023348F6" w14:textId="77777777" w:rsidR="001135C1" w:rsidRPr="0046266C" w:rsidRDefault="001135C1" w:rsidP="001135C1">
      <w:pPr>
        <w:shd w:val="clear" w:color="auto" w:fill="FFFFFF"/>
        <w:spacing w:before="60" w:after="120" w:line="240" w:lineRule="auto"/>
        <w:rPr>
          <w:ins w:id="213" w:author="Author"/>
          <w:rFonts w:ascii="inherit" w:eastAsia="Times New Roman" w:hAnsi="inherit" w:cs="Times New Roman"/>
          <w:color w:val="000000"/>
          <w:sz w:val="24"/>
          <w:szCs w:val="24"/>
          <w:lang w:eastAsia="en-GB"/>
          <w:rPrChange w:id="214" w:author="Author">
            <w:rPr>
              <w:ins w:id="215" w:author="Author"/>
              <w:rFonts w:ascii="inherit" w:eastAsia="Times New Roman" w:hAnsi="inherit" w:cs="Times New Roman"/>
              <w:b/>
              <w:bCs/>
              <w:color w:val="000000"/>
              <w:sz w:val="24"/>
              <w:szCs w:val="24"/>
              <w:lang w:eastAsia="en-GB"/>
            </w:rPr>
          </w:rPrChange>
        </w:rPr>
      </w:pPr>
      <w:ins w:id="216" w:author="Author">
        <w:r w:rsidRPr="0046266C">
          <w:rPr>
            <w:rFonts w:ascii="inherit" w:eastAsia="Times New Roman" w:hAnsi="inherit" w:cs="Times New Roman"/>
            <w:color w:val="000000"/>
            <w:sz w:val="24"/>
            <w:szCs w:val="24"/>
            <w:lang w:eastAsia="en-GB"/>
            <w:rPrChange w:id="217" w:author="Author">
              <w:rPr>
                <w:rFonts w:ascii="inherit" w:eastAsia="Times New Roman" w:hAnsi="inherit" w:cs="Times New Roman"/>
                <w:b/>
                <w:bCs/>
                <w:color w:val="000000"/>
                <w:sz w:val="24"/>
                <w:szCs w:val="24"/>
                <w:lang w:eastAsia="en-GB"/>
              </w:rPr>
            </w:rPrChange>
          </w:rPr>
          <w:t>Active Power (MW)</w:t>
        </w:r>
      </w:ins>
    </w:p>
    <w:p w14:paraId="0482A4FE" w14:textId="77777777" w:rsidR="001135C1" w:rsidRPr="0046266C" w:rsidRDefault="001135C1" w:rsidP="001135C1">
      <w:pPr>
        <w:shd w:val="clear" w:color="auto" w:fill="FFFFFF"/>
        <w:spacing w:before="60" w:after="120" w:line="240" w:lineRule="auto"/>
        <w:rPr>
          <w:ins w:id="218" w:author="Author"/>
          <w:rFonts w:ascii="inherit" w:eastAsia="Times New Roman" w:hAnsi="inherit" w:cs="Times New Roman"/>
          <w:color w:val="000000"/>
          <w:sz w:val="24"/>
          <w:szCs w:val="24"/>
          <w:lang w:eastAsia="en-GB"/>
          <w:rPrChange w:id="219" w:author="Author">
            <w:rPr>
              <w:ins w:id="220" w:author="Author"/>
              <w:rFonts w:ascii="inherit" w:eastAsia="Times New Roman" w:hAnsi="inherit" w:cs="Times New Roman"/>
              <w:b/>
              <w:bCs/>
              <w:color w:val="000000"/>
              <w:sz w:val="24"/>
              <w:szCs w:val="24"/>
              <w:lang w:eastAsia="en-GB"/>
            </w:rPr>
          </w:rPrChange>
        </w:rPr>
      </w:pPr>
      <w:ins w:id="221" w:author="Author">
        <w:r w:rsidRPr="0046266C">
          <w:rPr>
            <w:rFonts w:ascii="inherit" w:eastAsia="Times New Roman" w:hAnsi="inherit" w:cs="Times New Roman"/>
            <w:color w:val="000000"/>
            <w:sz w:val="24"/>
            <w:szCs w:val="24"/>
            <w:lang w:eastAsia="en-GB"/>
            <w:rPrChange w:id="222" w:author="Author">
              <w:rPr>
                <w:rFonts w:ascii="inherit" w:eastAsia="Times New Roman" w:hAnsi="inherit" w:cs="Times New Roman"/>
                <w:b/>
                <w:bCs/>
                <w:color w:val="000000"/>
                <w:sz w:val="24"/>
                <w:szCs w:val="24"/>
                <w:lang w:eastAsia="en-GB"/>
              </w:rPr>
            </w:rPrChange>
          </w:rPr>
          <w:t>Reactive Power (MVAr)</w:t>
        </w:r>
      </w:ins>
    </w:p>
    <w:p w14:paraId="23004A6B" w14:textId="77777777" w:rsidR="001135C1" w:rsidRPr="0046266C" w:rsidRDefault="001135C1" w:rsidP="001135C1">
      <w:pPr>
        <w:shd w:val="clear" w:color="auto" w:fill="FFFFFF"/>
        <w:spacing w:before="60" w:after="120" w:line="240" w:lineRule="auto"/>
        <w:rPr>
          <w:ins w:id="223" w:author="Author"/>
          <w:rFonts w:ascii="inherit" w:eastAsia="Times New Roman" w:hAnsi="inherit" w:cs="Times New Roman"/>
          <w:color w:val="000000"/>
          <w:sz w:val="24"/>
          <w:szCs w:val="24"/>
          <w:lang w:eastAsia="en-GB"/>
          <w:rPrChange w:id="224" w:author="Author">
            <w:rPr>
              <w:ins w:id="225" w:author="Author"/>
              <w:rFonts w:ascii="inherit" w:eastAsia="Times New Roman" w:hAnsi="inherit" w:cs="Times New Roman"/>
              <w:b/>
              <w:bCs/>
              <w:color w:val="000000"/>
              <w:sz w:val="24"/>
              <w:szCs w:val="24"/>
              <w:lang w:eastAsia="en-GB"/>
            </w:rPr>
          </w:rPrChange>
        </w:rPr>
      </w:pPr>
      <w:ins w:id="226" w:author="Author">
        <w:r w:rsidRPr="0046266C">
          <w:rPr>
            <w:rFonts w:ascii="inherit" w:eastAsia="Times New Roman" w:hAnsi="inherit" w:cs="Times New Roman"/>
            <w:color w:val="000000"/>
            <w:sz w:val="24"/>
            <w:szCs w:val="24"/>
            <w:lang w:eastAsia="en-GB"/>
            <w:rPrChange w:id="227" w:author="Author">
              <w:rPr>
                <w:rFonts w:ascii="inherit" w:eastAsia="Times New Roman" w:hAnsi="inherit" w:cs="Times New Roman"/>
                <w:b/>
                <w:bCs/>
                <w:color w:val="000000"/>
                <w:sz w:val="24"/>
                <w:szCs w:val="24"/>
                <w:lang w:eastAsia="en-GB"/>
              </w:rPr>
            </w:rPrChange>
          </w:rPr>
          <w:t>Frequency (Hz)</w:t>
        </w:r>
      </w:ins>
    </w:p>
    <w:p w14:paraId="5D33A06F" w14:textId="77777777" w:rsidR="001135C1" w:rsidRPr="0046266C" w:rsidRDefault="001135C1" w:rsidP="001135C1">
      <w:pPr>
        <w:shd w:val="clear" w:color="auto" w:fill="FFFFFF"/>
        <w:spacing w:before="60" w:after="120" w:line="240" w:lineRule="auto"/>
        <w:rPr>
          <w:ins w:id="228" w:author="Author"/>
          <w:rFonts w:ascii="inherit" w:eastAsia="Times New Roman" w:hAnsi="inherit" w:cs="Times New Roman"/>
          <w:color w:val="000000"/>
          <w:sz w:val="24"/>
          <w:szCs w:val="24"/>
          <w:lang w:eastAsia="en-GB"/>
          <w:rPrChange w:id="229" w:author="Author">
            <w:rPr>
              <w:ins w:id="230" w:author="Author"/>
              <w:rFonts w:ascii="inherit" w:eastAsia="Times New Roman" w:hAnsi="inherit" w:cs="Times New Roman"/>
              <w:b/>
              <w:bCs/>
              <w:color w:val="000000"/>
              <w:sz w:val="24"/>
              <w:szCs w:val="24"/>
              <w:lang w:eastAsia="en-GB"/>
            </w:rPr>
          </w:rPrChange>
        </w:rPr>
      </w:pPr>
      <w:ins w:id="231" w:author="Author">
        <w:r w:rsidRPr="0046266C">
          <w:rPr>
            <w:rFonts w:ascii="inherit" w:eastAsia="Times New Roman" w:hAnsi="inherit" w:cs="Times New Roman"/>
            <w:color w:val="000000"/>
            <w:sz w:val="24"/>
            <w:szCs w:val="24"/>
            <w:lang w:eastAsia="en-GB"/>
            <w:rPrChange w:id="232" w:author="Author">
              <w:rPr>
                <w:rFonts w:ascii="inherit" w:eastAsia="Times New Roman" w:hAnsi="inherit" w:cs="Times New Roman"/>
                <w:b/>
                <w:bCs/>
                <w:color w:val="000000"/>
                <w:sz w:val="24"/>
                <w:szCs w:val="24"/>
                <w:lang w:eastAsia="en-GB"/>
              </w:rPr>
            </w:rPrChange>
          </w:rPr>
          <w:t>Command acknowledge</w:t>
        </w:r>
      </w:ins>
    </w:p>
    <w:p w14:paraId="209EAE69" w14:textId="77777777" w:rsidR="001135C1" w:rsidRPr="0046266C" w:rsidRDefault="001135C1" w:rsidP="001135C1">
      <w:pPr>
        <w:shd w:val="clear" w:color="auto" w:fill="FFFFFF"/>
        <w:spacing w:before="60" w:after="120" w:line="240" w:lineRule="auto"/>
        <w:rPr>
          <w:ins w:id="233" w:author="Author"/>
          <w:rFonts w:ascii="inherit" w:eastAsia="Times New Roman" w:hAnsi="inherit" w:cs="Times New Roman"/>
          <w:color w:val="000000"/>
          <w:sz w:val="24"/>
          <w:szCs w:val="24"/>
          <w:lang w:eastAsia="en-GB"/>
          <w:rPrChange w:id="234" w:author="Author">
            <w:rPr>
              <w:ins w:id="235" w:author="Author"/>
              <w:rFonts w:ascii="inherit" w:eastAsia="Times New Roman" w:hAnsi="inherit" w:cs="Times New Roman"/>
              <w:b/>
              <w:bCs/>
              <w:color w:val="000000"/>
              <w:sz w:val="24"/>
              <w:szCs w:val="24"/>
              <w:lang w:eastAsia="en-GB"/>
            </w:rPr>
          </w:rPrChange>
        </w:rPr>
      </w:pPr>
      <w:ins w:id="236" w:author="Author">
        <w:r w:rsidRPr="0046266C">
          <w:rPr>
            <w:rFonts w:ascii="inherit" w:eastAsia="Times New Roman" w:hAnsi="inherit" w:cs="Times New Roman"/>
            <w:color w:val="000000"/>
            <w:sz w:val="24"/>
            <w:szCs w:val="24"/>
            <w:lang w:eastAsia="en-GB"/>
            <w:rPrChange w:id="237" w:author="Author">
              <w:rPr>
                <w:rFonts w:ascii="inherit" w:eastAsia="Times New Roman" w:hAnsi="inherit" w:cs="Times New Roman"/>
                <w:b/>
                <w:bCs/>
                <w:color w:val="000000"/>
                <w:sz w:val="24"/>
                <w:szCs w:val="24"/>
                <w:lang w:eastAsia="en-GB"/>
              </w:rPr>
            </w:rPrChange>
          </w:rPr>
          <w:t xml:space="preserve">Injection Power Limit Acknowledge - </w:t>
        </w:r>
        <w:r w:rsidRPr="0046266C">
          <w:rPr>
            <w:rFonts w:ascii="inherit" w:eastAsia="Times New Roman" w:hAnsi="inherit" w:cs="Times New Roman" w:hint="eastAsia"/>
            <w:color w:val="000000"/>
            <w:sz w:val="24"/>
            <w:szCs w:val="24"/>
            <w:lang w:eastAsia="en-GB"/>
            <w:rPrChange w:id="238" w:author="Author">
              <w:rPr>
                <w:rFonts w:ascii="inherit" w:eastAsia="Times New Roman" w:hAnsi="inherit" w:cs="Times New Roman" w:hint="eastAsia"/>
                <w:b/>
                <w:bCs/>
                <w:color w:val="000000"/>
                <w:sz w:val="24"/>
                <w:szCs w:val="24"/>
                <w:lang w:eastAsia="en-GB"/>
              </w:rPr>
            </w:rPrChange>
          </w:rPr>
          <w:t>“</w:t>
        </w:r>
        <w:r w:rsidRPr="0046266C">
          <w:rPr>
            <w:rFonts w:ascii="inherit" w:eastAsia="Times New Roman" w:hAnsi="inherit" w:cs="Times New Roman"/>
            <w:color w:val="000000"/>
            <w:sz w:val="24"/>
            <w:szCs w:val="24"/>
            <w:lang w:eastAsia="en-GB"/>
            <w:rPrChange w:id="239" w:author="Author">
              <w:rPr>
                <w:rFonts w:ascii="inherit" w:eastAsia="Times New Roman" w:hAnsi="inherit" w:cs="Times New Roman"/>
                <w:b/>
                <w:bCs/>
                <w:color w:val="000000"/>
                <w:sz w:val="24"/>
                <w:szCs w:val="24"/>
                <w:lang w:eastAsia="en-GB"/>
              </w:rPr>
            </w:rPrChange>
          </w:rPr>
          <w:t>Plim active ack.</w:t>
        </w:r>
        <w:r w:rsidRPr="0046266C">
          <w:rPr>
            <w:rFonts w:ascii="inherit" w:eastAsia="Times New Roman" w:hAnsi="inherit" w:cs="Times New Roman" w:hint="eastAsia"/>
            <w:color w:val="000000"/>
            <w:sz w:val="24"/>
            <w:szCs w:val="24"/>
            <w:lang w:eastAsia="en-GB"/>
            <w:rPrChange w:id="240" w:author="Author">
              <w:rPr>
                <w:rFonts w:ascii="inherit" w:eastAsia="Times New Roman" w:hAnsi="inherit" w:cs="Times New Roman" w:hint="eastAsia"/>
                <w:b/>
                <w:bCs/>
                <w:color w:val="000000"/>
                <w:sz w:val="24"/>
                <w:szCs w:val="24"/>
                <w:lang w:eastAsia="en-GB"/>
              </w:rPr>
            </w:rPrChange>
          </w:rPr>
          <w:t>”</w:t>
        </w:r>
      </w:ins>
    </w:p>
    <w:p w14:paraId="0295B97B" w14:textId="77777777" w:rsidR="001135C1" w:rsidRPr="0046266C" w:rsidRDefault="001135C1" w:rsidP="001135C1">
      <w:pPr>
        <w:shd w:val="clear" w:color="auto" w:fill="FFFFFF"/>
        <w:spacing w:before="60" w:after="120" w:line="240" w:lineRule="auto"/>
        <w:rPr>
          <w:ins w:id="241" w:author="Author"/>
          <w:rFonts w:ascii="inherit" w:eastAsia="Times New Roman" w:hAnsi="inherit" w:cs="Times New Roman"/>
          <w:color w:val="000000"/>
          <w:sz w:val="24"/>
          <w:szCs w:val="24"/>
          <w:lang w:eastAsia="en-GB"/>
          <w:rPrChange w:id="242" w:author="Author">
            <w:rPr>
              <w:ins w:id="243" w:author="Author"/>
              <w:rFonts w:ascii="inherit" w:eastAsia="Times New Roman" w:hAnsi="inherit" w:cs="Times New Roman"/>
              <w:b/>
              <w:bCs/>
              <w:color w:val="000000"/>
              <w:sz w:val="24"/>
              <w:szCs w:val="24"/>
              <w:lang w:eastAsia="en-GB"/>
            </w:rPr>
          </w:rPrChange>
        </w:rPr>
      </w:pPr>
      <w:ins w:id="244" w:author="Author">
        <w:r w:rsidRPr="0046266C">
          <w:rPr>
            <w:rFonts w:ascii="inherit" w:eastAsia="Times New Roman" w:hAnsi="inherit" w:cs="Times New Roman"/>
            <w:color w:val="000000"/>
            <w:sz w:val="24"/>
            <w:szCs w:val="24"/>
            <w:lang w:eastAsia="en-GB"/>
            <w:rPrChange w:id="245" w:author="Author">
              <w:rPr>
                <w:rFonts w:ascii="inherit" w:eastAsia="Times New Roman" w:hAnsi="inherit" w:cs="Times New Roman"/>
                <w:b/>
                <w:bCs/>
                <w:color w:val="000000"/>
                <w:sz w:val="24"/>
                <w:szCs w:val="24"/>
                <w:lang w:eastAsia="en-GB"/>
              </w:rPr>
            </w:rPrChange>
          </w:rPr>
          <w:t xml:space="preserve"> </w:t>
        </w:r>
      </w:ins>
    </w:p>
    <w:p w14:paraId="44F9542A" w14:textId="77777777" w:rsidR="001135C1" w:rsidRPr="0046266C" w:rsidRDefault="001135C1" w:rsidP="001135C1">
      <w:pPr>
        <w:shd w:val="clear" w:color="auto" w:fill="FFFFFF"/>
        <w:spacing w:before="60" w:after="120" w:line="240" w:lineRule="auto"/>
        <w:rPr>
          <w:ins w:id="246" w:author="Author"/>
          <w:rFonts w:ascii="inherit" w:eastAsia="Times New Roman" w:hAnsi="inherit" w:cs="Times New Roman"/>
          <w:color w:val="000000"/>
          <w:sz w:val="24"/>
          <w:szCs w:val="24"/>
          <w:lang w:eastAsia="en-GB"/>
          <w:rPrChange w:id="247" w:author="Author">
            <w:rPr>
              <w:ins w:id="248" w:author="Author"/>
              <w:rFonts w:ascii="inherit" w:eastAsia="Times New Roman" w:hAnsi="inherit" w:cs="Times New Roman"/>
              <w:b/>
              <w:bCs/>
              <w:color w:val="000000"/>
              <w:sz w:val="24"/>
              <w:szCs w:val="24"/>
              <w:lang w:eastAsia="en-GB"/>
            </w:rPr>
          </w:rPrChange>
        </w:rPr>
      </w:pPr>
      <w:ins w:id="249" w:author="Author">
        <w:r w:rsidRPr="0046266C">
          <w:rPr>
            <w:rFonts w:ascii="inherit" w:eastAsia="Times New Roman" w:hAnsi="inherit" w:cs="Times New Roman"/>
            <w:color w:val="000000"/>
            <w:sz w:val="24"/>
            <w:szCs w:val="24"/>
            <w:lang w:eastAsia="en-GB"/>
            <w:rPrChange w:id="250" w:author="Author">
              <w:rPr>
                <w:rFonts w:ascii="inherit" w:eastAsia="Times New Roman" w:hAnsi="inherit" w:cs="Times New Roman"/>
                <w:b/>
                <w:bCs/>
                <w:color w:val="000000"/>
                <w:sz w:val="24"/>
                <w:szCs w:val="24"/>
                <w:lang w:eastAsia="en-GB"/>
              </w:rPr>
            </w:rPrChange>
          </w:rPr>
          <w:t>Binary Inputs:</w:t>
        </w:r>
      </w:ins>
    </w:p>
    <w:p w14:paraId="2C1E96BE" w14:textId="77777777" w:rsidR="001135C1" w:rsidRPr="0046266C" w:rsidRDefault="001135C1" w:rsidP="001135C1">
      <w:pPr>
        <w:shd w:val="clear" w:color="auto" w:fill="FFFFFF"/>
        <w:spacing w:before="60" w:after="120" w:line="240" w:lineRule="auto"/>
        <w:rPr>
          <w:ins w:id="251" w:author="Author"/>
          <w:rFonts w:ascii="inherit" w:eastAsia="Times New Roman" w:hAnsi="inherit" w:cs="Times New Roman"/>
          <w:color w:val="000000"/>
          <w:sz w:val="24"/>
          <w:szCs w:val="24"/>
          <w:lang w:eastAsia="en-GB"/>
          <w:rPrChange w:id="252" w:author="Author">
            <w:rPr>
              <w:ins w:id="253" w:author="Author"/>
              <w:rFonts w:ascii="inherit" w:eastAsia="Times New Roman" w:hAnsi="inherit" w:cs="Times New Roman"/>
              <w:b/>
              <w:bCs/>
              <w:color w:val="000000"/>
              <w:sz w:val="24"/>
              <w:szCs w:val="24"/>
              <w:lang w:eastAsia="en-GB"/>
            </w:rPr>
          </w:rPrChange>
        </w:rPr>
      </w:pPr>
      <w:ins w:id="254" w:author="Author">
        <w:r w:rsidRPr="0046266C">
          <w:rPr>
            <w:rFonts w:ascii="inherit" w:eastAsia="Times New Roman" w:hAnsi="inherit" w:cs="Times New Roman"/>
            <w:color w:val="000000"/>
            <w:sz w:val="24"/>
            <w:szCs w:val="24"/>
            <w:lang w:eastAsia="en-GB"/>
            <w:rPrChange w:id="255" w:author="Author">
              <w:rPr>
                <w:rFonts w:ascii="inherit" w:eastAsia="Times New Roman" w:hAnsi="inherit" w:cs="Times New Roman"/>
                <w:b/>
                <w:bCs/>
                <w:color w:val="000000"/>
                <w:sz w:val="24"/>
                <w:szCs w:val="24"/>
                <w:lang w:eastAsia="en-GB"/>
              </w:rPr>
            </w:rPrChange>
          </w:rPr>
          <w:t>Circuit breaker state</w:t>
        </w:r>
      </w:ins>
    </w:p>
    <w:p w14:paraId="2C89CC71" w14:textId="77777777" w:rsidR="001135C1" w:rsidRPr="0046266C" w:rsidRDefault="001135C1" w:rsidP="001135C1">
      <w:pPr>
        <w:shd w:val="clear" w:color="auto" w:fill="FFFFFF"/>
        <w:spacing w:before="60" w:after="120" w:line="240" w:lineRule="auto"/>
        <w:rPr>
          <w:ins w:id="256" w:author="Author"/>
          <w:rFonts w:ascii="inherit" w:eastAsia="Times New Roman" w:hAnsi="inherit" w:cs="Times New Roman"/>
          <w:color w:val="000000"/>
          <w:sz w:val="24"/>
          <w:szCs w:val="24"/>
          <w:lang w:eastAsia="en-GB"/>
          <w:rPrChange w:id="257" w:author="Author">
            <w:rPr>
              <w:ins w:id="258" w:author="Author"/>
              <w:rFonts w:ascii="inherit" w:eastAsia="Times New Roman" w:hAnsi="inherit" w:cs="Times New Roman"/>
              <w:b/>
              <w:bCs/>
              <w:color w:val="000000"/>
              <w:sz w:val="24"/>
              <w:szCs w:val="24"/>
              <w:lang w:eastAsia="en-GB"/>
            </w:rPr>
          </w:rPrChange>
        </w:rPr>
      </w:pPr>
      <w:ins w:id="259" w:author="Author">
        <w:r w:rsidRPr="0046266C">
          <w:rPr>
            <w:rFonts w:ascii="inherit" w:eastAsia="Times New Roman" w:hAnsi="inherit" w:cs="Times New Roman"/>
            <w:color w:val="000000"/>
            <w:sz w:val="24"/>
            <w:szCs w:val="24"/>
            <w:lang w:eastAsia="en-GB"/>
            <w:rPrChange w:id="260" w:author="Author">
              <w:rPr>
                <w:rFonts w:ascii="inherit" w:eastAsia="Times New Roman" w:hAnsi="inherit" w:cs="Times New Roman"/>
                <w:b/>
                <w:bCs/>
                <w:color w:val="000000"/>
                <w:sz w:val="24"/>
                <w:szCs w:val="24"/>
                <w:lang w:eastAsia="en-GB"/>
              </w:rPr>
            </w:rPrChange>
          </w:rPr>
          <w:t>Protection start (aggregated)</w:t>
        </w:r>
      </w:ins>
    </w:p>
    <w:p w14:paraId="3D74E796" w14:textId="77777777" w:rsidR="001135C1" w:rsidRPr="0046266C" w:rsidRDefault="001135C1" w:rsidP="001135C1">
      <w:pPr>
        <w:shd w:val="clear" w:color="auto" w:fill="FFFFFF"/>
        <w:spacing w:before="60" w:after="120" w:line="240" w:lineRule="auto"/>
        <w:rPr>
          <w:ins w:id="261" w:author="Author"/>
          <w:rFonts w:ascii="inherit" w:eastAsia="Times New Roman" w:hAnsi="inherit" w:cs="Times New Roman"/>
          <w:color w:val="000000"/>
          <w:sz w:val="24"/>
          <w:szCs w:val="24"/>
          <w:lang w:eastAsia="en-GB"/>
          <w:rPrChange w:id="262" w:author="Author">
            <w:rPr>
              <w:ins w:id="263" w:author="Author"/>
              <w:rFonts w:ascii="inherit" w:eastAsia="Times New Roman" w:hAnsi="inherit" w:cs="Times New Roman"/>
              <w:b/>
              <w:bCs/>
              <w:color w:val="000000"/>
              <w:sz w:val="24"/>
              <w:szCs w:val="24"/>
              <w:lang w:eastAsia="en-GB"/>
            </w:rPr>
          </w:rPrChange>
        </w:rPr>
      </w:pPr>
      <w:ins w:id="264" w:author="Author">
        <w:r w:rsidRPr="0046266C">
          <w:rPr>
            <w:rFonts w:ascii="inherit" w:eastAsia="Times New Roman" w:hAnsi="inherit" w:cs="Times New Roman"/>
            <w:color w:val="000000"/>
            <w:sz w:val="24"/>
            <w:szCs w:val="24"/>
            <w:lang w:eastAsia="en-GB"/>
            <w:rPrChange w:id="265" w:author="Author">
              <w:rPr>
                <w:rFonts w:ascii="inherit" w:eastAsia="Times New Roman" w:hAnsi="inherit" w:cs="Times New Roman"/>
                <w:b/>
                <w:bCs/>
                <w:color w:val="000000"/>
                <w:sz w:val="24"/>
                <w:szCs w:val="24"/>
                <w:lang w:eastAsia="en-GB"/>
              </w:rPr>
            </w:rPrChange>
          </w:rPr>
          <w:t>Protection trip (aggregated)</w:t>
        </w:r>
      </w:ins>
    </w:p>
    <w:p w14:paraId="48E54BD8" w14:textId="77777777" w:rsidR="001135C1" w:rsidRPr="0046266C" w:rsidRDefault="001135C1" w:rsidP="001135C1">
      <w:pPr>
        <w:shd w:val="clear" w:color="auto" w:fill="FFFFFF"/>
        <w:spacing w:before="60" w:after="120" w:line="240" w:lineRule="auto"/>
        <w:rPr>
          <w:ins w:id="266" w:author="Author"/>
          <w:rFonts w:ascii="inherit" w:eastAsia="Times New Roman" w:hAnsi="inherit" w:cs="Times New Roman"/>
          <w:color w:val="000000"/>
          <w:sz w:val="24"/>
          <w:szCs w:val="24"/>
          <w:lang w:eastAsia="en-GB"/>
          <w:rPrChange w:id="267" w:author="Author">
            <w:rPr>
              <w:ins w:id="268" w:author="Author"/>
              <w:rFonts w:ascii="inherit" w:eastAsia="Times New Roman" w:hAnsi="inherit" w:cs="Times New Roman"/>
              <w:b/>
              <w:bCs/>
              <w:color w:val="000000"/>
              <w:sz w:val="24"/>
              <w:szCs w:val="24"/>
              <w:lang w:eastAsia="en-GB"/>
            </w:rPr>
          </w:rPrChange>
        </w:rPr>
      </w:pPr>
      <w:ins w:id="269" w:author="Author">
        <w:r w:rsidRPr="0046266C">
          <w:rPr>
            <w:rFonts w:ascii="inherit" w:eastAsia="Times New Roman" w:hAnsi="inherit" w:cs="Times New Roman"/>
            <w:color w:val="000000"/>
            <w:sz w:val="24"/>
            <w:szCs w:val="24"/>
            <w:lang w:eastAsia="en-GB"/>
            <w:rPrChange w:id="270" w:author="Author">
              <w:rPr>
                <w:rFonts w:ascii="inherit" w:eastAsia="Times New Roman" w:hAnsi="inherit" w:cs="Times New Roman"/>
                <w:b/>
                <w:bCs/>
                <w:color w:val="000000"/>
                <w:sz w:val="24"/>
                <w:szCs w:val="24"/>
                <w:lang w:eastAsia="en-GB"/>
              </w:rPr>
            </w:rPrChange>
          </w:rPr>
          <w:t>Communication failure</w:t>
        </w:r>
      </w:ins>
    </w:p>
    <w:p w14:paraId="1F9B7BF5" w14:textId="77777777" w:rsidR="001135C1" w:rsidRPr="0046266C" w:rsidRDefault="001135C1" w:rsidP="001135C1">
      <w:pPr>
        <w:shd w:val="clear" w:color="auto" w:fill="FFFFFF"/>
        <w:spacing w:before="60" w:after="120" w:line="240" w:lineRule="auto"/>
        <w:rPr>
          <w:ins w:id="271" w:author="Author"/>
          <w:rFonts w:ascii="inherit" w:eastAsia="Times New Roman" w:hAnsi="inherit" w:cs="Times New Roman"/>
          <w:color w:val="000000"/>
          <w:sz w:val="24"/>
          <w:szCs w:val="24"/>
          <w:lang w:eastAsia="en-GB"/>
          <w:rPrChange w:id="272" w:author="Author">
            <w:rPr>
              <w:ins w:id="273" w:author="Author"/>
              <w:rFonts w:ascii="inherit" w:eastAsia="Times New Roman" w:hAnsi="inherit" w:cs="Times New Roman"/>
              <w:b/>
              <w:bCs/>
              <w:color w:val="000000"/>
              <w:sz w:val="24"/>
              <w:szCs w:val="24"/>
              <w:lang w:eastAsia="en-GB"/>
            </w:rPr>
          </w:rPrChange>
        </w:rPr>
      </w:pPr>
      <w:ins w:id="274" w:author="Author">
        <w:r w:rsidRPr="0046266C">
          <w:rPr>
            <w:rFonts w:ascii="inherit" w:eastAsia="Times New Roman" w:hAnsi="inherit" w:cs="Times New Roman"/>
            <w:color w:val="000000"/>
            <w:sz w:val="24"/>
            <w:szCs w:val="24"/>
            <w:lang w:eastAsia="en-GB"/>
            <w:rPrChange w:id="275" w:author="Author">
              <w:rPr>
                <w:rFonts w:ascii="inherit" w:eastAsia="Times New Roman" w:hAnsi="inherit" w:cs="Times New Roman"/>
                <w:b/>
                <w:bCs/>
                <w:color w:val="000000"/>
                <w:sz w:val="24"/>
                <w:szCs w:val="24"/>
                <w:lang w:eastAsia="en-GB"/>
              </w:rPr>
            </w:rPrChange>
          </w:rPr>
          <w:t xml:space="preserve"> </w:t>
        </w:r>
      </w:ins>
    </w:p>
    <w:p w14:paraId="2AEF1B5B" w14:textId="77777777" w:rsidR="001135C1" w:rsidRPr="0046266C" w:rsidRDefault="001135C1" w:rsidP="001135C1">
      <w:pPr>
        <w:shd w:val="clear" w:color="auto" w:fill="FFFFFF"/>
        <w:spacing w:before="60" w:after="120" w:line="240" w:lineRule="auto"/>
        <w:rPr>
          <w:ins w:id="276" w:author="Author"/>
          <w:rFonts w:ascii="inherit" w:eastAsia="Times New Roman" w:hAnsi="inherit" w:cs="Times New Roman"/>
          <w:color w:val="000000"/>
          <w:sz w:val="24"/>
          <w:szCs w:val="24"/>
          <w:lang w:eastAsia="en-GB"/>
          <w:rPrChange w:id="277" w:author="Author">
            <w:rPr>
              <w:ins w:id="278" w:author="Author"/>
              <w:rFonts w:ascii="inherit" w:eastAsia="Times New Roman" w:hAnsi="inherit" w:cs="Times New Roman"/>
              <w:b/>
              <w:bCs/>
              <w:color w:val="000000"/>
              <w:sz w:val="24"/>
              <w:szCs w:val="24"/>
              <w:lang w:eastAsia="en-GB"/>
            </w:rPr>
          </w:rPrChange>
        </w:rPr>
      </w:pPr>
      <w:ins w:id="279" w:author="Author">
        <w:r w:rsidRPr="0046266C">
          <w:rPr>
            <w:rFonts w:ascii="inherit" w:eastAsia="Times New Roman" w:hAnsi="inherit" w:cs="Times New Roman"/>
            <w:color w:val="000000"/>
            <w:sz w:val="24"/>
            <w:szCs w:val="24"/>
            <w:lang w:eastAsia="en-GB"/>
            <w:rPrChange w:id="280" w:author="Author">
              <w:rPr>
                <w:rFonts w:ascii="inherit" w:eastAsia="Times New Roman" w:hAnsi="inherit" w:cs="Times New Roman"/>
                <w:b/>
                <w:bCs/>
                <w:color w:val="000000"/>
                <w:sz w:val="24"/>
                <w:szCs w:val="24"/>
                <w:lang w:eastAsia="en-GB"/>
              </w:rPr>
            </w:rPrChange>
          </w:rPr>
          <w:t>Commands:</w:t>
        </w:r>
      </w:ins>
    </w:p>
    <w:p w14:paraId="31F93220" w14:textId="77777777" w:rsidR="001135C1" w:rsidRPr="0046266C" w:rsidRDefault="001135C1" w:rsidP="001135C1">
      <w:pPr>
        <w:shd w:val="clear" w:color="auto" w:fill="FFFFFF"/>
        <w:spacing w:before="60" w:after="120" w:line="240" w:lineRule="auto"/>
        <w:rPr>
          <w:ins w:id="281" w:author="Author"/>
          <w:rFonts w:ascii="inherit" w:eastAsia="Times New Roman" w:hAnsi="inherit" w:cs="Times New Roman"/>
          <w:color w:val="000000"/>
          <w:sz w:val="24"/>
          <w:szCs w:val="24"/>
          <w:lang w:eastAsia="en-GB"/>
          <w:rPrChange w:id="282" w:author="Author">
            <w:rPr>
              <w:ins w:id="283" w:author="Author"/>
              <w:rFonts w:ascii="inherit" w:eastAsia="Times New Roman" w:hAnsi="inherit" w:cs="Times New Roman"/>
              <w:b/>
              <w:bCs/>
              <w:color w:val="000000"/>
              <w:sz w:val="24"/>
              <w:szCs w:val="24"/>
              <w:lang w:eastAsia="en-GB"/>
            </w:rPr>
          </w:rPrChange>
        </w:rPr>
      </w:pPr>
      <w:ins w:id="284" w:author="Author">
        <w:r w:rsidRPr="0046266C">
          <w:rPr>
            <w:rFonts w:ascii="inherit" w:eastAsia="Times New Roman" w:hAnsi="inherit" w:cs="Times New Roman"/>
            <w:color w:val="000000"/>
            <w:sz w:val="24"/>
            <w:szCs w:val="24"/>
            <w:lang w:eastAsia="en-GB"/>
            <w:rPrChange w:id="285" w:author="Author">
              <w:rPr>
                <w:rFonts w:ascii="inherit" w:eastAsia="Times New Roman" w:hAnsi="inherit" w:cs="Times New Roman"/>
                <w:b/>
                <w:bCs/>
                <w:color w:val="000000"/>
                <w:sz w:val="24"/>
                <w:szCs w:val="24"/>
                <w:lang w:eastAsia="en-GB"/>
              </w:rPr>
            </w:rPrChange>
          </w:rPr>
          <w:t>Live Line Work Conditions</w:t>
        </w:r>
      </w:ins>
    </w:p>
    <w:p w14:paraId="4004B4B7" w14:textId="77777777" w:rsidR="001135C1" w:rsidRPr="0046266C" w:rsidRDefault="001135C1" w:rsidP="001135C1">
      <w:pPr>
        <w:shd w:val="clear" w:color="auto" w:fill="FFFFFF"/>
        <w:spacing w:before="60" w:after="120" w:line="240" w:lineRule="auto"/>
        <w:rPr>
          <w:ins w:id="286" w:author="Author"/>
          <w:rFonts w:ascii="inherit" w:eastAsia="Times New Roman" w:hAnsi="inherit" w:cs="Times New Roman"/>
          <w:color w:val="000000"/>
          <w:sz w:val="24"/>
          <w:szCs w:val="24"/>
          <w:lang w:eastAsia="en-GB"/>
          <w:rPrChange w:id="287" w:author="Author">
            <w:rPr>
              <w:ins w:id="288" w:author="Author"/>
              <w:rFonts w:ascii="inherit" w:eastAsia="Times New Roman" w:hAnsi="inherit" w:cs="Times New Roman"/>
              <w:b/>
              <w:bCs/>
              <w:color w:val="000000"/>
              <w:sz w:val="24"/>
              <w:szCs w:val="24"/>
              <w:lang w:eastAsia="en-GB"/>
            </w:rPr>
          </w:rPrChange>
        </w:rPr>
      </w:pPr>
      <w:ins w:id="289" w:author="Author">
        <w:r w:rsidRPr="0046266C">
          <w:rPr>
            <w:rFonts w:ascii="inherit" w:eastAsia="Times New Roman" w:hAnsi="inherit" w:cs="Times New Roman"/>
            <w:color w:val="000000"/>
            <w:sz w:val="24"/>
            <w:szCs w:val="24"/>
            <w:lang w:eastAsia="en-GB"/>
            <w:rPrChange w:id="290" w:author="Author">
              <w:rPr>
                <w:rFonts w:ascii="inherit" w:eastAsia="Times New Roman" w:hAnsi="inherit" w:cs="Times New Roman"/>
                <w:b/>
                <w:bCs/>
                <w:color w:val="000000"/>
                <w:sz w:val="24"/>
                <w:szCs w:val="24"/>
                <w:lang w:eastAsia="en-GB"/>
              </w:rPr>
            </w:rPrChange>
          </w:rPr>
          <w:lastRenderedPageBreak/>
          <w:t>Grid disconnection / Permission to connect</w:t>
        </w:r>
      </w:ins>
    </w:p>
    <w:p w14:paraId="4D221EAA" w14:textId="0F95A813" w:rsidR="001135C1" w:rsidRPr="0046266C" w:rsidRDefault="001135C1" w:rsidP="0046266C">
      <w:pPr>
        <w:shd w:val="clear" w:color="auto" w:fill="FFFFFF"/>
        <w:spacing w:before="60" w:after="120" w:line="240" w:lineRule="auto"/>
        <w:rPr>
          <w:ins w:id="291" w:author="Author"/>
          <w:rFonts w:ascii="inherit" w:eastAsia="Times New Roman" w:hAnsi="inherit" w:cs="Times New Roman"/>
          <w:color w:val="000000"/>
          <w:sz w:val="24"/>
          <w:szCs w:val="24"/>
          <w:lang w:eastAsia="en-GB"/>
          <w:rPrChange w:id="292" w:author="Author">
            <w:rPr>
              <w:ins w:id="293" w:author="Author"/>
              <w:rFonts w:ascii="inherit" w:eastAsia="Times New Roman" w:hAnsi="inherit" w:cs="Times New Roman"/>
              <w:b/>
              <w:bCs/>
              <w:color w:val="000000"/>
              <w:sz w:val="24"/>
              <w:szCs w:val="24"/>
              <w:lang w:eastAsia="en-GB"/>
            </w:rPr>
          </w:rPrChange>
        </w:rPr>
        <w:pPrChange w:id="294" w:author="Author">
          <w:pPr>
            <w:shd w:val="clear" w:color="auto" w:fill="FFFFFF"/>
            <w:spacing w:before="60" w:after="120" w:line="240" w:lineRule="auto"/>
            <w:jc w:val="center"/>
          </w:pPr>
        </w:pPrChange>
      </w:pPr>
      <w:ins w:id="295" w:author="Author">
        <w:r w:rsidRPr="0046266C">
          <w:rPr>
            <w:rFonts w:ascii="inherit" w:eastAsia="Times New Roman" w:hAnsi="inherit" w:cs="Times New Roman"/>
            <w:color w:val="000000"/>
            <w:sz w:val="24"/>
            <w:szCs w:val="24"/>
            <w:lang w:eastAsia="en-GB"/>
            <w:rPrChange w:id="296" w:author="Author">
              <w:rPr>
                <w:rFonts w:ascii="inherit" w:eastAsia="Times New Roman" w:hAnsi="inherit" w:cs="Times New Roman"/>
                <w:b/>
                <w:bCs/>
                <w:color w:val="000000"/>
                <w:sz w:val="24"/>
                <w:szCs w:val="24"/>
                <w:lang w:eastAsia="en-GB"/>
              </w:rPr>
            </w:rPrChange>
          </w:rPr>
          <w:t xml:space="preserve">                      Network Injection Power Limit</w:t>
        </w:r>
        <w:commentRangeEnd w:id="192"/>
        <w:r>
          <w:rPr>
            <w:rStyle w:val="CommentReference"/>
          </w:rPr>
          <w:commentReference w:id="192"/>
        </w:r>
      </w:ins>
    </w:p>
    <w:p w14:paraId="7E6654DB" w14:textId="77777777" w:rsidR="001135C1" w:rsidRPr="003B7AE9" w:rsidRDefault="001135C1"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3D7CF49" w14:textId="761269F7" w:rsidR="009B264F" w:rsidRDefault="009B264F" w:rsidP="003B7AE9">
            <w:pPr>
              <w:spacing w:before="120" w:after="0" w:line="240" w:lineRule="auto"/>
              <w:jc w:val="both"/>
              <w:rPr>
                <w:ins w:id="297" w:author="Author"/>
                <w:rFonts w:ascii="inherit" w:eastAsia="Times New Roman" w:hAnsi="inherit" w:cs="Times New Roman"/>
                <w:sz w:val="24"/>
                <w:szCs w:val="24"/>
                <w:lang w:eastAsia="en-GB"/>
              </w:rPr>
            </w:pPr>
            <w:ins w:id="298" w:author="Author">
              <w:r>
                <w:rPr>
                  <w:rFonts w:ascii="inherit" w:eastAsia="Times New Roman" w:hAnsi="inherit" w:cs="Times New Roman"/>
                  <w:sz w:val="24"/>
                  <w:szCs w:val="24"/>
                  <w:lang w:eastAsia="en-GB"/>
                </w:rPr>
                <w:t>(i)</w:t>
              </w:r>
            </w:ins>
            <w:r w:rsidR="003B7AE9"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53C0D4A6" w14:textId="6B41C19B" w:rsidR="009B264F" w:rsidRPr="003B7AE9" w:rsidRDefault="009B264F" w:rsidP="003B7AE9">
            <w:pPr>
              <w:spacing w:before="120" w:after="0" w:line="240" w:lineRule="auto"/>
              <w:jc w:val="both"/>
              <w:rPr>
                <w:rFonts w:ascii="inherit" w:eastAsia="Times New Roman" w:hAnsi="inherit" w:cs="Times New Roman"/>
                <w:sz w:val="24"/>
                <w:szCs w:val="24"/>
                <w:lang w:eastAsia="en-GB"/>
              </w:rPr>
            </w:pPr>
            <w:ins w:id="299" w:author="Author">
              <w:r>
                <w:rPr>
                  <w:rFonts w:ascii="inherit" w:eastAsia="Times New Roman" w:hAnsi="inherit" w:cs="Times New Roman"/>
                  <w:sz w:val="24"/>
                  <w:szCs w:val="24"/>
                  <w:lang w:eastAsia="en-GB"/>
                </w:rPr>
                <w:t>(ii)</w:t>
              </w:r>
              <w:r w:rsidRPr="009B264F">
                <w:rPr>
                  <w:rFonts w:ascii="inherit" w:eastAsia="Times New Roman" w:hAnsi="inherit" w:cs="Times New Roman"/>
                  <w:sz w:val="24"/>
                  <w:szCs w:val="24"/>
                  <w:lang w:eastAsia="en-GB"/>
                </w:rPr>
                <w:t xml:space="preserve">PGMs must withstand a RoCoF (Rate of Change of Frequency) of </w:t>
              </w:r>
              <w:commentRangeStart w:id="300"/>
              <w:r w:rsidRPr="009B264F">
                <w:rPr>
                  <w:rFonts w:ascii="inherit" w:eastAsia="Times New Roman" w:hAnsi="inherit" w:cs="Times New Roman"/>
                  <w:sz w:val="24"/>
                  <w:szCs w:val="24"/>
                  <w:lang w:eastAsia="en-GB"/>
                </w:rPr>
                <w:t xml:space="preserve">1.0 Hz/sec </w:t>
              </w:r>
              <w:commentRangeEnd w:id="300"/>
              <w:r>
                <w:rPr>
                  <w:rStyle w:val="CommentReference"/>
                </w:rPr>
                <w:commentReference w:id="300"/>
              </w:r>
              <w:r w:rsidRPr="009B264F">
                <w:rPr>
                  <w:rFonts w:ascii="inherit" w:eastAsia="Times New Roman" w:hAnsi="inherit" w:cs="Times New Roman"/>
                  <w:sz w:val="24"/>
                  <w:szCs w:val="24"/>
                  <w:lang w:eastAsia="en-GB"/>
                </w:rPr>
                <w:t>measured with a 500 ms sliding window. If a PGM can withstand a higher value of the RoCoF by its inherent technology, it shall communicate this value to the relevant TSO. A frequency profile shall be proposed by all TSOs of each synchronous area so that PGMs can simulate and confirm that they are able to withstand this value.</w:t>
              </w:r>
            </w:ins>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E2764FD" w:rsidR="003B7AE9" w:rsidRDefault="003B7AE9" w:rsidP="003B7AE9">
            <w:pPr>
              <w:spacing w:before="120" w:after="120" w:line="240" w:lineRule="auto"/>
              <w:jc w:val="center"/>
              <w:rPr>
                <w:ins w:id="301" w:author="Autho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p w14:paraId="485A3C8A" w14:textId="111904CC" w:rsidR="009B264F" w:rsidRPr="003B7AE9" w:rsidRDefault="009B264F" w:rsidP="003B7AE9">
            <w:pPr>
              <w:spacing w:before="120" w:after="120" w:line="240" w:lineRule="auto"/>
              <w:jc w:val="center"/>
              <w:rPr>
                <w:rFonts w:ascii="inherit" w:eastAsia="Times New Roman" w:hAnsi="inherit" w:cs="Times New Roman"/>
                <w:sz w:val="24"/>
                <w:szCs w:val="24"/>
                <w:lang w:eastAsia="en-GB"/>
              </w:rPr>
            </w:pPr>
            <w:ins w:id="302" w:author="Author">
              <w:r w:rsidRPr="009B264F">
                <w:rPr>
                  <w:rFonts w:ascii="inherit" w:eastAsia="Times New Roman" w:hAnsi="inherit" w:cs="Times New Roman"/>
                  <w:sz w:val="24"/>
                  <w:szCs w:val="24"/>
                  <w:lang w:eastAsia="en-GB"/>
                </w:rPr>
                <w:t>Table 2 is not applicable for storage in pumping mode</w:t>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00"/>
              <w:gridCol w:w="1506"/>
              <w:gridCol w:w="1489"/>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00E08BAC" w:rsidR="003B7AE9" w:rsidRPr="003B7AE9" w:rsidRDefault="003B7AE9" w:rsidP="003B7AE9">
                  <w:pPr>
                    <w:spacing w:before="60" w:after="60" w:line="240" w:lineRule="auto"/>
                    <w:rPr>
                      <w:rFonts w:ascii="inherit" w:eastAsia="Times New Roman" w:hAnsi="inherit" w:cs="Times New Roman"/>
                      <w:lang w:eastAsia="en-GB"/>
                    </w:rPr>
                  </w:pPr>
                  <w:del w:id="303" w:author="Author">
                    <w:r w:rsidRPr="003B7AE9" w:rsidDel="009B264F">
                      <w:rPr>
                        <w:rFonts w:ascii="inherit" w:eastAsia="Times New Roman" w:hAnsi="inherit" w:cs="Times New Roman"/>
                        <w:lang w:eastAsia="en-GB"/>
                      </w:rPr>
                      <w:delText xml:space="preserve">To be specified by each TSO, but not less than </w:delText>
                    </w:r>
                  </w:del>
                  <w:r w:rsidRPr="003B7AE9">
                    <w:rPr>
                      <w:rFonts w:ascii="inherit" w:eastAsia="Times New Roman" w:hAnsi="inherit" w:cs="Times New Roman"/>
                      <w:lang w:eastAsia="en-GB"/>
                    </w:rPr>
                    <w:t>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57C11873" w:rsidR="003B7AE9" w:rsidRPr="003B7AE9" w:rsidRDefault="009B264F" w:rsidP="003B7AE9">
                  <w:pPr>
                    <w:spacing w:before="60" w:after="60" w:line="240" w:lineRule="auto"/>
                    <w:rPr>
                      <w:rFonts w:ascii="inherit" w:eastAsia="Times New Roman" w:hAnsi="inherit" w:cs="Times New Roman"/>
                      <w:lang w:eastAsia="en-GB"/>
                    </w:rPr>
                  </w:pPr>
                  <w:commentRangeStart w:id="304"/>
                  <w:ins w:id="305" w:author="Author">
                    <w:r w:rsidRPr="003B7AE9">
                      <w:rPr>
                        <w:rFonts w:ascii="inherit" w:eastAsia="Times New Roman" w:hAnsi="inherit" w:cs="Times New Roman"/>
                        <w:lang w:eastAsia="en-GB"/>
                      </w:rPr>
                      <w:t>30 minutes</w:t>
                    </w:r>
                  </w:ins>
                  <w:del w:id="306" w:author="Author">
                    <w:r w:rsidR="003B7AE9" w:rsidRPr="003B7AE9" w:rsidDel="009B264F">
                      <w:rPr>
                        <w:rFonts w:ascii="inherit" w:eastAsia="Times New Roman" w:hAnsi="inherit" w:cs="Times New Roman"/>
                        <w:lang w:eastAsia="en-GB"/>
                      </w:rPr>
                      <w:delText>To be specified by each TSO, but not less than the period for 47,5 Hz-48,5 Hz</w:delText>
                    </w:r>
                  </w:del>
                  <w:commentRangeEnd w:id="304"/>
                  <w:r>
                    <w:rPr>
                      <w:rStyle w:val="CommentReference"/>
                    </w:rPr>
                    <w:commentReference w:id="304"/>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w:t>
            </w:r>
            <w:r w:rsidRPr="003B7AE9">
              <w:rPr>
                <w:rFonts w:ascii="inherit" w:eastAsia="Times New Roman" w:hAnsi="inherit" w:cs="Times New Roman"/>
                <w:sz w:val="24"/>
                <w:szCs w:val="24"/>
                <w:lang w:eastAsia="en-GB"/>
              </w:rPr>
              <w:lastRenderedPageBreak/>
              <w:t>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86"/>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0427A7AC" w:rsidR="009B264F"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r w:rsidR="009B264F" w:rsidRPr="003B7AE9" w14:paraId="0E6A3575" w14:textId="77777777" w:rsidTr="00F964C6">
              <w:trPr>
                <w:ins w:id="307" w:author="Author"/>
              </w:trPr>
              <w:tc>
                <w:tcPr>
                  <w:tcW w:w="0" w:type="auto"/>
                  <w:shd w:val="clear" w:color="auto" w:fill="auto"/>
                  <w:hideMark/>
                </w:tcPr>
                <w:p w14:paraId="1A81860E" w14:textId="307EF3BD" w:rsidR="009B264F" w:rsidRPr="003B7AE9" w:rsidRDefault="009B264F" w:rsidP="009B264F">
                  <w:pPr>
                    <w:spacing w:before="120" w:after="0" w:line="240" w:lineRule="auto"/>
                    <w:jc w:val="both"/>
                    <w:rPr>
                      <w:ins w:id="308" w:author="Author"/>
                      <w:rFonts w:ascii="inherit" w:eastAsia="Times New Roman" w:hAnsi="inherit" w:cs="Times New Roman"/>
                      <w:sz w:val="24"/>
                      <w:szCs w:val="24"/>
                      <w:lang w:eastAsia="en-GB"/>
                    </w:rPr>
                  </w:pPr>
                  <w:ins w:id="309" w:author="Author">
                    <w:r w:rsidRPr="003B7AE9">
                      <w:rPr>
                        <w:rFonts w:ascii="inherit" w:eastAsia="Times New Roman" w:hAnsi="inherit" w:cs="Times New Roman"/>
                        <w:sz w:val="24"/>
                        <w:szCs w:val="24"/>
                        <w:lang w:eastAsia="en-GB"/>
                      </w:rPr>
                      <w:t>(i</w:t>
                    </w:r>
                    <w:r>
                      <w:rPr>
                        <w:rFonts w:ascii="inherit" w:eastAsia="Times New Roman" w:hAnsi="inherit" w:cs="Times New Roman"/>
                        <w:sz w:val="24"/>
                        <w:szCs w:val="24"/>
                        <w:lang w:eastAsia="en-GB"/>
                      </w:rPr>
                      <w:t>i</w:t>
                    </w:r>
                    <w:r w:rsidRPr="003B7AE9">
                      <w:rPr>
                        <w:rFonts w:ascii="inherit" w:eastAsia="Times New Roman" w:hAnsi="inherit" w:cs="Times New Roman"/>
                        <w:sz w:val="24"/>
                        <w:szCs w:val="24"/>
                        <w:lang w:eastAsia="en-GB"/>
                      </w:rPr>
                      <w:t>i)</w:t>
                    </w:r>
                  </w:ins>
                </w:p>
              </w:tc>
              <w:tc>
                <w:tcPr>
                  <w:tcW w:w="0" w:type="auto"/>
                  <w:shd w:val="clear" w:color="auto" w:fill="auto"/>
                  <w:hideMark/>
                </w:tcPr>
                <w:p w14:paraId="76008E91" w14:textId="6E8824E9" w:rsidR="009B264F" w:rsidRPr="003B7AE9" w:rsidRDefault="009B264F" w:rsidP="009B264F">
                  <w:pPr>
                    <w:spacing w:before="120" w:after="0" w:line="240" w:lineRule="auto"/>
                    <w:jc w:val="both"/>
                    <w:rPr>
                      <w:ins w:id="310" w:author="Author"/>
                      <w:rFonts w:ascii="inherit" w:eastAsia="Times New Roman" w:hAnsi="inherit" w:cs="Times New Roman"/>
                      <w:sz w:val="24"/>
                      <w:szCs w:val="24"/>
                      <w:lang w:eastAsia="en-GB"/>
                    </w:rPr>
                  </w:pPr>
                  <w:ins w:id="311" w:author="Author">
                    <w:r>
                      <w:rPr>
                        <w:rFonts w:ascii="inherit" w:eastAsia="Times New Roman" w:hAnsi="inherit" w:cs="Times New Roman"/>
                        <w:sz w:val="24"/>
                        <w:szCs w:val="24"/>
                        <w:lang w:eastAsia="en-GB"/>
                      </w:rPr>
                      <w:t xml:space="preserve"> </w:t>
                    </w:r>
                    <w:r w:rsidRPr="009B264F">
                      <w:rPr>
                        <w:rFonts w:ascii="inherit" w:eastAsia="Times New Roman" w:hAnsi="inherit" w:cs="Times New Roman"/>
                        <w:sz w:val="24"/>
                        <w:szCs w:val="24"/>
                        <w:lang w:eastAsia="en-GB"/>
                      </w:rPr>
                      <w:t>in case of electricity storage modules in discharging mode at the beginning the event, these shall be capable of switching to charging mode if needed corresponding to the droop.</w:t>
                    </w:r>
                  </w:ins>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w:t>
            </w:r>
            <w:r w:rsidRPr="003B7AE9">
              <w:rPr>
                <w:rFonts w:ascii="inherit" w:eastAsia="Times New Roman" w:hAnsi="inherit" w:cs="Times New Roman"/>
                <w:sz w:val="24"/>
                <w:szCs w:val="24"/>
                <w:lang w:eastAsia="en-GB"/>
              </w:rPr>
              <w:lastRenderedPageBreak/>
              <w:t>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5CECB162" w:rsidR="003B7AE9" w:rsidRDefault="003B7AE9" w:rsidP="003B7AE9">
      <w:pPr>
        <w:shd w:val="clear" w:color="auto" w:fill="FFFFFF"/>
        <w:spacing w:before="120" w:after="0" w:line="240" w:lineRule="auto"/>
        <w:jc w:val="both"/>
        <w:rPr>
          <w:ins w:id="31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power-generating module shall be equipped with a logic interface (input port) in order to cease active power output within five seconds following an instruction being </w:t>
      </w:r>
      <w:r w:rsidRPr="003B7AE9">
        <w:rPr>
          <w:rFonts w:ascii="inherit" w:eastAsia="Times New Roman" w:hAnsi="inherit" w:cs="Times New Roman"/>
          <w:color w:val="000000"/>
          <w:sz w:val="24"/>
          <w:szCs w:val="24"/>
          <w:lang w:eastAsia="en-GB"/>
        </w:rPr>
        <w:lastRenderedPageBreak/>
        <w:t>received at the input port. The relevant system operator shall have the right to specify requirements for equipment to make this facility operable remotely.</w:t>
      </w:r>
    </w:p>
    <w:p w14:paraId="7F5DD16B" w14:textId="7D58B2F2" w:rsidR="005165C2" w:rsidRDefault="005165C2" w:rsidP="003B7AE9">
      <w:pPr>
        <w:shd w:val="clear" w:color="auto" w:fill="FFFFFF"/>
        <w:spacing w:before="120" w:after="0" w:line="240" w:lineRule="auto"/>
        <w:jc w:val="both"/>
        <w:rPr>
          <w:ins w:id="313" w:author="Author"/>
          <w:rFonts w:ascii="inherit" w:eastAsia="Times New Roman" w:hAnsi="inherit" w:cs="Times New Roman"/>
          <w:color w:val="000000"/>
          <w:sz w:val="24"/>
          <w:szCs w:val="24"/>
          <w:lang w:eastAsia="en-GB"/>
        </w:rPr>
      </w:pPr>
    </w:p>
    <w:p w14:paraId="4ED5DD55" w14:textId="33B1C6E4" w:rsidR="005165C2" w:rsidRDefault="005165C2" w:rsidP="003B7AE9">
      <w:pPr>
        <w:shd w:val="clear" w:color="auto" w:fill="FFFFFF"/>
        <w:spacing w:before="120" w:after="0" w:line="240" w:lineRule="auto"/>
        <w:jc w:val="both"/>
        <w:rPr>
          <w:ins w:id="314" w:author="Author"/>
          <w:rFonts w:ascii="inherit" w:eastAsia="Times New Roman" w:hAnsi="inherit" w:cs="Times New Roman"/>
          <w:color w:val="000000"/>
          <w:sz w:val="24"/>
          <w:szCs w:val="24"/>
          <w:lang w:eastAsia="en-GB"/>
        </w:rPr>
      </w:pPr>
      <w:ins w:id="315" w:author="Author">
        <w:r w:rsidRPr="005165C2">
          <w:rPr>
            <w:rFonts w:ascii="inherit" w:eastAsia="Times New Roman" w:hAnsi="inherit" w:cs="Times New Roman"/>
            <w:color w:val="000000"/>
            <w:sz w:val="24"/>
            <w:szCs w:val="24"/>
            <w:lang w:eastAsia="en-GB"/>
          </w:rPr>
          <w:t>We suggest the inclusion of standardised grid user interfaces, i.e. equipment that should guarantee the proper bilateral communication between the grid and user appliances.  For example there should be a Type A Generator to DSO communication standardisation, since although the network code already establishes the right of the DSO to communicate with type A generators (typically for emergency switch off) more advanced capabilities require a digital communication to take full advantage of the data and control capabilities supported by modern inverters. It is our opinion that this topic should be addressed in a RfG revision. Communication standard could be proposed by EU DSO Entity and approved by ACER.</w:t>
        </w:r>
      </w:ins>
    </w:p>
    <w:p w14:paraId="3994F258" w14:textId="77777777" w:rsidR="005165C2" w:rsidRPr="003B7AE9" w:rsidRDefault="005165C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2A773219" w:rsidR="003B7AE9" w:rsidRDefault="003B7AE9" w:rsidP="003B7AE9">
      <w:pPr>
        <w:shd w:val="clear" w:color="auto" w:fill="FFFFFF"/>
        <w:spacing w:before="120" w:after="0" w:line="240" w:lineRule="auto"/>
        <w:jc w:val="both"/>
        <w:rPr>
          <w:ins w:id="316"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39C9AFF7" w14:textId="04683907" w:rsidR="001135C1" w:rsidRDefault="001135C1" w:rsidP="003B7AE9">
      <w:pPr>
        <w:shd w:val="clear" w:color="auto" w:fill="FFFFFF"/>
        <w:spacing w:before="120" w:after="0" w:line="240" w:lineRule="auto"/>
        <w:jc w:val="both"/>
        <w:rPr>
          <w:ins w:id="317" w:author="Author"/>
          <w:rFonts w:ascii="inherit" w:eastAsia="Times New Roman" w:hAnsi="inherit" w:cs="Times New Roman"/>
          <w:color w:val="000000"/>
          <w:sz w:val="24"/>
          <w:szCs w:val="24"/>
          <w:lang w:eastAsia="en-GB"/>
        </w:rPr>
      </w:pPr>
    </w:p>
    <w:p w14:paraId="2D607266" w14:textId="6913E7F3" w:rsidR="001135C1" w:rsidRDefault="001135C1" w:rsidP="003B7AE9">
      <w:pPr>
        <w:shd w:val="clear" w:color="auto" w:fill="FFFFFF"/>
        <w:spacing w:before="120" w:after="0" w:line="240" w:lineRule="auto"/>
        <w:jc w:val="both"/>
        <w:rPr>
          <w:ins w:id="318" w:author="Author"/>
          <w:rFonts w:ascii="inherit" w:eastAsia="Times New Roman" w:hAnsi="inherit" w:cs="Times New Roman"/>
          <w:color w:val="000000"/>
          <w:sz w:val="24"/>
          <w:szCs w:val="24"/>
          <w:lang w:eastAsia="en-GB"/>
        </w:rPr>
      </w:pPr>
      <w:commentRangeStart w:id="319"/>
      <w:ins w:id="320" w:author="Author">
        <w:r w:rsidRPr="001135C1">
          <w:rPr>
            <w:rFonts w:ascii="inherit" w:eastAsia="Times New Roman" w:hAnsi="inherit" w:cs="Times New Roman"/>
            <w:color w:val="000000"/>
            <w:sz w:val="24"/>
            <w:szCs w:val="24"/>
            <w:lang w:eastAsia="en-GB"/>
          </w:rPr>
          <w:t>The power factor of the energy supplied to the distribution company's network must be as close as possible to unity and, in any case, greater than 0.98 when the installation operates at powers greater than 25 per cent of its nominal power.</w:t>
        </w:r>
        <w:commentRangeEnd w:id="319"/>
        <w:r>
          <w:rPr>
            <w:rStyle w:val="CommentReference"/>
          </w:rPr>
          <w:commentReference w:id="319"/>
        </w:r>
      </w:ins>
    </w:p>
    <w:p w14:paraId="3BB655A1" w14:textId="043235AF" w:rsidR="009B264F" w:rsidRDefault="009B264F" w:rsidP="003B7AE9">
      <w:pPr>
        <w:shd w:val="clear" w:color="auto" w:fill="FFFFFF"/>
        <w:spacing w:before="120" w:after="0" w:line="240" w:lineRule="auto"/>
        <w:jc w:val="both"/>
        <w:rPr>
          <w:ins w:id="321" w:author="Author"/>
          <w:rFonts w:ascii="inherit" w:eastAsia="Times New Roman" w:hAnsi="inherit" w:cs="Times New Roman"/>
          <w:color w:val="000000"/>
          <w:sz w:val="24"/>
          <w:szCs w:val="24"/>
          <w:lang w:eastAsia="en-GB"/>
        </w:rPr>
      </w:pPr>
    </w:p>
    <w:p w14:paraId="15423C24" w14:textId="716D1034" w:rsidR="009B264F" w:rsidRDefault="009B264F" w:rsidP="003B7AE9">
      <w:pPr>
        <w:shd w:val="clear" w:color="auto" w:fill="FFFFFF"/>
        <w:spacing w:before="120" w:after="0" w:line="240" w:lineRule="auto"/>
        <w:jc w:val="both"/>
        <w:rPr>
          <w:ins w:id="322" w:author="Author"/>
          <w:rFonts w:ascii="inherit" w:eastAsia="Times New Roman" w:hAnsi="inherit" w:cs="Times New Roman"/>
          <w:color w:val="000000"/>
          <w:sz w:val="24"/>
          <w:szCs w:val="24"/>
          <w:lang w:eastAsia="en-GB"/>
        </w:rPr>
      </w:pPr>
    </w:p>
    <w:p w14:paraId="6CE09901" w14:textId="3583B363" w:rsidR="009B264F" w:rsidRPr="009B264F" w:rsidRDefault="009B264F" w:rsidP="009B264F">
      <w:pPr>
        <w:shd w:val="clear" w:color="auto" w:fill="FFFFFF"/>
        <w:spacing w:before="120" w:after="0" w:line="240" w:lineRule="auto"/>
        <w:jc w:val="both"/>
        <w:rPr>
          <w:ins w:id="323" w:author="Author"/>
          <w:rFonts w:ascii="inherit" w:eastAsia="Times New Roman" w:hAnsi="inherit" w:cs="Times New Roman"/>
          <w:color w:val="000000"/>
          <w:sz w:val="24"/>
          <w:szCs w:val="24"/>
          <w:lang w:eastAsia="en-GB"/>
        </w:rPr>
      </w:pPr>
      <w:ins w:id="324" w:author="Author">
        <w:r w:rsidRPr="009B264F">
          <w:rPr>
            <w:rFonts w:ascii="inherit" w:eastAsia="Times New Roman" w:hAnsi="inherit" w:cs="Times New Roman"/>
            <w:color w:val="000000"/>
            <w:sz w:val="24"/>
            <w:szCs w:val="24"/>
            <w:lang w:eastAsia="en-GB"/>
          </w:rPr>
          <w:t>A review of the requirements for type A PGMs is in any case required. In this regard, it is necessary to determine which requirements applicable to type B PGMs may also be necessary for type A PGMs in terms of system security. The following candidate requirements were identified by the Expert Group “Baseline for Type A PGMs” 24:</w:t>
        </w:r>
      </w:ins>
    </w:p>
    <w:p w14:paraId="7F5AB0FF" w14:textId="77777777" w:rsidR="009B264F" w:rsidRPr="009B264F" w:rsidRDefault="009B264F" w:rsidP="009B264F">
      <w:pPr>
        <w:shd w:val="clear" w:color="auto" w:fill="FFFFFF"/>
        <w:spacing w:before="120" w:after="0" w:line="240" w:lineRule="auto"/>
        <w:jc w:val="both"/>
        <w:rPr>
          <w:ins w:id="325" w:author="Author"/>
          <w:rFonts w:ascii="inherit" w:eastAsia="Times New Roman" w:hAnsi="inherit" w:cs="Times New Roman"/>
          <w:color w:val="000000"/>
          <w:sz w:val="24"/>
          <w:szCs w:val="24"/>
          <w:lang w:eastAsia="en-GB"/>
        </w:rPr>
      </w:pPr>
      <w:ins w:id="326" w:author="Author">
        <w:r w:rsidRPr="009B264F">
          <w:rPr>
            <w:rFonts w:ascii="inherit" w:eastAsia="Times New Roman" w:hAnsi="inherit" w:cs="Times New Roman"/>
            <w:color w:val="000000"/>
            <w:sz w:val="24"/>
            <w:szCs w:val="24"/>
            <w:lang w:eastAsia="en-GB"/>
          </w:rPr>
          <w:t>a) Fault Ride Through (FRT),</w:t>
        </w:r>
      </w:ins>
    </w:p>
    <w:p w14:paraId="55452DBB" w14:textId="77777777" w:rsidR="009B264F" w:rsidRPr="009B264F" w:rsidRDefault="009B264F" w:rsidP="009B264F">
      <w:pPr>
        <w:shd w:val="clear" w:color="auto" w:fill="FFFFFF"/>
        <w:spacing w:before="120" w:after="0" w:line="240" w:lineRule="auto"/>
        <w:jc w:val="both"/>
        <w:rPr>
          <w:ins w:id="327" w:author="Author"/>
          <w:rFonts w:ascii="inherit" w:eastAsia="Times New Roman" w:hAnsi="inherit" w:cs="Times New Roman"/>
          <w:color w:val="000000"/>
          <w:sz w:val="24"/>
          <w:szCs w:val="24"/>
          <w:lang w:eastAsia="en-GB"/>
        </w:rPr>
      </w:pPr>
      <w:ins w:id="328" w:author="Author">
        <w:r w:rsidRPr="009B264F">
          <w:rPr>
            <w:rFonts w:ascii="inherit" w:eastAsia="Times New Roman" w:hAnsi="inherit" w:cs="Times New Roman"/>
            <w:color w:val="000000"/>
            <w:sz w:val="24"/>
            <w:szCs w:val="24"/>
            <w:lang w:eastAsia="en-GB"/>
          </w:rPr>
          <w:t xml:space="preserve">b) Post Fault Active Power Recovery (PFAPR), and </w:t>
        </w:r>
      </w:ins>
    </w:p>
    <w:p w14:paraId="2586B47F" w14:textId="59CC8B5A" w:rsidR="009B264F" w:rsidRDefault="009B264F" w:rsidP="009B264F">
      <w:pPr>
        <w:shd w:val="clear" w:color="auto" w:fill="FFFFFF"/>
        <w:spacing w:before="120" w:after="0" w:line="240" w:lineRule="auto"/>
        <w:jc w:val="both"/>
        <w:rPr>
          <w:ins w:id="329" w:author="Author"/>
          <w:rFonts w:ascii="inherit" w:eastAsia="Times New Roman" w:hAnsi="inherit" w:cs="Times New Roman"/>
          <w:color w:val="000000"/>
          <w:sz w:val="24"/>
          <w:szCs w:val="24"/>
          <w:lang w:eastAsia="en-GB"/>
        </w:rPr>
      </w:pPr>
      <w:ins w:id="330" w:author="Author">
        <w:r w:rsidRPr="009B264F">
          <w:rPr>
            <w:rFonts w:ascii="inherit" w:eastAsia="Times New Roman" w:hAnsi="inherit" w:cs="Times New Roman"/>
            <w:color w:val="000000"/>
            <w:sz w:val="24"/>
            <w:szCs w:val="24"/>
            <w:lang w:eastAsia="en-GB"/>
          </w:rPr>
          <w:t>c) Active Power Control (APC).</w:t>
        </w:r>
      </w:ins>
    </w:p>
    <w:p w14:paraId="170AE3A0" w14:textId="77777777" w:rsidR="009B264F" w:rsidRPr="009B264F" w:rsidRDefault="009B264F" w:rsidP="009B264F">
      <w:pPr>
        <w:shd w:val="clear" w:color="auto" w:fill="FFFFFF"/>
        <w:spacing w:before="120" w:after="0" w:line="240" w:lineRule="auto"/>
        <w:jc w:val="both"/>
        <w:rPr>
          <w:ins w:id="331" w:author="Author"/>
          <w:rFonts w:ascii="inherit" w:eastAsia="Times New Roman" w:hAnsi="inherit" w:cs="Times New Roman"/>
          <w:color w:val="000000"/>
          <w:sz w:val="24"/>
          <w:szCs w:val="24"/>
          <w:lang w:eastAsia="en-GB"/>
        </w:rPr>
      </w:pPr>
    </w:p>
    <w:p w14:paraId="63E33B60" w14:textId="1C710BEC" w:rsidR="009B264F" w:rsidRDefault="009B264F" w:rsidP="009B264F">
      <w:pPr>
        <w:shd w:val="clear" w:color="auto" w:fill="FFFFFF"/>
        <w:spacing w:before="120" w:after="0" w:line="240" w:lineRule="auto"/>
        <w:jc w:val="both"/>
        <w:rPr>
          <w:ins w:id="332" w:author="Author"/>
          <w:rFonts w:ascii="inherit" w:eastAsia="Times New Roman" w:hAnsi="inherit" w:cs="Times New Roman"/>
          <w:color w:val="000000"/>
          <w:sz w:val="24"/>
          <w:szCs w:val="24"/>
          <w:lang w:eastAsia="en-GB"/>
        </w:rPr>
      </w:pPr>
      <w:ins w:id="333" w:author="Author">
        <w:r w:rsidRPr="009B264F">
          <w:rPr>
            <w:rFonts w:ascii="inherit" w:eastAsia="Times New Roman" w:hAnsi="inherit" w:cs="Times New Roman"/>
            <w:color w:val="000000"/>
            <w:sz w:val="24"/>
            <w:szCs w:val="24"/>
            <w:lang w:eastAsia="en-GB"/>
          </w:rPr>
          <w:t>The review of the requirements for type A PGMs, namely for power between [250kW; 1MW[ or connected with MV grid, should also consider:</w:t>
        </w:r>
      </w:ins>
    </w:p>
    <w:p w14:paraId="37E31036" w14:textId="77777777" w:rsidR="009B264F" w:rsidRPr="009B264F" w:rsidRDefault="009B264F" w:rsidP="009B264F">
      <w:pPr>
        <w:shd w:val="clear" w:color="auto" w:fill="FFFFFF"/>
        <w:spacing w:before="120" w:after="0" w:line="240" w:lineRule="auto"/>
        <w:jc w:val="both"/>
        <w:rPr>
          <w:ins w:id="334" w:author="Author"/>
          <w:rFonts w:ascii="inherit" w:eastAsia="Times New Roman" w:hAnsi="inherit" w:cs="Times New Roman"/>
          <w:color w:val="000000"/>
          <w:sz w:val="24"/>
          <w:szCs w:val="24"/>
          <w:lang w:eastAsia="en-GB"/>
        </w:rPr>
      </w:pPr>
    </w:p>
    <w:p w14:paraId="1F69B0D0" w14:textId="77777777" w:rsidR="009B264F" w:rsidRPr="0046266C" w:rsidRDefault="009B264F" w:rsidP="009B264F">
      <w:pPr>
        <w:shd w:val="clear" w:color="auto" w:fill="FFFFFF"/>
        <w:spacing w:before="120" w:after="0" w:line="240" w:lineRule="auto"/>
        <w:jc w:val="both"/>
        <w:rPr>
          <w:ins w:id="335" w:author="Author"/>
          <w:rFonts w:ascii="inherit" w:eastAsia="Times New Roman" w:hAnsi="inherit" w:cs="Times New Roman"/>
          <w:color w:val="000000"/>
          <w:sz w:val="24"/>
          <w:szCs w:val="24"/>
          <w:u w:val="single"/>
          <w:lang w:eastAsia="en-GB"/>
          <w:rPrChange w:id="336" w:author="Author">
            <w:rPr>
              <w:ins w:id="337" w:author="Author"/>
              <w:rFonts w:ascii="inherit" w:eastAsia="Times New Roman" w:hAnsi="inherit" w:cs="Times New Roman"/>
              <w:color w:val="000000"/>
              <w:sz w:val="24"/>
              <w:szCs w:val="24"/>
              <w:lang w:eastAsia="en-GB"/>
            </w:rPr>
          </w:rPrChange>
        </w:rPr>
      </w:pPr>
      <w:ins w:id="338" w:author="Author">
        <w:r w:rsidRPr="0046266C">
          <w:rPr>
            <w:rFonts w:ascii="inherit" w:eastAsia="Times New Roman" w:hAnsi="inherit" w:cs="Times New Roman"/>
            <w:color w:val="000000"/>
            <w:sz w:val="24"/>
            <w:szCs w:val="24"/>
            <w:u w:val="single"/>
            <w:lang w:eastAsia="en-GB"/>
            <w:rPrChange w:id="339" w:author="Author">
              <w:rPr>
                <w:rFonts w:ascii="inherit" w:eastAsia="Times New Roman" w:hAnsi="inherit" w:cs="Times New Roman"/>
                <w:color w:val="000000"/>
                <w:sz w:val="24"/>
                <w:szCs w:val="24"/>
                <w:lang w:eastAsia="en-GB"/>
              </w:rPr>
            </w:rPrChange>
          </w:rPr>
          <w:t>Measures:</w:t>
        </w:r>
      </w:ins>
    </w:p>
    <w:p w14:paraId="34B0D45C" w14:textId="77777777" w:rsidR="009B264F" w:rsidRPr="009B264F" w:rsidRDefault="009B264F" w:rsidP="009B264F">
      <w:pPr>
        <w:shd w:val="clear" w:color="auto" w:fill="FFFFFF"/>
        <w:spacing w:before="120" w:after="0" w:line="240" w:lineRule="auto"/>
        <w:jc w:val="both"/>
        <w:rPr>
          <w:ins w:id="340" w:author="Author"/>
          <w:rFonts w:ascii="inherit" w:eastAsia="Times New Roman" w:hAnsi="inherit" w:cs="Times New Roman"/>
          <w:color w:val="000000"/>
          <w:sz w:val="24"/>
          <w:szCs w:val="24"/>
          <w:lang w:eastAsia="en-GB"/>
        </w:rPr>
      </w:pPr>
      <w:ins w:id="341" w:author="Author">
        <w:r w:rsidRPr="009B264F">
          <w:rPr>
            <w:rFonts w:ascii="inherit" w:eastAsia="Times New Roman" w:hAnsi="inherit" w:cs="Times New Roman"/>
            <w:color w:val="000000"/>
            <w:sz w:val="24"/>
            <w:szCs w:val="24"/>
            <w:lang w:eastAsia="en-GB"/>
          </w:rPr>
          <w:t>MV/LV Voltage (kV)</w:t>
        </w:r>
      </w:ins>
    </w:p>
    <w:p w14:paraId="7ECF9B1E" w14:textId="77777777" w:rsidR="009B264F" w:rsidRPr="009B264F" w:rsidRDefault="009B264F" w:rsidP="009B264F">
      <w:pPr>
        <w:shd w:val="clear" w:color="auto" w:fill="FFFFFF"/>
        <w:spacing w:before="120" w:after="0" w:line="240" w:lineRule="auto"/>
        <w:jc w:val="both"/>
        <w:rPr>
          <w:ins w:id="342" w:author="Author"/>
          <w:rFonts w:ascii="inherit" w:eastAsia="Times New Roman" w:hAnsi="inherit" w:cs="Times New Roman"/>
          <w:color w:val="000000"/>
          <w:sz w:val="24"/>
          <w:szCs w:val="24"/>
          <w:lang w:eastAsia="en-GB"/>
        </w:rPr>
      </w:pPr>
      <w:ins w:id="343" w:author="Author">
        <w:r w:rsidRPr="009B264F">
          <w:rPr>
            <w:rFonts w:ascii="inherit" w:eastAsia="Times New Roman" w:hAnsi="inherit" w:cs="Times New Roman"/>
            <w:color w:val="000000"/>
            <w:sz w:val="24"/>
            <w:szCs w:val="24"/>
            <w:lang w:eastAsia="en-GB"/>
          </w:rPr>
          <w:lastRenderedPageBreak/>
          <w:t>MV/LV Current  (A)</w:t>
        </w:r>
      </w:ins>
    </w:p>
    <w:p w14:paraId="7D7EDBF6" w14:textId="77777777" w:rsidR="009B264F" w:rsidRPr="009B264F" w:rsidRDefault="009B264F" w:rsidP="009B264F">
      <w:pPr>
        <w:shd w:val="clear" w:color="auto" w:fill="FFFFFF"/>
        <w:spacing w:before="120" w:after="0" w:line="240" w:lineRule="auto"/>
        <w:jc w:val="both"/>
        <w:rPr>
          <w:ins w:id="344" w:author="Author"/>
          <w:rFonts w:ascii="inherit" w:eastAsia="Times New Roman" w:hAnsi="inherit" w:cs="Times New Roman"/>
          <w:color w:val="000000"/>
          <w:sz w:val="24"/>
          <w:szCs w:val="24"/>
          <w:lang w:eastAsia="en-GB"/>
        </w:rPr>
      </w:pPr>
      <w:ins w:id="345" w:author="Author">
        <w:r w:rsidRPr="009B264F">
          <w:rPr>
            <w:rFonts w:ascii="inherit" w:eastAsia="Times New Roman" w:hAnsi="inherit" w:cs="Times New Roman"/>
            <w:color w:val="000000"/>
            <w:sz w:val="24"/>
            <w:szCs w:val="24"/>
            <w:lang w:eastAsia="en-GB"/>
          </w:rPr>
          <w:t>Active Power (MW)</w:t>
        </w:r>
      </w:ins>
    </w:p>
    <w:p w14:paraId="06C95532" w14:textId="77777777" w:rsidR="009B264F" w:rsidRPr="009B264F" w:rsidRDefault="009B264F" w:rsidP="009B264F">
      <w:pPr>
        <w:shd w:val="clear" w:color="auto" w:fill="FFFFFF"/>
        <w:spacing w:before="120" w:after="0" w:line="240" w:lineRule="auto"/>
        <w:jc w:val="both"/>
        <w:rPr>
          <w:ins w:id="346" w:author="Author"/>
          <w:rFonts w:ascii="inherit" w:eastAsia="Times New Roman" w:hAnsi="inherit" w:cs="Times New Roman"/>
          <w:color w:val="000000"/>
          <w:sz w:val="24"/>
          <w:szCs w:val="24"/>
          <w:lang w:eastAsia="en-GB"/>
        </w:rPr>
      </w:pPr>
      <w:ins w:id="347" w:author="Author">
        <w:r w:rsidRPr="009B264F">
          <w:rPr>
            <w:rFonts w:ascii="inherit" w:eastAsia="Times New Roman" w:hAnsi="inherit" w:cs="Times New Roman"/>
            <w:color w:val="000000"/>
            <w:sz w:val="24"/>
            <w:szCs w:val="24"/>
            <w:lang w:eastAsia="en-GB"/>
          </w:rPr>
          <w:t>Reactive Power (MVAr)</w:t>
        </w:r>
      </w:ins>
    </w:p>
    <w:p w14:paraId="74D61722" w14:textId="77777777" w:rsidR="009B264F" w:rsidRPr="009B264F" w:rsidRDefault="009B264F" w:rsidP="009B264F">
      <w:pPr>
        <w:shd w:val="clear" w:color="auto" w:fill="FFFFFF"/>
        <w:spacing w:before="120" w:after="0" w:line="240" w:lineRule="auto"/>
        <w:jc w:val="both"/>
        <w:rPr>
          <w:ins w:id="348" w:author="Author"/>
          <w:rFonts w:ascii="inherit" w:eastAsia="Times New Roman" w:hAnsi="inherit" w:cs="Times New Roman"/>
          <w:color w:val="000000"/>
          <w:sz w:val="24"/>
          <w:szCs w:val="24"/>
          <w:lang w:eastAsia="en-GB"/>
        </w:rPr>
      </w:pPr>
      <w:ins w:id="349" w:author="Author">
        <w:r w:rsidRPr="009B264F">
          <w:rPr>
            <w:rFonts w:ascii="inherit" w:eastAsia="Times New Roman" w:hAnsi="inherit" w:cs="Times New Roman"/>
            <w:color w:val="000000"/>
            <w:sz w:val="24"/>
            <w:szCs w:val="24"/>
            <w:lang w:eastAsia="en-GB"/>
          </w:rPr>
          <w:t>Frequency (Hz)</w:t>
        </w:r>
      </w:ins>
    </w:p>
    <w:p w14:paraId="5442677D" w14:textId="77777777" w:rsidR="009B264F" w:rsidRPr="009B264F" w:rsidRDefault="009B264F" w:rsidP="009B264F">
      <w:pPr>
        <w:shd w:val="clear" w:color="auto" w:fill="FFFFFF"/>
        <w:spacing w:before="120" w:after="0" w:line="240" w:lineRule="auto"/>
        <w:jc w:val="both"/>
        <w:rPr>
          <w:ins w:id="350" w:author="Author"/>
          <w:rFonts w:ascii="inherit" w:eastAsia="Times New Roman" w:hAnsi="inherit" w:cs="Times New Roman"/>
          <w:color w:val="000000"/>
          <w:sz w:val="24"/>
          <w:szCs w:val="24"/>
          <w:lang w:eastAsia="en-GB"/>
        </w:rPr>
      </w:pPr>
      <w:ins w:id="351" w:author="Author">
        <w:r w:rsidRPr="009B264F">
          <w:rPr>
            <w:rFonts w:ascii="inherit" w:eastAsia="Times New Roman" w:hAnsi="inherit" w:cs="Times New Roman"/>
            <w:color w:val="000000"/>
            <w:sz w:val="24"/>
            <w:szCs w:val="24"/>
            <w:lang w:eastAsia="en-GB"/>
          </w:rPr>
          <w:t xml:space="preserve">Command acknowledge </w:t>
        </w:r>
      </w:ins>
    </w:p>
    <w:p w14:paraId="1289153B" w14:textId="77777777" w:rsidR="009B264F" w:rsidRPr="009B264F" w:rsidRDefault="009B264F" w:rsidP="009B264F">
      <w:pPr>
        <w:shd w:val="clear" w:color="auto" w:fill="FFFFFF"/>
        <w:spacing w:before="120" w:after="0" w:line="240" w:lineRule="auto"/>
        <w:jc w:val="both"/>
        <w:rPr>
          <w:ins w:id="352" w:author="Author"/>
          <w:rFonts w:ascii="inherit" w:eastAsia="Times New Roman" w:hAnsi="inherit" w:cs="Times New Roman"/>
          <w:color w:val="000000"/>
          <w:sz w:val="24"/>
          <w:szCs w:val="24"/>
          <w:lang w:eastAsia="en-GB"/>
        </w:rPr>
      </w:pPr>
      <w:ins w:id="353" w:author="Author">
        <w:r w:rsidRPr="009B264F">
          <w:rPr>
            <w:rFonts w:ascii="inherit" w:eastAsia="Times New Roman" w:hAnsi="inherit" w:cs="Times New Roman"/>
            <w:color w:val="000000"/>
            <w:sz w:val="24"/>
            <w:szCs w:val="24"/>
            <w:lang w:eastAsia="en-GB"/>
          </w:rPr>
          <w:t>Injection Power Limit Acknowledge - “Plim active ack.”</w:t>
        </w:r>
      </w:ins>
    </w:p>
    <w:p w14:paraId="300044B6" w14:textId="77777777" w:rsidR="009B264F" w:rsidRPr="009B264F" w:rsidRDefault="009B264F" w:rsidP="009B264F">
      <w:pPr>
        <w:shd w:val="clear" w:color="auto" w:fill="FFFFFF"/>
        <w:spacing w:before="120" w:after="0" w:line="240" w:lineRule="auto"/>
        <w:jc w:val="both"/>
        <w:rPr>
          <w:ins w:id="354" w:author="Author"/>
          <w:rFonts w:ascii="inherit" w:eastAsia="Times New Roman" w:hAnsi="inherit" w:cs="Times New Roman"/>
          <w:color w:val="000000"/>
          <w:sz w:val="24"/>
          <w:szCs w:val="24"/>
          <w:lang w:eastAsia="en-GB"/>
        </w:rPr>
      </w:pPr>
    </w:p>
    <w:p w14:paraId="1558D083" w14:textId="77777777" w:rsidR="009B264F" w:rsidRPr="009B264F" w:rsidRDefault="009B264F" w:rsidP="009B264F">
      <w:pPr>
        <w:shd w:val="clear" w:color="auto" w:fill="FFFFFF"/>
        <w:spacing w:before="120" w:after="0" w:line="240" w:lineRule="auto"/>
        <w:jc w:val="both"/>
        <w:rPr>
          <w:ins w:id="355" w:author="Author"/>
          <w:rFonts w:ascii="inherit" w:eastAsia="Times New Roman" w:hAnsi="inherit" w:cs="Times New Roman"/>
          <w:color w:val="000000"/>
          <w:sz w:val="24"/>
          <w:szCs w:val="24"/>
          <w:lang w:eastAsia="en-GB"/>
        </w:rPr>
      </w:pPr>
      <w:ins w:id="356" w:author="Author">
        <w:r w:rsidRPr="009B264F">
          <w:rPr>
            <w:rFonts w:ascii="inherit" w:eastAsia="Times New Roman" w:hAnsi="inherit" w:cs="Times New Roman"/>
            <w:color w:val="000000"/>
            <w:sz w:val="24"/>
            <w:szCs w:val="24"/>
            <w:lang w:eastAsia="en-GB"/>
          </w:rPr>
          <w:t>Binary Inputs:</w:t>
        </w:r>
      </w:ins>
    </w:p>
    <w:p w14:paraId="0B43F5A1" w14:textId="77777777" w:rsidR="009B264F" w:rsidRPr="009B264F" w:rsidRDefault="009B264F" w:rsidP="009B264F">
      <w:pPr>
        <w:shd w:val="clear" w:color="auto" w:fill="FFFFFF"/>
        <w:spacing w:before="120" w:after="0" w:line="240" w:lineRule="auto"/>
        <w:jc w:val="both"/>
        <w:rPr>
          <w:ins w:id="357" w:author="Author"/>
          <w:rFonts w:ascii="inherit" w:eastAsia="Times New Roman" w:hAnsi="inherit" w:cs="Times New Roman"/>
          <w:color w:val="000000"/>
          <w:sz w:val="24"/>
          <w:szCs w:val="24"/>
          <w:lang w:eastAsia="en-GB"/>
        </w:rPr>
      </w:pPr>
      <w:ins w:id="358" w:author="Author">
        <w:r w:rsidRPr="009B264F">
          <w:rPr>
            <w:rFonts w:ascii="inherit" w:eastAsia="Times New Roman" w:hAnsi="inherit" w:cs="Times New Roman"/>
            <w:color w:val="000000"/>
            <w:sz w:val="24"/>
            <w:szCs w:val="24"/>
            <w:lang w:eastAsia="en-GB"/>
          </w:rPr>
          <w:t>Circuit breaker state</w:t>
        </w:r>
      </w:ins>
    </w:p>
    <w:p w14:paraId="4932D244" w14:textId="77777777" w:rsidR="009B264F" w:rsidRPr="009B264F" w:rsidRDefault="009B264F" w:rsidP="009B264F">
      <w:pPr>
        <w:shd w:val="clear" w:color="auto" w:fill="FFFFFF"/>
        <w:spacing w:before="120" w:after="0" w:line="240" w:lineRule="auto"/>
        <w:jc w:val="both"/>
        <w:rPr>
          <w:ins w:id="359" w:author="Author"/>
          <w:rFonts w:ascii="inherit" w:eastAsia="Times New Roman" w:hAnsi="inherit" w:cs="Times New Roman"/>
          <w:color w:val="000000"/>
          <w:sz w:val="24"/>
          <w:szCs w:val="24"/>
          <w:lang w:eastAsia="en-GB"/>
        </w:rPr>
      </w:pPr>
      <w:ins w:id="360" w:author="Author">
        <w:r w:rsidRPr="009B264F">
          <w:rPr>
            <w:rFonts w:ascii="inherit" w:eastAsia="Times New Roman" w:hAnsi="inherit" w:cs="Times New Roman"/>
            <w:color w:val="000000"/>
            <w:sz w:val="24"/>
            <w:szCs w:val="24"/>
            <w:lang w:eastAsia="en-GB"/>
          </w:rPr>
          <w:t>Protection start (aggregated)</w:t>
        </w:r>
      </w:ins>
    </w:p>
    <w:p w14:paraId="3DB95E0F" w14:textId="77777777" w:rsidR="009B264F" w:rsidRPr="009B264F" w:rsidRDefault="009B264F" w:rsidP="009B264F">
      <w:pPr>
        <w:shd w:val="clear" w:color="auto" w:fill="FFFFFF"/>
        <w:spacing w:before="120" w:after="0" w:line="240" w:lineRule="auto"/>
        <w:jc w:val="both"/>
        <w:rPr>
          <w:ins w:id="361" w:author="Author"/>
          <w:rFonts w:ascii="inherit" w:eastAsia="Times New Roman" w:hAnsi="inherit" w:cs="Times New Roman"/>
          <w:color w:val="000000"/>
          <w:sz w:val="24"/>
          <w:szCs w:val="24"/>
          <w:lang w:eastAsia="en-GB"/>
        </w:rPr>
      </w:pPr>
      <w:ins w:id="362" w:author="Author">
        <w:r w:rsidRPr="009B264F">
          <w:rPr>
            <w:rFonts w:ascii="inherit" w:eastAsia="Times New Roman" w:hAnsi="inherit" w:cs="Times New Roman"/>
            <w:color w:val="000000"/>
            <w:sz w:val="24"/>
            <w:szCs w:val="24"/>
            <w:lang w:eastAsia="en-GB"/>
          </w:rPr>
          <w:t>Protection trip (aggregated)</w:t>
        </w:r>
      </w:ins>
    </w:p>
    <w:p w14:paraId="1F661521" w14:textId="06F5419E" w:rsidR="009B264F" w:rsidRDefault="009B264F" w:rsidP="009B264F">
      <w:pPr>
        <w:shd w:val="clear" w:color="auto" w:fill="FFFFFF"/>
        <w:spacing w:before="120" w:after="0" w:line="240" w:lineRule="auto"/>
        <w:jc w:val="both"/>
        <w:rPr>
          <w:ins w:id="363" w:author="Author"/>
          <w:rFonts w:ascii="inherit" w:eastAsia="Times New Roman" w:hAnsi="inherit" w:cs="Times New Roman"/>
          <w:color w:val="000000"/>
          <w:sz w:val="24"/>
          <w:szCs w:val="24"/>
          <w:lang w:eastAsia="en-GB"/>
        </w:rPr>
      </w:pPr>
      <w:ins w:id="364" w:author="Author">
        <w:r w:rsidRPr="009B264F">
          <w:rPr>
            <w:rFonts w:ascii="inherit" w:eastAsia="Times New Roman" w:hAnsi="inherit" w:cs="Times New Roman"/>
            <w:color w:val="000000"/>
            <w:sz w:val="24"/>
            <w:szCs w:val="24"/>
            <w:lang w:eastAsia="en-GB"/>
          </w:rPr>
          <w:t>Communication failure</w:t>
        </w:r>
      </w:ins>
    </w:p>
    <w:p w14:paraId="09E30E49" w14:textId="77777777" w:rsidR="009B264F" w:rsidRPr="009B264F" w:rsidRDefault="009B264F" w:rsidP="009B264F">
      <w:pPr>
        <w:shd w:val="clear" w:color="auto" w:fill="FFFFFF"/>
        <w:spacing w:before="120" w:after="0" w:line="240" w:lineRule="auto"/>
        <w:jc w:val="both"/>
        <w:rPr>
          <w:ins w:id="365" w:author="Author"/>
          <w:rFonts w:ascii="inherit" w:eastAsia="Times New Roman" w:hAnsi="inherit" w:cs="Times New Roman"/>
          <w:color w:val="000000"/>
          <w:sz w:val="24"/>
          <w:szCs w:val="24"/>
          <w:lang w:eastAsia="en-GB"/>
        </w:rPr>
      </w:pPr>
    </w:p>
    <w:p w14:paraId="2A454411" w14:textId="77777777" w:rsidR="009B264F" w:rsidRPr="0046266C" w:rsidRDefault="009B264F" w:rsidP="009B264F">
      <w:pPr>
        <w:shd w:val="clear" w:color="auto" w:fill="FFFFFF"/>
        <w:spacing w:before="120" w:after="0" w:line="240" w:lineRule="auto"/>
        <w:jc w:val="both"/>
        <w:rPr>
          <w:ins w:id="366" w:author="Author"/>
          <w:rFonts w:ascii="inherit" w:eastAsia="Times New Roman" w:hAnsi="inherit" w:cs="Times New Roman"/>
          <w:color w:val="000000"/>
          <w:sz w:val="24"/>
          <w:szCs w:val="24"/>
          <w:u w:val="single"/>
          <w:lang w:eastAsia="en-GB"/>
          <w:rPrChange w:id="367" w:author="Author">
            <w:rPr>
              <w:ins w:id="368" w:author="Author"/>
              <w:rFonts w:ascii="inherit" w:eastAsia="Times New Roman" w:hAnsi="inherit" w:cs="Times New Roman"/>
              <w:color w:val="000000"/>
              <w:sz w:val="24"/>
              <w:szCs w:val="24"/>
              <w:lang w:eastAsia="en-GB"/>
            </w:rPr>
          </w:rPrChange>
        </w:rPr>
      </w:pPr>
      <w:ins w:id="369" w:author="Author">
        <w:r w:rsidRPr="0046266C">
          <w:rPr>
            <w:rFonts w:ascii="inherit" w:eastAsia="Times New Roman" w:hAnsi="inherit" w:cs="Times New Roman"/>
            <w:color w:val="000000"/>
            <w:sz w:val="24"/>
            <w:szCs w:val="24"/>
            <w:u w:val="single"/>
            <w:lang w:eastAsia="en-GB"/>
            <w:rPrChange w:id="370" w:author="Author">
              <w:rPr>
                <w:rFonts w:ascii="inherit" w:eastAsia="Times New Roman" w:hAnsi="inherit" w:cs="Times New Roman"/>
                <w:color w:val="000000"/>
                <w:sz w:val="24"/>
                <w:szCs w:val="24"/>
                <w:lang w:eastAsia="en-GB"/>
              </w:rPr>
            </w:rPrChange>
          </w:rPr>
          <w:t>Commands:</w:t>
        </w:r>
      </w:ins>
    </w:p>
    <w:p w14:paraId="3E51190B" w14:textId="77777777" w:rsidR="009B264F" w:rsidRPr="009B264F" w:rsidRDefault="009B264F" w:rsidP="009B264F">
      <w:pPr>
        <w:shd w:val="clear" w:color="auto" w:fill="FFFFFF"/>
        <w:spacing w:before="120" w:after="0" w:line="240" w:lineRule="auto"/>
        <w:jc w:val="both"/>
        <w:rPr>
          <w:ins w:id="371" w:author="Author"/>
          <w:rFonts w:ascii="inherit" w:eastAsia="Times New Roman" w:hAnsi="inherit" w:cs="Times New Roman"/>
          <w:color w:val="000000"/>
          <w:sz w:val="24"/>
          <w:szCs w:val="24"/>
          <w:lang w:eastAsia="en-GB"/>
        </w:rPr>
      </w:pPr>
      <w:ins w:id="372" w:author="Author">
        <w:r w:rsidRPr="009B264F">
          <w:rPr>
            <w:rFonts w:ascii="inherit" w:eastAsia="Times New Roman" w:hAnsi="inherit" w:cs="Times New Roman"/>
            <w:color w:val="000000"/>
            <w:sz w:val="24"/>
            <w:szCs w:val="24"/>
            <w:lang w:eastAsia="en-GB"/>
          </w:rPr>
          <w:t>Live Line Work Conditions</w:t>
        </w:r>
      </w:ins>
    </w:p>
    <w:p w14:paraId="483A7ECE" w14:textId="77777777" w:rsidR="009B264F" w:rsidRPr="009B264F" w:rsidRDefault="009B264F" w:rsidP="009B264F">
      <w:pPr>
        <w:shd w:val="clear" w:color="auto" w:fill="FFFFFF"/>
        <w:spacing w:before="120" w:after="0" w:line="240" w:lineRule="auto"/>
        <w:jc w:val="both"/>
        <w:rPr>
          <w:ins w:id="373" w:author="Author"/>
          <w:rFonts w:ascii="inherit" w:eastAsia="Times New Roman" w:hAnsi="inherit" w:cs="Times New Roman"/>
          <w:color w:val="000000"/>
          <w:sz w:val="24"/>
          <w:szCs w:val="24"/>
          <w:lang w:eastAsia="en-GB"/>
        </w:rPr>
      </w:pPr>
      <w:ins w:id="374" w:author="Author">
        <w:r w:rsidRPr="009B264F">
          <w:rPr>
            <w:rFonts w:ascii="inherit" w:eastAsia="Times New Roman" w:hAnsi="inherit" w:cs="Times New Roman"/>
            <w:color w:val="000000"/>
            <w:sz w:val="24"/>
            <w:szCs w:val="24"/>
            <w:lang w:eastAsia="en-GB"/>
          </w:rPr>
          <w:t>Grid disconnection / Permission to connect</w:t>
        </w:r>
      </w:ins>
    </w:p>
    <w:p w14:paraId="6081CB0A" w14:textId="1BB3CE5C" w:rsidR="009B264F" w:rsidRDefault="009B264F" w:rsidP="009B264F">
      <w:pPr>
        <w:shd w:val="clear" w:color="auto" w:fill="FFFFFF"/>
        <w:spacing w:before="120" w:after="0" w:line="240" w:lineRule="auto"/>
        <w:jc w:val="both"/>
        <w:rPr>
          <w:ins w:id="375" w:author="Author"/>
          <w:rFonts w:ascii="inherit" w:eastAsia="Times New Roman" w:hAnsi="inherit" w:cs="Times New Roman"/>
          <w:color w:val="000000"/>
          <w:sz w:val="24"/>
          <w:szCs w:val="24"/>
          <w:lang w:eastAsia="en-GB"/>
        </w:rPr>
      </w:pPr>
      <w:ins w:id="376" w:author="Author">
        <w:r w:rsidRPr="009B264F">
          <w:rPr>
            <w:rFonts w:ascii="inherit" w:eastAsia="Times New Roman" w:hAnsi="inherit" w:cs="Times New Roman"/>
            <w:color w:val="000000"/>
            <w:sz w:val="24"/>
            <w:szCs w:val="24"/>
            <w:lang w:eastAsia="en-GB"/>
          </w:rPr>
          <w:t>Network Injection Power Limit</w:t>
        </w:r>
      </w:ins>
    </w:p>
    <w:p w14:paraId="5C0062B5" w14:textId="77777777" w:rsidR="009B264F" w:rsidRPr="009B264F" w:rsidRDefault="009B264F" w:rsidP="009B264F">
      <w:pPr>
        <w:shd w:val="clear" w:color="auto" w:fill="FFFFFF"/>
        <w:spacing w:before="120" w:after="0" w:line="240" w:lineRule="auto"/>
        <w:jc w:val="both"/>
        <w:rPr>
          <w:ins w:id="377" w:author="Author"/>
          <w:rFonts w:ascii="inherit" w:eastAsia="Times New Roman" w:hAnsi="inherit" w:cs="Times New Roman"/>
          <w:color w:val="000000"/>
          <w:sz w:val="24"/>
          <w:szCs w:val="24"/>
          <w:lang w:eastAsia="en-GB"/>
        </w:rPr>
      </w:pPr>
    </w:p>
    <w:p w14:paraId="231294ED" w14:textId="3A4D0B08" w:rsidR="009B264F" w:rsidRPr="009B264F" w:rsidRDefault="009B264F" w:rsidP="009B264F">
      <w:pPr>
        <w:shd w:val="clear" w:color="auto" w:fill="FFFFFF"/>
        <w:spacing w:before="120" w:after="0" w:line="240" w:lineRule="auto"/>
        <w:jc w:val="both"/>
        <w:rPr>
          <w:ins w:id="378" w:author="Author"/>
          <w:rFonts w:ascii="inherit" w:eastAsia="Times New Roman" w:hAnsi="inherit" w:cs="Times New Roman"/>
          <w:color w:val="000000"/>
          <w:sz w:val="24"/>
          <w:szCs w:val="24"/>
          <w:lang w:eastAsia="en-GB"/>
        </w:rPr>
      </w:pPr>
      <w:ins w:id="379" w:author="Author">
        <w:r w:rsidRPr="009B264F">
          <w:rPr>
            <w:rFonts w:ascii="inherit" w:eastAsia="Times New Roman" w:hAnsi="inherit" w:cs="Times New Roman"/>
            <w:color w:val="000000"/>
            <w:sz w:val="24"/>
            <w:szCs w:val="24"/>
            <w:lang w:eastAsia="en-GB"/>
          </w:rPr>
          <w:t>EN50549-1:2019 should be adopted has the reference and RfG would just refer to the norm.</w:t>
        </w:r>
      </w:ins>
    </w:p>
    <w:p w14:paraId="53D5A39A" w14:textId="17287E35" w:rsidR="009B264F" w:rsidRPr="009B264F" w:rsidRDefault="009B264F" w:rsidP="009B264F">
      <w:pPr>
        <w:shd w:val="clear" w:color="auto" w:fill="FFFFFF"/>
        <w:spacing w:before="120" w:after="0" w:line="240" w:lineRule="auto"/>
        <w:jc w:val="both"/>
        <w:rPr>
          <w:ins w:id="380" w:author="Author"/>
          <w:rFonts w:ascii="inherit" w:eastAsia="Times New Roman" w:hAnsi="inherit" w:cs="Times New Roman"/>
          <w:color w:val="000000"/>
          <w:sz w:val="24"/>
          <w:szCs w:val="24"/>
          <w:lang w:eastAsia="en-GB"/>
        </w:rPr>
      </w:pPr>
      <w:ins w:id="381" w:author="Author">
        <w:r w:rsidRPr="009B264F">
          <w:rPr>
            <w:rFonts w:ascii="inherit" w:eastAsia="Times New Roman" w:hAnsi="inherit" w:cs="Times New Roman"/>
            <w:color w:val="000000"/>
            <w:sz w:val="24"/>
            <w:szCs w:val="24"/>
            <w:lang w:eastAsia="en-GB"/>
          </w:rPr>
          <w:t>There should be a requirement for observability (real-time measurements) and power output limitation by the DSO.</w:t>
        </w:r>
      </w:ins>
    </w:p>
    <w:p w14:paraId="797956A6" w14:textId="0238E535" w:rsidR="009B264F" w:rsidRPr="009B264F" w:rsidRDefault="009B264F" w:rsidP="009B264F">
      <w:pPr>
        <w:shd w:val="clear" w:color="auto" w:fill="FFFFFF"/>
        <w:spacing w:before="120" w:after="0" w:line="240" w:lineRule="auto"/>
        <w:jc w:val="both"/>
        <w:rPr>
          <w:ins w:id="382" w:author="Author"/>
          <w:rFonts w:ascii="inherit" w:eastAsia="Times New Roman" w:hAnsi="inherit" w:cs="Times New Roman"/>
          <w:color w:val="000000"/>
          <w:sz w:val="24"/>
          <w:szCs w:val="24"/>
          <w:lang w:eastAsia="en-GB"/>
        </w:rPr>
      </w:pPr>
      <w:ins w:id="383" w:author="Author">
        <w:r w:rsidRPr="009B264F">
          <w:rPr>
            <w:rFonts w:ascii="inherit" w:eastAsia="Times New Roman" w:hAnsi="inherit" w:cs="Times New Roman"/>
            <w:color w:val="000000"/>
            <w:sz w:val="24"/>
            <w:szCs w:val="24"/>
            <w:lang w:eastAsia="en-GB"/>
          </w:rPr>
          <w:t>Standardisation of communication requirements by EU DSO Entity proposal should be within KORRR template which could be revised to accommodate the needs of DSOs and take advantage of possible synergies (between rules and procedures that can be shared).</w:t>
        </w:r>
      </w:ins>
    </w:p>
    <w:p w14:paraId="00138D4F" w14:textId="2F132679" w:rsidR="009B264F" w:rsidRDefault="009B264F" w:rsidP="009B264F">
      <w:pPr>
        <w:shd w:val="clear" w:color="auto" w:fill="FFFFFF"/>
        <w:spacing w:before="120" w:after="0" w:line="240" w:lineRule="auto"/>
        <w:jc w:val="both"/>
        <w:rPr>
          <w:ins w:id="384" w:author="Author"/>
          <w:rFonts w:ascii="inherit" w:eastAsia="Times New Roman" w:hAnsi="inherit" w:cs="Times New Roman"/>
          <w:color w:val="000000"/>
          <w:sz w:val="24"/>
          <w:szCs w:val="24"/>
          <w:lang w:eastAsia="en-GB"/>
        </w:rPr>
      </w:pPr>
      <w:ins w:id="385" w:author="Author">
        <w:r w:rsidRPr="009B264F">
          <w:rPr>
            <w:rFonts w:ascii="inherit" w:eastAsia="Times New Roman" w:hAnsi="inherit" w:cs="Times New Roman"/>
            <w:color w:val="000000"/>
            <w:sz w:val="24"/>
            <w:szCs w:val="24"/>
            <w:lang w:eastAsia="en-GB"/>
          </w:rPr>
          <w:t>Complementing the above proposals, it may be possible to add another PGM type between type A and B (e.g. A+) for industrial sites. This new PGMs type could encompass, for example, PGMs between 100 kW and 600 kW and could be subject to more extensive technical requirements (e.g. FRT) than type A.</w:t>
        </w:r>
      </w:ins>
    </w:p>
    <w:p w14:paraId="0CB7ABAE" w14:textId="115E5A69" w:rsidR="005165C2" w:rsidRDefault="005165C2" w:rsidP="009B264F">
      <w:pPr>
        <w:shd w:val="clear" w:color="auto" w:fill="FFFFFF"/>
        <w:spacing w:before="120" w:after="0" w:line="240" w:lineRule="auto"/>
        <w:jc w:val="both"/>
        <w:rPr>
          <w:ins w:id="386" w:author="Author"/>
          <w:rFonts w:ascii="inherit" w:eastAsia="Times New Roman" w:hAnsi="inherit" w:cs="Times New Roman"/>
          <w:color w:val="000000"/>
          <w:sz w:val="24"/>
          <w:szCs w:val="24"/>
          <w:lang w:eastAsia="en-GB"/>
        </w:rPr>
      </w:pPr>
    </w:p>
    <w:p w14:paraId="6BBF2597" w14:textId="6F133AAC" w:rsidR="005165C2" w:rsidRDefault="005165C2" w:rsidP="009B264F">
      <w:pPr>
        <w:shd w:val="clear" w:color="auto" w:fill="FFFFFF"/>
        <w:spacing w:before="120" w:after="0" w:line="240" w:lineRule="auto"/>
        <w:jc w:val="both"/>
        <w:rPr>
          <w:ins w:id="387" w:author="Author"/>
          <w:rFonts w:ascii="inherit" w:eastAsia="Times New Roman" w:hAnsi="inherit" w:cs="Times New Roman"/>
          <w:color w:val="000000"/>
          <w:sz w:val="24"/>
          <w:szCs w:val="24"/>
          <w:lang w:eastAsia="en-GB"/>
        </w:rPr>
      </w:pPr>
    </w:p>
    <w:p w14:paraId="767EF237" w14:textId="6061935E" w:rsidR="005165C2" w:rsidRPr="0046266C" w:rsidRDefault="005165C2" w:rsidP="005165C2">
      <w:pPr>
        <w:shd w:val="clear" w:color="auto" w:fill="FFFFFF"/>
        <w:spacing w:before="120" w:after="0" w:line="240" w:lineRule="auto"/>
        <w:jc w:val="both"/>
        <w:rPr>
          <w:ins w:id="388" w:author="Author"/>
          <w:rFonts w:ascii="inherit" w:eastAsia="Times New Roman" w:hAnsi="inherit" w:cs="Times New Roman"/>
          <w:i/>
          <w:iCs/>
          <w:color w:val="000000"/>
          <w:sz w:val="24"/>
          <w:szCs w:val="24"/>
          <w:lang w:eastAsia="en-GB"/>
          <w:rPrChange w:id="389" w:author="Author">
            <w:rPr>
              <w:ins w:id="390" w:author="Author"/>
              <w:rFonts w:ascii="inherit" w:eastAsia="Times New Roman" w:hAnsi="inherit" w:cs="Times New Roman"/>
              <w:color w:val="000000"/>
              <w:sz w:val="24"/>
              <w:szCs w:val="24"/>
              <w:lang w:eastAsia="en-GB"/>
            </w:rPr>
          </w:rPrChange>
        </w:rPr>
      </w:pPr>
      <w:ins w:id="391" w:author="Author">
        <w:r w:rsidRPr="0046266C">
          <w:rPr>
            <w:rFonts w:ascii="inherit" w:eastAsia="Times New Roman" w:hAnsi="inherit" w:cs="Times New Roman"/>
            <w:i/>
            <w:iCs/>
            <w:color w:val="000000"/>
            <w:sz w:val="24"/>
            <w:szCs w:val="24"/>
            <w:lang w:eastAsia="en-GB"/>
            <w:rPrChange w:id="392" w:author="Author">
              <w:rPr>
                <w:rFonts w:ascii="inherit" w:eastAsia="Times New Roman" w:hAnsi="inherit" w:cs="Times New Roman"/>
                <w:color w:val="000000"/>
                <w:sz w:val="24"/>
                <w:szCs w:val="24"/>
                <w:lang w:eastAsia="en-GB"/>
              </w:rPr>
            </w:rPrChange>
          </w:rPr>
          <w:t>Include discretionary facility for undervoltage-ride-through (UVRT) for type A PGMs, with the exemption of CHP systems &lt; 50 kW:</w:t>
        </w:r>
      </w:ins>
    </w:p>
    <w:p w14:paraId="4FBED7B6" w14:textId="4F02D34B" w:rsidR="005165C2" w:rsidRDefault="005165C2" w:rsidP="005165C2">
      <w:pPr>
        <w:shd w:val="clear" w:color="auto" w:fill="FFFFFF"/>
        <w:spacing w:before="120" w:after="0" w:line="240" w:lineRule="auto"/>
        <w:jc w:val="both"/>
        <w:rPr>
          <w:ins w:id="393" w:author="Author"/>
          <w:rFonts w:ascii="inherit" w:eastAsia="Times New Roman" w:hAnsi="inherit" w:cs="Times New Roman"/>
          <w:color w:val="000000"/>
          <w:sz w:val="24"/>
          <w:szCs w:val="24"/>
          <w:lang w:eastAsia="en-GB"/>
        </w:rPr>
      </w:pPr>
      <w:ins w:id="394" w:author="Author">
        <w:r w:rsidRPr="0046266C">
          <w:rPr>
            <w:rFonts w:ascii="inherit" w:eastAsia="Times New Roman" w:hAnsi="inherit" w:cs="Times New Roman"/>
            <w:b/>
            <w:bCs/>
            <w:color w:val="000000"/>
            <w:sz w:val="24"/>
            <w:szCs w:val="24"/>
            <w:lang w:eastAsia="en-GB"/>
            <w:rPrChange w:id="395" w:author="Author">
              <w:rPr>
                <w:rFonts w:ascii="inherit" w:eastAsia="Times New Roman" w:hAnsi="inherit" w:cs="Times New Roman"/>
                <w:color w:val="000000"/>
                <w:sz w:val="24"/>
                <w:szCs w:val="24"/>
                <w:lang w:eastAsia="en-GB"/>
              </w:rPr>
            </w:rPrChange>
          </w:rPr>
          <w:t>New provision Art. 13.8 (a) and (b),</w:t>
        </w:r>
        <w:r>
          <w:rPr>
            <w:rFonts w:ascii="inherit" w:eastAsia="Times New Roman" w:hAnsi="inherit" w:cs="Times New Roman"/>
            <w:color w:val="000000"/>
            <w:sz w:val="24"/>
            <w:szCs w:val="24"/>
            <w:lang w:eastAsia="en-GB"/>
          </w:rPr>
          <w:t xml:space="preserve"> copied from the </w:t>
        </w:r>
        <w:r w:rsidRPr="005165C2">
          <w:rPr>
            <w:rFonts w:ascii="inherit" w:eastAsia="Times New Roman" w:hAnsi="inherit" w:cs="Times New Roman"/>
            <w:color w:val="000000"/>
            <w:sz w:val="24"/>
            <w:szCs w:val="24"/>
            <w:lang w:eastAsia="en-GB"/>
          </w:rPr>
          <w:t xml:space="preserve">wording, tables and figures </w:t>
        </w:r>
        <w:r>
          <w:rPr>
            <w:rFonts w:ascii="inherit" w:eastAsia="Times New Roman" w:hAnsi="inherit" w:cs="Times New Roman"/>
            <w:color w:val="000000"/>
            <w:sz w:val="24"/>
            <w:szCs w:val="24"/>
            <w:lang w:eastAsia="en-GB"/>
          </w:rPr>
          <w:t>of</w:t>
        </w:r>
        <w:r w:rsidRPr="005165C2">
          <w:rPr>
            <w:rFonts w:ascii="inherit" w:eastAsia="Times New Roman" w:hAnsi="inherit" w:cs="Times New Roman"/>
            <w:color w:val="000000"/>
            <w:sz w:val="24"/>
            <w:szCs w:val="24"/>
            <w:lang w:eastAsia="en-GB"/>
          </w:rPr>
          <w:t xml:space="preserve"> Article 14.3 (a) and (b) and address them to type A PGMs</w:t>
        </w:r>
        <w:r>
          <w:rPr>
            <w:rFonts w:ascii="inherit" w:eastAsia="Times New Roman" w:hAnsi="inherit" w:cs="Times New Roman"/>
            <w:color w:val="000000"/>
            <w:sz w:val="24"/>
            <w:szCs w:val="24"/>
            <w:lang w:eastAsia="en-GB"/>
          </w:rPr>
          <w:t>.</w:t>
        </w:r>
      </w:ins>
    </w:p>
    <w:p w14:paraId="3A70B984" w14:textId="1189CB8E" w:rsidR="005165C2" w:rsidRDefault="005165C2" w:rsidP="005165C2">
      <w:pPr>
        <w:shd w:val="clear" w:color="auto" w:fill="FFFFFF"/>
        <w:spacing w:before="120" w:after="0" w:line="240" w:lineRule="auto"/>
        <w:jc w:val="both"/>
        <w:rPr>
          <w:ins w:id="396" w:author="Author"/>
          <w:rFonts w:ascii="inherit" w:eastAsia="Times New Roman" w:hAnsi="inherit" w:cs="Times New Roman"/>
          <w:color w:val="000000"/>
          <w:sz w:val="24"/>
          <w:szCs w:val="24"/>
          <w:lang w:eastAsia="en-GB"/>
        </w:rPr>
      </w:pPr>
    </w:p>
    <w:p w14:paraId="58815225" w14:textId="77777777" w:rsidR="005165C2" w:rsidRPr="005165C2" w:rsidRDefault="005165C2" w:rsidP="005165C2">
      <w:pPr>
        <w:shd w:val="clear" w:color="auto" w:fill="FFFFFF"/>
        <w:spacing w:before="120" w:after="0" w:line="240" w:lineRule="auto"/>
        <w:jc w:val="both"/>
        <w:rPr>
          <w:ins w:id="397" w:author="Author"/>
          <w:rFonts w:ascii="inherit" w:eastAsia="Times New Roman" w:hAnsi="inherit" w:cs="Times New Roman"/>
          <w:color w:val="000000"/>
          <w:sz w:val="24"/>
          <w:szCs w:val="24"/>
          <w:lang w:eastAsia="en-GB"/>
        </w:rPr>
      </w:pPr>
      <w:ins w:id="398" w:author="Author">
        <w:r w:rsidRPr="005165C2">
          <w:rPr>
            <w:rFonts w:ascii="inherit" w:eastAsia="Times New Roman" w:hAnsi="inherit" w:cs="Times New Roman"/>
            <w:color w:val="000000"/>
            <w:sz w:val="24"/>
            <w:szCs w:val="24"/>
            <w:lang w:eastAsia="en-GB"/>
          </w:rPr>
          <w:t xml:space="preserve">Consider expanding existing requirements for robustness which are valid for types B, C, D to type A PGMs to consider overvoltage events. </w:t>
        </w:r>
      </w:ins>
    </w:p>
    <w:p w14:paraId="743934E6" w14:textId="054E77B4" w:rsidR="005165C2" w:rsidRPr="0046266C" w:rsidRDefault="005165C2" w:rsidP="005165C2">
      <w:pPr>
        <w:shd w:val="clear" w:color="auto" w:fill="FFFFFF"/>
        <w:spacing w:before="120" w:after="0" w:line="240" w:lineRule="auto"/>
        <w:jc w:val="both"/>
        <w:rPr>
          <w:ins w:id="399" w:author="Author"/>
          <w:rFonts w:ascii="inherit" w:eastAsia="Times New Roman" w:hAnsi="inherit" w:cs="Times New Roman"/>
          <w:i/>
          <w:iCs/>
          <w:color w:val="000000"/>
          <w:sz w:val="24"/>
          <w:szCs w:val="24"/>
          <w:lang w:eastAsia="en-GB"/>
          <w:rPrChange w:id="400" w:author="Author">
            <w:rPr>
              <w:ins w:id="401" w:author="Author"/>
              <w:rFonts w:ascii="inherit" w:eastAsia="Times New Roman" w:hAnsi="inherit" w:cs="Times New Roman"/>
              <w:color w:val="000000"/>
              <w:sz w:val="24"/>
              <w:szCs w:val="24"/>
              <w:lang w:eastAsia="en-GB"/>
            </w:rPr>
          </w:rPrChange>
        </w:rPr>
      </w:pPr>
      <w:ins w:id="402" w:author="Author">
        <w:r w:rsidRPr="0046266C">
          <w:rPr>
            <w:rFonts w:ascii="inherit" w:eastAsia="Times New Roman" w:hAnsi="inherit" w:cs="Times New Roman"/>
            <w:i/>
            <w:iCs/>
            <w:color w:val="000000"/>
            <w:sz w:val="24"/>
            <w:szCs w:val="24"/>
            <w:lang w:eastAsia="en-GB"/>
            <w:rPrChange w:id="403" w:author="Author">
              <w:rPr>
                <w:rFonts w:ascii="inherit" w:eastAsia="Times New Roman" w:hAnsi="inherit" w:cs="Times New Roman"/>
                <w:color w:val="000000"/>
                <w:sz w:val="24"/>
                <w:szCs w:val="24"/>
                <w:lang w:eastAsia="en-GB"/>
              </w:rPr>
            </w:rPrChange>
          </w:rPr>
          <w:lastRenderedPageBreak/>
          <w:t>Consider expanding existing requirements for robustness which are valid for types B, C, D to type A PGMs to consider overvoltage events</w:t>
        </w:r>
        <w:r>
          <w:rPr>
            <w:rFonts w:ascii="inherit" w:eastAsia="Times New Roman" w:hAnsi="inherit" w:cs="Times New Roman"/>
            <w:i/>
            <w:iCs/>
            <w:color w:val="000000"/>
            <w:sz w:val="24"/>
            <w:szCs w:val="24"/>
            <w:lang w:eastAsia="en-GB"/>
          </w:rPr>
          <w:t>:</w:t>
        </w:r>
      </w:ins>
    </w:p>
    <w:p w14:paraId="031DF175" w14:textId="42338951" w:rsidR="005165C2" w:rsidRPr="005165C2" w:rsidRDefault="005165C2" w:rsidP="005165C2">
      <w:pPr>
        <w:shd w:val="clear" w:color="auto" w:fill="FFFFFF"/>
        <w:spacing w:before="120" w:after="0" w:line="240" w:lineRule="auto"/>
        <w:jc w:val="both"/>
        <w:rPr>
          <w:ins w:id="404" w:author="Author"/>
          <w:rFonts w:ascii="inherit" w:eastAsia="Times New Roman" w:hAnsi="inherit" w:cs="Times New Roman"/>
          <w:color w:val="000000"/>
          <w:sz w:val="24"/>
          <w:szCs w:val="24"/>
          <w:lang w:eastAsia="en-GB"/>
        </w:rPr>
      </w:pPr>
      <w:ins w:id="405" w:author="Author">
        <w:r w:rsidRPr="0046266C">
          <w:rPr>
            <w:rFonts w:ascii="inherit" w:eastAsia="Times New Roman" w:hAnsi="inherit" w:cs="Times New Roman"/>
            <w:b/>
            <w:bCs/>
            <w:color w:val="000000"/>
            <w:sz w:val="24"/>
            <w:szCs w:val="24"/>
            <w:lang w:eastAsia="en-GB"/>
            <w:rPrChange w:id="406" w:author="Author">
              <w:rPr>
                <w:rFonts w:ascii="inherit" w:eastAsia="Times New Roman" w:hAnsi="inherit" w:cs="Times New Roman"/>
                <w:color w:val="000000"/>
                <w:sz w:val="24"/>
                <w:szCs w:val="24"/>
                <w:lang w:eastAsia="en-GB"/>
              </w:rPr>
            </w:rPrChange>
          </w:rPr>
          <w:t>8. (c)</w:t>
        </w:r>
        <w:r>
          <w:rPr>
            <w:rFonts w:ascii="inherit" w:eastAsia="Times New Roman" w:hAnsi="inherit" w:cs="Times New Roman"/>
            <w:color w:val="000000"/>
            <w:sz w:val="24"/>
            <w:szCs w:val="24"/>
            <w:lang w:eastAsia="en-GB"/>
          </w:rPr>
          <w:t xml:space="preserve"> E</w:t>
        </w:r>
        <w:r w:rsidRPr="005165C2">
          <w:rPr>
            <w:rFonts w:ascii="inherit" w:eastAsia="Times New Roman" w:hAnsi="inherit" w:cs="Times New Roman"/>
            <w:color w:val="000000"/>
            <w:sz w:val="24"/>
            <w:szCs w:val="24"/>
            <w:lang w:eastAsia="en-GB"/>
          </w:rPr>
          <w:t>ach TSO shall specify a voltage-against-time-profile at the connection point for overvoltage events, which describes the conditions in which the power-generating module is capable of staying connected to the network and continuing to operate stably after the power system has been disturbed;</w:t>
        </w:r>
      </w:ins>
    </w:p>
    <w:p w14:paraId="6E52CED0" w14:textId="4EB821D9" w:rsidR="005165C2" w:rsidRDefault="005165C2" w:rsidP="005165C2">
      <w:pPr>
        <w:shd w:val="clear" w:color="auto" w:fill="FFFFFF"/>
        <w:spacing w:before="120" w:after="0" w:line="240" w:lineRule="auto"/>
        <w:jc w:val="both"/>
        <w:rPr>
          <w:ins w:id="407" w:author="Author"/>
          <w:rFonts w:ascii="inherit" w:eastAsia="Times New Roman" w:hAnsi="inherit" w:cs="Times New Roman"/>
          <w:color w:val="000000"/>
          <w:sz w:val="24"/>
          <w:szCs w:val="24"/>
          <w:lang w:eastAsia="en-GB"/>
        </w:rPr>
      </w:pPr>
      <w:ins w:id="408" w:author="Author">
        <w:r>
          <w:rPr>
            <w:rFonts w:ascii="inherit" w:eastAsia="Times New Roman" w:hAnsi="inherit" w:cs="Times New Roman"/>
            <w:color w:val="000000"/>
            <w:sz w:val="24"/>
            <w:szCs w:val="24"/>
            <w:lang w:eastAsia="en-GB"/>
          </w:rPr>
          <w:t>(i) T</w:t>
        </w:r>
        <w:r w:rsidRPr="005165C2">
          <w:rPr>
            <w:rFonts w:ascii="inherit" w:eastAsia="Times New Roman" w:hAnsi="inherit" w:cs="Times New Roman"/>
            <w:color w:val="000000"/>
            <w:sz w:val="24"/>
            <w:szCs w:val="24"/>
            <w:lang w:eastAsia="en-GB"/>
          </w:rPr>
          <w:t>he voltage-against-time-profile shall express an upper limit of the actual course of the phase-to-phase voltages on the network voltage level at the connection point during an overvoltage event, as a function of time before, during and after the event</w:t>
        </w:r>
        <w:r>
          <w:rPr>
            <w:rFonts w:ascii="inherit" w:eastAsia="Times New Roman" w:hAnsi="inherit" w:cs="Times New Roman"/>
            <w:color w:val="000000"/>
            <w:sz w:val="24"/>
            <w:szCs w:val="24"/>
            <w:lang w:eastAsia="en-GB"/>
          </w:rPr>
          <w:t>.</w:t>
        </w:r>
      </w:ins>
    </w:p>
    <w:p w14:paraId="0379F070" w14:textId="6EE6DD81" w:rsidR="005165C2" w:rsidRDefault="005165C2" w:rsidP="005165C2">
      <w:pPr>
        <w:shd w:val="clear" w:color="auto" w:fill="FFFFFF"/>
        <w:spacing w:before="120" w:after="0" w:line="240" w:lineRule="auto"/>
        <w:jc w:val="both"/>
        <w:rPr>
          <w:ins w:id="409" w:author="Author"/>
          <w:rFonts w:ascii="inherit" w:eastAsia="Times New Roman" w:hAnsi="inherit" w:cs="Times New Roman"/>
          <w:color w:val="000000"/>
          <w:sz w:val="24"/>
          <w:szCs w:val="24"/>
          <w:lang w:eastAsia="en-GB"/>
        </w:rPr>
      </w:pPr>
    </w:p>
    <w:p w14:paraId="6F197F8C" w14:textId="2F269489" w:rsidR="005165C2" w:rsidRPr="005165C2" w:rsidRDefault="005165C2" w:rsidP="005165C2">
      <w:pPr>
        <w:shd w:val="clear" w:color="auto" w:fill="FFFFFF"/>
        <w:spacing w:before="120" w:after="0" w:line="240" w:lineRule="auto"/>
        <w:jc w:val="both"/>
        <w:rPr>
          <w:ins w:id="410" w:author="Author"/>
          <w:rFonts w:ascii="inherit" w:eastAsia="Times New Roman" w:hAnsi="inherit" w:cs="Times New Roman"/>
          <w:color w:val="000000"/>
          <w:sz w:val="24"/>
          <w:szCs w:val="24"/>
          <w:lang w:eastAsia="en-GB"/>
        </w:rPr>
      </w:pPr>
      <w:ins w:id="411" w:author="Author">
        <w:r w:rsidRPr="0046266C">
          <w:rPr>
            <w:rFonts w:ascii="inherit" w:eastAsia="Times New Roman" w:hAnsi="inherit" w:cs="Times New Roman"/>
            <w:b/>
            <w:bCs/>
            <w:color w:val="000000"/>
            <w:sz w:val="24"/>
            <w:szCs w:val="24"/>
            <w:lang w:eastAsia="en-GB"/>
            <w:rPrChange w:id="412" w:author="Author">
              <w:rPr>
                <w:rFonts w:ascii="inherit" w:eastAsia="Times New Roman" w:hAnsi="inherit" w:cs="Times New Roman"/>
                <w:color w:val="000000"/>
                <w:sz w:val="24"/>
                <w:szCs w:val="24"/>
                <w:lang w:eastAsia="en-GB"/>
              </w:rPr>
            </w:rPrChange>
          </w:rPr>
          <w:t>8. (d)</w:t>
        </w:r>
        <w:r>
          <w:rPr>
            <w:rFonts w:ascii="inherit" w:eastAsia="Times New Roman" w:hAnsi="inherit" w:cs="Times New Roman"/>
            <w:color w:val="000000"/>
            <w:sz w:val="24"/>
            <w:szCs w:val="24"/>
            <w:lang w:eastAsia="en-GB"/>
          </w:rPr>
          <w:t xml:space="preserve"> T</w:t>
        </w:r>
        <w:r w:rsidRPr="005165C2">
          <w:rPr>
            <w:rFonts w:ascii="inherit" w:eastAsia="Times New Roman" w:hAnsi="inherit" w:cs="Times New Roman"/>
            <w:color w:val="000000"/>
            <w:sz w:val="24"/>
            <w:szCs w:val="24"/>
            <w:lang w:eastAsia="en-GB"/>
          </w:rPr>
          <w:t>he following power generation units are exempted from fault-ride-through capabilities:</w:t>
        </w:r>
      </w:ins>
    </w:p>
    <w:p w14:paraId="403F1419" w14:textId="6E737FD6" w:rsidR="005165C2" w:rsidRPr="005165C2" w:rsidRDefault="005165C2" w:rsidP="005165C2">
      <w:pPr>
        <w:shd w:val="clear" w:color="auto" w:fill="FFFFFF"/>
        <w:spacing w:before="120" w:after="0" w:line="240" w:lineRule="auto"/>
        <w:jc w:val="both"/>
        <w:rPr>
          <w:ins w:id="413" w:author="Author"/>
          <w:rFonts w:ascii="inherit" w:eastAsia="Times New Roman" w:hAnsi="inherit" w:cs="Times New Roman"/>
          <w:color w:val="000000"/>
          <w:sz w:val="24"/>
          <w:szCs w:val="24"/>
          <w:lang w:eastAsia="en-GB"/>
        </w:rPr>
      </w:pPr>
      <w:ins w:id="414" w:author="Author">
        <w:r>
          <w:rPr>
            <w:rFonts w:ascii="inherit" w:eastAsia="Times New Roman" w:hAnsi="inherit" w:cs="Times New Roman"/>
            <w:color w:val="000000"/>
            <w:sz w:val="24"/>
            <w:szCs w:val="24"/>
            <w:lang w:eastAsia="en-GB"/>
          </w:rPr>
          <w:t xml:space="preserve"> (i) S</w:t>
        </w:r>
        <w:r w:rsidRPr="005165C2">
          <w:rPr>
            <w:rFonts w:ascii="inherit" w:eastAsia="Times New Roman" w:hAnsi="inherit" w:cs="Times New Roman"/>
            <w:color w:val="000000"/>
            <w:sz w:val="24"/>
            <w:szCs w:val="24"/>
            <w:lang w:eastAsia="en-GB"/>
          </w:rPr>
          <w:t>tirling generators and fuel cells principally incapable of providing fault-ride-through capabilities;</w:t>
        </w:r>
      </w:ins>
    </w:p>
    <w:p w14:paraId="29CC8F15" w14:textId="0335D747" w:rsidR="005165C2" w:rsidRPr="003B7AE9" w:rsidRDefault="005165C2" w:rsidP="005165C2">
      <w:pPr>
        <w:shd w:val="clear" w:color="auto" w:fill="FFFFFF"/>
        <w:spacing w:before="120" w:after="0" w:line="240" w:lineRule="auto"/>
        <w:jc w:val="both"/>
        <w:rPr>
          <w:rFonts w:ascii="inherit" w:eastAsia="Times New Roman" w:hAnsi="inherit" w:cs="Times New Roman"/>
          <w:color w:val="000000"/>
          <w:sz w:val="24"/>
          <w:szCs w:val="24"/>
          <w:lang w:eastAsia="en-GB"/>
        </w:rPr>
      </w:pPr>
      <w:ins w:id="415" w:author="Author">
        <w:r>
          <w:rPr>
            <w:rFonts w:ascii="inherit" w:eastAsia="Times New Roman" w:hAnsi="inherit" w:cs="Times New Roman"/>
            <w:color w:val="000000"/>
            <w:sz w:val="24"/>
            <w:szCs w:val="24"/>
            <w:lang w:eastAsia="en-GB"/>
          </w:rPr>
          <w:t xml:space="preserve"> (ii) S</w:t>
        </w:r>
        <w:r w:rsidRPr="005165C2">
          <w:rPr>
            <w:rFonts w:ascii="inherit" w:eastAsia="Times New Roman" w:hAnsi="inherit" w:cs="Times New Roman"/>
            <w:color w:val="000000"/>
            <w:sz w:val="24"/>
            <w:szCs w:val="24"/>
            <w:lang w:eastAsia="en-GB"/>
          </w:rPr>
          <w:t>ynchronous and asynchronous generators coupled directly or via inverters with Pn ≤ 50 kW.</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693CCA39" w:rsidR="006A3791" w:rsidRPr="003B7AE9" w:rsidRDefault="003B7AE9" w:rsidP="006A3791">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r w:rsidR="006A3791" w:rsidRPr="003B7AE9" w14:paraId="0FD432F4" w14:textId="77777777" w:rsidTr="003B7AE9">
        <w:trPr>
          <w:ins w:id="416" w:author="Author"/>
        </w:trPr>
        <w:tc>
          <w:tcPr>
            <w:tcW w:w="0" w:type="auto"/>
            <w:shd w:val="clear" w:color="auto" w:fill="auto"/>
          </w:tcPr>
          <w:p w14:paraId="683F2C97" w14:textId="6630BF6B" w:rsidR="006A3791" w:rsidRPr="003B7AE9" w:rsidRDefault="006A3791" w:rsidP="003B7AE9">
            <w:pPr>
              <w:spacing w:before="120" w:after="0" w:line="240" w:lineRule="auto"/>
              <w:jc w:val="both"/>
              <w:rPr>
                <w:ins w:id="417" w:author="Author"/>
                <w:rFonts w:ascii="inherit" w:eastAsia="Times New Roman" w:hAnsi="inherit" w:cs="Times New Roman"/>
                <w:sz w:val="24"/>
                <w:szCs w:val="24"/>
                <w:lang w:eastAsia="en-GB"/>
              </w:rPr>
            </w:pPr>
            <w:ins w:id="418" w:author="Author">
              <w:r>
                <w:rPr>
                  <w:rFonts w:ascii="inherit" w:eastAsia="Times New Roman" w:hAnsi="inherit" w:cs="Times New Roman"/>
                  <w:sz w:val="24"/>
                  <w:szCs w:val="24"/>
                  <w:lang w:eastAsia="en-GB"/>
                </w:rPr>
                <w:t>(c)</w:t>
              </w:r>
            </w:ins>
          </w:p>
        </w:tc>
        <w:tc>
          <w:tcPr>
            <w:tcW w:w="0" w:type="auto"/>
            <w:shd w:val="clear" w:color="auto" w:fill="auto"/>
          </w:tcPr>
          <w:p w14:paraId="7EFB46EF" w14:textId="77777777" w:rsidR="006A3791" w:rsidRPr="006A3791" w:rsidRDefault="006A3791" w:rsidP="006A3791">
            <w:pPr>
              <w:spacing w:before="120" w:after="0" w:line="240" w:lineRule="auto"/>
              <w:jc w:val="both"/>
              <w:rPr>
                <w:ins w:id="419" w:author="Author"/>
                <w:rFonts w:ascii="inherit" w:eastAsia="Times New Roman" w:hAnsi="inherit" w:cs="Times New Roman"/>
                <w:sz w:val="24"/>
                <w:szCs w:val="24"/>
                <w:lang w:eastAsia="en-GB"/>
              </w:rPr>
            </w:pPr>
            <w:ins w:id="420" w:author="Author">
              <w:r w:rsidRPr="006A3791">
                <w:rPr>
                  <w:rFonts w:ascii="inherit" w:eastAsia="Times New Roman" w:hAnsi="inherit" w:cs="Times New Roman"/>
                  <w:sz w:val="24"/>
                  <w:szCs w:val="24"/>
                  <w:lang w:eastAsia="en-GB"/>
                </w:rPr>
                <w:t>the following requirements shall apply to type B power-generating modules as well as electricity storage modules with regard to limited frequency sensitive mode – underfrequency (LFSM-U):</w:t>
              </w:r>
            </w:ins>
          </w:p>
          <w:p w14:paraId="5A9E8EAC" w14:textId="13F4FCA0" w:rsidR="006A3791" w:rsidRPr="003B7AE9" w:rsidRDefault="006A3791" w:rsidP="006A3791">
            <w:pPr>
              <w:spacing w:before="120" w:after="0" w:line="240" w:lineRule="auto"/>
              <w:jc w:val="both"/>
              <w:rPr>
                <w:ins w:id="421" w:author="Author"/>
                <w:rFonts w:ascii="inherit" w:eastAsia="Times New Roman" w:hAnsi="inherit" w:cs="Times New Roman"/>
                <w:sz w:val="24"/>
                <w:szCs w:val="24"/>
                <w:lang w:eastAsia="en-GB"/>
              </w:rPr>
            </w:pPr>
            <w:ins w:id="422" w:author="Author">
              <w:r w:rsidRPr="006A3791">
                <w:rPr>
                  <w:rFonts w:ascii="inherit" w:eastAsia="Times New Roman" w:hAnsi="inherit" w:cs="Times New Roman"/>
                  <w:sz w:val="24"/>
                  <w:szCs w:val="24"/>
                  <w:lang w:eastAsia="en-GB"/>
                </w:rPr>
                <w:t>[take the wording from Article 15.2 (c)(i)-(v) and add, when the words “power-genetaring module” appear, the words “or the electricity storage module”]</w:t>
              </w:r>
            </w:ins>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674"/>
                    <w:gridCol w:w="724"/>
                    <w:gridCol w:w="610"/>
                    <w:gridCol w:w="1396"/>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00AE47E3" w:rsidR="003B7AE9" w:rsidRPr="003B7AE9" w:rsidRDefault="003B7AE9" w:rsidP="003B7AE9">
                        <w:pPr>
                          <w:spacing w:before="60" w:after="60" w:line="240" w:lineRule="auto"/>
                          <w:rPr>
                            <w:rFonts w:ascii="inherit" w:eastAsia="Times New Roman" w:hAnsi="inherit" w:cs="Times New Roman"/>
                            <w:lang w:eastAsia="en-GB"/>
                          </w:rPr>
                        </w:pPr>
                        <w:commentRangeStart w:id="423"/>
                        <w:r w:rsidRPr="003B7AE9">
                          <w:rPr>
                            <w:rFonts w:ascii="inherit" w:eastAsia="Times New Roman" w:hAnsi="inherit" w:cs="Times New Roman"/>
                            <w:lang w:eastAsia="en-GB"/>
                          </w:rPr>
                          <w:t>0,14-0,15 (or 0,14-0,25 if system protection and secure operation so require</w:t>
                        </w:r>
                        <w:ins w:id="424" w:author="Author">
                          <w:r w:rsidR="006A3791">
                            <w:rPr>
                              <w:rFonts w:ascii="inherit" w:eastAsia="Times New Roman" w:hAnsi="inherit" w:cs="Times New Roman"/>
                              <w:lang w:eastAsia="en-GB"/>
                            </w:rPr>
                            <w:t xml:space="preserve"> for specific PGMs</w:t>
                          </w:r>
                        </w:ins>
                        <w:r w:rsidRPr="003B7AE9">
                          <w:rPr>
                            <w:rFonts w:ascii="inherit" w:eastAsia="Times New Roman" w:hAnsi="inherit" w:cs="Times New Roman"/>
                            <w:lang w:eastAsia="en-GB"/>
                          </w:rPr>
                          <w:t>)</w:t>
                        </w:r>
                        <w:commentRangeEnd w:id="423"/>
                        <w:r w:rsidR="006A3791">
                          <w:rPr>
                            <w:rStyle w:val="CommentReference"/>
                          </w:rPr>
                          <w:commentReference w:id="423"/>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4989160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ins w:id="425" w:author="Author">
        <w:r w:rsidR="006A3791">
          <w:rPr>
            <w:rFonts w:ascii="inherit" w:eastAsia="Times New Roman" w:hAnsi="inherit" w:cs="Times New Roman"/>
            <w:color w:val="000000"/>
            <w:sz w:val="24"/>
            <w:szCs w:val="24"/>
            <w:lang w:eastAsia="en-GB"/>
          </w:rPr>
          <w:t xml:space="preserve">. </w:t>
        </w:r>
        <w:commentRangeStart w:id="426"/>
        <w:r w:rsidR="006A3791" w:rsidRPr="006A3791">
          <w:rPr>
            <w:rFonts w:ascii="inherit" w:eastAsia="Times New Roman" w:hAnsi="inherit" w:cs="Times New Roman"/>
            <w:color w:val="000000"/>
            <w:sz w:val="24"/>
            <w:szCs w:val="24"/>
            <w:lang w:eastAsia="en-GB"/>
          </w:rPr>
          <w:t>A point other than the connection point may be utilised upon approval from regulatory authority</w:t>
        </w:r>
      </w:ins>
      <w:r w:rsidRPr="003B7AE9">
        <w:rPr>
          <w:rFonts w:ascii="inherit" w:eastAsia="Times New Roman" w:hAnsi="inherit" w:cs="Times New Roman"/>
          <w:color w:val="000000"/>
          <w:sz w:val="24"/>
          <w:szCs w:val="24"/>
          <w:lang w:eastAsia="en-GB"/>
        </w:rPr>
        <w:t>:</w:t>
      </w:r>
      <w:commentRangeEnd w:id="426"/>
      <w:r w:rsidR="006A3791">
        <w:rPr>
          <w:rStyle w:val="CommentReference"/>
        </w:rPr>
        <w:commentReference w:id="426"/>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w:t>
                  </w:r>
                  <w:r w:rsidRPr="003B7AE9">
                    <w:rPr>
                      <w:rFonts w:ascii="inherit" w:eastAsia="Times New Roman" w:hAnsi="inherit" w:cs="Times New Roman"/>
                      <w:sz w:val="24"/>
                      <w:szCs w:val="24"/>
                      <w:lang w:eastAsia="en-GB"/>
                    </w:rPr>
                    <w:lastRenderedPageBreak/>
                    <w:t>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24918D7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specified by the relevant system operator in the range of 1 to 5 seconds, </w:t>
                  </w:r>
                  <w:ins w:id="427" w:author="Author">
                    <w:r w:rsidR="006A3791" w:rsidRPr="006A3791">
                      <w:rPr>
                        <w:rFonts w:ascii="inherit" w:eastAsia="Times New Roman" w:hAnsi="inherit" w:cs="Times New Roman"/>
                        <w:sz w:val="24"/>
                        <w:szCs w:val="24"/>
                        <w:lang w:eastAsia="en-GB"/>
                      </w:rPr>
                      <w:t xml:space="preserve">for a </w:t>
                    </w:r>
                    <w:commentRangeStart w:id="428"/>
                    <w:r w:rsidR="006A3791" w:rsidRPr="006A3791">
                      <w:rPr>
                        <w:rFonts w:ascii="inherit" w:eastAsia="Times New Roman" w:hAnsi="inherit" w:cs="Times New Roman"/>
                        <w:sz w:val="24"/>
                        <w:szCs w:val="24"/>
                        <w:lang w:eastAsia="en-GB"/>
                      </w:rPr>
                      <w:t>maximum capacitive value of Q/Pmax=+0,2</w:t>
                    </w:r>
                    <w:r w:rsidR="006A3791">
                      <w:rPr>
                        <w:rFonts w:ascii="inherit" w:eastAsia="Times New Roman" w:hAnsi="inherit" w:cs="Times New Roman"/>
                        <w:sz w:val="24"/>
                        <w:szCs w:val="24"/>
                        <w:lang w:eastAsia="en-GB"/>
                      </w:rPr>
                      <w:t xml:space="preserve"> </w:t>
                    </w:r>
                    <w:commentRangeEnd w:id="428"/>
                    <w:r w:rsidR="006A3791">
                      <w:rPr>
                        <w:rStyle w:val="CommentReference"/>
                      </w:rPr>
                      <w:commentReference w:id="428"/>
                    </w:r>
                  </w:ins>
                  <w:r w:rsidRPr="003B7AE9">
                    <w:rPr>
                      <w:rFonts w:ascii="inherit" w:eastAsia="Times New Roman" w:hAnsi="inherit" w:cs="Times New Roman"/>
                      <w:sz w:val="24"/>
                      <w:szCs w:val="24"/>
                      <w:lang w:eastAsia="en-GB"/>
                    </w:rPr>
                    <w:t>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xml:space="preserve"> to be specified by the relevant system operator in the range of 5 to 60 seconds, with a steady-state reactive tolerance no greater than 5 % of the maximum reactive power. </w:t>
                  </w:r>
                  <w:ins w:id="429" w:author="Author">
                    <w:r w:rsidR="006A3791" w:rsidRPr="006A3791">
                      <w:rPr>
                        <w:rFonts w:ascii="inherit" w:eastAsia="Times New Roman" w:hAnsi="inherit" w:cs="Times New Roman"/>
                        <w:sz w:val="24"/>
                        <w:szCs w:val="24"/>
                        <w:lang w:eastAsia="en-GB"/>
                      </w:rPr>
                      <w:t xml:space="preserve">For capacitive reactive power values higher than +0,2 t2 up to 60 seconds will be allowed. </w:t>
                    </w:r>
                  </w:ins>
                  <w:r w:rsidRPr="003B7AE9">
                    <w:rPr>
                      <w:rFonts w:ascii="inherit" w:eastAsia="Times New Roman" w:hAnsi="inherit" w:cs="Times New Roman"/>
                      <w:sz w:val="24"/>
                      <w:szCs w:val="24"/>
                      <w:lang w:eastAsia="en-GB"/>
                    </w:rPr>
                    <w:t>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w:t>
      </w:r>
      <w:r w:rsidRPr="003B7AE9">
        <w:rPr>
          <w:rFonts w:ascii="inherit" w:eastAsia="Times New Roman" w:hAnsi="inherit" w:cs="Times New Roman"/>
          <w:color w:val="000000"/>
          <w:sz w:val="24"/>
          <w:szCs w:val="24"/>
          <w:lang w:eastAsia="en-GB"/>
        </w:rPr>
        <w:lastRenderedPageBreak/>
        <w:t>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9"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5"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9"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3"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4"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4BEDAC8D" w14:textId="77777777" w:rsidR="007D5E09" w:rsidRDefault="003B7AE9" w:rsidP="003B7AE9">
            <w:pPr>
              <w:spacing w:before="120" w:after="0" w:line="240" w:lineRule="auto"/>
              <w:jc w:val="both"/>
              <w:rPr>
                <w:ins w:id="43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p w14:paraId="09B6D05E" w14:textId="328FA65B" w:rsidR="007D5E09" w:rsidRPr="003B7AE9" w:rsidRDefault="007D5E09" w:rsidP="003B7AE9">
            <w:pPr>
              <w:spacing w:before="120" w:after="0" w:line="240" w:lineRule="auto"/>
              <w:jc w:val="both"/>
              <w:rPr>
                <w:rFonts w:ascii="inherit" w:eastAsia="Times New Roman" w:hAnsi="inherit" w:cs="Times New Roman"/>
                <w:sz w:val="24"/>
                <w:szCs w:val="24"/>
                <w:lang w:eastAsia="en-GB"/>
              </w:rPr>
            </w:pPr>
            <w:ins w:id="431" w:author="Author">
              <w:r w:rsidRPr="007D5E09">
                <w:rPr>
                  <w:rFonts w:ascii="inherit" w:eastAsia="Times New Roman" w:hAnsi="inherit" w:cs="Times New Roman"/>
                  <w:sz w:val="24"/>
                  <w:szCs w:val="24"/>
                  <w:lang w:eastAsia="en-GB"/>
                </w:rPr>
                <w:t>In any case, the use of equipment certificates issued by an authorised certifier shall be permitted.</w:t>
              </w:r>
            </w:ins>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For the purpose of operational notification for connection of each new type B and C power-generating module, a power-generating module document (‘PGMD’) shall be </w:t>
      </w:r>
      <w:r w:rsidRPr="003B7AE9">
        <w:rPr>
          <w:rFonts w:ascii="inherit" w:eastAsia="Times New Roman" w:hAnsi="inherit" w:cs="Times New Roman"/>
          <w:color w:val="000000"/>
          <w:sz w:val="24"/>
          <w:szCs w:val="24"/>
          <w:lang w:eastAsia="en-GB"/>
        </w:rPr>
        <w:lastRenderedPageBreak/>
        <w:t>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maximum period of validity which shall not exceed 12 months. The initial period granted may be shorter with the possibility of an extension if evidence is submitted to </w:t>
            </w:r>
            <w:r w:rsidRPr="003B7AE9">
              <w:rPr>
                <w:rFonts w:ascii="inherit" w:eastAsia="Times New Roman" w:hAnsi="inherit" w:cs="Times New Roman"/>
                <w:sz w:val="24"/>
                <w:szCs w:val="24"/>
                <w:lang w:eastAsia="en-GB"/>
              </w:rPr>
              <w:lastRenderedPageBreak/>
              <w:t>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w:t>
      </w:r>
      <w:r w:rsidRPr="003B7AE9">
        <w:rPr>
          <w:rFonts w:ascii="inherit" w:eastAsia="Times New Roman" w:hAnsi="inherit" w:cs="Times New Roman"/>
          <w:color w:val="000000"/>
          <w:sz w:val="24"/>
          <w:szCs w:val="24"/>
          <w:lang w:eastAsia="en-GB"/>
        </w:rPr>
        <w:lastRenderedPageBreak/>
        <w:t>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w:t>
      </w:r>
      <w:r w:rsidRPr="003B7AE9">
        <w:rPr>
          <w:rFonts w:ascii="inherit" w:eastAsia="Times New Roman" w:hAnsi="inherit" w:cs="Times New Roman"/>
          <w:color w:val="000000"/>
          <w:sz w:val="24"/>
          <w:szCs w:val="24"/>
          <w:lang w:eastAsia="en-GB"/>
        </w:rPr>
        <w:lastRenderedPageBreak/>
        <w:t>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477283F9" w:rsidR="003B7AE9" w:rsidRDefault="003B7AE9" w:rsidP="003B7AE9">
      <w:pPr>
        <w:shd w:val="clear" w:color="auto" w:fill="FFFFFF"/>
        <w:spacing w:before="120" w:after="0" w:line="240" w:lineRule="auto"/>
        <w:jc w:val="both"/>
        <w:rPr>
          <w:ins w:id="43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F3DCF29" w14:textId="14F2674D" w:rsidR="007D5E09" w:rsidRPr="003B7AE9" w:rsidRDefault="007D5E0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433"/>
      <w:ins w:id="434" w:author="Author">
        <w:r w:rsidRPr="007D5E09">
          <w:rPr>
            <w:rFonts w:ascii="inherit" w:eastAsia="Times New Roman" w:hAnsi="inherit" w:cs="Times New Roman"/>
            <w:color w:val="000000"/>
            <w:sz w:val="24"/>
            <w:szCs w:val="24"/>
            <w:lang w:eastAsia="en-GB"/>
          </w:rPr>
          <w:t>5.</w:t>
        </w:r>
        <w:r>
          <w:rPr>
            <w:rFonts w:ascii="inherit" w:eastAsia="Times New Roman" w:hAnsi="inherit" w:cs="Times New Roman"/>
            <w:color w:val="000000"/>
            <w:sz w:val="24"/>
            <w:szCs w:val="24"/>
            <w:lang w:eastAsia="en-GB"/>
          </w:rPr>
          <w:t xml:space="preserve">   </w:t>
        </w:r>
        <w:r w:rsidRPr="007D5E09">
          <w:rPr>
            <w:rFonts w:ascii="inherit" w:eastAsia="Times New Roman" w:hAnsi="inherit" w:cs="Times New Roman"/>
            <w:color w:val="000000"/>
            <w:sz w:val="24"/>
            <w:szCs w:val="24"/>
            <w:lang w:eastAsia="en-GB"/>
          </w:rPr>
          <w:t>The owner of the installation shall be responsible for carrying out the relevant updates to the installation to ensure its correct operation throughout its useful life.  Likewise, the system operator to which it is connected may require the necessary information for the analysis of incidents in its networks.</w:t>
        </w:r>
        <w:commentRangeEnd w:id="433"/>
        <w:r>
          <w:rPr>
            <w:rStyle w:val="CommentReference"/>
          </w:rPr>
          <w:commentReference w:id="433"/>
        </w:r>
      </w:ins>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lastRenderedPageBreak/>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w:t>
            </w:r>
            <w:r w:rsidRPr="003B7AE9">
              <w:rPr>
                <w:rFonts w:ascii="inherit" w:eastAsia="Times New Roman" w:hAnsi="inherit" w:cs="Times New Roman"/>
                <w:sz w:val="24"/>
                <w:szCs w:val="24"/>
                <w:lang w:eastAsia="en-GB"/>
              </w:rPr>
              <w:lastRenderedPageBreak/>
              <w:t>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w:t>
            </w:r>
            <w:r w:rsidRPr="003B7AE9">
              <w:rPr>
                <w:rFonts w:ascii="inherit" w:eastAsia="Times New Roman" w:hAnsi="inherit" w:cs="Times New Roman"/>
                <w:sz w:val="24"/>
                <w:szCs w:val="24"/>
                <w:lang w:eastAsia="en-GB"/>
              </w:rPr>
              <w:lastRenderedPageBreak/>
              <w:t>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power-generating facility owner, or prospective owner, </w:t>
      </w:r>
      <w:r w:rsidRPr="003B7AE9">
        <w:rPr>
          <w:rFonts w:ascii="inherit" w:eastAsia="Times New Roman" w:hAnsi="inherit" w:cs="Times New Roman"/>
          <w:color w:val="000000"/>
          <w:sz w:val="24"/>
          <w:szCs w:val="24"/>
          <w:lang w:eastAsia="en-GB"/>
        </w:rPr>
        <w:lastRenderedPageBreak/>
        <w:t>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11.   A regulatory authority may revoke a decision granting a derogation if the circumstances and underlying reasons no longer apply or upon a reasoned </w:t>
      </w:r>
      <w:r w:rsidRPr="003B7AE9">
        <w:rPr>
          <w:rFonts w:ascii="inherit" w:eastAsia="Times New Roman" w:hAnsi="inherit" w:cs="Times New Roman"/>
          <w:color w:val="000000"/>
          <w:sz w:val="24"/>
          <w:szCs w:val="24"/>
          <w:lang w:eastAsia="en-GB"/>
        </w:rPr>
        <w:lastRenderedPageBreak/>
        <w:t>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3B7AE9">
        <w:rPr>
          <w:rFonts w:ascii="inherit" w:eastAsia="Times New Roman" w:hAnsi="inherit" w:cs="Times New Roman"/>
          <w:color w:val="000000"/>
          <w:sz w:val="24"/>
          <w:szCs w:val="24"/>
          <w:lang w:eastAsia="en-GB"/>
        </w:rPr>
        <w:lastRenderedPageBreak/>
        <w:t>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 the event that the cumulative maximum capacity of all power-generating modules classified as emerging technologies connected to networks exceeds the threshold </w:t>
      </w:r>
      <w:r w:rsidRPr="003B7AE9">
        <w:rPr>
          <w:rFonts w:ascii="inherit" w:eastAsia="Times New Roman" w:hAnsi="inherit" w:cs="Times New Roman"/>
          <w:color w:val="000000"/>
          <w:sz w:val="24"/>
          <w:szCs w:val="24"/>
          <w:lang w:eastAsia="en-GB"/>
        </w:rPr>
        <w:lastRenderedPageBreak/>
        <w:t>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46266C"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6"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8"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0"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2"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4"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6"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46266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46266C"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46266C"/>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711BBCED" w14:textId="77777777" w:rsidR="00821C5C" w:rsidRDefault="00821C5C">
      <w:pPr>
        <w:pStyle w:val="CommentText"/>
      </w:pPr>
      <w:r>
        <w:rPr>
          <w:rStyle w:val="CommentReference"/>
        </w:rPr>
        <w:annotationRef/>
      </w:r>
      <w:r>
        <w:t>It should be ensured that recital 8 of the Regulation remains valid and that this doesn’t apply to existing facilities.</w:t>
      </w:r>
    </w:p>
    <w:p w14:paraId="502BD40C" w14:textId="77777777" w:rsidR="00821C5C" w:rsidRDefault="00821C5C">
      <w:pPr>
        <w:pStyle w:val="CommentText"/>
      </w:pPr>
    </w:p>
    <w:p w14:paraId="6C7E7196" w14:textId="77777777" w:rsidR="00821C5C" w:rsidRDefault="00821C5C" w:rsidP="00FE5B1B">
      <w:pPr>
        <w:pStyle w:val="CommentText"/>
      </w:pPr>
      <w:r>
        <w:t>The problem with the definition “substantial modernisation” remains. Basically, some investment done that requires the replacement of some component is deemed as a “significant or substantial modernisation”, even if no technical or other relevant metric changes. The obligation for the PGM to comply with the NC in these cases seems excessive. If a modernisation deems necessary to comply with the NC, there should exist a financial compensation in the compliance adaption of the PGM.</w:t>
      </w:r>
    </w:p>
  </w:comment>
  <w:comment w:id="2" w:author="Author" w:initials="A">
    <w:p w14:paraId="688515EA" w14:textId="77777777" w:rsidR="00821C5C" w:rsidRDefault="00821C5C">
      <w:pPr>
        <w:pStyle w:val="CommentText"/>
      </w:pPr>
      <w:r>
        <w:rPr>
          <w:rStyle w:val="CommentReference"/>
        </w:rPr>
        <w:annotationRef/>
      </w:r>
      <w:r>
        <w:rPr>
          <w:color w:val="000000"/>
          <w:lang w:val="en-US"/>
        </w:rPr>
        <w:t>Regarding the certification harmonisation and the use of equipment certificates throughout Europe for the smaller power generating modules - we understand that this would support the market and lower the barriers for connection to the EU grids where rules should be equal for all EU.</w:t>
      </w:r>
    </w:p>
    <w:p w14:paraId="54A6A4DF" w14:textId="77777777" w:rsidR="00821C5C" w:rsidRDefault="00821C5C">
      <w:pPr>
        <w:pStyle w:val="CommentText"/>
      </w:pPr>
    </w:p>
    <w:p w14:paraId="180FEA50" w14:textId="77777777" w:rsidR="00821C5C" w:rsidRDefault="00821C5C">
      <w:pPr>
        <w:pStyle w:val="CommentText"/>
      </w:pPr>
      <w:r>
        <w:rPr>
          <w:color w:val="000000"/>
          <w:lang w:val="en-US"/>
        </w:rPr>
        <w:t>For instance, identical frequency withstand requirements or deadband requirements for generators should be adopted as the frequency throughout a synchronous area is identical, and so should be the requirements. This is one of the causes that there are multiple generator national certificates and contributes to a barrier in the internal market.</w:t>
      </w:r>
    </w:p>
    <w:p w14:paraId="359CB6BC" w14:textId="77777777" w:rsidR="00821C5C" w:rsidRDefault="00821C5C">
      <w:pPr>
        <w:pStyle w:val="CommentText"/>
      </w:pPr>
    </w:p>
    <w:p w14:paraId="581B2290" w14:textId="77777777" w:rsidR="00821C5C" w:rsidRDefault="00821C5C">
      <w:pPr>
        <w:pStyle w:val="CommentText"/>
      </w:pPr>
      <w:r>
        <w:rPr>
          <w:color w:val="000000"/>
          <w:lang w:val="en-US"/>
        </w:rPr>
        <w:t>Currently there are different settings, according to the country, for generator frequency withstand. This is one of the causes that there are multiple generator national certificates and contributes to a barrier in the internal market.</w:t>
      </w:r>
    </w:p>
    <w:p w14:paraId="2409C71B" w14:textId="77777777" w:rsidR="00821C5C" w:rsidRDefault="00821C5C">
      <w:pPr>
        <w:pStyle w:val="CommentText"/>
      </w:pPr>
    </w:p>
    <w:p w14:paraId="2F7CBD04" w14:textId="77777777" w:rsidR="00821C5C" w:rsidRDefault="00821C5C" w:rsidP="00A700DF">
      <w:pPr>
        <w:pStyle w:val="CommentText"/>
      </w:pPr>
      <w:r>
        <w:rPr>
          <w:color w:val="000000"/>
          <w:lang w:val="en-US"/>
        </w:rPr>
        <w:t>Any changes should have regard for the size of the installation - it is more complex to certify for example a specific 1 GW power plant than small ones for which a standardisation may seem more relevant.</w:t>
      </w:r>
    </w:p>
  </w:comment>
  <w:comment w:id="18" w:author="Author" w:initials="A">
    <w:p w14:paraId="150E4A5E" w14:textId="77777777" w:rsidR="0030421D" w:rsidRDefault="00821C5C">
      <w:pPr>
        <w:pStyle w:val="CommentText"/>
      </w:pPr>
      <w:r>
        <w:rPr>
          <w:rStyle w:val="CommentReference"/>
        </w:rPr>
        <w:annotationRef/>
      </w:r>
      <w:r w:rsidR="0030421D">
        <w:t>The new NC RfG should include provisions for electricity storage modules. This notion is not yet defined (neither in the NC RfG, nor in the other Regulations / Directives mentioned in Article 2). Therefore, a new definition has to be added.</w:t>
      </w:r>
    </w:p>
    <w:p w14:paraId="6047B43D" w14:textId="77777777" w:rsidR="0030421D" w:rsidRDefault="0030421D">
      <w:pPr>
        <w:pStyle w:val="CommentText"/>
      </w:pPr>
    </w:p>
    <w:p w14:paraId="39DA7BED" w14:textId="77777777" w:rsidR="0030421D" w:rsidRDefault="0030421D">
      <w:pPr>
        <w:pStyle w:val="CommentText"/>
      </w:pPr>
      <w:r>
        <w:t>The EG Storage (under the GC ESC) elaborated a definition in its 2nd final report. This could be used.</w:t>
      </w:r>
    </w:p>
    <w:p w14:paraId="0DD0FEEE" w14:textId="77777777" w:rsidR="0030421D" w:rsidRDefault="0030421D">
      <w:pPr>
        <w:pStyle w:val="CommentText"/>
      </w:pPr>
    </w:p>
    <w:p w14:paraId="2D000155" w14:textId="77777777" w:rsidR="0030421D" w:rsidRDefault="0030421D" w:rsidP="00B557AF">
      <w:pPr>
        <w:pStyle w:val="CommentText"/>
      </w:pPr>
      <w:r>
        <w:t>Note this definition also includes, without requiring it to be stated in detail, electric vehicles with bidirectional functionalities connected to the grid through a bi-directionnal EV charging point.</w:t>
      </w:r>
    </w:p>
  </w:comment>
  <w:comment w:id="23" w:author="Author" w:initials="A">
    <w:p w14:paraId="48473491" w14:textId="77777777" w:rsidR="0030421D" w:rsidRDefault="0030421D" w:rsidP="00BF330A">
      <w:pPr>
        <w:pStyle w:val="CommentText"/>
      </w:pPr>
      <w:r>
        <w:rPr>
          <w:rStyle w:val="CommentReference"/>
        </w:rPr>
        <w:annotationRef/>
      </w:r>
      <w:r>
        <w:rPr>
          <w:color w:val="050004"/>
          <w:lang w:val="en-US"/>
        </w:rPr>
        <w:t>Alternatively, the “capacity” of a storage system could be associated with an energy value rather than a power value. A storage system can never permanently produce/withdraw a certain amount of power due to its limited capacity. An alternative could be to replace “Maximum storage equipment capacity” and “Maximum import capacity of storage equipment” with Useful Capacity Storage System: the amount of energy that a storage system is able to exchange with the grid at the point of delivery. The useful capacity of a storage system can vary over the lifetime of the system. And “Maximum discharge power”: Maximum active power that a storage system can deliver to the grid at the point of delivery; it can vary depending on the SOC and “Maximum charging power”: Maximum active power that a storage system can draw from the grid at the point of delivery; it can vary depending on the SOC.</w:t>
      </w:r>
    </w:p>
  </w:comment>
  <w:comment w:id="34" w:author="Author" w:initials="A">
    <w:p w14:paraId="5BC527C5" w14:textId="77777777" w:rsidR="0030421D" w:rsidRDefault="0030421D">
      <w:pPr>
        <w:pStyle w:val="CommentText"/>
      </w:pPr>
      <w:r>
        <w:rPr>
          <w:rStyle w:val="CommentReference"/>
        </w:rPr>
        <w:annotationRef/>
      </w:r>
      <w:r>
        <w:rPr>
          <w:lang w:val="en-US"/>
        </w:rPr>
        <w:t>These definitions are incorporated to develop Article 5 and include storage facilities.</w:t>
      </w:r>
    </w:p>
    <w:p w14:paraId="3593A814" w14:textId="77777777" w:rsidR="0030421D" w:rsidRDefault="0030421D">
      <w:pPr>
        <w:pStyle w:val="CommentText"/>
      </w:pPr>
    </w:p>
    <w:p w14:paraId="17456F92" w14:textId="77777777" w:rsidR="0030421D" w:rsidRDefault="0030421D" w:rsidP="0052169A">
      <w:pPr>
        <w:pStyle w:val="CommentText"/>
      </w:pPr>
      <w:r>
        <w:rPr>
          <w:lang w:val="en-US"/>
        </w:rPr>
        <w:t>Cases when storage can run independently or not from the neighbouring unit should be strongly separated.</w:t>
      </w:r>
    </w:p>
  </w:comment>
  <w:comment w:id="40" w:author="Author" w:initials="A">
    <w:p w14:paraId="175809A1" w14:textId="77777777" w:rsidR="0030421D" w:rsidRDefault="0030421D" w:rsidP="00345834">
      <w:pPr>
        <w:pStyle w:val="CommentText"/>
      </w:pPr>
      <w:r>
        <w:rPr>
          <w:rStyle w:val="CommentReference"/>
        </w:rPr>
        <w:annotationRef/>
      </w:r>
      <w:r>
        <w:rPr>
          <w:lang w:val="en-US"/>
        </w:rPr>
        <w:t>These definitions are incorporated to elaborate on Article 3 in which the exemptions are integrated.</w:t>
      </w:r>
    </w:p>
  </w:comment>
  <w:comment w:id="44" w:author="Author" w:initials="A">
    <w:p w14:paraId="1EAA2064" w14:textId="77777777" w:rsidR="0030421D" w:rsidRDefault="0030421D" w:rsidP="007D5C13">
      <w:pPr>
        <w:pStyle w:val="CommentText"/>
      </w:pPr>
      <w:r>
        <w:rPr>
          <w:rStyle w:val="CommentReference"/>
        </w:rPr>
        <w:annotationRef/>
      </w:r>
      <w:r>
        <w:rPr>
          <w:lang w:val="en-US"/>
        </w:rPr>
        <w:t>These definitions are incorporated to develop Article 5 and include citizen energy communities</w:t>
      </w:r>
    </w:p>
  </w:comment>
  <w:comment w:id="52" w:author="Author" w:initials="A">
    <w:p w14:paraId="16CEAEB0" w14:textId="77777777" w:rsidR="0030421D" w:rsidRDefault="0030421D">
      <w:pPr>
        <w:pStyle w:val="CommentText"/>
      </w:pPr>
      <w:r>
        <w:rPr>
          <w:rStyle w:val="CommentReference"/>
        </w:rPr>
        <w:annotationRef/>
      </w:r>
      <w:r>
        <w:rPr>
          <w:lang w:val="en-US"/>
        </w:rPr>
        <w:t>These definitions are incorporated to develop Article 5 and include Electric vehicle charging points</w:t>
      </w:r>
    </w:p>
    <w:p w14:paraId="07D0CF4F" w14:textId="77777777" w:rsidR="0030421D" w:rsidRDefault="0030421D" w:rsidP="00A41953">
      <w:pPr>
        <w:pStyle w:val="CommentText"/>
      </w:pPr>
      <w:r>
        <w:rPr>
          <w:lang w:val="en-US"/>
        </w:rPr>
        <w:t>These definitions are incorporated to develop Article 5 and include Electrical charging points</w:t>
      </w:r>
    </w:p>
  </w:comment>
  <w:comment w:id="116" w:author="Author" w:initials="A">
    <w:p w14:paraId="224A7170" w14:textId="77777777" w:rsidR="0030421D" w:rsidRDefault="0030421D">
      <w:pPr>
        <w:pStyle w:val="CommentText"/>
      </w:pPr>
      <w:r>
        <w:rPr>
          <w:rStyle w:val="CommentReference"/>
        </w:rPr>
        <w:annotationRef/>
      </w:r>
      <w:r>
        <w:t>Include electricity storage modules into the scope of application of the NC RfG and treat them as PGMs.</w:t>
      </w:r>
    </w:p>
    <w:p w14:paraId="1CEE9DEC" w14:textId="77777777" w:rsidR="0030421D" w:rsidRDefault="0030421D">
      <w:pPr>
        <w:pStyle w:val="CommentText"/>
      </w:pPr>
    </w:p>
    <w:p w14:paraId="232C2417" w14:textId="77777777" w:rsidR="0030421D" w:rsidRDefault="0030421D" w:rsidP="0076570E">
      <w:pPr>
        <w:pStyle w:val="CommentText"/>
      </w:pPr>
      <w:r>
        <w:t>Electricity storage modules shall also comprise electric vehicles when connected to the grid (see proposal for definition in Art. 2)</w:t>
      </w:r>
      <w:r>
        <w:rPr>
          <w:lang w:val="en-US"/>
        </w:rPr>
        <w:t xml:space="preserve"> with bi-directionnal functionnalities when connected to the grid through a bi-directionnal EV charging point.</w:t>
      </w:r>
    </w:p>
  </w:comment>
  <w:comment w:id="128" w:author="Author" w:initials="A">
    <w:p w14:paraId="40B3879D" w14:textId="77777777" w:rsidR="00353130" w:rsidRDefault="00353130" w:rsidP="009524DD">
      <w:pPr>
        <w:pStyle w:val="CommentText"/>
      </w:pPr>
      <w:r>
        <w:rPr>
          <w:rStyle w:val="CommentReference"/>
        </w:rPr>
        <w:annotationRef/>
      </w:r>
      <w:r>
        <w:rPr>
          <w:color w:val="000000"/>
          <w:lang w:val="en-US"/>
        </w:rPr>
        <w:t>In the case of introducing or tightening the requirements for offshore units, there should be introduced an exemption from the application of new requirements for those units that have signed a final and binding contract for the purchase of the main generating plant – like in NC RfG art. 4.2.b</w:t>
      </w:r>
    </w:p>
  </w:comment>
  <w:comment w:id="137" w:author="Author" w:initials="A">
    <w:p w14:paraId="62280DC4" w14:textId="77777777" w:rsidR="00717A13" w:rsidRDefault="00717A13" w:rsidP="00BF24C3">
      <w:pPr>
        <w:pStyle w:val="CommentText"/>
      </w:pPr>
      <w:r>
        <w:rPr>
          <w:rStyle w:val="CommentReference"/>
        </w:rPr>
        <w:annotationRef/>
      </w:r>
      <w:r>
        <w:t>The voltage of 110kV is not suitable in all Member States, so it should be possible for the regulatory authority to specify a different voltage level that indicates which production facilities are to be counted as type D regardless of size. Or as an alternative, remove the voltage criterion.</w:t>
      </w:r>
    </w:p>
  </w:comment>
  <w:comment w:id="156" w:author="Author" w:initials="A">
    <w:p w14:paraId="10875D9F" w14:textId="77777777" w:rsidR="00717A13" w:rsidRDefault="00717A13">
      <w:pPr>
        <w:pStyle w:val="CommentText"/>
      </w:pPr>
      <w:r>
        <w:rPr>
          <w:rStyle w:val="CommentReference"/>
        </w:rPr>
        <w:annotationRef/>
      </w:r>
      <w:r>
        <w:rPr>
          <w:lang w:val="en-US"/>
        </w:rPr>
        <w:t>The request for fulfilling all relevant requirements in both generating and pumping mode is not feasible in its generality. It is therefore recommended when revising NC RfG to distinguish better between the different operation modes and to state explicitly which requirements shall apply in each mode emphasizing the limitations in pumping mode.</w:t>
      </w:r>
    </w:p>
    <w:p w14:paraId="7E430C3A" w14:textId="77777777" w:rsidR="00717A13" w:rsidRDefault="00717A13" w:rsidP="001A1C25">
      <w:pPr>
        <w:pStyle w:val="CommentText"/>
      </w:pPr>
      <w:r>
        <w:rPr>
          <w:lang w:val="en-US"/>
        </w:rPr>
        <w:t>The NC RfG principle of distinguishing between synchronous power generating modules and power park modules can in principle be applied to Pump Storage Hydro power generating modules as well. It could however be stated, to which category the relevant generation technologies are assigned. It might be necessary to assign one technology as synchronous power generating module for some requirements and as power park modules for others.</w:t>
      </w:r>
    </w:p>
  </w:comment>
  <w:comment w:id="187" w:author="Author" w:initials="A">
    <w:p w14:paraId="25C073DF" w14:textId="77777777" w:rsidR="001135C1" w:rsidRDefault="001135C1" w:rsidP="004E24D4">
      <w:pPr>
        <w:pStyle w:val="CommentText"/>
      </w:pPr>
      <w:r>
        <w:rPr>
          <w:rStyle w:val="CommentReference"/>
        </w:rPr>
        <w:annotationRef/>
      </w:r>
      <w:r>
        <w:rPr>
          <w:lang w:val="en-US"/>
        </w:rPr>
        <w:t>Regarding harmonisation of requirements for type B, C and D generators - separate requirements should be given for DFIG generator and full inverter technology</w:t>
      </w:r>
      <w:r>
        <w:rPr>
          <w:b/>
          <w:bCs/>
          <w:lang w:val="en-US"/>
        </w:rPr>
        <w:t xml:space="preserve">. </w:t>
      </w:r>
      <w:r>
        <w:rPr>
          <w:lang w:val="en-US"/>
        </w:rPr>
        <w:t>Harmonisation should take into consideration EN50459-1:2019 and EN50459-2:2019.</w:t>
      </w:r>
    </w:p>
  </w:comment>
  <w:comment w:id="192" w:author="Author" w:initials="A">
    <w:p w14:paraId="489F4307" w14:textId="77777777" w:rsidR="001135C1" w:rsidRDefault="001135C1">
      <w:pPr>
        <w:pStyle w:val="CommentText"/>
      </w:pPr>
      <w:r>
        <w:rPr>
          <w:rStyle w:val="CommentReference"/>
        </w:rPr>
        <w:annotationRef/>
      </w:r>
      <w:r>
        <w:rPr>
          <w:lang w:val="en-US"/>
        </w:rPr>
        <w:t>The possibility to establish standardised European requirements should be checked.</w:t>
      </w:r>
    </w:p>
    <w:p w14:paraId="20DB47E0" w14:textId="77777777" w:rsidR="001135C1" w:rsidRDefault="001135C1">
      <w:pPr>
        <w:pStyle w:val="CommentText"/>
      </w:pPr>
    </w:p>
    <w:p w14:paraId="64335DBE" w14:textId="77777777" w:rsidR="001135C1" w:rsidRDefault="001135C1" w:rsidP="0067438A">
      <w:pPr>
        <w:pStyle w:val="CommentText"/>
      </w:pPr>
      <w:r>
        <w:rPr>
          <w:lang w:val="en-US"/>
        </w:rPr>
        <w:t>System operators should have a full picture of the grid at every instant to ease the flexibility opportunities of type A modules and to avoid jeopardising new functionalities. According to the regulation of each country, some type A generators do not require a specific access permit, and thus it is difficult to predict generation from those units. Some requirements should be considered in terms of communications allowing network operators a more flexible management of the generation, without causing disproportionate cost to the involved customers.</w:t>
      </w:r>
    </w:p>
  </w:comment>
  <w:comment w:id="300" w:author="Author" w:initials="A">
    <w:p w14:paraId="2B7F218E" w14:textId="77777777" w:rsidR="009B264F" w:rsidRDefault="009B264F" w:rsidP="002508C0">
      <w:pPr>
        <w:pStyle w:val="CommentText"/>
      </w:pPr>
      <w:r>
        <w:rPr>
          <w:rStyle w:val="CommentReference"/>
        </w:rPr>
        <w:annotationRef/>
      </w:r>
      <w:r>
        <w:rPr>
          <w:lang w:val="en-US"/>
        </w:rPr>
        <w:t>This value of 1 Hz/s during 500ms seems both realistic regarding the likely hazards and the ability of power plants to withstand it without disconnection.</w:t>
      </w:r>
    </w:p>
  </w:comment>
  <w:comment w:id="304" w:author="Author" w:initials="A">
    <w:p w14:paraId="7C2560DD" w14:textId="2BB29EF6" w:rsidR="009B264F" w:rsidRDefault="009B264F" w:rsidP="003D63D7">
      <w:pPr>
        <w:pStyle w:val="CommentText"/>
      </w:pPr>
      <w:r>
        <w:rPr>
          <w:rStyle w:val="CommentReference"/>
        </w:rPr>
        <w:annotationRef/>
      </w:r>
      <w:r>
        <w:rPr>
          <w:lang w:val="en-US"/>
        </w:rPr>
        <w:t>Standardisation on this issue, at least for the continental Europe would lead to less barriers. There is no reason for this requirement to be different in continental Europe.</w:t>
      </w:r>
    </w:p>
  </w:comment>
  <w:comment w:id="319" w:author="Author" w:initials="A">
    <w:p w14:paraId="374C3EBD" w14:textId="01655930" w:rsidR="001135C1" w:rsidRDefault="001135C1" w:rsidP="007B0607">
      <w:pPr>
        <w:pStyle w:val="CommentText"/>
      </w:pPr>
      <w:r>
        <w:rPr>
          <w:rStyle w:val="CommentReference"/>
        </w:rPr>
        <w:annotationRef/>
      </w:r>
      <w:r>
        <w:rPr>
          <w:lang w:val="en-US"/>
        </w:rPr>
        <w:t>It is necessary to include some reactive requirement as the range of type A is too wide. In Spain, a current problem is voltage control in the low voltage grid due to distortion caused by small generators. Currently generators &lt; 15 KW on urbanised land are exempt from applying for access and connection and from complying with grid codes, they start to</w:t>
      </w:r>
      <w:r>
        <w:t xml:space="preserve"> generate and raise the voltage on the grid and even trip due to their 115% overvoltage protection which also causes unacceptable overvoltages to other customers in the electrical vicinity.</w:t>
      </w:r>
    </w:p>
  </w:comment>
  <w:comment w:id="423" w:author="Author" w:initials="A">
    <w:p w14:paraId="6F01684B" w14:textId="77777777" w:rsidR="006A3791" w:rsidRDefault="006A3791" w:rsidP="005A136A">
      <w:pPr>
        <w:pStyle w:val="CommentText"/>
      </w:pPr>
      <w:r>
        <w:rPr>
          <w:rStyle w:val="CommentReference"/>
        </w:rPr>
        <w:annotationRef/>
      </w:r>
      <w:r>
        <w:t>Member States shall not select a value outside the interval 0,14-0,15 as a general national rule. That should only be possible for selected PGMs under certain conditions.</w:t>
      </w:r>
    </w:p>
  </w:comment>
  <w:comment w:id="426" w:author="Author" w:initials="A">
    <w:p w14:paraId="259C24B0" w14:textId="77777777" w:rsidR="006A3791" w:rsidRDefault="006A3791" w:rsidP="007E44F5">
      <w:pPr>
        <w:pStyle w:val="CommentText"/>
      </w:pPr>
      <w:r>
        <w:rPr>
          <w:rStyle w:val="CommentReference"/>
        </w:rPr>
        <w:annotationRef/>
      </w:r>
      <w:r>
        <w:t>According to Article 21, the regulation point should always be at the connection point when connecting power park modules. It should however be possible for the regulatory authority to grant exceptions if it provides a better solution for the system to measure in another point.</w:t>
      </w:r>
    </w:p>
  </w:comment>
  <w:comment w:id="428" w:author="Author" w:initials="A">
    <w:p w14:paraId="6B25B623" w14:textId="57E05AAA" w:rsidR="006A3791" w:rsidRDefault="006A3791" w:rsidP="009B1CC9">
      <w:pPr>
        <w:pStyle w:val="CommentText"/>
      </w:pPr>
      <w:r>
        <w:rPr>
          <w:rStyle w:val="CommentReference"/>
        </w:rPr>
        <w:annotationRef/>
      </w:r>
      <w:r>
        <w:t>To be aligned with the dynamic reactive power capability of the PPM, based in the reactive power capability of the units generating electricity (wind turbines, PV inverters). That way the installation of expensive dynamic reactive power compensation devices will only be needed in exceptional situations.</w:t>
      </w:r>
    </w:p>
  </w:comment>
  <w:comment w:id="433" w:author="Author" w:initials="A">
    <w:p w14:paraId="505533BA" w14:textId="77777777" w:rsidR="007D5E09" w:rsidRDefault="007D5E09" w:rsidP="00007D09">
      <w:pPr>
        <w:pStyle w:val="CommentText"/>
      </w:pPr>
      <w:r>
        <w:rPr>
          <w:rStyle w:val="CommentReference"/>
        </w:rPr>
        <w:annotationRef/>
      </w:r>
      <w:r>
        <w:rPr>
          <w:lang w:val="en-US"/>
        </w:rPr>
        <w:t>Generator lifelong compliance – The code should ensure compliance during the power plant life cycle addressing topic such as firmware updates, observation needs for incident analysis, and penalties for infringement. For type A, B and C the current code displays no penalties while for type D an infringement can lead to disconnection.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7E7196" w15:done="0"/>
  <w15:commentEx w15:paraId="2F7CBD04" w15:done="0"/>
  <w15:commentEx w15:paraId="2D000155" w15:done="0"/>
  <w15:commentEx w15:paraId="48473491" w15:done="0"/>
  <w15:commentEx w15:paraId="17456F92" w15:done="0"/>
  <w15:commentEx w15:paraId="175809A1" w15:done="0"/>
  <w15:commentEx w15:paraId="1EAA2064" w15:done="0"/>
  <w15:commentEx w15:paraId="07D0CF4F" w15:done="0"/>
  <w15:commentEx w15:paraId="232C2417" w15:done="0"/>
  <w15:commentEx w15:paraId="40B3879D" w15:done="0"/>
  <w15:commentEx w15:paraId="62280DC4" w15:done="0"/>
  <w15:commentEx w15:paraId="7E430C3A" w15:done="0"/>
  <w15:commentEx w15:paraId="25C073DF" w15:done="0"/>
  <w15:commentEx w15:paraId="64335DBE" w15:done="0"/>
  <w15:commentEx w15:paraId="2B7F218E" w15:done="0"/>
  <w15:commentEx w15:paraId="7C2560DD" w15:done="0"/>
  <w15:commentEx w15:paraId="374C3EBD" w15:done="0"/>
  <w15:commentEx w15:paraId="6F01684B" w15:done="0"/>
  <w15:commentEx w15:paraId="259C24B0" w15:done="0"/>
  <w15:commentEx w15:paraId="6B25B623" w15:done="0"/>
  <w15:commentEx w15:paraId="505533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974F" w16cex:dateUtc="2022-11-28T19:23:00Z"/>
  <w16cex:commentExtensible w16cex:durableId="272F982B" w16cex:dateUtc="2022-11-28T19:27:00Z"/>
  <w16cex:commentExtensible w16cex:durableId="272F992A" w16cex:dateUtc="2022-11-28T19:31:00Z"/>
  <w16cex:commentExtensible w16cex:durableId="272F9963" w16cex:dateUtc="2022-11-28T19:32:00Z"/>
  <w16cex:commentExtensible w16cex:durableId="272F99C8" w16cex:dateUtc="2022-11-28T19:34:00Z"/>
  <w16cex:commentExtensible w16cex:durableId="272F99F6" w16cex:dateUtc="2022-11-28T19:35:00Z"/>
  <w16cex:commentExtensible w16cex:durableId="272F9A0F" w16cex:dateUtc="2022-11-28T19:35:00Z"/>
  <w16cex:commentExtensible w16cex:durableId="272F9A3A" w16cex:dateUtc="2022-11-28T19:36:00Z"/>
  <w16cex:commentExtensible w16cex:durableId="272F9B30" w16cex:dateUtc="2022-11-28T19:40:00Z"/>
  <w16cex:commentExtensible w16cex:durableId="272F9CA7" w16cex:dateUtc="2022-11-28T19:46:00Z"/>
  <w16cex:commentExtensible w16cex:durableId="272F9F94" w16cex:dateUtc="2022-11-28T19:59:00Z"/>
  <w16cex:commentExtensible w16cex:durableId="272FA062" w16cex:dateUtc="2022-11-28T20:02:00Z"/>
  <w16cex:commentExtensible w16cex:durableId="272FA0E8" w16cex:dateUtc="2022-11-28T20:04:00Z"/>
  <w16cex:commentExtensible w16cex:durableId="272FA1D2" w16cex:dateUtc="2022-11-28T20:08:00Z"/>
  <w16cex:commentExtensible w16cex:durableId="272FA420" w16cex:dateUtc="2022-11-28T20:18:00Z"/>
  <w16cex:commentExtensible w16cex:durableId="272FA3C9" w16cex:dateUtc="2022-11-28T20:16:00Z"/>
  <w16cex:commentExtensible w16cex:durableId="272FA2D8" w16cex:dateUtc="2022-11-28T20:12:00Z"/>
  <w16cex:commentExtensible w16cex:durableId="272FA9D5" w16cex:dateUtc="2022-11-28T20:42:00Z"/>
  <w16cex:commentExtensible w16cex:durableId="272FAAED" w16cex:dateUtc="2022-11-28T20:47:00Z"/>
  <w16cex:commentExtensible w16cex:durableId="272FAA8F" w16cex:dateUtc="2022-11-28T20:45:00Z"/>
  <w16cex:commentExtensible w16cex:durableId="272FAB7B" w16cex:dateUtc="2022-11-28T2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E7196" w16cid:durableId="272F974F"/>
  <w16cid:commentId w16cid:paraId="2F7CBD04" w16cid:durableId="272F982B"/>
  <w16cid:commentId w16cid:paraId="2D000155" w16cid:durableId="272F992A"/>
  <w16cid:commentId w16cid:paraId="48473491" w16cid:durableId="272F9963"/>
  <w16cid:commentId w16cid:paraId="17456F92" w16cid:durableId="272F99C8"/>
  <w16cid:commentId w16cid:paraId="175809A1" w16cid:durableId="272F99F6"/>
  <w16cid:commentId w16cid:paraId="1EAA2064" w16cid:durableId="272F9A0F"/>
  <w16cid:commentId w16cid:paraId="07D0CF4F" w16cid:durableId="272F9A3A"/>
  <w16cid:commentId w16cid:paraId="232C2417" w16cid:durableId="272F9B30"/>
  <w16cid:commentId w16cid:paraId="40B3879D" w16cid:durableId="272F9CA7"/>
  <w16cid:commentId w16cid:paraId="62280DC4" w16cid:durableId="272F9F94"/>
  <w16cid:commentId w16cid:paraId="7E430C3A" w16cid:durableId="272FA062"/>
  <w16cid:commentId w16cid:paraId="25C073DF" w16cid:durableId="272FA0E8"/>
  <w16cid:commentId w16cid:paraId="64335DBE" w16cid:durableId="272FA1D2"/>
  <w16cid:commentId w16cid:paraId="2B7F218E" w16cid:durableId="272FA420"/>
  <w16cid:commentId w16cid:paraId="7C2560DD" w16cid:durableId="272FA3C9"/>
  <w16cid:commentId w16cid:paraId="374C3EBD" w16cid:durableId="272FA2D8"/>
  <w16cid:commentId w16cid:paraId="6F01684B" w16cid:durableId="272FA9D5"/>
  <w16cid:commentId w16cid:paraId="259C24B0" w16cid:durableId="272FAAED"/>
  <w16cid:commentId w16cid:paraId="6B25B623" w16cid:durableId="272FAA8F"/>
  <w16cid:commentId w16cid:paraId="505533BA" w16cid:durableId="272FAB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135C1"/>
    <w:rsid w:val="001B0BEF"/>
    <w:rsid w:val="0030421D"/>
    <w:rsid w:val="00353130"/>
    <w:rsid w:val="003B7AE9"/>
    <w:rsid w:val="003E5A92"/>
    <w:rsid w:val="0041729F"/>
    <w:rsid w:val="0046266C"/>
    <w:rsid w:val="00513EE3"/>
    <w:rsid w:val="005165C2"/>
    <w:rsid w:val="00617F47"/>
    <w:rsid w:val="0062733B"/>
    <w:rsid w:val="006716CD"/>
    <w:rsid w:val="006A3791"/>
    <w:rsid w:val="00717A13"/>
    <w:rsid w:val="007D5E09"/>
    <w:rsid w:val="00820E13"/>
    <w:rsid w:val="00821C5C"/>
    <w:rsid w:val="009B264F"/>
    <w:rsid w:val="00AA0F46"/>
    <w:rsid w:val="00CF3C5C"/>
    <w:rsid w:val="00D71BA8"/>
    <w:rsid w:val="00E07166"/>
    <w:rsid w:val="00E1013D"/>
    <w:rsid w:val="00E92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821C5C"/>
    <w:rPr>
      <w:sz w:val="16"/>
      <w:szCs w:val="16"/>
    </w:rPr>
  </w:style>
  <w:style w:type="paragraph" w:styleId="CommentText">
    <w:name w:val="annotation text"/>
    <w:basedOn w:val="Normal"/>
    <w:link w:val="CommentTextChar"/>
    <w:uiPriority w:val="99"/>
    <w:unhideWhenUsed/>
    <w:rsid w:val="00821C5C"/>
    <w:pPr>
      <w:spacing w:line="240" w:lineRule="auto"/>
    </w:pPr>
    <w:rPr>
      <w:sz w:val="20"/>
      <w:szCs w:val="20"/>
    </w:rPr>
  </w:style>
  <w:style w:type="character" w:customStyle="1" w:styleId="CommentTextChar">
    <w:name w:val="Comment Text Char"/>
    <w:basedOn w:val="DefaultParagraphFont"/>
    <w:link w:val="CommentText"/>
    <w:uiPriority w:val="99"/>
    <w:rsid w:val="00821C5C"/>
    <w:rPr>
      <w:sz w:val="20"/>
      <w:szCs w:val="20"/>
    </w:rPr>
  </w:style>
  <w:style w:type="paragraph" w:styleId="CommentSubject">
    <w:name w:val="annotation subject"/>
    <w:basedOn w:val="CommentText"/>
    <w:next w:val="CommentText"/>
    <w:link w:val="CommentSubjectChar"/>
    <w:uiPriority w:val="99"/>
    <w:semiHidden/>
    <w:unhideWhenUsed/>
    <w:rsid w:val="00821C5C"/>
    <w:rPr>
      <w:b/>
      <w:bCs/>
    </w:rPr>
  </w:style>
  <w:style w:type="character" w:customStyle="1" w:styleId="CommentSubjectChar">
    <w:name w:val="Comment Subject Char"/>
    <w:basedOn w:val="CommentTextChar"/>
    <w:link w:val="CommentSubject"/>
    <w:uiPriority w:val="99"/>
    <w:semiHidden/>
    <w:rsid w:val="00821C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3.jpeg"/><Relationship Id="rId26" Type="http://schemas.openxmlformats.org/officeDocument/2006/relationships/image" Target="media/image11.jpeg"/><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6.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2:315:TOC" TargetMode="External"/><Relationship Id="rId55" Type="http://schemas.openxmlformats.org/officeDocument/2006/relationships/hyperlink" Target="https://eur-lex.europa.eu/legal-content/EN/TXT/HTML/?uri=CELEX:32016R0631&amp;from=EN" TargetMode="External"/><Relationship Id="rId63" Type="http://schemas.microsoft.com/office/2018/08/relationships/commentsExtensible" Target="commentsExtensi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1.jpeg"/><Relationship Id="rId29" Type="http://schemas.openxmlformats.org/officeDocument/2006/relationships/hyperlink" Target="https://eur-lex.europa.eu/legal-content/EN/TXT/HTML/?uri=CELEX:32016R0631&amp;from=EN" TargetMode="External"/><Relationship Id="rId11" Type="http://schemas.microsoft.com/office/2011/relationships/commentsExtended" Target="commentsExtended.xml"/><Relationship Id="rId24" Type="http://schemas.openxmlformats.org/officeDocument/2006/relationships/image" Target="media/image9.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image" Target="media/image4.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09:211:TOC" TargetMode="External"/><Relationship Id="rId56" Type="http://schemas.openxmlformats.org/officeDocument/2006/relationships/hyperlink" Target="https://eur-lex.europa.eu/legal-content/EN/AUTO/?uri=OJ:L:2008:218:TOC" TargetMode="External"/><Relationship Id="rId64" Type="http://schemas.microsoft.com/office/2016/09/relationships/commentsIds" Target="commentsIds.xm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hyperlink" Target="https://eur-lex.europa.eu/legal-content/EN/TXT/HTML/?uri=CELEX:32016R0631&amp;from=EN" TargetMode="External"/><Relationship Id="rId20" Type="http://schemas.openxmlformats.org/officeDocument/2006/relationships/image" Target="media/image5.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13:163:TO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8.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comments" Target="comments.xm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AUTO/?uri=OJ:L:2015:197:TOC" TargetMode="External"/><Relationship Id="rId60" Type="http://schemas.openxmlformats.org/officeDocument/2006/relationships/hyperlink" Target="https://eur-lex.europa.eu/legal-content/EN/TXT/HTML/?uri=CELEX:32016R0631&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CE9E468A-454A-4846-AE4D-826D9F3E6A87}"/>
</file>

<file path=customXml/itemProps2.xml><?xml version="1.0" encoding="utf-8"?>
<ds:datastoreItem xmlns:ds="http://schemas.openxmlformats.org/officeDocument/2006/customXml" ds:itemID="{0217CB8E-CA71-4892-9D9B-C2DE3D0D3758}"/>
</file>

<file path=customXml/itemProps3.xml><?xml version="1.0" encoding="utf-8"?>
<ds:datastoreItem xmlns:ds="http://schemas.openxmlformats.org/officeDocument/2006/customXml" ds:itemID="{1059F83A-05D4-4DC1-8BE7-F91295E7081F}"/>
</file>

<file path=docProps/app.xml><?xml version="1.0" encoding="utf-8"?>
<Properties xmlns="http://schemas.openxmlformats.org/officeDocument/2006/extended-properties" xmlns:vt="http://schemas.openxmlformats.org/officeDocument/2006/docPropsVTypes">
  <Template>Normal</Template>
  <TotalTime>0</TotalTime>
  <Pages>95</Pages>
  <Words>34679</Words>
  <Characters>197672</Characters>
  <Application>Microsoft Office Word</Application>
  <DocSecurity>0</DocSecurity>
  <Lines>1647</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2022-11-29T10:38:00Z</dcterms:created>
  <dcterms:modified xsi:type="dcterms:W3CDTF">2022-11-29T10:38:00Z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