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47A82" w14:textId="277869F1" w:rsidR="005677E2" w:rsidRPr="00CA09F9" w:rsidRDefault="00C405DA">
      <w:pPr>
        <w:rPr>
          <w:b/>
          <w:bCs/>
        </w:rPr>
      </w:pPr>
      <w:r w:rsidRPr="00CA09F9">
        <w:rPr>
          <w:b/>
          <w:bCs/>
        </w:rPr>
        <w:t xml:space="preserve">IFIEC Europe NC DCC - Justification </w:t>
      </w:r>
    </w:p>
    <w:p w14:paraId="51851592" w14:textId="799965C4" w:rsidR="00C405DA" w:rsidRDefault="00C405DA"/>
    <w:tbl>
      <w:tblPr>
        <w:tblStyle w:val="TableGrid"/>
        <w:tblW w:w="13887" w:type="dxa"/>
        <w:tblLook w:val="04A0" w:firstRow="1" w:lastRow="0" w:firstColumn="1" w:lastColumn="0" w:noHBand="0" w:noVBand="1"/>
      </w:tblPr>
      <w:tblGrid>
        <w:gridCol w:w="799"/>
        <w:gridCol w:w="3874"/>
        <w:gridCol w:w="6946"/>
        <w:gridCol w:w="2268"/>
      </w:tblGrid>
      <w:tr w:rsidR="004E5D78" w14:paraId="3A3CA0F2" w14:textId="77777777" w:rsidTr="009B2D14">
        <w:tc>
          <w:tcPr>
            <w:tcW w:w="799" w:type="dxa"/>
          </w:tcPr>
          <w:p w14:paraId="23235011" w14:textId="77777777" w:rsidR="004E5D78" w:rsidRDefault="004E5D78"/>
        </w:tc>
        <w:tc>
          <w:tcPr>
            <w:tcW w:w="3874" w:type="dxa"/>
          </w:tcPr>
          <w:p w14:paraId="1CC36CE0" w14:textId="21BDA7B2" w:rsidR="004E5D78" w:rsidRDefault="004E5D78">
            <w:r>
              <w:t>Amendment proposal</w:t>
            </w:r>
          </w:p>
        </w:tc>
        <w:tc>
          <w:tcPr>
            <w:tcW w:w="6946" w:type="dxa"/>
          </w:tcPr>
          <w:p w14:paraId="103498E8" w14:textId="5A2F6D92" w:rsidR="004E5D78" w:rsidRDefault="004E5D78">
            <w:r>
              <w:t>Reasoning</w:t>
            </w:r>
          </w:p>
        </w:tc>
        <w:tc>
          <w:tcPr>
            <w:tcW w:w="2268" w:type="dxa"/>
          </w:tcPr>
          <w:p w14:paraId="4CDAB35A" w14:textId="59391749" w:rsidR="004E5D78" w:rsidRDefault="004E5D78">
            <w:r>
              <w:t>Relation to other provision</w:t>
            </w:r>
          </w:p>
        </w:tc>
      </w:tr>
      <w:tr w:rsidR="004E5D78" w14:paraId="3A2256A3" w14:textId="77777777" w:rsidTr="009B2D14">
        <w:tc>
          <w:tcPr>
            <w:tcW w:w="799" w:type="dxa"/>
          </w:tcPr>
          <w:p w14:paraId="42F74432" w14:textId="41003DD9" w:rsidR="004E5D78" w:rsidRDefault="004E5D78">
            <w:r>
              <w:t>(7)</w:t>
            </w:r>
          </w:p>
        </w:tc>
        <w:tc>
          <w:tcPr>
            <w:tcW w:w="3874" w:type="dxa"/>
          </w:tcPr>
          <w:p w14:paraId="23001BAA" w14:textId="7B57A35A" w:rsidR="004E5D78" w:rsidRDefault="004E5D78">
            <w:r>
              <w:t>/</w:t>
            </w:r>
          </w:p>
        </w:tc>
        <w:tc>
          <w:tcPr>
            <w:tcW w:w="6946" w:type="dxa"/>
          </w:tcPr>
          <w:p w14:paraId="1B007A01" w14:textId="77777777" w:rsidR="004E5D78" w:rsidRDefault="004E5D78">
            <w:proofErr w:type="gramStart"/>
            <w:r>
              <w:t>As of this version 2.0 of DCC, it is important to tackle how “new” will be defined between the different versions of the NC DCC, in order to have a clear view on which requirements will be applicable to which parts of facilities, knowing that it is very unlikely that all assets of a facility will be modified at the same time.</w:t>
            </w:r>
            <w:proofErr w:type="gramEnd"/>
          </w:p>
          <w:p w14:paraId="56321901" w14:textId="1DEE6FF9" w:rsidR="004E5D78" w:rsidRDefault="004E5D78">
            <w:r>
              <w:t>The same applies to the definition of “existing”</w:t>
            </w:r>
          </w:p>
        </w:tc>
        <w:tc>
          <w:tcPr>
            <w:tcW w:w="2268" w:type="dxa"/>
          </w:tcPr>
          <w:p w14:paraId="5AF629CE" w14:textId="32EEE4E9" w:rsidR="004E5D78" w:rsidRDefault="004E5D78">
            <w:r>
              <w:t>Entire scope of DCC, this is an overall issue of versioning that should be tackled in a general way</w:t>
            </w:r>
          </w:p>
        </w:tc>
      </w:tr>
      <w:tr w:rsidR="004E5D78" w14:paraId="1B90D488" w14:textId="77777777" w:rsidTr="009B2D14">
        <w:tc>
          <w:tcPr>
            <w:tcW w:w="799" w:type="dxa"/>
          </w:tcPr>
          <w:p w14:paraId="52626D60" w14:textId="00341735" w:rsidR="004E5D78" w:rsidRDefault="004E5D78">
            <w:r>
              <w:t>(7)</w:t>
            </w:r>
          </w:p>
        </w:tc>
        <w:tc>
          <w:tcPr>
            <w:tcW w:w="3874" w:type="dxa"/>
          </w:tcPr>
          <w:p w14:paraId="250AE4A0" w14:textId="254DCE9D" w:rsidR="004E5D78" w:rsidRDefault="004E5D78">
            <w:r w:rsidRPr="008E4E18">
              <w:rPr>
                <w:rFonts w:ascii="inherit" w:eastAsia="Times New Roman" w:hAnsi="inherit" w:cs="Times New Roman"/>
                <w:sz w:val="24"/>
                <w:szCs w:val="24"/>
                <w:lang w:eastAsia="en-GB"/>
              </w:rPr>
              <w:t>The requirements of this Regulation also should not apply to new or existing demand facilities connected at the distribution level</w:t>
            </w:r>
            <w:r>
              <w:rPr>
                <w:rFonts w:ascii="inherit" w:eastAsia="Times New Roman" w:hAnsi="inherit" w:cs="Times New Roman"/>
                <w:sz w:val="24"/>
                <w:szCs w:val="24"/>
                <w:lang w:eastAsia="en-GB"/>
              </w:rPr>
              <w:t xml:space="preserve"> </w:t>
            </w:r>
            <w:r w:rsidRPr="00572A4A">
              <w:rPr>
                <w:rFonts w:ascii="inherit" w:eastAsia="Times New Roman" w:hAnsi="inherit" w:cs="Times New Roman"/>
                <w:strike/>
                <w:color w:val="FF0000"/>
                <w:sz w:val="24"/>
                <w:szCs w:val="24"/>
                <w:lang w:eastAsia="en-GB"/>
              </w:rPr>
              <w:t>unless they provide demand response services to relevant system operators and relevant TSOs.</w:t>
            </w:r>
          </w:p>
        </w:tc>
        <w:tc>
          <w:tcPr>
            <w:tcW w:w="6946" w:type="dxa"/>
          </w:tcPr>
          <w:p w14:paraId="2DF1A56B" w14:textId="77F052D2" w:rsidR="004E5D78" w:rsidRDefault="004E5D78">
            <w:proofErr w:type="gramStart"/>
            <w:r>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w:t>
            </w:r>
            <w:r w:rsidR="004C662E">
              <w:t>facilities</w:t>
            </w:r>
            <w:r>
              <w:t xml:space="preserve"> would not deliver </w:t>
            </w:r>
            <w:r w:rsidRPr="00DF7E11">
              <w:rPr>
                <w:b/>
                <w:bCs/>
              </w:rPr>
              <w:t>some</w:t>
            </w:r>
            <w:r>
              <w:t xml:space="preserve"> demand response service for which they have capabili</w:t>
            </w:r>
            <w:bookmarkStart w:id="0" w:name="_GoBack"/>
            <w:bookmarkEnd w:id="0"/>
            <w:r>
              <w:t xml:space="preserve">ties because they would not be able to fulfil (without costly investments) </w:t>
            </w:r>
            <w:r w:rsidRPr="00507787">
              <w:rPr>
                <w:b/>
                <w:bCs/>
              </w:rPr>
              <w:t>all</w:t>
            </w:r>
            <w:r>
              <w:t xml:space="preserve"> requirements of the network code.</w:t>
            </w:r>
          </w:p>
        </w:tc>
        <w:tc>
          <w:tcPr>
            <w:tcW w:w="2268" w:type="dxa"/>
          </w:tcPr>
          <w:p w14:paraId="2A63C4CD" w14:textId="77777777" w:rsidR="004E5D78" w:rsidRDefault="004E5D78"/>
        </w:tc>
      </w:tr>
      <w:tr w:rsidR="004E5D78" w14:paraId="0583D81F" w14:textId="77777777" w:rsidTr="009B2D14">
        <w:tc>
          <w:tcPr>
            <w:tcW w:w="799" w:type="dxa"/>
          </w:tcPr>
          <w:p w14:paraId="1E3635CF" w14:textId="3E3613E6" w:rsidR="004E5D78" w:rsidRDefault="004E5D78">
            <w:r>
              <w:t>(10)</w:t>
            </w:r>
          </w:p>
        </w:tc>
        <w:tc>
          <w:tcPr>
            <w:tcW w:w="3874" w:type="dxa"/>
          </w:tcPr>
          <w:p w14:paraId="20BAF5DB" w14:textId="725E7549" w:rsidR="004E5D78" w:rsidRDefault="004E5D78">
            <w:r w:rsidRPr="008E4E18">
              <w:rPr>
                <w:rFonts w:ascii="inherit" w:eastAsia="Times New Roman" w:hAnsi="inherit" w:cs="Times New Roman"/>
                <w:sz w:val="24"/>
                <w:szCs w:val="24"/>
                <w:lang w:eastAsia="en-GB"/>
              </w:rPr>
              <w:t xml:space="preserve">The requirements applicable to a demand facility connected to a transmission system should set out the capabilities at their interfaces </w:t>
            </w:r>
          </w:p>
        </w:tc>
        <w:tc>
          <w:tcPr>
            <w:tcW w:w="6946" w:type="dxa"/>
          </w:tcPr>
          <w:p w14:paraId="3F769A1E" w14:textId="2DC67FBF" w:rsidR="004E5D78" w:rsidRDefault="004E5D78">
            <w:r>
              <w:t xml:space="preserve">The scope of NC DCC is at the connection point (interface) with the grid of the system operator, which is different to the scope of </w:t>
            </w:r>
            <w:proofErr w:type="spellStart"/>
            <w:r>
              <w:t>RfG</w:t>
            </w:r>
            <w:proofErr w:type="spellEnd"/>
            <w:r>
              <w:t xml:space="preserve"> (on PGM level). This is a very important element that should be tackled for IFIEC Europe, as it has </w:t>
            </w:r>
            <w:proofErr w:type="spellStart"/>
            <w:r>
              <w:t>a.o.</w:t>
            </w:r>
            <w:proofErr w:type="spellEnd"/>
            <w:r>
              <w:t xml:space="preserve"> a very important impact on substantial modernisation</w:t>
            </w:r>
          </w:p>
        </w:tc>
        <w:tc>
          <w:tcPr>
            <w:tcW w:w="2268" w:type="dxa"/>
          </w:tcPr>
          <w:p w14:paraId="44033648" w14:textId="77777777" w:rsidR="004E5D78" w:rsidRDefault="004E5D78"/>
        </w:tc>
      </w:tr>
      <w:tr w:rsidR="004E5D78" w14:paraId="5ED02E7B" w14:textId="77777777" w:rsidTr="009B2D14">
        <w:tc>
          <w:tcPr>
            <w:tcW w:w="799" w:type="dxa"/>
          </w:tcPr>
          <w:p w14:paraId="2E06D1F0" w14:textId="6092CF40" w:rsidR="004E5D78" w:rsidRDefault="00F26D31">
            <w:r>
              <w:t>(12)</w:t>
            </w:r>
          </w:p>
        </w:tc>
        <w:tc>
          <w:tcPr>
            <w:tcW w:w="3874" w:type="dxa"/>
          </w:tcPr>
          <w:p w14:paraId="56B0B243" w14:textId="7B25B6BE" w:rsidR="004E5D78" w:rsidRPr="00F26D31" w:rsidRDefault="00F26D31">
            <w:pPr>
              <w:rPr>
                <w:strike/>
                <w:color w:val="FF0000"/>
              </w:rPr>
            </w:pPr>
            <w:r w:rsidRPr="00F26D31">
              <w:rPr>
                <w:rFonts w:ascii="inherit" w:eastAsia="Times New Roman" w:hAnsi="inherit" w:cs="Times New Roman"/>
                <w:strike/>
                <w:color w:val="FF0000"/>
                <w:sz w:val="24"/>
                <w:szCs w:val="24"/>
                <w:lang w:eastAsia="en-GB"/>
              </w:rPr>
              <w:t xml:space="preserve">The requirements applicable to a demand unit used by a demand facility or a closed distribution system to provide demand response services to relevant system operators and relevant TSOs should ensure the capacity to </w:t>
            </w:r>
            <w:r w:rsidRPr="00F26D31">
              <w:rPr>
                <w:rFonts w:ascii="inherit" w:eastAsia="Times New Roman" w:hAnsi="inherit" w:cs="Times New Roman"/>
                <w:strike/>
                <w:color w:val="FF0000"/>
                <w:sz w:val="24"/>
                <w:szCs w:val="24"/>
                <w:lang w:eastAsia="en-GB"/>
              </w:rPr>
              <w:lastRenderedPageBreak/>
              <w:t>use the demand response over system operational ranges thereby minimising critical events.</w:t>
            </w:r>
          </w:p>
        </w:tc>
        <w:tc>
          <w:tcPr>
            <w:tcW w:w="6946" w:type="dxa"/>
          </w:tcPr>
          <w:p w14:paraId="53B39885" w14:textId="3B9E4788" w:rsidR="004E5D78" w:rsidRDefault="004C662E">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w:t>
            </w:r>
            <w:r>
              <w:lastRenderedPageBreak/>
              <w:t xml:space="preserve">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tc>
        <w:tc>
          <w:tcPr>
            <w:tcW w:w="2268" w:type="dxa"/>
          </w:tcPr>
          <w:p w14:paraId="2BEEFA8A" w14:textId="77777777" w:rsidR="004E5D78" w:rsidRDefault="004E5D78"/>
        </w:tc>
      </w:tr>
      <w:tr w:rsidR="004E5D78" w14:paraId="7A2C4ABD" w14:textId="77777777" w:rsidTr="009B2D14">
        <w:tc>
          <w:tcPr>
            <w:tcW w:w="799" w:type="dxa"/>
          </w:tcPr>
          <w:p w14:paraId="7393FD2C" w14:textId="71019D8F" w:rsidR="004E5D78" w:rsidRDefault="004C662E">
            <w:r>
              <w:t>(13)</w:t>
            </w:r>
          </w:p>
        </w:tc>
        <w:tc>
          <w:tcPr>
            <w:tcW w:w="3874" w:type="dxa"/>
          </w:tcPr>
          <w:p w14:paraId="0F646EAF" w14:textId="660664A4" w:rsidR="004E5D78" w:rsidRDefault="004C662E">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limits</w:t>
            </w:r>
            <w:r w:rsidRPr="004C662E">
              <w:rPr>
                <w:rFonts w:ascii="inherit" w:eastAsia="Times New Roman" w:hAnsi="inherit" w:cs="Times New Roman"/>
                <w:strike/>
                <w:color w:val="FF0000"/>
                <w:sz w:val="24"/>
                <w:szCs w:val="24"/>
                <w:lang w:eastAsia="en-GB"/>
              </w:rPr>
              <w:t>, in particular as regards domestic consumers,</w:t>
            </w:r>
            <w:r w:rsidRPr="008E4E18">
              <w:rPr>
                <w:rFonts w:ascii="inherit" w:eastAsia="Times New Roman" w:hAnsi="inherit" w:cs="Times New Roman"/>
                <w:sz w:val="24"/>
                <w:szCs w:val="24"/>
                <w:lang w:eastAsia="en-GB"/>
              </w:rPr>
              <w:t xml:space="preserve"> </w:t>
            </w:r>
            <w:r w:rsidRPr="004C662E">
              <w:rPr>
                <w:rFonts w:ascii="inherit" w:eastAsia="Times New Roman" w:hAnsi="inherit" w:cs="Times New Roman"/>
                <w:strike/>
                <w:color w:val="FF0000"/>
                <w:sz w:val="24"/>
                <w:szCs w:val="24"/>
                <w:lang w:eastAsia="en-GB"/>
              </w:rPr>
              <w:t>who will play an increasingly important role in the transition to low carbon society</w:t>
            </w:r>
            <w:r w:rsidRPr="004C662E">
              <w:rPr>
                <w:rFonts w:ascii="inherit" w:eastAsia="Times New Roman" w:hAnsi="inherit" w:cs="Times New Roman"/>
                <w:color w:val="FF0000"/>
                <w:sz w:val="24"/>
                <w:szCs w:val="24"/>
                <w:lang w:eastAsia="en-GB"/>
              </w:rPr>
              <w:t xml:space="preserve"> </w:t>
            </w:r>
            <w:r w:rsidRPr="008E4E18">
              <w:rPr>
                <w:rFonts w:ascii="inherit" w:eastAsia="Times New Roman" w:hAnsi="inherit" w:cs="Times New Roman"/>
                <w:sz w:val="24"/>
                <w:szCs w:val="24"/>
                <w:lang w:eastAsia="en-GB"/>
              </w:rPr>
              <w:t>and their uptake should not be unnecessarily burdened with administrative tasks.</w:t>
            </w:r>
          </w:p>
        </w:tc>
        <w:tc>
          <w:tcPr>
            <w:tcW w:w="6946" w:type="dxa"/>
          </w:tcPr>
          <w:p w14:paraId="1AF6E00E" w14:textId="19A3EE52" w:rsidR="004E5D78" w:rsidRDefault="004C662E">
            <w:r>
              <w:t>IFIEC Europe is of the opinion that this should be for all consumers, including non-residential consumers such as industrial consumers</w:t>
            </w:r>
          </w:p>
        </w:tc>
        <w:tc>
          <w:tcPr>
            <w:tcW w:w="2268" w:type="dxa"/>
          </w:tcPr>
          <w:p w14:paraId="0BFE4092" w14:textId="77777777" w:rsidR="004E5D78" w:rsidRDefault="004E5D78"/>
        </w:tc>
      </w:tr>
      <w:tr w:rsidR="004E5D78" w14:paraId="28A28208" w14:textId="77777777" w:rsidTr="009B2D14">
        <w:tc>
          <w:tcPr>
            <w:tcW w:w="799" w:type="dxa"/>
          </w:tcPr>
          <w:p w14:paraId="103C408E" w14:textId="61CA9AD0" w:rsidR="004E5D78" w:rsidRDefault="0020052F">
            <w:r>
              <w:t>Article 1(1)</w:t>
            </w:r>
          </w:p>
        </w:tc>
        <w:tc>
          <w:tcPr>
            <w:tcW w:w="3874" w:type="dxa"/>
          </w:tcPr>
          <w:p w14:paraId="0266B74B" w14:textId="77777777" w:rsidR="0020052F" w:rsidRPr="008E4E18" w:rsidRDefault="0020052F" w:rsidP="0020052F">
            <w:pPr>
              <w:shd w:val="clear" w:color="auto" w:fill="FFFFFF"/>
              <w:spacing w:before="120"/>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301"/>
              <w:gridCol w:w="3357"/>
            </w:tblGrid>
            <w:tr w:rsidR="0020052F" w:rsidRPr="008E4E18" w14:paraId="32FA474E" w14:textId="77777777" w:rsidTr="00B95180">
              <w:tc>
                <w:tcPr>
                  <w:tcW w:w="0" w:type="auto"/>
                  <w:shd w:val="clear" w:color="auto" w:fill="auto"/>
                  <w:hideMark/>
                </w:tcPr>
                <w:p w14:paraId="39926E58"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1A0055B"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468E4D9B" w14:textId="77777777" w:rsidR="0020052F" w:rsidRPr="008E4E18" w:rsidRDefault="0020052F" w:rsidP="0020052F">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20052F" w:rsidRPr="008E4E18" w14:paraId="6C7B68FF" w14:textId="77777777" w:rsidTr="00B95180">
              <w:tc>
                <w:tcPr>
                  <w:tcW w:w="0" w:type="auto"/>
                  <w:shd w:val="clear" w:color="auto" w:fill="auto"/>
                  <w:hideMark/>
                </w:tcPr>
                <w:p w14:paraId="5C441E14"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C42DF40"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5577FB2B" w14:textId="77777777" w:rsidR="0020052F" w:rsidRPr="008E4E18" w:rsidRDefault="0020052F" w:rsidP="0020052F">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20052F" w:rsidRPr="008E4E18" w14:paraId="1AC3A7CC" w14:textId="77777777" w:rsidTr="00B95180">
              <w:tc>
                <w:tcPr>
                  <w:tcW w:w="0" w:type="auto"/>
                  <w:shd w:val="clear" w:color="auto" w:fill="auto"/>
                  <w:hideMark/>
                </w:tcPr>
                <w:p w14:paraId="76EB7643"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224D9C8" w14:textId="77777777" w:rsidR="0020052F" w:rsidRPr="008E4E18" w:rsidRDefault="0020052F" w:rsidP="0020052F">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5F09044A" w14:textId="77777777" w:rsidR="0020052F" w:rsidRPr="008E4E18" w:rsidRDefault="0020052F" w:rsidP="0020052F">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20052F" w:rsidRPr="008E4E18" w14:paraId="645783DB" w14:textId="77777777" w:rsidTr="00B95180">
              <w:tc>
                <w:tcPr>
                  <w:tcW w:w="0" w:type="auto"/>
                  <w:shd w:val="clear" w:color="auto" w:fill="auto"/>
                  <w:hideMark/>
                </w:tcPr>
                <w:p w14:paraId="77F67A26" w14:textId="77777777" w:rsidR="0020052F" w:rsidRPr="0020052F" w:rsidRDefault="0020052F" w:rsidP="0020052F">
                  <w:pPr>
                    <w:spacing w:before="120" w:after="0" w:line="240" w:lineRule="auto"/>
                    <w:jc w:val="both"/>
                    <w:rPr>
                      <w:rFonts w:ascii="inherit" w:eastAsia="Times New Roman" w:hAnsi="inherit" w:cs="Times New Roman"/>
                      <w:strike/>
                      <w:color w:val="FF0000"/>
                      <w:sz w:val="24"/>
                      <w:szCs w:val="24"/>
                      <w:lang w:eastAsia="en-GB"/>
                    </w:rPr>
                  </w:pPr>
                  <w:r w:rsidRPr="0020052F">
                    <w:rPr>
                      <w:rFonts w:ascii="inherit" w:eastAsia="Times New Roman" w:hAnsi="inherit" w:cs="Times New Roman"/>
                      <w:strike/>
                      <w:color w:val="FF0000"/>
                      <w:sz w:val="24"/>
                      <w:szCs w:val="24"/>
                      <w:lang w:eastAsia="en-GB"/>
                    </w:rPr>
                    <w:t>(d)</w:t>
                  </w:r>
                </w:p>
              </w:tc>
              <w:tc>
                <w:tcPr>
                  <w:tcW w:w="0" w:type="auto"/>
                  <w:shd w:val="clear" w:color="auto" w:fill="auto"/>
                  <w:hideMark/>
                </w:tcPr>
                <w:p w14:paraId="45B8F9E4" w14:textId="77777777" w:rsidR="0020052F" w:rsidRPr="0020052F" w:rsidRDefault="0020052F" w:rsidP="0020052F">
                  <w:pPr>
                    <w:spacing w:before="120" w:after="0" w:line="240" w:lineRule="auto"/>
                    <w:jc w:val="both"/>
                    <w:rPr>
                      <w:rFonts w:ascii="inherit" w:eastAsia="Times New Roman" w:hAnsi="inherit" w:cs="Times New Roman"/>
                      <w:strike/>
                      <w:color w:val="FF0000"/>
                      <w:sz w:val="24"/>
                      <w:szCs w:val="24"/>
                      <w:lang w:eastAsia="en-GB"/>
                    </w:rPr>
                  </w:pPr>
                  <w:proofErr w:type="gramStart"/>
                  <w:r w:rsidRPr="0020052F">
                    <w:rPr>
                      <w:rFonts w:ascii="inherit" w:eastAsia="Times New Roman" w:hAnsi="inherit" w:cs="Times New Roman"/>
                      <w:strike/>
                      <w:color w:val="FF0000"/>
                      <w:sz w:val="24"/>
                      <w:szCs w:val="24"/>
                      <w:lang w:eastAsia="en-GB"/>
                    </w:rPr>
                    <w:t>demand</w:t>
                  </w:r>
                  <w:proofErr w:type="gramEnd"/>
                  <w:r w:rsidRPr="0020052F">
                    <w:rPr>
                      <w:rFonts w:ascii="inherit" w:eastAsia="Times New Roman" w:hAnsi="inherit" w:cs="Times New Roman"/>
                      <w:strike/>
                      <w:color w:val="FF0000"/>
                      <w:sz w:val="24"/>
                      <w:szCs w:val="24"/>
                      <w:lang w:eastAsia="en-GB"/>
                    </w:rPr>
                    <w:t xml:space="preserve"> units, used by a demand facility or a closed distribution system to provide demand response services to relevant </w:t>
                  </w:r>
                  <w:r w:rsidRPr="0020052F">
                    <w:rPr>
                      <w:rFonts w:ascii="inherit" w:eastAsia="Times New Roman" w:hAnsi="inherit" w:cs="Times New Roman"/>
                      <w:strike/>
                      <w:color w:val="FF0000"/>
                      <w:sz w:val="24"/>
                      <w:szCs w:val="24"/>
                      <w:lang w:eastAsia="en-GB"/>
                    </w:rPr>
                    <w:lastRenderedPageBreak/>
                    <w:t>system operators and relevant TSOs.</w:t>
                  </w:r>
                </w:p>
              </w:tc>
            </w:tr>
          </w:tbl>
          <w:p w14:paraId="72853FDB" w14:textId="77777777" w:rsidR="004E5D78" w:rsidRDefault="004E5D78"/>
        </w:tc>
        <w:tc>
          <w:tcPr>
            <w:tcW w:w="6946" w:type="dxa"/>
          </w:tcPr>
          <w:p w14:paraId="7CEF9E34" w14:textId="133EB798" w:rsidR="004E5D78" w:rsidRDefault="0020052F">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tc>
        <w:tc>
          <w:tcPr>
            <w:tcW w:w="2268" w:type="dxa"/>
          </w:tcPr>
          <w:p w14:paraId="0F953598" w14:textId="77777777" w:rsidR="004E5D78" w:rsidRDefault="004E5D78"/>
        </w:tc>
      </w:tr>
      <w:tr w:rsidR="004E5D78" w14:paraId="16786D50" w14:textId="77777777" w:rsidTr="009B2D14">
        <w:tc>
          <w:tcPr>
            <w:tcW w:w="799" w:type="dxa"/>
          </w:tcPr>
          <w:p w14:paraId="7D63271F" w14:textId="386DADE5" w:rsidR="004E5D78" w:rsidRDefault="0034543F">
            <w:r>
              <w:t>Article 2(1)</w:t>
            </w:r>
          </w:p>
        </w:tc>
        <w:tc>
          <w:tcPr>
            <w:tcW w:w="3874" w:type="dxa"/>
          </w:tcPr>
          <w:p w14:paraId="5FE0D5A2" w14:textId="126B4343" w:rsidR="004E5D78" w:rsidRDefault="0034543F">
            <w:r w:rsidRPr="008E4E18">
              <w:rPr>
                <w:rFonts w:ascii="inherit" w:eastAsia="Times New Roman" w:hAnsi="inherit" w:cs="Times New Roman"/>
                <w:sz w:val="24"/>
                <w:szCs w:val="24"/>
                <w:lang w:eastAsia="en-GB"/>
              </w:rPr>
              <w:t>‘demand facility’ means a facility which consumes electrical energy</w:t>
            </w:r>
          </w:p>
        </w:tc>
        <w:tc>
          <w:tcPr>
            <w:tcW w:w="6946" w:type="dxa"/>
          </w:tcPr>
          <w:p w14:paraId="6F6BCC95" w14:textId="1D82919E" w:rsidR="0034543F" w:rsidRDefault="0034543F">
            <w:bookmarkStart w:id="1" w:name="_Hlk119488519"/>
            <w:r>
              <w:t xml:space="preserve">While IFIEC Europe at this point has </w:t>
            </w:r>
            <w:proofErr w:type="gramStart"/>
            <w:r>
              <w:t>not</w:t>
            </w:r>
            <w:proofErr w:type="gramEnd"/>
            <w:r>
              <w:t xml:space="preserve"> a </w:t>
            </w:r>
            <w:proofErr w:type="gramStart"/>
            <w:r>
              <w:t>better</w:t>
            </w:r>
            <w:proofErr w:type="gramEnd"/>
            <w:r>
              <w:t xml:space="preserve"> definition at hand, it is important to point out that this definition creates ambiguities. 1. All (electrical facilities) consume electrical energy. 2. Industrial sites, considered </w:t>
            </w:r>
            <w:proofErr w:type="gramStart"/>
            <w:r>
              <w:t>to be demand</w:t>
            </w:r>
            <w:proofErr w:type="gramEnd"/>
            <w:r>
              <w:t xml:space="preserve"> facilities, are sometimes net injecting rather than off-taking from the grid</w:t>
            </w:r>
            <w:r w:rsidR="00503653">
              <w:t xml:space="preserve"> (e.g. consumption unit in maintenance but PGMs on site still producing electricity)</w:t>
            </w:r>
            <w:r>
              <w:t>.</w:t>
            </w:r>
          </w:p>
          <w:p w14:paraId="77872293" w14:textId="77777777" w:rsidR="0034543F" w:rsidRDefault="0034543F"/>
          <w:p w14:paraId="4F708DFA" w14:textId="3489EDB8" w:rsidR="004E5D78" w:rsidRDefault="002C1341">
            <w:r>
              <w:t>IFIEC Europe</w:t>
            </w:r>
            <w:r w:rsidR="0034543F">
              <w:t xml:space="preserve"> wonders </w:t>
            </w:r>
            <w:r w:rsidR="00503653">
              <w:t>whether</w:t>
            </w:r>
            <w:r w:rsidR="0034543F">
              <w:t xml:space="preserve"> the definition should not be adapted </w:t>
            </w:r>
            <w:r w:rsidR="00503653">
              <w:t>along the lines of “primarily taking off electricity from the grid”</w:t>
            </w:r>
            <w:r w:rsidR="0034543F">
              <w:t xml:space="preserve"> </w:t>
            </w:r>
            <w:r w:rsidR="00503653">
              <w:t>or “with a net off-take of the grid” (for which than also the period to consider to define this net offtake should be decided)</w:t>
            </w:r>
            <w:bookmarkEnd w:id="1"/>
          </w:p>
        </w:tc>
        <w:tc>
          <w:tcPr>
            <w:tcW w:w="2268" w:type="dxa"/>
          </w:tcPr>
          <w:p w14:paraId="2C039FC4" w14:textId="7683E56D" w:rsidR="004E5D78" w:rsidRDefault="009F2920">
            <w:r>
              <w:t>The modification of the definition of “demand facility” cascades throughout the NC DCC and should then be checked for necessary modifications based upon the new defin</w:t>
            </w:r>
            <w:r w:rsidR="00E1258B">
              <w:t>i</w:t>
            </w:r>
            <w:r>
              <w:t>tion</w:t>
            </w:r>
          </w:p>
        </w:tc>
      </w:tr>
      <w:tr w:rsidR="0020052F" w14:paraId="2ADAF345" w14:textId="77777777" w:rsidTr="009B2D14">
        <w:tc>
          <w:tcPr>
            <w:tcW w:w="799" w:type="dxa"/>
          </w:tcPr>
          <w:p w14:paraId="78F964B5" w14:textId="559FCEB6" w:rsidR="0020052F" w:rsidRDefault="008B1B3B">
            <w:r>
              <w:t>Article 2(16)</w:t>
            </w:r>
          </w:p>
        </w:tc>
        <w:tc>
          <w:tcPr>
            <w:tcW w:w="3874" w:type="dxa"/>
          </w:tcPr>
          <w:p w14:paraId="129968DF" w14:textId="3AA88C1A" w:rsidR="0020052F" w:rsidRDefault="008B1B3B">
            <w:r w:rsidRPr="008E4E18">
              <w:rPr>
                <w:rFonts w:ascii="inherit" w:eastAsia="Times New Roman" w:hAnsi="inherit" w:cs="Times New Roman"/>
                <w:sz w:val="24"/>
                <w:szCs w:val="24"/>
                <w:lang w:eastAsia="en-GB"/>
              </w:rPr>
              <w:t xml:space="preserve">‘demand response active power control’ means demand within a demand facility or closed distribution system that </w:t>
            </w:r>
            <w:r w:rsidRPr="008B1B3B">
              <w:rPr>
                <w:rFonts w:ascii="inherit" w:eastAsia="Times New Roman" w:hAnsi="inherit" w:cs="Times New Roman"/>
                <w:color w:val="FF0000"/>
                <w:sz w:val="24"/>
                <w:szCs w:val="24"/>
                <w:lang w:eastAsia="en-GB"/>
              </w:rPr>
              <w:t xml:space="preserve">can be made </w:t>
            </w:r>
            <w:r w:rsidRPr="008B1B3B">
              <w:rPr>
                <w:rFonts w:ascii="inherit" w:eastAsia="Times New Roman" w:hAnsi="inherit" w:cs="Times New Roman"/>
                <w:strike/>
                <w:color w:val="FF0000"/>
                <w:sz w:val="24"/>
                <w:szCs w:val="24"/>
                <w:lang w:eastAsia="en-GB"/>
              </w:rPr>
              <w:t>is</w:t>
            </w:r>
            <w:r w:rsidRPr="008B1B3B">
              <w:rPr>
                <w:rFonts w:ascii="inherit" w:eastAsia="Times New Roman" w:hAnsi="inherit" w:cs="Times New Roman"/>
                <w:color w:val="FF0000"/>
                <w:sz w:val="24"/>
                <w:szCs w:val="24"/>
                <w:lang w:eastAsia="en-GB"/>
              </w:rPr>
              <w:t xml:space="preserve"> </w:t>
            </w:r>
            <w:r w:rsidRPr="008E4E18">
              <w:rPr>
                <w:rFonts w:ascii="inherit" w:eastAsia="Times New Roman" w:hAnsi="inherit" w:cs="Times New Roman"/>
                <w:sz w:val="24"/>
                <w:szCs w:val="24"/>
                <w:lang w:eastAsia="en-GB"/>
              </w:rPr>
              <w:t>available for modulation by the relevant system operator or relevant TSO</w:t>
            </w:r>
            <w:r>
              <w:rPr>
                <w:rFonts w:ascii="inherit" w:eastAsia="Times New Roman" w:hAnsi="inherit" w:cs="Times New Roman"/>
                <w:sz w:val="24"/>
                <w:szCs w:val="24"/>
                <w:lang w:eastAsia="en-GB"/>
              </w:rPr>
              <w:t xml:space="preserve"> </w:t>
            </w:r>
            <w:r w:rsidRPr="00F00740">
              <w:rPr>
                <w:rFonts w:ascii="inherit" w:eastAsia="Times New Roman" w:hAnsi="inherit" w:cs="Times New Roman"/>
                <w:color w:val="FF0000"/>
                <w:sz w:val="24"/>
                <w:szCs w:val="24"/>
                <w:lang w:eastAsia="en-GB"/>
              </w:rPr>
              <w:t>in exchange for a remuneration</w:t>
            </w:r>
            <w:r w:rsidRPr="008E4E18">
              <w:rPr>
                <w:rFonts w:ascii="inherit" w:eastAsia="Times New Roman" w:hAnsi="inherit" w:cs="Times New Roman"/>
                <w:sz w:val="24"/>
                <w:szCs w:val="24"/>
                <w:lang w:eastAsia="en-GB"/>
              </w:rPr>
              <w:t>, which results in an active power modification</w:t>
            </w:r>
          </w:p>
        </w:tc>
        <w:tc>
          <w:tcPr>
            <w:tcW w:w="6946" w:type="dxa"/>
          </w:tcPr>
          <w:p w14:paraId="2258E2E5" w14:textId="3E493D19" w:rsidR="0020052F" w:rsidRDefault="008B1B3B">
            <w:r>
              <w:t xml:space="preserve">IFIEC Europe insists that even though available capabilities </w:t>
            </w:r>
            <w:r w:rsidRPr="008B1B3B">
              <w:rPr>
                <w:b/>
                <w:bCs/>
              </w:rPr>
              <w:t>can</w:t>
            </w:r>
            <w:r>
              <w:t xml:space="preserve"> be put at the disposal of the relevant system operator or relevant TSO for modulation, this should not imply that these should not be remunerated as there are costs related to the provision (and also reservation if the case) of such </w:t>
            </w:r>
            <w:r w:rsidR="00F00740">
              <w:t>capabilities</w:t>
            </w:r>
            <w:r>
              <w:t xml:space="preserve"> by those system operators.</w:t>
            </w:r>
          </w:p>
        </w:tc>
        <w:tc>
          <w:tcPr>
            <w:tcW w:w="2268" w:type="dxa"/>
          </w:tcPr>
          <w:p w14:paraId="4705214A" w14:textId="77777777" w:rsidR="0020052F" w:rsidRDefault="0020052F"/>
        </w:tc>
      </w:tr>
      <w:tr w:rsidR="00F00740" w14:paraId="4BFDCCC7" w14:textId="77777777" w:rsidTr="009B2D14">
        <w:tc>
          <w:tcPr>
            <w:tcW w:w="799" w:type="dxa"/>
          </w:tcPr>
          <w:p w14:paraId="34652B1D" w14:textId="28AFA5C2" w:rsidR="00F00740" w:rsidRDefault="00F00740" w:rsidP="00F00740">
            <w:r>
              <w:t>Article 2(17)</w:t>
            </w:r>
          </w:p>
        </w:tc>
        <w:tc>
          <w:tcPr>
            <w:tcW w:w="3874" w:type="dxa"/>
          </w:tcPr>
          <w:p w14:paraId="2833C95C" w14:textId="4C847C1F" w:rsidR="00F00740" w:rsidRDefault="00F00740" w:rsidP="00F00740">
            <w:r w:rsidRPr="008E4E18">
              <w:rPr>
                <w:rFonts w:ascii="inherit" w:eastAsia="Times New Roman" w:hAnsi="inherit" w:cs="Times New Roman"/>
                <w:sz w:val="24"/>
                <w:szCs w:val="24"/>
                <w:lang w:eastAsia="en-GB"/>
              </w:rPr>
              <w:t>‘demand</w:t>
            </w:r>
            <w:r>
              <w:rPr>
                <w:rFonts w:ascii="inherit" w:eastAsia="Times New Roman" w:hAnsi="inherit" w:cs="Times New Roman"/>
                <w:sz w:val="24"/>
                <w:szCs w:val="24"/>
                <w:lang w:eastAsia="en-GB"/>
              </w:rPr>
              <w:t xml:space="preserve"> r</w:t>
            </w:r>
            <w:r w:rsidRPr="008E4E18">
              <w:rPr>
                <w:rFonts w:ascii="inherit" w:eastAsia="Times New Roman" w:hAnsi="inherit" w:cs="Times New Roman"/>
                <w:sz w:val="24"/>
                <w:szCs w:val="24"/>
                <w:lang w:eastAsia="en-GB"/>
              </w:rPr>
              <w:t>esponse reactive power control’ means reactive power or reactive power compensation devices in a demand facility or closed distribution system that</w:t>
            </w:r>
            <w:r>
              <w:rPr>
                <w:rFonts w:ascii="inherit" w:eastAsia="Times New Roman" w:hAnsi="inherit" w:cs="Times New Roman"/>
                <w:sz w:val="24"/>
                <w:szCs w:val="24"/>
                <w:lang w:eastAsia="en-GB"/>
              </w:rPr>
              <w:t xml:space="preserve"> </w:t>
            </w:r>
            <w:r w:rsidRPr="008B1B3B">
              <w:rPr>
                <w:rFonts w:ascii="inherit" w:eastAsia="Times New Roman" w:hAnsi="inherit" w:cs="Times New Roman"/>
                <w:color w:val="FF0000"/>
                <w:sz w:val="24"/>
                <w:szCs w:val="24"/>
                <w:lang w:eastAsia="en-GB"/>
              </w:rPr>
              <w:t>can be made</w:t>
            </w:r>
            <w:r w:rsidRPr="008E4E18">
              <w:rPr>
                <w:rFonts w:ascii="inherit" w:eastAsia="Times New Roman" w:hAnsi="inherit" w:cs="Times New Roman"/>
                <w:sz w:val="24"/>
                <w:szCs w:val="24"/>
                <w:lang w:eastAsia="en-GB"/>
              </w:rPr>
              <w:t xml:space="preserve"> </w:t>
            </w:r>
            <w:r w:rsidRPr="00F00740">
              <w:rPr>
                <w:rFonts w:ascii="inherit" w:eastAsia="Times New Roman" w:hAnsi="inherit" w:cs="Times New Roman"/>
                <w:strike/>
                <w:color w:val="FF0000"/>
                <w:sz w:val="24"/>
                <w:szCs w:val="24"/>
                <w:lang w:eastAsia="en-GB"/>
              </w:rPr>
              <w:t>are</w:t>
            </w:r>
            <w:r w:rsidRPr="00F00740">
              <w:rPr>
                <w:rFonts w:ascii="inherit" w:eastAsia="Times New Roman" w:hAnsi="inherit" w:cs="Times New Roman"/>
                <w:color w:val="FF0000"/>
                <w:sz w:val="24"/>
                <w:szCs w:val="24"/>
                <w:lang w:eastAsia="en-GB"/>
              </w:rPr>
              <w:t xml:space="preserve"> </w:t>
            </w:r>
            <w:r w:rsidRPr="008E4E18">
              <w:rPr>
                <w:rFonts w:ascii="inherit" w:eastAsia="Times New Roman" w:hAnsi="inherit" w:cs="Times New Roman"/>
                <w:sz w:val="24"/>
                <w:szCs w:val="24"/>
                <w:lang w:eastAsia="en-GB"/>
              </w:rPr>
              <w:t>available for modulation by the relevant system operator or relevant TSO</w:t>
            </w:r>
            <w:r w:rsidRPr="00F00740">
              <w:rPr>
                <w:rFonts w:ascii="inherit" w:eastAsia="Times New Roman" w:hAnsi="inherit" w:cs="Times New Roman"/>
                <w:color w:val="FF0000"/>
                <w:sz w:val="24"/>
                <w:szCs w:val="24"/>
                <w:lang w:eastAsia="en-GB"/>
              </w:rPr>
              <w:t xml:space="preserve"> in exchange for a remuneration</w:t>
            </w:r>
            <w:r w:rsidRPr="008E4E18">
              <w:rPr>
                <w:rFonts w:ascii="inherit" w:eastAsia="Times New Roman" w:hAnsi="inherit" w:cs="Times New Roman"/>
                <w:sz w:val="24"/>
                <w:szCs w:val="24"/>
                <w:lang w:eastAsia="en-GB"/>
              </w:rPr>
              <w:t>;</w:t>
            </w:r>
          </w:p>
        </w:tc>
        <w:tc>
          <w:tcPr>
            <w:tcW w:w="6946" w:type="dxa"/>
          </w:tcPr>
          <w:p w14:paraId="65C08F62" w14:textId="40519B82" w:rsidR="00F00740" w:rsidRDefault="00F00740" w:rsidP="00F00740">
            <w:r>
              <w:t xml:space="preserve">IFIEC Europe insists that even though available capabilities </w:t>
            </w:r>
            <w:r w:rsidRPr="008B1B3B">
              <w:rPr>
                <w:b/>
                <w:bCs/>
              </w:rPr>
              <w:t>can</w:t>
            </w:r>
            <w:r>
              <w:t xml:space="preserve"> be put at the disposal of the relevant system operator or relevant TSO for modulation, this should not imply that these should not be remunerated as there are costs related to the provision (and also reservation if the case) of such capabilities by those system operators.</w:t>
            </w:r>
          </w:p>
        </w:tc>
        <w:tc>
          <w:tcPr>
            <w:tcW w:w="2268" w:type="dxa"/>
          </w:tcPr>
          <w:p w14:paraId="27498EF3" w14:textId="77777777" w:rsidR="00F00740" w:rsidRDefault="00F00740" w:rsidP="00F00740"/>
        </w:tc>
      </w:tr>
      <w:tr w:rsidR="004B43C4" w14:paraId="518D8689" w14:textId="77777777" w:rsidTr="009B2D14">
        <w:tc>
          <w:tcPr>
            <w:tcW w:w="799" w:type="dxa"/>
          </w:tcPr>
          <w:p w14:paraId="13C98FEE" w14:textId="353E40A3" w:rsidR="004B43C4" w:rsidRDefault="004B43C4" w:rsidP="004B43C4">
            <w:r>
              <w:lastRenderedPageBreak/>
              <w:t>Article 2(18)</w:t>
            </w:r>
          </w:p>
        </w:tc>
        <w:tc>
          <w:tcPr>
            <w:tcW w:w="3874" w:type="dxa"/>
          </w:tcPr>
          <w:p w14:paraId="36A3476C" w14:textId="2C76E069" w:rsidR="004B43C4" w:rsidRDefault="004B43C4" w:rsidP="004B43C4">
            <w:r w:rsidRPr="008E4E18">
              <w:rPr>
                <w:rFonts w:ascii="inherit" w:eastAsia="Times New Roman" w:hAnsi="inherit" w:cs="Times New Roman"/>
                <w:sz w:val="24"/>
                <w:szCs w:val="24"/>
                <w:lang w:eastAsia="en-GB"/>
              </w:rPr>
              <w:t xml:space="preserve">‘demand response transmission constraint management’ means demand within a demand facility or closed distribution system that </w:t>
            </w:r>
            <w:r w:rsidR="00571DFF" w:rsidRPr="00571DFF">
              <w:rPr>
                <w:rFonts w:ascii="inherit" w:eastAsia="Times New Roman" w:hAnsi="inherit" w:cs="Times New Roman"/>
                <w:color w:val="FF0000"/>
                <w:sz w:val="24"/>
                <w:szCs w:val="24"/>
                <w:lang w:eastAsia="en-GB"/>
              </w:rPr>
              <w:t xml:space="preserve">can be made </w:t>
            </w:r>
            <w:r w:rsidRPr="00571DFF">
              <w:rPr>
                <w:rFonts w:ascii="inherit" w:eastAsia="Times New Roman" w:hAnsi="inherit" w:cs="Times New Roman"/>
                <w:strike/>
                <w:color w:val="FF0000"/>
                <w:sz w:val="24"/>
                <w:szCs w:val="24"/>
                <w:lang w:eastAsia="en-GB"/>
              </w:rPr>
              <w:t xml:space="preserve">is </w:t>
            </w:r>
            <w:r w:rsidRPr="008E4E18">
              <w:rPr>
                <w:rFonts w:ascii="inherit" w:eastAsia="Times New Roman" w:hAnsi="inherit" w:cs="Times New Roman"/>
                <w:sz w:val="24"/>
                <w:szCs w:val="24"/>
                <w:lang w:eastAsia="en-GB"/>
              </w:rPr>
              <w:t>available for modulation by the relevant system operator or relevant TSO to manage transmission constraints within the system</w:t>
            </w:r>
            <w:r w:rsidR="00255DD3" w:rsidRPr="00F00740">
              <w:rPr>
                <w:rFonts w:ascii="inherit" w:eastAsia="Times New Roman" w:hAnsi="inherit" w:cs="Times New Roman"/>
                <w:color w:val="FF0000"/>
                <w:sz w:val="24"/>
                <w:szCs w:val="24"/>
                <w:lang w:eastAsia="en-GB"/>
              </w:rPr>
              <w:t xml:space="preserve"> in exchange for a remuneration</w:t>
            </w:r>
            <w:r w:rsidRPr="008E4E18">
              <w:rPr>
                <w:rFonts w:ascii="inherit" w:eastAsia="Times New Roman" w:hAnsi="inherit" w:cs="Times New Roman"/>
                <w:sz w:val="24"/>
                <w:szCs w:val="24"/>
                <w:lang w:eastAsia="en-GB"/>
              </w:rPr>
              <w:t>;</w:t>
            </w:r>
          </w:p>
        </w:tc>
        <w:tc>
          <w:tcPr>
            <w:tcW w:w="6946" w:type="dxa"/>
          </w:tcPr>
          <w:p w14:paraId="30F7C949" w14:textId="0D019ADD" w:rsidR="004B43C4" w:rsidRDefault="004B43C4" w:rsidP="004B43C4">
            <w:r>
              <w:t xml:space="preserve">IFIEC Europe insists that even though available capabilities </w:t>
            </w:r>
            <w:r w:rsidRPr="008B1B3B">
              <w:rPr>
                <w:b/>
                <w:bCs/>
              </w:rPr>
              <w:t>can</w:t>
            </w:r>
            <w:r>
              <w:t xml:space="preserve"> be put at the disposal of the relevant system operator or relevant TSO for modulation, this should not imply that these should not be remunerated as there are costs related to the provision (and also reservation if the case) of such capabilities by those system operators.</w:t>
            </w:r>
          </w:p>
        </w:tc>
        <w:tc>
          <w:tcPr>
            <w:tcW w:w="2268" w:type="dxa"/>
          </w:tcPr>
          <w:p w14:paraId="2CF1C133" w14:textId="77777777" w:rsidR="004B43C4" w:rsidRDefault="004B43C4" w:rsidP="004B43C4"/>
        </w:tc>
      </w:tr>
      <w:tr w:rsidR="009D5F58" w14:paraId="6120E439" w14:textId="77777777" w:rsidTr="009B2D14">
        <w:tc>
          <w:tcPr>
            <w:tcW w:w="799" w:type="dxa"/>
          </w:tcPr>
          <w:p w14:paraId="3069E32F" w14:textId="756CD124" w:rsidR="009D5F58" w:rsidRDefault="009D5F58" w:rsidP="009D5F58">
            <w:r>
              <w:t>Article 3(1)</w:t>
            </w:r>
          </w:p>
        </w:tc>
        <w:tc>
          <w:tcPr>
            <w:tcW w:w="3874" w:type="dxa"/>
          </w:tcPr>
          <w:p w14:paraId="76FBF5F2" w14:textId="77777777" w:rsidR="009D5F58" w:rsidRPr="008E4E18" w:rsidRDefault="009D5F58" w:rsidP="009D5F58">
            <w:pPr>
              <w:shd w:val="clear" w:color="auto" w:fill="FFFFFF"/>
              <w:spacing w:before="120"/>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301"/>
              <w:gridCol w:w="3357"/>
            </w:tblGrid>
            <w:tr w:rsidR="009D5F58" w:rsidRPr="008E4E18" w14:paraId="266A8CDC" w14:textId="77777777" w:rsidTr="00B95180">
              <w:tc>
                <w:tcPr>
                  <w:tcW w:w="0" w:type="auto"/>
                  <w:shd w:val="clear" w:color="auto" w:fill="auto"/>
                  <w:hideMark/>
                </w:tcPr>
                <w:p w14:paraId="3B173BD3"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55EF1AF"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60AA95EF" w14:textId="77777777" w:rsidR="009D5F58" w:rsidRPr="008E4E18" w:rsidRDefault="009D5F58" w:rsidP="009D5F58">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9D5F58" w:rsidRPr="008E4E18" w14:paraId="543057EE" w14:textId="77777777" w:rsidTr="00B95180">
              <w:tc>
                <w:tcPr>
                  <w:tcW w:w="0" w:type="auto"/>
                  <w:shd w:val="clear" w:color="auto" w:fill="auto"/>
                  <w:hideMark/>
                </w:tcPr>
                <w:p w14:paraId="0B46CCA4"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62568C0"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DAA188E" w14:textId="77777777" w:rsidR="009D5F58" w:rsidRPr="008E4E18" w:rsidRDefault="009D5F58" w:rsidP="009D5F58">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9D5F58" w:rsidRPr="008E4E18" w14:paraId="5296CDDB" w14:textId="77777777" w:rsidTr="00B95180">
              <w:tc>
                <w:tcPr>
                  <w:tcW w:w="0" w:type="auto"/>
                  <w:shd w:val="clear" w:color="auto" w:fill="auto"/>
                  <w:hideMark/>
                </w:tcPr>
                <w:p w14:paraId="617CEA48"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034BF2D" w14:textId="77777777" w:rsidR="009D5F58" w:rsidRPr="008E4E18" w:rsidRDefault="009D5F58" w:rsidP="009D5F5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7E642059" w14:textId="77777777" w:rsidR="009D5F58" w:rsidRPr="008E4E18" w:rsidRDefault="009D5F58" w:rsidP="009D5F58">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9D5F58" w:rsidRPr="008E4E18" w14:paraId="208AB6A5" w14:textId="77777777" w:rsidTr="00B95180">
              <w:tc>
                <w:tcPr>
                  <w:tcW w:w="0" w:type="auto"/>
                  <w:shd w:val="clear" w:color="auto" w:fill="auto"/>
                  <w:hideMark/>
                </w:tcPr>
                <w:p w14:paraId="6239F5B5" w14:textId="77777777" w:rsidR="009D5F58" w:rsidRPr="009D5F58" w:rsidRDefault="009D5F58" w:rsidP="009D5F58">
                  <w:pPr>
                    <w:spacing w:before="120" w:after="0" w:line="240" w:lineRule="auto"/>
                    <w:jc w:val="both"/>
                    <w:rPr>
                      <w:rFonts w:ascii="inherit" w:eastAsia="Times New Roman" w:hAnsi="inherit" w:cs="Times New Roman"/>
                      <w:strike/>
                      <w:color w:val="FF0000"/>
                      <w:sz w:val="24"/>
                      <w:szCs w:val="24"/>
                      <w:lang w:eastAsia="en-GB"/>
                    </w:rPr>
                  </w:pPr>
                  <w:r w:rsidRPr="009D5F58">
                    <w:rPr>
                      <w:rFonts w:ascii="inherit" w:eastAsia="Times New Roman" w:hAnsi="inherit" w:cs="Times New Roman"/>
                      <w:strike/>
                      <w:color w:val="FF0000"/>
                      <w:sz w:val="24"/>
                      <w:szCs w:val="24"/>
                      <w:lang w:eastAsia="en-GB"/>
                    </w:rPr>
                    <w:t>(d)</w:t>
                  </w:r>
                </w:p>
              </w:tc>
              <w:tc>
                <w:tcPr>
                  <w:tcW w:w="0" w:type="auto"/>
                  <w:shd w:val="clear" w:color="auto" w:fill="auto"/>
                  <w:hideMark/>
                </w:tcPr>
                <w:p w14:paraId="649418DD" w14:textId="77777777" w:rsidR="009D5F58" w:rsidRPr="009D5F58" w:rsidRDefault="009D5F58" w:rsidP="009D5F58">
                  <w:pPr>
                    <w:spacing w:before="120" w:after="0" w:line="240" w:lineRule="auto"/>
                    <w:jc w:val="both"/>
                    <w:rPr>
                      <w:rFonts w:ascii="inherit" w:eastAsia="Times New Roman" w:hAnsi="inherit" w:cs="Times New Roman"/>
                      <w:strike/>
                      <w:color w:val="FF0000"/>
                      <w:sz w:val="24"/>
                      <w:szCs w:val="24"/>
                      <w:lang w:eastAsia="en-GB"/>
                    </w:rPr>
                  </w:pPr>
                  <w:proofErr w:type="gramStart"/>
                  <w:r w:rsidRPr="009D5F58">
                    <w:rPr>
                      <w:rFonts w:ascii="inherit" w:eastAsia="Times New Roman" w:hAnsi="inherit" w:cs="Times New Roman"/>
                      <w:strike/>
                      <w:color w:val="FF0000"/>
                      <w:sz w:val="24"/>
                      <w:szCs w:val="24"/>
                      <w:lang w:eastAsia="en-GB"/>
                    </w:rPr>
                    <w:t>new</w:t>
                  </w:r>
                  <w:proofErr w:type="gramEnd"/>
                  <w:r w:rsidRPr="009D5F58">
                    <w:rPr>
                      <w:rFonts w:ascii="inherit" w:eastAsia="Times New Roman" w:hAnsi="inherit" w:cs="Times New Roman"/>
                      <w:strike/>
                      <w:color w:val="FF0000"/>
                      <w:sz w:val="24"/>
                      <w:szCs w:val="24"/>
                      <w:lang w:eastAsia="en-GB"/>
                    </w:rPr>
                    <w:t xml:space="preserve"> demand units used by a demand facility or a closed distribution system to provide demand response services to relevant system operators and relevant TSOs.</w:t>
                  </w:r>
                </w:p>
              </w:tc>
            </w:tr>
          </w:tbl>
          <w:p w14:paraId="693D60B5" w14:textId="77777777" w:rsidR="009D5F58" w:rsidRDefault="009D5F58" w:rsidP="009D5F58"/>
        </w:tc>
        <w:tc>
          <w:tcPr>
            <w:tcW w:w="6946" w:type="dxa"/>
          </w:tcPr>
          <w:p w14:paraId="72B3E966" w14:textId="4C90A0F6" w:rsidR="009D5F58" w:rsidRDefault="009D5F58" w:rsidP="009D5F58">
            <w:proofErr w:type="gramStart"/>
            <w:r>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tc>
        <w:tc>
          <w:tcPr>
            <w:tcW w:w="2268" w:type="dxa"/>
          </w:tcPr>
          <w:p w14:paraId="7B0DF299" w14:textId="77777777" w:rsidR="009D5F58" w:rsidRDefault="009D5F58" w:rsidP="009D5F58"/>
        </w:tc>
      </w:tr>
      <w:tr w:rsidR="009D5F58" w14:paraId="6776BF17" w14:textId="77777777" w:rsidTr="009B2D14">
        <w:tc>
          <w:tcPr>
            <w:tcW w:w="799" w:type="dxa"/>
          </w:tcPr>
          <w:p w14:paraId="213DCC21" w14:textId="1CE1453E" w:rsidR="009D5F58" w:rsidRDefault="009D5F58" w:rsidP="009D5F58">
            <w:r>
              <w:t>Article 4</w:t>
            </w:r>
            <w:r w:rsidR="008F5B33">
              <w:t>(1)</w:t>
            </w:r>
          </w:p>
        </w:tc>
        <w:tc>
          <w:tcPr>
            <w:tcW w:w="3874" w:type="dxa"/>
          </w:tcPr>
          <w:p w14:paraId="5ACCCECD" w14:textId="5EEFA7D0" w:rsidR="009D5F58" w:rsidRDefault="009D5F58" w:rsidP="009D5F58">
            <w:r>
              <w:t>Removal of the references to “demand units used to provide demand response services”</w:t>
            </w:r>
          </w:p>
        </w:tc>
        <w:tc>
          <w:tcPr>
            <w:tcW w:w="6946" w:type="dxa"/>
          </w:tcPr>
          <w:p w14:paraId="7E266CE1" w14:textId="580F36E2" w:rsidR="009D5F58" w:rsidRDefault="009D5F58" w:rsidP="009D5F58">
            <w:proofErr w:type="gramStart"/>
            <w:r>
              <w:t xml:space="preserve">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w:t>
            </w:r>
            <w:r>
              <w:lastRenderedPageBreak/>
              <w:t>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tc>
        <w:tc>
          <w:tcPr>
            <w:tcW w:w="2268" w:type="dxa"/>
          </w:tcPr>
          <w:p w14:paraId="232BEED9" w14:textId="77777777" w:rsidR="009D5F58" w:rsidRDefault="009D5F58" w:rsidP="009D5F58"/>
        </w:tc>
      </w:tr>
      <w:tr w:rsidR="009D5F58" w14:paraId="1FA660E1" w14:textId="77777777" w:rsidTr="009B2D14">
        <w:tc>
          <w:tcPr>
            <w:tcW w:w="799" w:type="dxa"/>
          </w:tcPr>
          <w:p w14:paraId="1C656BA0" w14:textId="3A56480E" w:rsidR="009D5F58" w:rsidRDefault="008F5B33" w:rsidP="009D5F58">
            <w:bookmarkStart w:id="2" w:name="_Hlk119489488"/>
            <w:r>
              <w:t>Article 4(2)</w:t>
            </w:r>
          </w:p>
        </w:tc>
        <w:tc>
          <w:tcPr>
            <w:tcW w:w="3874" w:type="dxa"/>
          </w:tcPr>
          <w:p w14:paraId="79DE9AC2" w14:textId="1B170D97" w:rsidR="009D5F58" w:rsidRDefault="008F5B33" w:rsidP="009D5F58">
            <w:r w:rsidRPr="008E4E18">
              <w:rPr>
                <w:rFonts w:ascii="inherit" w:eastAsia="Times New Roman" w:hAnsi="inherit" w:cs="Times New Roman"/>
                <w:color w:val="000000"/>
                <w:sz w:val="24"/>
                <w:szCs w:val="24"/>
                <w:lang w:eastAsia="en-GB"/>
              </w:rPr>
              <w:t xml:space="preserve">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w:t>
            </w:r>
            <w:r w:rsidRPr="008F5B33">
              <w:rPr>
                <w:rFonts w:ascii="inherit" w:eastAsia="Times New Roman" w:hAnsi="inherit" w:cs="Times New Roman"/>
                <w:color w:val="FF0000"/>
                <w:sz w:val="24"/>
                <w:szCs w:val="24"/>
                <w:lang w:eastAsia="en-GB"/>
              </w:rPr>
              <w:t xml:space="preserve">existing </w:t>
            </w:r>
            <w:r w:rsidRPr="008E4E18">
              <w:rPr>
                <w:rFonts w:ascii="inherit" w:eastAsia="Times New Roman" w:hAnsi="inherit" w:cs="Times New Roman"/>
                <w:color w:val="000000"/>
                <w:sz w:val="24"/>
                <w:szCs w:val="24"/>
                <w:lang w:eastAsia="en-GB"/>
              </w:rPr>
              <w:t>if</w:t>
            </w:r>
          </w:p>
        </w:tc>
        <w:tc>
          <w:tcPr>
            <w:tcW w:w="6946" w:type="dxa"/>
          </w:tcPr>
          <w:p w14:paraId="6BE4092C" w14:textId="5AC9DA1E" w:rsidR="009D5F58" w:rsidRDefault="008F5B33" w:rsidP="009D5F58">
            <w:r>
              <w:t xml:space="preserve">It is important to tackle how “existing” and “new” will be tackled with every following version of the NC DCC. This is also important in light of “substantial modernisation” of parts of demand </w:t>
            </w:r>
            <w:r w:rsidR="0039717E">
              <w:t>facilities</w:t>
            </w:r>
            <w:r>
              <w:t>, as it is important to have a clear view which requirements (of which version of NC DCC) are applicable to which (part of the) facilit</w:t>
            </w:r>
            <w:r w:rsidR="0039717E">
              <w:t>ies</w:t>
            </w:r>
            <w:r>
              <w:t xml:space="preserve">. </w:t>
            </w:r>
          </w:p>
        </w:tc>
        <w:tc>
          <w:tcPr>
            <w:tcW w:w="2268" w:type="dxa"/>
          </w:tcPr>
          <w:p w14:paraId="2640D133" w14:textId="77777777" w:rsidR="009D5F58" w:rsidRDefault="009D5F58" w:rsidP="009D5F58"/>
        </w:tc>
      </w:tr>
      <w:bookmarkEnd w:id="2"/>
      <w:tr w:rsidR="009D5F58" w14:paraId="3932E100" w14:textId="77777777" w:rsidTr="009B2D14">
        <w:tc>
          <w:tcPr>
            <w:tcW w:w="799" w:type="dxa"/>
          </w:tcPr>
          <w:p w14:paraId="4AF0FC17" w14:textId="2BB500C8" w:rsidR="009D5F58" w:rsidRDefault="009E51A5" w:rsidP="009D5F58">
            <w:r>
              <w:t>Article 4(3)</w:t>
            </w:r>
          </w:p>
        </w:tc>
        <w:tc>
          <w:tcPr>
            <w:tcW w:w="3874" w:type="dxa"/>
          </w:tcPr>
          <w:p w14:paraId="1A03EE87" w14:textId="0ADA4938" w:rsidR="009D5F58" w:rsidRDefault="00551D55" w:rsidP="00551D55">
            <w:r w:rsidRPr="008E4E18">
              <w:rPr>
                <w:rFonts w:ascii="inherit" w:eastAsia="Times New Roman" w:hAnsi="inherit" w:cs="Times New Roman"/>
                <w:color w:val="000000"/>
                <w:sz w:val="24"/>
                <w:szCs w:val="24"/>
                <w:lang w:eastAsia="en-GB"/>
              </w:rPr>
              <w:t xml:space="preserve">For that purpose a sound and transparent quantitative cost-benefit analysis shall be carried out, in accordance with Articles 48 and </w:t>
            </w:r>
            <w:r w:rsidRPr="00551D55">
              <w:rPr>
                <w:rFonts w:ascii="inherit" w:eastAsia="Times New Roman" w:hAnsi="inherit" w:cs="Times New Roman"/>
                <w:color w:val="000000"/>
                <w:sz w:val="24"/>
                <w:szCs w:val="24"/>
                <w:lang w:eastAsia="en-GB"/>
              </w:rPr>
              <w:t>49</w:t>
            </w:r>
            <w:r w:rsidRPr="00551D55">
              <w:rPr>
                <w:rFonts w:ascii="inherit" w:eastAsia="Times New Roman" w:hAnsi="inherit" w:cs="Times New Roman"/>
                <w:color w:val="FF0000"/>
                <w:sz w:val="24"/>
                <w:szCs w:val="24"/>
                <w:lang w:eastAsia="en-GB"/>
              </w:rPr>
              <w:t xml:space="preserve"> and in coordination with the relevant stakeholders</w:t>
            </w:r>
          </w:p>
        </w:tc>
        <w:tc>
          <w:tcPr>
            <w:tcW w:w="6946" w:type="dxa"/>
          </w:tcPr>
          <w:p w14:paraId="23E2614D" w14:textId="7A5235CA" w:rsidR="009D5F58" w:rsidRDefault="00551D55" w:rsidP="009D5F58">
            <w:r>
              <w:t>IFIEC Europe insists that the relevant stakeholders are actively involved in this CBA.</w:t>
            </w:r>
          </w:p>
        </w:tc>
        <w:tc>
          <w:tcPr>
            <w:tcW w:w="2268" w:type="dxa"/>
          </w:tcPr>
          <w:p w14:paraId="3EBB798D" w14:textId="77777777" w:rsidR="009D5F58" w:rsidRDefault="009D5F58" w:rsidP="009D5F58"/>
        </w:tc>
      </w:tr>
      <w:tr w:rsidR="009D5F58" w14:paraId="3C51BF7D" w14:textId="77777777" w:rsidTr="009B2D14">
        <w:tc>
          <w:tcPr>
            <w:tcW w:w="799" w:type="dxa"/>
          </w:tcPr>
          <w:p w14:paraId="2979345F" w14:textId="55F1FEE7" w:rsidR="009D5F58" w:rsidRDefault="004C3159" w:rsidP="009D5F58">
            <w:r>
              <w:t>Article 10</w:t>
            </w:r>
          </w:p>
        </w:tc>
        <w:tc>
          <w:tcPr>
            <w:tcW w:w="3874" w:type="dxa"/>
          </w:tcPr>
          <w:p w14:paraId="3FCCD762" w14:textId="77777777" w:rsidR="004C3159" w:rsidRPr="008E4E18" w:rsidRDefault="004C3159" w:rsidP="004C3159">
            <w:pPr>
              <w:shd w:val="clear" w:color="auto" w:fill="FFFFFF"/>
              <w:spacing w:before="120"/>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the </w:t>
            </w:r>
            <w:r w:rsidRPr="008E4E18">
              <w:rPr>
                <w:rFonts w:ascii="inherit" w:eastAsia="Times New Roman" w:hAnsi="inherit" w:cs="Times New Roman"/>
                <w:color w:val="000000"/>
                <w:sz w:val="24"/>
                <w:szCs w:val="24"/>
                <w:lang w:eastAsia="en-GB"/>
              </w:rPr>
              <w:lastRenderedPageBreak/>
              <w:t xml:space="preserve">grid connection of transmission-connected demand facilities, transmission-connected distribution facilities, distribution systems </w:t>
            </w:r>
            <w:r w:rsidRPr="004C3159">
              <w:rPr>
                <w:rFonts w:ascii="inherit" w:eastAsia="Times New Roman" w:hAnsi="inherit" w:cs="Times New Roman"/>
                <w:strike/>
                <w:color w:val="FF0000"/>
                <w:sz w:val="24"/>
                <w:szCs w:val="24"/>
                <w:lang w:eastAsia="en-GB"/>
              </w:rPr>
              <w:t>and demand units used by a demand facility or a closed distribution system to provide demand response services to relevant system operators and relevant TSOs,</w:t>
            </w:r>
            <w:r w:rsidRPr="004C3159">
              <w:rPr>
                <w:rFonts w:ascii="inherit" w:eastAsia="Times New Roman" w:hAnsi="inherit" w:cs="Times New Roman"/>
                <w:color w:val="FF0000"/>
                <w:sz w:val="24"/>
                <w:szCs w:val="24"/>
                <w:lang w:eastAsia="en-GB"/>
              </w:rPr>
              <w:t xml:space="preserve"> </w:t>
            </w:r>
            <w:r w:rsidRPr="008E4E18">
              <w:rPr>
                <w:rFonts w:ascii="inherit" w:eastAsia="Times New Roman" w:hAnsi="inherit" w:cs="Times New Roman"/>
                <w:color w:val="000000"/>
                <w:sz w:val="24"/>
                <w:szCs w:val="24"/>
                <w:lang w:eastAsia="en-GB"/>
              </w:rPr>
              <w:t>and other aspects of the implementation of this Regulation.</w:t>
            </w:r>
            <w:proofErr w:type="gramEnd"/>
            <w:r w:rsidRPr="008E4E18">
              <w:rPr>
                <w:rFonts w:ascii="inherit" w:eastAsia="Times New Roman" w:hAnsi="inherit" w:cs="Times New Roman"/>
                <w:color w:val="000000"/>
                <w:sz w:val="24"/>
                <w:szCs w:val="24"/>
                <w:lang w:eastAsia="en-GB"/>
              </w:rPr>
              <w:t xml:space="preserve"> This shall include regular meetings with stakeholders to identify problems and propose improvements notably related to the requirements for grid connection of transmission-connected demand facilities, transmission-connected distribution facilities, distribution systems </w:t>
            </w:r>
            <w:r w:rsidRPr="004C3159">
              <w:rPr>
                <w:rFonts w:ascii="inherit" w:eastAsia="Times New Roman" w:hAnsi="inherit" w:cs="Times New Roman"/>
                <w:strike/>
                <w:color w:val="FF0000"/>
                <w:sz w:val="24"/>
                <w:szCs w:val="24"/>
                <w:lang w:eastAsia="en-GB"/>
              </w:rPr>
              <w:t>and demand units used by a demand facility or a closed distribution system to provide demand response services to relevant system operators and relevant TSOs</w:t>
            </w:r>
            <w:r w:rsidRPr="008E4E18">
              <w:rPr>
                <w:rFonts w:ascii="inherit" w:eastAsia="Times New Roman" w:hAnsi="inherit" w:cs="Times New Roman"/>
                <w:color w:val="000000"/>
                <w:sz w:val="24"/>
                <w:szCs w:val="24"/>
                <w:lang w:eastAsia="en-GB"/>
              </w:rPr>
              <w:t>.</w:t>
            </w:r>
          </w:p>
          <w:p w14:paraId="29DAE2C0" w14:textId="77777777" w:rsidR="009D5F58" w:rsidRDefault="009D5F58" w:rsidP="009D5F58"/>
        </w:tc>
        <w:tc>
          <w:tcPr>
            <w:tcW w:w="6946" w:type="dxa"/>
          </w:tcPr>
          <w:p w14:paraId="4D39A91B" w14:textId="457D3ACD" w:rsidR="009D5F58" w:rsidRDefault="004C3159" w:rsidP="009D5F58">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w:t>
            </w:r>
            <w:r>
              <w:lastRenderedPageBreak/>
              <w:t xml:space="preserve">they have capabilities because they would not be able to fulfil (without costly investments) </w:t>
            </w:r>
            <w:r w:rsidRPr="00507787">
              <w:rPr>
                <w:b/>
                <w:bCs/>
              </w:rPr>
              <w:t>all</w:t>
            </w:r>
            <w:r>
              <w:t xml:space="preserve"> requirements of the network code.</w:t>
            </w:r>
          </w:p>
        </w:tc>
        <w:tc>
          <w:tcPr>
            <w:tcW w:w="2268" w:type="dxa"/>
          </w:tcPr>
          <w:p w14:paraId="381943FB" w14:textId="77777777" w:rsidR="009D5F58" w:rsidRDefault="009D5F58" w:rsidP="009D5F58"/>
        </w:tc>
      </w:tr>
      <w:tr w:rsidR="004C3159" w14:paraId="659FE96F" w14:textId="77777777" w:rsidTr="009B2D14">
        <w:tc>
          <w:tcPr>
            <w:tcW w:w="799" w:type="dxa"/>
          </w:tcPr>
          <w:p w14:paraId="2E9A2311" w14:textId="6DECF4DA" w:rsidR="004C3159" w:rsidRDefault="00CA1531" w:rsidP="009D5F58">
            <w:r>
              <w:t>Article 19(1)</w:t>
            </w:r>
          </w:p>
        </w:tc>
        <w:tc>
          <w:tcPr>
            <w:tcW w:w="3874" w:type="dxa"/>
          </w:tcPr>
          <w:p w14:paraId="6A401BD0" w14:textId="3189F774" w:rsidR="004C3159" w:rsidRDefault="00E40019" w:rsidP="009D5F58">
            <w:r w:rsidRPr="008E4E18">
              <w:rPr>
                <w:rFonts w:ascii="inherit" w:eastAsia="Times New Roman" w:hAnsi="inherit" w:cs="Times New Roman"/>
                <w:sz w:val="24"/>
                <w:szCs w:val="24"/>
                <w:lang w:eastAsia="en-GB"/>
              </w:rPr>
              <w:t xml:space="preserve">each transmission-connected distribution system operator and, where specified by the TSO, transmission-connected demand facility owner, shall provide </w:t>
            </w:r>
            <w:r w:rsidRPr="008E4E18">
              <w:rPr>
                <w:rFonts w:ascii="inherit" w:eastAsia="Times New Roman" w:hAnsi="inherit" w:cs="Times New Roman"/>
                <w:sz w:val="24"/>
                <w:szCs w:val="24"/>
                <w:lang w:eastAsia="en-GB"/>
              </w:rPr>
              <w:lastRenderedPageBreak/>
              <w:t>capabilities that enable automatic ‘low frequency’ disconnection of a specified proportion of their demand. The relevant TSO may specify a disconnection trigger based on a combination of low frequency and rate-of-change-of-frequency</w:t>
            </w:r>
            <w:r>
              <w:rPr>
                <w:rFonts w:ascii="inherit" w:eastAsia="Times New Roman" w:hAnsi="inherit" w:cs="Times New Roman"/>
                <w:sz w:val="24"/>
                <w:szCs w:val="24"/>
                <w:lang w:eastAsia="en-GB"/>
              </w:rPr>
              <w:t xml:space="preserve"> </w:t>
            </w:r>
            <w:r w:rsidRPr="00E40019">
              <w:rPr>
                <w:rFonts w:ascii="inherit" w:eastAsia="Times New Roman" w:hAnsi="inherit" w:cs="Times New Roman"/>
                <w:color w:val="FF0000"/>
                <w:sz w:val="24"/>
                <w:szCs w:val="24"/>
                <w:lang w:eastAsia="en-GB"/>
              </w:rPr>
              <w:t>while taking into account not only system security but also costs and risks</w:t>
            </w:r>
            <w:r>
              <w:rPr>
                <w:rFonts w:ascii="inherit" w:eastAsia="Times New Roman" w:hAnsi="inherit" w:cs="Times New Roman"/>
                <w:color w:val="FF0000"/>
                <w:sz w:val="24"/>
                <w:szCs w:val="24"/>
                <w:lang w:eastAsia="en-GB"/>
              </w:rPr>
              <w:t xml:space="preserve"> for the concerned demand facil</w:t>
            </w:r>
            <w:r w:rsidR="000907DF">
              <w:rPr>
                <w:rFonts w:ascii="inherit" w:eastAsia="Times New Roman" w:hAnsi="inherit" w:cs="Times New Roman"/>
                <w:color w:val="FF0000"/>
                <w:sz w:val="24"/>
                <w:szCs w:val="24"/>
                <w:lang w:eastAsia="en-GB"/>
              </w:rPr>
              <w:t>i</w:t>
            </w:r>
            <w:r>
              <w:rPr>
                <w:rFonts w:ascii="inherit" w:eastAsia="Times New Roman" w:hAnsi="inherit" w:cs="Times New Roman"/>
                <w:color w:val="FF0000"/>
                <w:sz w:val="24"/>
                <w:szCs w:val="24"/>
                <w:lang w:eastAsia="en-GB"/>
              </w:rPr>
              <w:t>ties</w:t>
            </w:r>
            <w:r w:rsidR="007A0C35">
              <w:rPr>
                <w:rFonts w:ascii="inherit" w:eastAsia="Times New Roman" w:hAnsi="inherit" w:cs="Times New Roman"/>
                <w:color w:val="FF0000"/>
                <w:sz w:val="24"/>
                <w:szCs w:val="24"/>
                <w:lang w:eastAsia="en-GB"/>
              </w:rPr>
              <w:t>. Moreover, system operators will take duly into account all existing protection elements concerning low frequency</w:t>
            </w:r>
            <w:proofErr w:type="gramStart"/>
            <w:r>
              <w:rPr>
                <w:rFonts w:ascii="inherit" w:eastAsia="Times New Roman" w:hAnsi="inherit" w:cs="Times New Roman"/>
                <w:sz w:val="24"/>
                <w:szCs w:val="24"/>
                <w:lang w:eastAsia="en-GB"/>
              </w:rPr>
              <w:t>.</w:t>
            </w:r>
            <w:r w:rsidRPr="008E4E18">
              <w:rPr>
                <w:rFonts w:ascii="inherit" w:eastAsia="Times New Roman" w:hAnsi="inherit" w:cs="Times New Roman"/>
                <w:sz w:val="24"/>
                <w:szCs w:val="24"/>
                <w:lang w:eastAsia="en-GB"/>
              </w:rPr>
              <w:t>;</w:t>
            </w:r>
            <w:proofErr w:type="gramEnd"/>
          </w:p>
        </w:tc>
        <w:tc>
          <w:tcPr>
            <w:tcW w:w="6946" w:type="dxa"/>
          </w:tcPr>
          <w:p w14:paraId="3877F632" w14:textId="3C317788" w:rsidR="004C3159" w:rsidRDefault="00CA1531" w:rsidP="009D5F58">
            <w:r>
              <w:lastRenderedPageBreak/>
              <w:t xml:space="preserve">IFIEC Europe insists that even though </w:t>
            </w:r>
            <w:r w:rsidRPr="00CA1531">
              <w:t>transmission-connected demand facilities and transmission-connected distribution systems</w:t>
            </w:r>
            <w:r>
              <w:t xml:space="preserve"> “shall </w:t>
            </w:r>
            <w:r w:rsidRPr="00CA1531">
              <w:t>provide capabilities that enable automatic ‘low frequency’ disconnection of a specified proportion of their demand. The relevant TSO may specify a disconnection trigger based on a combination of low frequency and rate-</w:t>
            </w:r>
            <w:r w:rsidRPr="00CA1531">
              <w:lastRenderedPageBreak/>
              <w:t>of-change-of-frequency</w:t>
            </w:r>
            <w:r>
              <w:t xml:space="preserve">”, it is important to understand that especially for industrial consumers such disconnection could lead to very important damages and related costs. IFIEC Europe thus insists that these capabilities, even though required to be provided, should not be lightly used as disconnection might be fast but reconnection might take very long (even up to weeks or months in case of important damages to installations) </w:t>
            </w:r>
            <w:r w:rsidR="00E40019">
              <w:t xml:space="preserve">and would involve sometimes very important costs for these facilities and could even create safety risks. IFIEC Europe understands that the application of LFDD falls under other Network Codes but insists that these cost and safety elements </w:t>
            </w:r>
            <w:proofErr w:type="gramStart"/>
            <w:r w:rsidR="00E40019">
              <w:t>are taken</w:t>
            </w:r>
            <w:proofErr w:type="gramEnd"/>
            <w:r w:rsidR="00E40019">
              <w:t xml:space="preserve"> into account for the application. </w:t>
            </w:r>
          </w:p>
        </w:tc>
        <w:tc>
          <w:tcPr>
            <w:tcW w:w="2268" w:type="dxa"/>
          </w:tcPr>
          <w:p w14:paraId="6D2CAAC3" w14:textId="77777777" w:rsidR="004C3159" w:rsidRDefault="004C3159" w:rsidP="009D5F58"/>
        </w:tc>
      </w:tr>
      <w:tr w:rsidR="00EF12C0" w14:paraId="00873AF5" w14:textId="77777777" w:rsidTr="009B2D14">
        <w:tc>
          <w:tcPr>
            <w:tcW w:w="799" w:type="dxa"/>
          </w:tcPr>
          <w:p w14:paraId="249BED5A" w14:textId="6B2D825E" w:rsidR="00EF12C0" w:rsidRDefault="00EF12C0" w:rsidP="00EF12C0">
            <w:r>
              <w:t>Article 27</w:t>
            </w:r>
          </w:p>
        </w:tc>
        <w:tc>
          <w:tcPr>
            <w:tcW w:w="3874" w:type="dxa"/>
          </w:tcPr>
          <w:p w14:paraId="0CED6160" w14:textId="4BEF305B" w:rsidR="00EF12C0" w:rsidRDefault="00EF12C0" w:rsidP="00EF12C0">
            <w:r>
              <w:t>/</w:t>
            </w:r>
          </w:p>
        </w:tc>
        <w:tc>
          <w:tcPr>
            <w:tcW w:w="6946" w:type="dxa"/>
          </w:tcPr>
          <w:p w14:paraId="1A1BF967" w14:textId="77777777" w:rsidR="00EF12C0" w:rsidRDefault="00EF12C0" w:rsidP="00EF12C0">
            <w:proofErr w:type="gramStart"/>
            <w:r>
              <w:t>While article 27 in itself does not pose any issues for IFIEC Europe, as it only creates different categories of demand response services, 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0FF9D576" w14:textId="77777777" w:rsidR="00EF12C0" w:rsidRDefault="00EF12C0" w:rsidP="00EF12C0"/>
          <w:p w14:paraId="09BD64E3" w14:textId="65E7F312" w:rsidR="00EF12C0" w:rsidRDefault="00EF12C0" w:rsidP="00EF12C0">
            <w:r>
              <w:t>In (2) IFIEC Europe finds it important that “</w:t>
            </w:r>
            <w:r w:rsidRPr="00EF12C0">
              <w:t xml:space="preserve">Demand facilities and closed distribution systems </w:t>
            </w:r>
            <w:r w:rsidRPr="00EF12C0">
              <w:rPr>
                <w:b/>
                <w:bCs/>
              </w:rPr>
              <w:t>may</w:t>
            </w:r>
            <w:r w:rsidRPr="00EF12C0">
              <w:t xml:space="preserve"> provide demand response services to relevant system operators and relevant TSOs</w:t>
            </w:r>
            <w:r>
              <w:t xml:space="preserve">” as an obligation would constitute curtailment (governed by other codes) or obligatory consumption (without </w:t>
            </w:r>
            <w:r>
              <w:lastRenderedPageBreak/>
              <w:t>legal basis). IFIEC Europe is adamant that demand side response remains voluntary and remunerated.</w:t>
            </w:r>
          </w:p>
        </w:tc>
        <w:tc>
          <w:tcPr>
            <w:tcW w:w="2268" w:type="dxa"/>
          </w:tcPr>
          <w:p w14:paraId="41D4171B" w14:textId="77777777" w:rsidR="00EF12C0" w:rsidRDefault="00EF12C0" w:rsidP="00EF12C0"/>
        </w:tc>
      </w:tr>
      <w:tr w:rsidR="00EF12C0" w14:paraId="43A1C7DF" w14:textId="77777777" w:rsidTr="009B2D14">
        <w:tc>
          <w:tcPr>
            <w:tcW w:w="799" w:type="dxa"/>
          </w:tcPr>
          <w:p w14:paraId="68675585" w14:textId="6EC53AFB" w:rsidR="00EF12C0" w:rsidRDefault="009104DE" w:rsidP="00EF12C0">
            <w:bookmarkStart w:id="3" w:name="_Hlk119503150"/>
            <w:r>
              <w:t>Article 28(2)</w:t>
            </w:r>
          </w:p>
        </w:tc>
        <w:tc>
          <w:tcPr>
            <w:tcW w:w="3874" w:type="dxa"/>
          </w:tcPr>
          <w:p w14:paraId="64B3D2F1" w14:textId="77777777" w:rsidR="009104DE" w:rsidRPr="009104DE" w:rsidRDefault="009104DE" w:rsidP="009104DE">
            <w:pPr>
              <w:shd w:val="clear" w:color="auto" w:fill="FFFFFF"/>
              <w:spacing w:before="120"/>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3357"/>
            </w:tblGrid>
            <w:tr w:rsidR="009104DE" w:rsidRPr="009104DE" w14:paraId="1F79B150" w14:textId="77777777" w:rsidTr="00B95180">
              <w:tc>
                <w:tcPr>
                  <w:tcW w:w="0" w:type="auto"/>
                  <w:shd w:val="clear" w:color="auto" w:fill="auto"/>
                  <w:hideMark/>
                </w:tcPr>
                <w:p w14:paraId="61B05EE9"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(a)</w:t>
                  </w:r>
                </w:p>
              </w:tc>
              <w:tc>
                <w:tcPr>
                  <w:tcW w:w="0" w:type="auto"/>
                  <w:shd w:val="clear" w:color="auto" w:fill="auto"/>
                  <w:hideMark/>
                </w:tcPr>
                <w:p w14:paraId="4635F80C"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be capable of operating across the frequency ranges specified in Article 12(1) and the extended range specified in Article 12(2);</w:t>
                  </w:r>
                </w:p>
              </w:tc>
            </w:tr>
          </w:tbl>
          <w:p w14:paraId="1A941272"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9104DE" w:rsidRPr="009104DE" w14:paraId="020E67DF" w14:textId="77777777" w:rsidTr="00B95180">
              <w:tc>
                <w:tcPr>
                  <w:tcW w:w="0" w:type="auto"/>
                  <w:shd w:val="clear" w:color="auto" w:fill="auto"/>
                  <w:hideMark/>
                </w:tcPr>
                <w:p w14:paraId="3D9464B9"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(b)</w:t>
                  </w:r>
                </w:p>
              </w:tc>
              <w:tc>
                <w:tcPr>
                  <w:tcW w:w="0" w:type="auto"/>
                  <w:shd w:val="clear" w:color="auto" w:fill="auto"/>
                  <w:hideMark/>
                </w:tcPr>
                <w:p w14:paraId="00E8E7B9"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be capable of operating across the voltage ranges specified in Article 13 if connected at a voltage level at or above 110 kV;</w:t>
                  </w:r>
                </w:p>
              </w:tc>
            </w:tr>
          </w:tbl>
          <w:p w14:paraId="7DB38A4F"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9104DE" w:rsidRPr="009104DE" w14:paraId="7C2E7B33" w14:textId="77777777" w:rsidTr="00B95180">
              <w:tc>
                <w:tcPr>
                  <w:tcW w:w="0" w:type="auto"/>
                  <w:shd w:val="clear" w:color="auto" w:fill="auto"/>
                  <w:hideMark/>
                </w:tcPr>
                <w:p w14:paraId="6BCDFC28"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(c)</w:t>
                  </w:r>
                </w:p>
              </w:tc>
              <w:tc>
                <w:tcPr>
                  <w:tcW w:w="0" w:type="auto"/>
                  <w:shd w:val="clear" w:color="auto" w:fill="auto"/>
                  <w:hideMark/>
                </w:tcPr>
                <w:p w14:paraId="584F7AFF"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be</w:t>
                  </w:r>
                  <w:proofErr w:type="gramEnd"/>
                  <w:r w:rsidRPr="009104DE">
                    <w:rPr>
                      <w:rFonts w:ascii="inherit" w:eastAsia="Times New Roman" w:hAnsi="inherit" w:cs="Times New Roman"/>
                      <w:strike/>
                      <w:color w:val="FF0000"/>
                      <w:sz w:val="24"/>
                      <w:szCs w:val="24"/>
                      <w:lang w:eastAsia="en-GB"/>
                    </w:rPr>
                    <w:t xml:space="preserve"> capable of operating across the normal operational voltage range of the system at the connection point, specified by the relevant system operator, if connected at a voltage level below 110 kV. This range shall take into account existing </w:t>
                  </w:r>
                  <w:r w:rsidRPr="009104DE">
                    <w:rPr>
                      <w:rFonts w:ascii="inherit" w:eastAsia="Times New Roman" w:hAnsi="inherit" w:cs="Times New Roman"/>
                      <w:strike/>
                      <w:color w:val="FF0000"/>
                      <w:sz w:val="24"/>
                      <w:szCs w:val="24"/>
                      <w:lang w:eastAsia="en-GB"/>
                    </w:rPr>
                    <w:lastRenderedPageBreak/>
                    <w:t>standards and shall, prior to approval in accordance with Article 6, be subject to consultation with the relevant stakeholders in accordance with Article 9(1);</w:t>
                  </w:r>
                </w:p>
              </w:tc>
            </w:tr>
          </w:tbl>
          <w:p w14:paraId="1E394951"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9104DE" w:rsidRPr="009104DE" w14:paraId="33676A12" w14:textId="77777777" w:rsidTr="00B95180">
              <w:tc>
                <w:tcPr>
                  <w:tcW w:w="0" w:type="auto"/>
                  <w:shd w:val="clear" w:color="auto" w:fill="auto"/>
                  <w:hideMark/>
                </w:tcPr>
                <w:p w14:paraId="16BE7096"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(d)</w:t>
                  </w:r>
                </w:p>
              </w:tc>
              <w:tc>
                <w:tcPr>
                  <w:tcW w:w="0" w:type="auto"/>
                  <w:shd w:val="clear" w:color="auto" w:fill="auto"/>
                  <w:hideMark/>
                </w:tcPr>
                <w:p w14:paraId="22F1DAE6"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be capable of controlling power consumption from the network in a range equal to the range contracted, directly or indirectly through a third party, by the relevant TSO;</w:t>
                  </w:r>
                </w:p>
              </w:tc>
            </w:tr>
          </w:tbl>
          <w:p w14:paraId="215CF714"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3357"/>
            </w:tblGrid>
            <w:tr w:rsidR="009104DE" w:rsidRPr="009104DE" w14:paraId="1477DC70" w14:textId="77777777" w:rsidTr="00B95180">
              <w:tc>
                <w:tcPr>
                  <w:tcW w:w="0" w:type="auto"/>
                  <w:shd w:val="clear" w:color="auto" w:fill="auto"/>
                  <w:hideMark/>
                </w:tcPr>
                <w:p w14:paraId="067F7922"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(e)</w:t>
                  </w:r>
                </w:p>
              </w:tc>
              <w:tc>
                <w:tcPr>
                  <w:tcW w:w="0" w:type="auto"/>
                  <w:shd w:val="clear" w:color="auto" w:fill="auto"/>
                  <w:hideMark/>
                </w:tcPr>
                <w:p w14:paraId="6356D009"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be</w:t>
                  </w:r>
                  <w:proofErr w:type="gramEnd"/>
                  <w:r w:rsidRPr="009104DE">
                    <w:rPr>
                      <w:rFonts w:ascii="inherit" w:eastAsia="Times New Roman" w:hAnsi="inherit" w:cs="Times New Roman"/>
                      <w:strike/>
                      <w:color w:val="FF0000"/>
                      <w:sz w:val="24"/>
                      <w:szCs w:val="24"/>
                      <w:lang w:eastAsia="en-GB"/>
                    </w:rPr>
                    <w:t xml:space="preserv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w:t>
                  </w:r>
                  <w:r w:rsidRPr="009104DE">
                    <w:rPr>
                      <w:rFonts w:ascii="inherit" w:eastAsia="Times New Roman" w:hAnsi="inherit" w:cs="Times New Roman"/>
                      <w:strike/>
                      <w:color w:val="FF0000"/>
                      <w:sz w:val="24"/>
                      <w:szCs w:val="24"/>
                      <w:lang w:eastAsia="en-GB"/>
                    </w:rPr>
                    <w:lastRenderedPageBreak/>
                    <w:t>stakeholders in accordance with Article 9(1);</w:t>
                  </w:r>
                </w:p>
              </w:tc>
            </w:tr>
          </w:tbl>
          <w:p w14:paraId="55506F21"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3402"/>
            </w:tblGrid>
            <w:tr w:rsidR="009104DE" w:rsidRPr="009104DE" w14:paraId="57773747" w14:textId="77777777" w:rsidTr="00B95180">
              <w:tc>
                <w:tcPr>
                  <w:tcW w:w="0" w:type="auto"/>
                  <w:shd w:val="clear" w:color="auto" w:fill="auto"/>
                  <w:hideMark/>
                </w:tcPr>
                <w:p w14:paraId="09C438E8"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(f)</w:t>
                  </w:r>
                </w:p>
              </w:tc>
              <w:tc>
                <w:tcPr>
                  <w:tcW w:w="0" w:type="auto"/>
                  <w:shd w:val="clear" w:color="auto" w:fill="auto"/>
                  <w:hideMark/>
                </w:tcPr>
                <w:p w14:paraId="47C7CFAF"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be</w:t>
                  </w:r>
                  <w:proofErr w:type="gramEnd"/>
                  <w:r w:rsidRPr="009104DE">
                    <w:rPr>
                      <w:rFonts w:ascii="inherit" w:eastAsia="Times New Roman" w:hAnsi="inherit" w:cs="Times New Roman"/>
                      <w:strike/>
                      <w:color w:val="FF0000"/>
                      <w:sz w:val="24"/>
                      <w:szCs w:val="24"/>
                      <w:lang w:eastAsia="en-GB"/>
                    </w:rPr>
                    <w:t xml:space="preserv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13907C4E"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3356"/>
            </w:tblGrid>
            <w:tr w:rsidR="009104DE" w:rsidRPr="009104DE" w14:paraId="3D5F80B3" w14:textId="77777777" w:rsidTr="00B95180">
              <w:tc>
                <w:tcPr>
                  <w:tcW w:w="0" w:type="auto"/>
                  <w:shd w:val="clear" w:color="auto" w:fill="auto"/>
                  <w:hideMark/>
                </w:tcPr>
                <w:p w14:paraId="28FD8A30"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(g)</w:t>
                  </w:r>
                </w:p>
              </w:tc>
              <w:tc>
                <w:tcPr>
                  <w:tcW w:w="0" w:type="auto"/>
                  <w:shd w:val="clear" w:color="auto" w:fill="auto"/>
                  <w:hideMark/>
                </w:tcPr>
                <w:p w14:paraId="21AB22B7"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13D9320A"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3342"/>
            </w:tblGrid>
            <w:tr w:rsidR="009104DE" w:rsidRPr="009104DE" w14:paraId="2B0429EE" w14:textId="77777777" w:rsidTr="00B95180">
              <w:tc>
                <w:tcPr>
                  <w:tcW w:w="0" w:type="auto"/>
                  <w:shd w:val="clear" w:color="auto" w:fill="auto"/>
                  <w:hideMark/>
                </w:tcPr>
                <w:p w14:paraId="0E616966"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(h)</w:t>
                  </w:r>
                </w:p>
              </w:tc>
              <w:tc>
                <w:tcPr>
                  <w:tcW w:w="0" w:type="auto"/>
                  <w:shd w:val="clear" w:color="auto" w:fill="auto"/>
                  <w:hideMark/>
                </w:tcPr>
                <w:p w14:paraId="4A1537A2"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 xml:space="preserve">once a modification to power consumption has taken place </w:t>
                  </w:r>
                  <w:r w:rsidRPr="009104DE">
                    <w:rPr>
                      <w:rFonts w:ascii="inherit" w:eastAsia="Times New Roman" w:hAnsi="inherit" w:cs="Times New Roman"/>
                      <w:strike/>
                      <w:color w:val="FF0000"/>
                      <w:sz w:val="24"/>
                      <w:szCs w:val="24"/>
                      <w:lang w:eastAsia="en-GB"/>
                    </w:rPr>
                    <w:lastRenderedPageBreak/>
                    <w:t>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w:t>
                  </w:r>
                  <w:proofErr w:type="gramEnd"/>
                  <w:r w:rsidRPr="009104DE">
                    <w:rPr>
                      <w:rFonts w:ascii="inherit" w:eastAsia="Times New Roman" w:hAnsi="inherit" w:cs="Times New Roman"/>
                      <w:strike/>
                      <w:color w:val="FF0000"/>
                      <w:sz w:val="24"/>
                      <w:szCs w:val="24"/>
                      <w:lang w:eastAsia="en-GB"/>
                    </w:rPr>
                    <w:t xml:space="preserve"> Instructions to modify power consumption may have immediate or delayed effects;</w:t>
                  </w:r>
                </w:p>
              </w:tc>
            </w:tr>
          </w:tbl>
          <w:p w14:paraId="59C94E66"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3408"/>
            </w:tblGrid>
            <w:tr w:rsidR="009104DE" w:rsidRPr="009104DE" w14:paraId="37D2F950" w14:textId="77777777" w:rsidTr="00B95180">
              <w:tc>
                <w:tcPr>
                  <w:tcW w:w="0" w:type="auto"/>
                  <w:shd w:val="clear" w:color="auto" w:fill="auto"/>
                  <w:hideMark/>
                </w:tcPr>
                <w:p w14:paraId="1AD18F13"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w:t>
                  </w:r>
                  <w:proofErr w:type="spellStart"/>
                  <w:r w:rsidRPr="009104DE">
                    <w:rPr>
                      <w:rFonts w:ascii="inherit" w:eastAsia="Times New Roman" w:hAnsi="inherit" w:cs="Times New Roman"/>
                      <w:strike/>
                      <w:color w:val="FF0000"/>
                      <w:sz w:val="24"/>
                      <w:szCs w:val="24"/>
                      <w:lang w:eastAsia="en-GB"/>
                    </w:rPr>
                    <w:t>i</w:t>
                  </w:r>
                  <w:proofErr w:type="spellEnd"/>
                  <w:r w:rsidRPr="009104DE">
                    <w:rPr>
                      <w:rFonts w:ascii="inherit" w:eastAsia="Times New Roman" w:hAnsi="inherit" w:cs="Times New Roman"/>
                      <w:strike/>
                      <w:color w:val="FF0000"/>
                      <w:sz w:val="24"/>
                      <w:szCs w:val="24"/>
                      <w:lang w:eastAsia="en-GB"/>
                    </w:rPr>
                    <w:t>)</w:t>
                  </w:r>
                </w:p>
              </w:tc>
              <w:tc>
                <w:tcPr>
                  <w:tcW w:w="0" w:type="auto"/>
                  <w:shd w:val="clear" w:color="auto" w:fill="auto"/>
                  <w:hideMark/>
                </w:tcPr>
                <w:p w14:paraId="746A9494"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notify</w:t>
                  </w:r>
                  <w:proofErr w:type="gramEnd"/>
                  <w:r w:rsidRPr="009104DE">
                    <w:rPr>
                      <w:rFonts w:ascii="inherit" w:eastAsia="Times New Roman" w:hAnsi="inherit" w:cs="Times New Roman"/>
                      <w:strike/>
                      <w:color w:val="FF0000"/>
                      <w:sz w:val="24"/>
                      <w:szCs w:val="24"/>
                      <w:lang w:eastAsia="en-GB"/>
                    </w:rPr>
                    <w:t xml:space="preserve"> the relevant system operator or relevant TSO of the modification of demand response capacity. The relevant system operator or relevant TSO shall specify the modalities of the notification;</w:t>
                  </w:r>
                </w:p>
              </w:tc>
            </w:tr>
          </w:tbl>
          <w:p w14:paraId="33B33C2B"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3410"/>
            </w:tblGrid>
            <w:tr w:rsidR="009104DE" w:rsidRPr="009104DE" w14:paraId="1AC5649C" w14:textId="77777777" w:rsidTr="00B95180">
              <w:tc>
                <w:tcPr>
                  <w:tcW w:w="0" w:type="auto"/>
                  <w:shd w:val="clear" w:color="auto" w:fill="auto"/>
                  <w:hideMark/>
                </w:tcPr>
                <w:p w14:paraId="7E1809BF"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(j)</w:t>
                  </w:r>
                </w:p>
              </w:tc>
              <w:tc>
                <w:tcPr>
                  <w:tcW w:w="0" w:type="auto"/>
                  <w:shd w:val="clear" w:color="auto" w:fill="auto"/>
                  <w:hideMark/>
                </w:tcPr>
                <w:p w14:paraId="7B3AD334"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 xml:space="preserve">where the relevant system operator or the relevant TSO, directly or indirectly through a third party, command the modification of the power consumption, enable the </w:t>
                  </w:r>
                  <w:r w:rsidRPr="009104DE">
                    <w:rPr>
                      <w:rFonts w:ascii="inherit" w:eastAsia="Times New Roman" w:hAnsi="inherit" w:cs="Times New Roman"/>
                      <w:strike/>
                      <w:color w:val="FF0000"/>
                      <w:sz w:val="24"/>
                      <w:szCs w:val="24"/>
                      <w:lang w:eastAsia="en-GB"/>
                    </w:rPr>
                    <w:lastRenderedPageBreak/>
                    <w:t>modification of a part of its demand in response to an instruction by the relevant system operator or the relevant TSO, within the limits agreed with the demand facility owner or the CDSO and according to the demand unit settings;</w:t>
                  </w:r>
                </w:p>
              </w:tc>
            </w:tr>
          </w:tbl>
          <w:p w14:paraId="21B16BBF"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3348"/>
            </w:tblGrid>
            <w:tr w:rsidR="009104DE" w:rsidRPr="009104DE" w14:paraId="55A2FE13" w14:textId="77777777" w:rsidTr="00B95180">
              <w:tc>
                <w:tcPr>
                  <w:tcW w:w="0" w:type="auto"/>
                  <w:shd w:val="clear" w:color="auto" w:fill="auto"/>
                  <w:hideMark/>
                </w:tcPr>
                <w:p w14:paraId="2E7F4545"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(k)</w:t>
                  </w:r>
                </w:p>
              </w:tc>
              <w:tc>
                <w:tcPr>
                  <w:tcW w:w="0" w:type="auto"/>
                  <w:shd w:val="clear" w:color="auto" w:fill="auto"/>
                  <w:hideMark/>
                </w:tcPr>
                <w:p w14:paraId="63913B76"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have</w:t>
                  </w:r>
                  <w:proofErr w:type="gramEnd"/>
                  <w:r w:rsidRPr="009104DE">
                    <w:rPr>
                      <w:rFonts w:ascii="inherit" w:eastAsia="Times New Roman" w:hAnsi="inherit" w:cs="Times New Roman"/>
                      <w:strike/>
                      <w:color w:val="FF0000"/>
                      <w:sz w:val="24"/>
                      <w:szCs w:val="24"/>
                      <w:lang w:eastAsia="en-GB"/>
                    </w:rPr>
                    <w:t xml:space="preser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9104DE">
                    <w:rPr>
                      <w:rFonts w:ascii="inherit" w:eastAsia="Times New Roman" w:hAnsi="inherit" w:cs="Times New Roman"/>
                      <w:strike/>
                      <w:color w:val="FF0000"/>
                      <w:sz w:val="24"/>
                      <w:szCs w:val="24"/>
                      <w:lang w:eastAsia="en-GB"/>
                    </w:rPr>
                    <w:t>ms</w:t>
                  </w:r>
                  <w:proofErr w:type="spellEnd"/>
                  <w:r w:rsidRPr="009104DE">
                    <w:rPr>
                      <w:rFonts w:ascii="inherit" w:eastAsia="Times New Roman" w:hAnsi="inherit" w:cs="Times New Roman"/>
                      <w:strike/>
                      <w:color w:val="FF0000"/>
                      <w:sz w:val="24"/>
                      <w:szCs w:val="24"/>
                      <w:lang w:eastAsia="en-GB"/>
                    </w:rPr>
                    <w:t xml:space="preserve"> </w:t>
                  </w:r>
                  <w:proofErr w:type="gramStart"/>
                  <w:r w:rsidRPr="009104DE">
                    <w:rPr>
                      <w:rFonts w:ascii="inherit" w:eastAsia="Times New Roman" w:hAnsi="inherit" w:cs="Times New Roman"/>
                      <w:strike/>
                      <w:color w:val="FF0000"/>
                      <w:sz w:val="24"/>
                      <w:szCs w:val="24"/>
                      <w:lang w:eastAsia="en-GB"/>
                    </w:rPr>
                    <w:t>time frame</w:t>
                  </w:r>
                  <w:proofErr w:type="gramEnd"/>
                  <w:r w:rsidRPr="009104DE">
                    <w:rPr>
                      <w:rFonts w:ascii="inherit" w:eastAsia="Times New Roman" w:hAnsi="inherit" w:cs="Times New Roman"/>
                      <w:strike/>
                      <w:color w:val="FF0000"/>
                      <w:sz w:val="24"/>
                      <w:szCs w:val="24"/>
                      <w:lang w:eastAsia="en-GB"/>
                    </w:rPr>
                    <w:t>. For demand units connected at a voltage level below 110 kV, these specifications shall, prior to approval in accordance with Article 6, be subject to consultation with the relevant stakeholders in accordance with Article 9(1);</w:t>
                  </w:r>
                </w:p>
              </w:tc>
            </w:tr>
          </w:tbl>
          <w:p w14:paraId="68FA016E" w14:textId="77777777" w:rsidR="009104DE" w:rsidRPr="009104DE" w:rsidRDefault="009104DE" w:rsidP="009104DE">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3409"/>
            </w:tblGrid>
            <w:tr w:rsidR="009104DE" w:rsidRPr="009104DE" w14:paraId="1891DED6" w14:textId="77777777" w:rsidTr="00B95180">
              <w:tc>
                <w:tcPr>
                  <w:tcW w:w="0" w:type="auto"/>
                  <w:shd w:val="clear" w:color="auto" w:fill="auto"/>
                  <w:hideMark/>
                </w:tcPr>
                <w:p w14:paraId="5A15D3B1"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r w:rsidRPr="009104DE">
                    <w:rPr>
                      <w:rFonts w:ascii="inherit" w:eastAsia="Times New Roman" w:hAnsi="inherit" w:cs="Times New Roman"/>
                      <w:strike/>
                      <w:color w:val="FF0000"/>
                      <w:sz w:val="24"/>
                      <w:szCs w:val="24"/>
                      <w:lang w:eastAsia="en-GB"/>
                    </w:rPr>
                    <w:t>(l)</w:t>
                  </w:r>
                </w:p>
              </w:tc>
              <w:tc>
                <w:tcPr>
                  <w:tcW w:w="0" w:type="auto"/>
                  <w:shd w:val="clear" w:color="auto" w:fill="auto"/>
                  <w:hideMark/>
                </w:tcPr>
                <w:p w14:paraId="12671B60" w14:textId="77777777" w:rsidR="009104DE" w:rsidRPr="009104DE" w:rsidRDefault="009104DE" w:rsidP="009104DE">
                  <w:pPr>
                    <w:spacing w:before="120" w:after="0" w:line="240" w:lineRule="auto"/>
                    <w:jc w:val="both"/>
                    <w:rPr>
                      <w:rFonts w:ascii="inherit" w:eastAsia="Times New Roman" w:hAnsi="inherit" w:cs="Times New Roman"/>
                      <w:strike/>
                      <w:color w:val="FF0000"/>
                      <w:sz w:val="24"/>
                      <w:szCs w:val="24"/>
                      <w:lang w:eastAsia="en-GB"/>
                    </w:rPr>
                  </w:pPr>
                  <w:proofErr w:type="gramStart"/>
                  <w:r w:rsidRPr="009104DE">
                    <w:rPr>
                      <w:rFonts w:ascii="inherit" w:eastAsia="Times New Roman" w:hAnsi="inherit" w:cs="Times New Roman"/>
                      <w:strike/>
                      <w:color w:val="FF0000"/>
                      <w:sz w:val="24"/>
                      <w:szCs w:val="24"/>
                      <w:lang w:eastAsia="en-GB"/>
                    </w:rPr>
                    <w:t xml:space="preserve">where modification to the power consumption is specified via frequency or voltage control, or both, and via pre-alert signal sent by the relevant system operator or the relevant TSO, be equipped </w:t>
                  </w:r>
                  <w:r w:rsidRPr="009104DE">
                    <w:rPr>
                      <w:rFonts w:ascii="inherit" w:eastAsia="Times New Roman" w:hAnsi="inherit" w:cs="Times New Roman"/>
                      <w:strike/>
                      <w:color w:val="FF0000"/>
                      <w:sz w:val="24"/>
                      <w:szCs w:val="24"/>
                      <w:lang w:eastAsia="en-GB"/>
                    </w:rPr>
                    <w:lastRenderedPageBreak/>
                    <w:t>to receive, directly or indirectly through a third party, the instructions from the relevant system operator or the relevant TSO, to measure the frequency or voltage value, or both, to command the demand trip and to transfer the information.</w:t>
                  </w:r>
                  <w:proofErr w:type="gramEnd"/>
                  <w:r w:rsidRPr="009104DE">
                    <w:rPr>
                      <w:rFonts w:ascii="inherit" w:eastAsia="Times New Roman" w:hAnsi="inherit" w:cs="Times New Roman"/>
                      <w:strike/>
                      <w:color w:val="FF0000"/>
                      <w:sz w:val="24"/>
                      <w:szCs w:val="24"/>
                      <w:lang w:eastAsia="en-GB"/>
                    </w:rPr>
                    <w:t xml:space="preserve"> The relevant system operator shall specify and publish the technical specifications approved to enable this transfer of information. For demand units connected at a voltage level below 110 kV, these specifications </w:t>
                  </w:r>
                  <w:proofErr w:type="gramStart"/>
                  <w:r w:rsidRPr="009104DE">
                    <w:rPr>
                      <w:rFonts w:ascii="inherit" w:eastAsia="Times New Roman" w:hAnsi="inherit" w:cs="Times New Roman"/>
                      <w:strike/>
                      <w:color w:val="FF0000"/>
                      <w:sz w:val="24"/>
                      <w:szCs w:val="24"/>
                      <w:lang w:eastAsia="en-GB"/>
                    </w:rPr>
                    <w:t>shall, prior to approval in accordance with Article 6, be</w:t>
                  </w:r>
                  <w:proofErr w:type="gramEnd"/>
                  <w:r w:rsidRPr="009104DE">
                    <w:rPr>
                      <w:rFonts w:ascii="inherit" w:eastAsia="Times New Roman" w:hAnsi="inherit" w:cs="Times New Roman"/>
                      <w:strike/>
                      <w:color w:val="FF0000"/>
                      <w:sz w:val="24"/>
                      <w:szCs w:val="24"/>
                      <w:lang w:eastAsia="en-GB"/>
                    </w:rPr>
                    <w:t xml:space="preserve"> subject to consultation with the relevant stakeholders in accordance with Article 9(1).</w:t>
                  </w:r>
                </w:p>
              </w:tc>
            </w:tr>
          </w:tbl>
          <w:p w14:paraId="5F48CC12" w14:textId="77777777" w:rsidR="00EF12C0" w:rsidRPr="009104DE" w:rsidRDefault="00EF12C0" w:rsidP="00EF12C0">
            <w:pPr>
              <w:rPr>
                <w:strike/>
                <w:color w:val="FF0000"/>
              </w:rPr>
            </w:pPr>
          </w:p>
        </w:tc>
        <w:tc>
          <w:tcPr>
            <w:tcW w:w="6946" w:type="dxa"/>
          </w:tcPr>
          <w:p w14:paraId="6A4E9212" w14:textId="77777777" w:rsidR="00EF12C0" w:rsidRDefault="009104DE" w:rsidP="00EF12C0">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28204099" w14:textId="77777777" w:rsidR="009104DE" w:rsidRDefault="009104DE" w:rsidP="00EF12C0"/>
          <w:p w14:paraId="06C9B8F1" w14:textId="0142E5CB" w:rsidR="009104DE" w:rsidRDefault="009104DE" w:rsidP="00EF12C0">
            <w:r>
              <w:t>IFIEC Europe believes in the value of the provision yet considers this best to be tackled elsewhere then in the network code for the abovementioned reasons.</w:t>
            </w:r>
          </w:p>
        </w:tc>
        <w:tc>
          <w:tcPr>
            <w:tcW w:w="2268" w:type="dxa"/>
          </w:tcPr>
          <w:p w14:paraId="03C8A655" w14:textId="77777777" w:rsidR="00EF12C0" w:rsidRDefault="00EF12C0" w:rsidP="00EF12C0"/>
        </w:tc>
      </w:tr>
      <w:bookmarkEnd w:id="3"/>
      <w:tr w:rsidR="000106AC" w14:paraId="3370E2FC" w14:textId="77777777" w:rsidTr="009B2D14">
        <w:tc>
          <w:tcPr>
            <w:tcW w:w="799" w:type="dxa"/>
          </w:tcPr>
          <w:p w14:paraId="04E96456" w14:textId="40D86A5D" w:rsidR="000106AC" w:rsidRDefault="000106AC" w:rsidP="000106AC">
            <w:r>
              <w:lastRenderedPageBreak/>
              <w:t>Article 29(2)</w:t>
            </w:r>
          </w:p>
        </w:tc>
        <w:tc>
          <w:tcPr>
            <w:tcW w:w="3874" w:type="dxa"/>
          </w:tcPr>
          <w:p w14:paraId="6E197563" w14:textId="77777777" w:rsidR="000106AC" w:rsidRPr="000106AC" w:rsidRDefault="000106AC" w:rsidP="000106AC">
            <w:pPr>
              <w:shd w:val="clear" w:color="auto" w:fill="FFFFFF"/>
              <w:spacing w:before="120"/>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3357"/>
            </w:tblGrid>
            <w:tr w:rsidR="000106AC" w:rsidRPr="000106AC" w14:paraId="0B0A4B19" w14:textId="77777777" w:rsidTr="00B95180">
              <w:tc>
                <w:tcPr>
                  <w:tcW w:w="0" w:type="auto"/>
                  <w:shd w:val="clear" w:color="auto" w:fill="auto"/>
                  <w:hideMark/>
                </w:tcPr>
                <w:p w14:paraId="61B94A6D"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(a)</w:t>
                  </w:r>
                </w:p>
              </w:tc>
              <w:tc>
                <w:tcPr>
                  <w:tcW w:w="0" w:type="auto"/>
                  <w:shd w:val="clear" w:color="auto" w:fill="auto"/>
                  <w:hideMark/>
                </w:tcPr>
                <w:p w14:paraId="1C69345B"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 xml:space="preserve">be capable of operating across the frequency ranges specified in </w:t>
                  </w:r>
                  <w:r w:rsidRPr="000106AC">
                    <w:rPr>
                      <w:rFonts w:ascii="inherit" w:eastAsia="Times New Roman" w:hAnsi="inherit" w:cs="Times New Roman"/>
                      <w:strike/>
                      <w:color w:val="FF0000"/>
                      <w:sz w:val="24"/>
                      <w:szCs w:val="24"/>
                      <w:lang w:eastAsia="en-GB"/>
                    </w:rPr>
                    <w:lastRenderedPageBreak/>
                    <w:t>Article 12(1) and the extended range specified in Article 12(2);</w:t>
                  </w:r>
                </w:p>
              </w:tc>
            </w:tr>
          </w:tbl>
          <w:p w14:paraId="24EFAEDD"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0106AC" w:rsidRPr="000106AC" w14:paraId="67B52417" w14:textId="77777777" w:rsidTr="00B95180">
              <w:tc>
                <w:tcPr>
                  <w:tcW w:w="0" w:type="auto"/>
                  <w:shd w:val="clear" w:color="auto" w:fill="auto"/>
                  <w:hideMark/>
                </w:tcPr>
                <w:p w14:paraId="1A141148"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(b)</w:t>
                  </w:r>
                </w:p>
              </w:tc>
              <w:tc>
                <w:tcPr>
                  <w:tcW w:w="0" w:type="auto"/>
                  <w:shd w:val="clear" w:color="auto" w:fill="auto"/>
                  <w:hideMark/>
                </w:tcPr>
                <w:p w14:paraId="0EE7A517"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be capable of operating across the voltage ranges specified in Article 13 if connected at a voltage level at or above 110 kV;</w:t>
                  </w:r>
                </w:p>
              </w:tc>
            </w:tr>
          </w:tbl>
          <w:p w14:paraId="2B368429"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0106AC" w:rsidRPr="000106AC" w14:paraId="79B08DE7" w14:textId="77777777" w:rsidTr="00B95180">
              <w:tc>
                <w:tcPr>
                  <w:tcW w:w="0" w:type="auto"/>
                  <w:shd w:val="clear" w:color="auto" w:fill="auto"/>
                  <w:hideMark/>
                </w:tcPr>
                <w:p w14:paraId="6578F1C2"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(c)</w:t>
                  </w:r>
                </w:p>
              </w:tc>
              <w:tc>
                <w:tcPr>
                  <w:tcW w:w="0" w:type="auto"/>
                  <w:shd w:val="clear" w:color="auto" w:fill="auto"/>
                  <w:hideMark/>
                </w:tcPr>
                <w:p w14:paraId="6BDF89A6"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proofErr w:type="gramStart"/>
                  <w:r w:rsidRPr="000106AC">
                    <w:rPr>
                      <w:rFonts w:ascii="inherit" w:eastAsia="Times New Roman" w:hAnsi="inherit" w:cs="Times New Roman"/>
                      <w:strike/>
                      <w:color w:val="FF0000"/>
                      <w:sz w:val="24"/>
                      <w:szCs w:val="24"/>
                      <w:lang w:eastAsia="en-GB"/>
                    </w:rPr>
                    <w:t>be</w:t>
                  </w:r>
                  <w:proofErr w:type="gramEnd"/>
                  <w:r w:rsidRPr="000106AC">
                    <w:rPr>
                      <w:rFonts w:ascii="inherit" w:eastAsia="Times New Roman" w:hAnsi="inherit" w:cs="Times New Roman"/>
                      <w:strike/>
                      <w:color w:val="FF0000"/>
                      <w:sz w:val="24"/>
                      <w:szCs w:val="24"/>
                      <w:lang w:eastAsia="en-GB"/>
                    </w:rPr>
                    <w:t xml:space="preserv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0540C6A4"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0106AC" w:rsidRPr="000106AC" w14:paraId="73C0247C" w14:textId="77777777" w:rsidTr="00B95180">
              <w:tc>
                <w:tcPr>
                  <w:tcW w:w="0" w:type="auto"/>
                  <w:shd w:val="clear" w:color="auto" w:fill="auto"/>
                  <w:hideMark/>
                </w:tcPr>
                <w:p w14:paraId="21112E76"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(d)</w:t>
                  </w:r>
                </w:p>
              </w:tc>
              <w:tc>
                <w:tcPr>
                  <w:tcW w:w="0" w:type="auto"/>
                  <w:shd w:val="clear" w:color="auto" w:fill="auto"/>
                  <w:hideMark/>
                </w:tcPr>
                <w:p w14:paraId="2B303724"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proofErr w:type="gramStart"/>
                  <w:r w:rsidRPr="000106AC">
                    <w:rPr>
                      <w:rFonts w:ascii="inherit" w:eastAsia="Times New Roman" w:hAnsi="inherit" w:cs="Times New Roman"/>
                      <w:strike/>
                      <w:color w:val="FF0000"/>
                      <w:sz w:val="24"/>
                      <w:szCs w:val="24"/>
                      <w:lang w:eastAsia="en-GB"/>
                    </w:rPr>
                    <w:t>be</w:t>
                  </w:r>
                  <w:proofErr w:type="gramEnd"/>
                  <w:r w:rsidRPr="000106AC">
                    <w:rPr>
                      <w:rFonts w:ascii="inherit" w:eastAsia="Times New Roman" w:hAnsi="inherit" w:cs="Times New Roman"/>
                      <w:strike/>
                      <w:color w:val="FF0000"/>
                      <w:sz w:val="24"/>
                      <w:szCs w:val="24"/>
                      <w:lang w:eastAsia="en-GB"/>
                    </w:rPr>
                    <w:t xml:space="preserv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w:t>
                  </w:r>
                  <w:r w:rsidRPr="000106AC">
                    <w:rPr>
                      <w:rFonts w:ascii="inherit" w:eastAsia="Times New Roman" w:hAnsi="inherit" w:cs="Times New Roman"/>
                      <w:strike/>
                      <w:color w:val="FF0000"/>
                      <w:sz w:val="24"/>
                      <w:szCs w:val="24"/>
                      <w:lang w:eastAsia="en-GB"/>
                    </w:rPr>
                    <w:lastRenderedPageBreak/>
                    <w:t>specifications shall, prior to approval in accordance with Article 6, be subject to consultation with the relevant stakeholders in accordance with Article 9(1);</w:t>
                  </w:r>
                </w:p>
              </w:tc>
            </w:tr>
          </w:tbl>
          <w:p w14:paraId="2D44A308"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3357"/>
            </w:tblGrid>
            <w:tr w:rsidR="000106AC" w:rsidRPr="000106AC" w14:paraId="028FF406" w14:textId="77777777" w:rsidTr="00B95180">
              <w:tc>
                <w:tcPr>
                  <w:tcW w:w="0" w:type="auto"/>
                  <w:shd w:val="clear" w:color="auto" w:fill="auto"/>
                  <w:hideMark/>
                </w:tcPr>
                <w:p w14:paraId="3D2F38A8"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(e)</w:t>
                  </w:r>
                </w:p>
              </w:tc>
              <w:tc>
                <w:tcPr>
                  <w:tcW w:w="0" w:type="auto"/>
                  <w:shd w:val="clear" w:color="auto" w:fill="auto"/>
                  <w:hideMark/>
                </w:tcPr>
                <w:p w14:paraId="579D5B33"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proofErr w:type="gramStart"/>
                  <w:r w:rsidRPr="000106AC">
                    <w:rPr>
                      <w:rFonts w:ascii="inherit" w:eastAsia="Times New Roman" w:hAnsi="inherit" w:cs="Times New Roman"/>
                      <w:strike/>
                      <w:color w:val="FF0000"/>
                      <w:sz w:val="24"/>
                      <w:szCs w:val="24"/>
                      <w:lang w:eastAsia="en-GB"/>
                    </w:rPr>
                    <w:t>be</w:t>
                  </w:r>
                  <w:proofErr w:type="gramEnd"/>
                  <w:r w:rsidRPr="000106AC">
                    <w:rPr>
                      <w:rFonts w:ascii="inherit" w:eastAsia="Times New Roman" w:hAnsi="inherit" w:cs="Times New Roman"/>
                      <w:strike/>
                      <w:color w:val="FF0000"/>
                      <w:sz w:val="24"/>
                      <w:szCs w:val="24"/>
                      <w:lang w:eastAsia="en-GB"/>
                    </w:rPr>
                    <w:t xml:space="preserve"> capable of, upon return to frequency within the dead band specified in paragraph 2(d), initiating a random time delay of up to 5 minutes before resuming normal operation.</w:t>
                  </w:r>
                </w:p>
                <w:p w14:paraId="4AC08905"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The maximum frequency deviation from nominal value of 50</w:t>
                  </w:r>
                  <w:proofErr w:type="gramStart"/>
                  <w:r w:rsidRPr="000106AC">
                    <w:rPr>
                      <w:rFonts w:ascii="inherit" w:eastAsia="Times New Roman" w:hAnsi="inherit" w:cs="Times New Roman"/>
                      <w:strike/>
                      <w:color w:val="FF0000"/>
                      <w:sz w:val="24"/>
                      <w:szCs w:val="24"/>
                      <w:lang w:eastAsia="en-GB"/>
                    </w:rPr>
                    <w:t>,00</w:t>
                  </w:r>
                  <w:proofErr w:type="gramEnd"/>
                  <w:r w:rsidRPr="000106AC">
                    <w:rPr>
                      <w:rFonts w:ascii="inherit" w:eastAsia="Times New Roman" w:hAnsi="inherit" w:cs="Times New Roman"/>
                      <w:strike/>
                      <w:color w:val="FF0000"/>
                      <w:sz w:val="24"/>
                      <w:szCs w:val="24"/>
                      <w:lang w:eastAsia="en-GB"/>
                    </w:rPr>
                    <w:t xml:space="preserve"> Hz to respond to shall be specified by the relevant TSO in coordination with the TSOs in the synchronous area. For demand units connected at a voltage level below 110 kV, these specifications </w:t>
                  </w:r>
                  <w:proofErr w:type="gramStart"/>
                  <w:r w:rsidRPr="000106AC">
                    <w:rPr>
                      <w:rFonts w:ascii="inherit" w:eastAsia="Times New Roman" w:hAnsi="inherit" w:cs="Times New Roman"/>
                      <w:strike/>
                      <w:color w:val="FF0000"/>
                      <w:sz w:val="24"/>
                      <w:szCs w:val="24"/>
                      <w:lang w:eastAsia="en-GB"/>
                    </w:rPr>
                    <w:t>shall, prior to approval in accordance with Article 6, be</w:t>
                  </w:r>
                  <w:proofErr w:type="gramEnd"/>
                  <w:r w:rsidRPr="000106AC">
                    <w:rPr>
                      <w:rFonts w:ascii="inherit" w:eastAsia="Times New Roman" w:hAnsi="inherit" w:cs="Times New Roman"/>
                      <w:strike/>
                      <w:color w:val="FF0000"/>
                      <w:sz w:val="24"/>
                      <w:szCs w:val="24"/>
                      <w:lang w:eastAsia="en-GB"/>
                    </w:rPr>
                    <w:t xml:space="preserve"> subject to consultation with the relevant stakeholders in accordance with Article 9(1).</w:t>
                  </w:r>
                </w:p>
                <w:p w14:paraId="57556852"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 xml:space="preserve">The demand shall be increased or decreased for a system frequency above or below the </w:t>
                  </w:r>
                  <w:r w:rsidRPr="000106AC">
                    <w:rPr>
                      <w:rFonts w:ascii="inherit" w:eastAsia="Times New Roman" w:hAnsi="inherit" w:cs="Times New Roman"/>
                      <w:strike/>
                      <w:color w:val="FF0000"/>
                      <w:sz w:val="24"/>
                      <w:szCs w:val="24"/>
                      <w:lang w:eastAsia="en-GB"/>
                    </w:rPr>
                    <w:lastRenderedPageBreak/>
                    <w:t>dead band of nominal (50,00 Hz) respectively;</w:t>
                  </w:r>
                </w:p>
              </w:tc>
            </w:tr>
          </w:tbl>
          <w:p w14:paraId="679142AC"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3402"/>
            </w:tblGrid>
            <w:tr w:rsidR="000106AC" w:rsidRPr="000106AC" w14:paraId="661225C3" w14:textId="77777777" w:rsidTr="00B95180">
              <w:tc>
                <w:tcPr>
                  <w:tcW w:w="0" w:type="auto"/>
                  <w:shd w:val="clear" w:color="auto" w:fill="auto"/>
                  <w:hideMark/>
                </w:tcPr>
                <w:p w14:paraId="4AB7BF0A"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(f)</w:t>
                  </w:r>
                </w:p>
              </w:tc>
              <w:tc>
                <w:tcPr>
                  <w:tcW w:w="0" w:type="auto"/>
                  <w:shd w:val="clear" w:color="auto" w:fill="auto"/>
                  <w:hideMark/>
                </w:tcPr>
                <w:p w14:paraId="0628CB76"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proofErr w:type="gramStart"/>
                  <w:r w:rsidRPr="000106AC">
                    <w:rPr>
                      <w:rFonts w:ascii="inherit" w:eastAsia="Times New Roman" w:hAnsi="inherit" w:cs="Times New Roman"/>
                      <w:strike/>
                      <w:color w:val="FF0000"/>
                      <w:sz w:val="24"/>
                      <w:szCs w:val="24"/>
                      <w:lang w:eastAsia="en-GB"/>
                    </w:rPr>
                    <w:t>be</w:t>
                  </w:r>
                  <w:proofErr w:type="gramEnd"/>
                  <w:r w:rsidRPr="000106AC">
                    <w:rPr>
                      <w:rFonts w:ascii="inherit" w:eastAsia="Times New Roman" w:hAnsi="inherit" w:cs="Times New Roman"/>
                      <w:strike/>
                      <w:color w:val="FF0000"/>
                      <w:sz w:val="24"/>
                      <w:szCs w:val="24"/>
                      <w:lang w:eastAsia="en-GB"/>
                    </w:rPr>
                    <w:t xml:space="preserve"> equipped with a controller that measures the actual system frequency. Measurements shall be updated at least every 0,2 seconds;</w:t>
                  </w:r>
                </w:p>
              </w:tc>
            </w:tr>
          </w:tbl>
          <w:p w14:paraId="613F9702" w14:textId="77777777" w:rsidR="000106AC" w:rsidRPr="000106AC" w:rsidRDefault="000106AC" w:rsidP="000106AC">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3356"/>
            </w:tblGrid>
            <w:tr w:rsidR="000106AC" w:rsidRPr="000106AC" w14:paraId="5E9D9250" w14:textId="77777777" w:rsidTr="00B95180">
              <w:tc>
                <w:tcPr>
                  <w:tcW w:w="0" w:type="auto"/>
                  <w:shd w:val="clear" w:color="auto" w:fill="auto"/>
                  <w:hideMark/>
                </w:tcPr>
                <w:p w14:paraId="5F911A84"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r w:rsidRPr="000106AC">
                    <w:rPr>
                      <w:rFonts w:ascii="inherit" w:eastAsia="Times New Roman" w:hAnsi="inherit" w:cs="Times New Roman"/>
                      <w:strike/>
                      <w:color w:val="FF0000"/>
                      <w:sz w:val="24"/>
                      <w:szCs w:val="24"/>
                      <w:lang w:eastAsia="en-GB"/>
                    </w:rPr>
                    <w:t>(g)</w:t>
                  </w:r>
                </w:p>
              </w:tc>
              <w:tc>
                <w:tcPr>
                  <w:tcW w:w="0" w:type="auto"/>
                  <w:shd w:val="clear" w:color="auto" w:fill="auto"/>
                  <w:hideMark/>
                </w:tcPr>
                <w:p w14:paraId="5CB31E48" w14:textId="77777777" w:rsidR="000106AC" w:rsidRPr="000106AC" w:rsidRDefault="000106AC" w:rsidP="000106AC">
                  <w:pPr>
                    <w:spacing w:before="120" w:after="0" w:line="240" w:lineRule="auto"/>
                    <w:jc w:val="both"/>
                    <w:rPr>
                      <w:rFonts w:ascii="inherit" w:eastAsia="Times New Roman" w:hAnsi="inherit" w:cs="Times New Roman"/>
                      <w:strike/>
                      <w:color w:val="FF0000"/>
                      <w:sz w:val="24"/>
                      <w:szCs w:val="24"/>
                      <w:lang w:eastAsia="en-GB"/>
                    </w:rPr>
                  </w:pPr>
                  <w:proofErr w:type="gramStart"/>
                  <w:r w:rsidRPr="000106AC">
                    <w:rPr>
                      <w:rFonts w:ascii="inherit" w:eastAsia="Times New Roman" w:hAnsi="inherit" w:cs="Times New Roman"/>
                      <w:strike/>
                      <w:color w:val="FF0000"/>
                      <w:sz w:val="24"/>
                      <w:szCs w:val="24"/>
                      <w:lang w:eastAsia="en-GB"/>
                    </w:rPr>
                    <w:t>be</w:t>
                  </w:r>
                  <w:proofErr w:type="gramEnd"/>
                  <w:r w:rsidRPr="000106AC">
                    <w:rPr>
                      <w:rFonts w:ascii="inherit" w:eastAsia="Times New Roman" w:hAnsi="inherit" w:cs="Times New Roman"/>
                      <w:strike/>
                      <w:color w:val="FF0000"/>
                      <w:sz w:val="24"/>
                      <w:szCs w:val="24"/>
                      <w:lang w:eastAsia="en-GB"/>
                    </w:rPr>
                    <w:t xml:space="preserv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w:t>
                  </w:r>
                  <w:proofErr w:type="gramStart"/>
                  <w:r w:rsidRPr="000106AC">
                    <w:rPr>
                      <w:rFonts w:ascii="inherit" w:eastAsia="Times New Roman" w:hAnsi="inherit" w:cs="Times New Roman"/>
                      <w:strike/>
                      <w:color w:val="FF0000"/>
                      <w:sz w:val="24"/>
                      <w:szCs w:val="24"/>
                      <w:lang w:eastAsia="en-GB"/>
                    </w:rPr>
                    <w:t>be specified</w:t>
                  </w:r>
                  <w:proofErr w:type="gramEnd"/>
                  <w:r w:rsidRPr="000106AC">
                    <w:rPr>
                      <w:rFonts w:ascii="inherit" w:eastAsia="Times New Roman" w:hAnsi="inherit" w:cs="Times New Roman"/>
                      <w:strike/>
                      <w:color w:val="FF0000"/>
                      <w:sz w:val="24"/>
                      <w:szCs w:val="24"/>
                      <w:lang w:eastAsia="en-GB"/>
                    </w:rPr>
                    <w:t xml:space="preserve"> by the relevant TSO in coordination with the TSOs in the synchronous area. An offset in the steady-state measurement of frequency shall be acceptable up to 0,05 Hz.</w:t>
                  </w:r>
                </w:p>
              </w:tc>
            </w:tr>
          </w:tbl>
          <w:p w14:paraId="08BADF8F" w14:textId="77777777" w:rsidR="000106AC" w:rsidRPr="000106AC" w:rsidRDefault="000106AC" w:rsidP="000106AC">
            <w:pPr>
              <w:rPr>
                <w:strike/>
                <w:color w:val="FF0000"/>
              </w:rPr>
            </w:pPr>
          </w:p>
        </w:tc>
        <w:tc>
          <w:tcPr>
            <w:tcW w:w="6946" w:type="dxa"/>
          </w:tcPr>
          <w:p w14:paraId="29C6E017" w14:textId="77777777" w:rsidR="000106AC" w:rsidRDefault="000106AC" w:rsidP="000106AC">
            <w:bookmarkStart w:id="4" w:name="_Hlk119503239"/>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4D8FAC1E" w14:textId="77777777" w:rsidR="000106AC" w:rsidRDefault="000106AC" w:rsidP="000106AC"/>
          <w:p w14:paraId="041F19CA" w14:textId="1BCAEBF8" w:rsidR="000106AC" w:rsidRDefault="000106AC" w:rsidP="000106AC">
            <w:r>
              <w:lastRenderedPageBreak/>
              <w:t>IFIEC Europe believes in the value of the provision yet considers this best to be tackled elsewhere then in the network code for the abovementioned reasons.</w:t>
            </w:r>
            <w:bookmarkEnd w:id="4"/>
          </w:p>
        </w:tc>
        <w:tc>
          <w:tcPr>
            <w:tcW w:w="2268" w:type="dxa"/>
          </w:tcPr>
          <w:p w14:paraId="382D0DA2" w14:textId="77777777" w:rsidR="000106AC" w:rsidRDefault="000106AC" w:rsidP="000106AC"/>
        </w:tc>
      </w:tr>
      <w:tr w:rsidR="0015116F" w14:paraId="344BC321" w14:textId="77777777" w:rsidTr="009B2D14">
        <w:tc>
          <w:tcPr>
            <w:tcW w:w="799" w:type="dxa"/>
          </w:tcPr>
          <w:p w14:paraId="5589E244" w14:textId="3857F749" w:rsidR="0015116F" w:rsidRDefault="0015116F" w:rsidP="0015116F">
            <w:r>
              <w:lastRenderedPageBreak/>
              <w:t>Article 32(3)</w:t>
            </w:r>
          </w:p>
        </w:tc>
        <w:tc>
          <w:tcPr>
            <w:tcW w:w="3874" w:type="dxa"/>
          </w:tcPr>
          <w:p w14:paraId="7007A489" w14:textId="77777777" w:rsidR="0015116F" w:rsidRPr="0015116F" w:rsidRDefault="0015116F" w:rsidP="0015116F">
            <w:pPr>
              <w:shd w:val="clear" w:color="auto" w:fill="FFFFFF"/>
              <w:spacing w:before="120"/>
              <w:jc w:val="both"/>
              <w:rPr>
                <w:rFonts w:ascii="inherit" w:eastAsia="Times New Roman" w:hAnsi="inherit" w:cs="Times New Roman"/>
                <w:strike/>
                <w:color w:val="FF0000"/>
                <w:sz w:val="24"/>
                <w:szCs w:val="24"/>
                <w:lang w:eastAsia="en-GB"/>
              </w:rPr>
            </w:pPr>
            <w:r w:rsidRPr="008E4E18">
              <w:rPr>
                <w:rFonts w:ascii="inherit" w:eastAsia="Times New Roman" w:hAnsi="inherit" w:cs="Times New Roman"/>
                <w:color w:val="000000"/>
                <w:sz w:val="24"/>
                <w:szCs w:val="24"/>
                <w:lang w:eastAsia="en-GB"/>
              </w:rPr>
              <w:t xml:space="preserve">3.   Based on an installation document, the demand facility owner or the CDSO shall submit </w:t>
            </w:r>
            <w:r w:rsidRPr="008E4E18">
              <w:rPr>
                <w:rFonts w:ascii="inherit" w:eastAsia="Times New Roman" w:hAnsi="inherit" w:cs="Times New Roman"/>
                <w:color w:val="000000"/>
                <w:sz w:val="24"/>
                <w:szCs w:val="24"/>
                <w:lang w:eastAsia="en-GB"/>
              </w:rPr>
              <w:lastRenderedPageBreak/>
              <w:t xml:space="preserve">information, directly or indirectly through a third party, to the relevant system operator or relevant TSO. </w:t>
            </w:r>
            <w:r w:rsidRPr="0015116F">
              <w:rPr>
                <w:rFonts w:ascii="inherit" w:eastAsia="Times New Roman" w:hAnsi="inherit" w:cs="Times New Roman"/>
                <w:strike/>
                <w:color w:val="FF0000"/>
                <w:sz w:val="24"/>
                <w:szCs w:val="24"/>
                <w:lang w:eastAsia="en-GB"/>
              </w:rPr>
              <w:t>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25BA2DAF" w14:textId="77777777" w:rsidR="0015116F" w:rsidRDefault="0015116F" w:rsidP="0015116F"/>
        </w:tc>
        <w:tc>
          <w:tcPr>
            <w:tcW w:w="6946" w:type="dxa"/>
          </w:tcPr>
          <w:p w14:paraId="0E25FB80" w14:textId="77777777" w:rsidR="0015116F" w:rsidRDefault="0015116F" w:rsidP="0015116F">
            <w:proofErr w:type="gramStart"/>
            <w:r>
              <w:lastRenderedPageBreak/>
              <w:t xml:space="preserve">IFIEC Europe is of the opinion that, while it is important that demand facilities can provide demand response services to system operators and relevant TSOs and while many (industrial) demand facilities are already doing so, these requirements should not be tackled via a (non-agile) </w:t>
            </w:r>
            <w:r>
              <w:lastRenderedPageBreak/>
              <w:t>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72776A63" w14:textId="3212CBD5" w:rsidR="0015116F" w:rsidRDefault="0015116F" w:rsidP="0015116F"/>
        </w:tc>
        <w:tc>
          <w:tcPr>
            <w:tcW w:w="2268" w:type="dxa"/>
          </w:tcPr>
          <w:p w14:paraId="6A3953AB" w14:textId="77777777" w:rsidR="0015116F" w:rsidRDefault="0015116F" w:rsidP="0015116F"/>
        </w:tc>
      </w:tr>
      <w:tr w:rsidR="0015116F" w14:paraId="06D6F885" w14:textId="77777777" w:rsidTr="009B2D14">
        <w:tc>
          <w:tcPr>
            <w:tcW w:w="799" w:type="dxa"/>
          </w:tcPr>
          <w:p w14:paraId="637FA4BD" w14:textId="4D538998" w:rsidR="0015116F" w:rsidRDefault="00A943AF" w:rsidP="0015116F">
            <w:r>
              <w:t>Art 32(4)</w:t>
            </w:r>
          </w:p>
        </w:tc>
        <w:tc>
          <w:tcPr>
            <w:tcW w:w="3874" w:type="dxa"/>
          </w:tcPr>
          <w:p w14:paraId="588B772D" w14:textId="77777777" w:rsidR="00A943AF" w:rsidRPr="00A943AF" w:rsidRDefault="00A943AF" w:rsidP="00A943AF">
            <w:pPr>
              <w:shd w:val="clear" w:color="auto" w:fill="FFFFFF"/>
              <w:spacing w:before="120"/>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 xml:space="preserve">For subsequent demand units with demand response, separate installation documents </w:t>
            </w:r>
            <w:proofErr w:type="gramStart"/>
            <w:r w:rsidRPr="00A943AF">
              <w:rPr>
                <w:rFonts w:ascii="inherit" w:eastAsia="Times New Roman" w:hAnsi="inherit" w:cs="Times New Roman"/>
                <w:strike/>
                <w:color w:val="FF0000"/>
                <w:sz w:val="24"/>
                <w:szCs w:val="24"/>
                <w:lang w:eastAsia="en-GB"/>
              </w:rPr>
              <w:t>shall be provided</w:t>
            </w:r>
            <w:proofErr w:type="gramEnd"/>
            <w:r w:rsidRPr="00A943AF">
              <w:rPr>
                <w:rFonts w:ascii="inherit" w:eastAsia="Times New Roman" w:hAnsi="inherit" w:cs="Times New Roman"/>
                <w:strike/>
                <w:color w:val="FF0000"/>
                <w:sz w:val="24"/>
                <w:szCs w:val="24"/>
                <w:lang w:eastAsia="en-GB"/>
              </w:rPr>
              <w:t>.</w:t>
            </w:r>
          </w:p>
          <w:p w14:paraId="32DFDC00" w14:textId="77777777" w:rsidR="0015116F" w:rsidRDefault="0015116F" w:rsidP="0015116F"/>
        </w:tc>
        <w:tc>
          <w:tcPr>
            <w:tcW w:w="6946" w:type="dxa"/>
          </w:tcPr>
          <w:p w14:paraId="5107B0B5" w14:textId="65B098C0" w:rsidR="0015116F" w:rsidRDefault="00A943AF" w:rsidP="0015116F">
            <w:r>
              <w:t>See above Article 32(3)</w:t>
            </w:r>
          </w:p>
        </w:tc>
        <w:tc>
          <w:tcPr>
            <w:tcW w:w="2268" w:type="dxa"/>
          </w:tcPr>
          <w:p w14:paraId="2F12FF40" w14:textId="77777777" w:rsidR="0015116F" w:rsidRDefault="0015116F" w:rsidP="0015116F"/>
        </w:tc>
      </w:tr>
      <w:tr w:rsidR="0015116F" w14:paraId="12E76D31" w14:textId="77777777" w:rsidTr="009B2D14">
        <w:tc>
          <w:tcPr>
            <w:tcW w:w="799" w:type="dxa"/>
          </w:tcPr>
          <w:p w14:paraId="0008B7A0" w14:textId="3C61835D" w:rsidR="0015116F" w:rsidRDefault="00A943AF" w:rsidP="0015116F">
            <w:r>
              <w:t>Art 32(6)</w:t>
            </w:r>
          </w:p>
        </w:tc>
        <w:tc>
          <w:tcPr>
            <w:tcW w:w="3874" w:type="dxa"/>
          </w:tcPr>
          <w:p w14:paraId="0FF913B5" w14:textId="77777777" w:rsidR="00A943AF" w:rsidRPr="00A943AF" w:rsidRDefault="00A943AF" w:rsidP="00A943AF">
            <w:pPr>
              <w:shd w:val="clear" w:color="auto" w:fill="FFFFFF"/>
              <w:spacing w:before="120"/>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3357"/>
            </w:tblGrid>
            <w:tr w:rsidR="00A943AF" w:rsidRPr="00A943AF" w14:paraId="42CF9B21" w14:textId="77777777" w:rsidTr="00B95180">
              <w:tc>
                <w:tcPr>
                  <w:tcW w:w="0" w:type="auto"/>
                  <w:shd w:val="clear" w:color="auto" w:fill="auto"/>
                  <w:hideMark/>
                </w:tcPr>
                <w:p w14:paraId="6175CA0A"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(a)</w:t>
                  </w:r>
                </w:p>
              </w:tc>
              <w:tc>
                <w:tcPr>
                  <w:tcW w:w="0" w:type="auto"/>
                  <w:shd w:val="clear" w:color="auto" w:fill="auto"/>
                  <w:hideMark/>
                </w:tcPr>
                <w:p w14:paraId="7ED4BFD0"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the location at which the demand unit with demand response is connected to the network;</w:t>
                  </w:r>
                </w:p>
              </w:tc>
            </w:tr>
          </w:tbl>
          <w:p w14:paraId="317F118A" w14:textId="77777777" w:rsidR="00A943AF" w:rsidRPr="00A943AF" w:rsidRDefault="00A943AF" w:rsidP="00A943AF">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A943AF" w:rsidRPr="00A943AF" w14:paraId="0E6388AD" w14:textId="77777777" w:rsidTr="00B95180">
              <w:tc>
                <w:tcPr>
                  <w:tcW w:w="0" w:type="auto"/>
                  <w:shd w:val="clear" w:color="auto" w:fill="auto"/>
                  <w:hideMark/>
                </w:tcPr>
                <w:p w14:paraId="72D098B9"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(b)</w:t>
                  </w:r>
                </w:p>
              </w:tc>
              <w:tc>
                <w:tcPr>
                  <w:tcW w:w="0" w:type="auto"/>
                  <w:shd w:val="clear" w:color="auto" w:fill="auto"/>
                  <w:hideMark/>
                </w:tcPr>
                <w:p w14:paraId="477FD6E2"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the maximum capacity of the demand response installation in kW;</w:t>
                  </w:r>
                </w:p>
              </w:tc>
            </w:tr>
          </w:tbl>
          <w:p w14:paraId="1B7F0FE5" w14:textId="77777777" w:rsidR="00A943AF" w:rsidRPr="00A943AF" w:rsidRDefault="00A943AF" w:rsidP="00A943AF">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A943AF" w:rsidRPr="00A943AF" w14:paraId="2BADE1DA" w14:textId="77777777" w:rsidTr="00B95180">
              <w:tc>
                <w:tcPr>
                  <w:tcW w:w="0" w:type="auto"/>
                  <w:shd w:val="clear" w:color="auto" w:fill="auto"/>
                  <w:hideMark/>
                </w:tcPr>
                <w:p w14:paraId="74917CC2"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(c)</w:t>
                  </w:r>
                </w:p>
              </w:tc>
              <w:tc>
                <w:tcPr>
                  <w:tcW w:w="0" w:type="auto"/>
                  <w:shd w:val="clear" w:color="auto" w:fill="auto"/>
                  <w:hideMark/>
                </w:tcPr>
                <w:p w14:paraId="0C6C2401"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the type of demand response services;</w:t>
                  </w:r>
                </w:p>
              </w:tc>
            </w:tr>
          </w:tbl>
          <w:p w14:paraId="48BE3778" w14:textId="77777777" w:rsidR="00A943AF" w:rsidRPr="00A943AF" w:rsidRDefault="00A943AF" w:rsidP="00A943AF">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A943AF" w:rsidRPr="00A943AF" w14:paraId="6DDE612F" w14:textId="77777777" w:rsidTr="00B95180">
              <w:tc>
                <w:tcPr>
                  <w:tcW w:w="0" w:type="auto"/>
                  <w:shd w:val="clear" w:color="auto" w:fill="auto"/>
                  <w:hideMark/>
                </w:tcPr>
                <w:p w14:paraId="4462D72D"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lastRenderedPageBreak/>
                    <w:t>(d)</w:t>
                  </w:r>
                </w:p>
              </w:tc>
              <w:tc>
                <w:tcPr>
                  <w:tcW w:w="0" w:type="auto"/>
                  <w:shd w:val="clear" w:color="auto" w:fill="auto"/>
                  <w:hideMark/>
                </w:tcPr>
                <w:p w14:paraId="1EE5B85C"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the demand unit certificate and the equipment certificate as relevant for the demand response service, or if not available, equivalent information;</w:t>
                  </w:r>
                </w:p>
              </w:tc>
            </w:tr>
          </w:tbl>
          <w:p w14:paraId="07433805" w14:textId="77777777" w:rsidR="00A943AF" w:rsidRPr="00A943AF" w:rsidRDefault="00A943AF" w:rsidP="00A943AF">
            <w:pPr>
              <w:shd w:val="clear" w:color="auto" w:fill="FFFFFF"/>
              <w:rPr>
                <w:rFonts w:ascii="Times New Roman" w:eastAsia="Times New Roman" w:hAnsi="Times New Roman" w:cs="Times New Roman"/>
                <w:strike/>
                <w:vanish/>
                <w:color w:val="FF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3357"/>
            </w:tblGrid>
            <w:tr w:rsidR="00A943AF" w:rsidRPr="00A943AF" w14:paraId="0256F4C6" w14:textId="77777777" w:rsidTr="00B95180">
              <w:tc>
                <w:tcPr>
                  <w:tcW w:w="0" w:type="auto"/>
                  <w:shd w:val="clear" w:color="auto" w:fill="auto"/>
                  <w:hideMark/>
                </w:tcPr>
                <w:p w14:paraId="38C8D9AE"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r w:rsidRPr="00A943AF">
                    <w:rPr>
                      <w:rFonts w:ascii="inherit" w:eastAsia="Times New Roman" w:hAnsi="inherit" w:cs="Times New Roman"/>
                      <w:strike/>
                      <w:color w:val="FF0000"/>
                      <w:sz w:val="24"/>
                      <w:szCs w:val="24"/>
                      <w:lang w:eastAsia="en-GB"/>
                    </w:rPr>
                    <w:t>(e)</w:t>
                  </w:r>
                </w:p>
              </w:tc>
              <w:tc>
                <w:tcPr>
                  <w:tcW w:w="0" w:type="auto"/>
                  <w:shd w:val="clear" w:color="auto" w:fill="auto"/>
                  <w:hideMark/>
                </w:tcPr>
                <w:p w14:paraId="0C53B517" w14:textId="77777777" w:rsidR="00A943AF" w:rsidRPr="00A943AF" w:rsidRDefault="00A943AF" w:rsidP="00A943AF">
                  <w:pPr>
                    <w:spacing w:before="120" w:after="0" w:line="240" w:lineRule="auto"/>
                    <w:jc w:val="both"/>
                    <w:rPr>
                      <w:rFonts w:ascii="inherit" w:eastAsia="Times New Roman" w:hAnsi="inherit" w:cs="Times New Roman"/>
                      <w:strike/>
                      <w:color w:val="FF0000"/>
                      <w:sz w:val="24"/>
                      <w:szCs w:val="24"/>
                      <w:lang w:eastAsia="en-GB"/>
                    </w:rPr>
                  </w:pPr>
                  <w:proofErr w:type="gramStart"/>
                  <w:r w:rsidRPr="00A943AF">
                    <w:rPr>
                      <w:rFonts w:ascii="inherit" w:eastAsia="Times New Roman" w:hAnsi="inherit" w:cs="Times New Roman"/>
                      <w:strike/>
                      <w:color w:val="FF0000"/>
                      <w:sz w:val="24"/>
                      <w:szCs w:val="24"/>
                      <w:lang w:eastAsia="en-GB"/>
                    </w:rPr>
                    <w:t>the</w:t>
                  </w:r>
                  <w:proofErr w:type="gramEnd"/>
                  <w:r w:rsidRPr="00A943AF">
                    <w:rPr>
                      <w:rFonts w:ascii="inherit" w:eastAsia="Times New Roman" w:hAnsi="inherit" w:cs="Times New Roman"/>
                      <w:strike/>
                      <w:color w:val="FF0000"/>
                      <w:sz w:val="24"/>
                      <w:szCs w:val="24"/>
                      <w:lang w:eastAsia="en-GB"/>
                    </w:rPr>
                    <w:t xml:space="preserve"> contact details of the demand facility owner, the closed distribution system operator or the third party aggregating the demand units from the demand facility or the closed distribution system.</w:t>
                  </w:r>
                </w:p>
              </w:tc>
            </w:tr>
          </w:tbl>
          <w:p w14:paraId="6979162B" w14:textId="77777777" w:rsidR="0015116F" w:rsidRPr="00A943AF" w:rsidRDefault="0015116F" w:rsidP="0015116F">
            <w:pPr>
              <w:rPr>
                <w:strike/>
                <w:color w:val="FF0000"/>
              </w:rPr>
            </w:pPr>
          </w:p>
        </w:tc>
        <w:tc>
          <w:tcPr>
            <w:tcW w:w="6946" w:type="dxa"/>
          </w:tcPr>
          <w:p w14:paraId="65544D6E" w14:textId="558EFAC7" w:rsidR="0015116F" w:rsidRDefault="00A943AF" w:rsidP="0015116F">
            <w:r>
              <w:lastRenderedPageBreak/>
              <w:t>See above Article 32(3)</w:t>
            </w:r>
          </w:p>
        </w:tc>
        <w:tc>
          <w:tcPr>
            <w:tcW w:w="2268" w:type="dxa"/>
          </w:tcPr>
          <w:p w14:paraId="6E2B6C52" w14:textId="77777777" w:rsidR="0015116F" w:rsidRDefault="0015116F" w:rsidP="0015116F"/>
        </w:tc>
      </w:tr>
      <w:tr w:rsidR="0015116F" w14:paraId="5887E6FE" w14:textId="77777777" w:rsidTr="009B2D14">
        <w:tc>
          <w:tcPr>
            <w:tcW w:w="799" w:type="dxa"/>
          </w:tcPr>
          <w:p w14:paraId="5354BDC0" w14:textId="247C6934" w:rsidR="0015116F" w:rsidRDefault="00907CBA" w:rsidP="0015116F">
            <w:r>
              <w:t>Art 34(2)</w:t>
            </w:r>
          </w:p>
        </w:tc>
        <w:tc>
          <w:tcPr>
            <w:tcW w:w="3874" w:type="dxa"/>
          </w:tcPr>
          <w:p w14:paraId="24DD26C8" w14:textId="77777777" w:rsidR="0015116F" w:rsidRDefault="000201FA" w:rsidP="0015116F">
            <w:pPr>
              <w:rPr>
                <w:rFonts w:ascii="inherit" w:eastAsia="Times New Roman" w:hAnsi="inherit" w:cs="Times New Roman"/>
                <w:strike/>
                <w:color w:val="FF0000"/>
                <w:sz w:val="24"/>
                <w:szCs w:val="24"/>
                <w:lang w:eastAsia="en-GB"/>
              </w:rPr>
            </w:pPr>
            <w:proofErr w:type="gramStart"/>
            <w:r w:rsidRPr="000201FA">
              <w:rPr>
                <w:rFonts w:ascii="inherit" w:eastAsia="Times New Roman" w:hAnsi="inherit" w:cs="Times New Roman"/>
                <w:strike/>
                <w:color w:val="FF0000"/>
                <w:sz w:val="24"/>
                <w:szCs w:val="24"/>
                <w:lang w:eastAsia="en-GB"/>
              </w:rPr>
              <w:t>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roofErr w:type="gramEnd"/>
          </w:p>
          <w:p w14:paraId="53258752" w14:textId="77777777" w:rsidR="0004386B" w:rsidRPr="0004386B" w:rsidRDefault="0004386B" w:rsidP="0004386B">
            <w:pPr>
              <w:shd w:val="clear" w:color="auto" w:fill="FFFFFF"/>
              <w:spacing w:before="120"/>
              <w:jc w:val="both"/>
              <w:rPr>
                <w:rFonts w:ascii="inherit" w:eastAsia="Times New Roman" w:hAnsi="inherit" w:cs="Times New Roman"/>
                <w:strike/>
                <w:color w:val="FF0000"/>
                <w:sz w:val="24"/>
                <w:szCs w:val="24"/>
                <w:lang w:eastAsia="en-GB"/>
              </w:rPr>
            </w:pPr>
            <w:r w:rsidRPr="0004386B">
              <w:rPr>
                <w:rFonts w:ascii="inherit" w:eastAsia="Times New Roman" w:hAnsi="inherit" w:cs="Times New Roman"/>
                <w:strike/>
                <w:color w:val="FF0000"/>
                <w:sz w:val="24"/>
                <w:szCs w:val="24"/>
                <w:lang w:eastAsia="en-GB"/>
              </w:rPr>
              <w:lastRenderedPageBreak/>
              <w:t xml:space="preserve">Third parties </w:t>
            </w:r>
            <w:proofErr w:type="gramStart"/>
            <w:r w:rsidRPr="0004386B">
              <w:rPr>
                <w:rFonts w:ascii="inherit" w:eastAsia="Times New Roman" w:hAnsi="inherit" w:cs="Times New Roman"/>
                <w:strike/>
                <w:color w:val="FF0000"/>
                <w:sz w:val="24"/>
                <w:szCs w:val="24"/>
                <w:lang w:eastAsia="en-GB"/>
              </w:rPr>
              <w:t>shall be treated</w:t>
            </w:r>
            <w:proofErr w:type="gramEnd"/>
            <w:r w:rsidRPr="0004386B">
              <w:rPr>
                <w:rFonts w:ascii="inherit" w:eastAsia="Times New Roman" w:hAnsi="inherit" w:cs="Times New Roman"/>
                <w:strike/>
                <w:color w:val="FF0000"/>
                <w:sz w:val="24"/>
                <w:szCs w:val="24"/>
                <w:lang w:eastAsia="en-GB"/>
              </w:rPr>
              <w:t xml:space="preserve">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75005D7E" w14:textId="4B660BBD" w:rsidR="0004386B" w:rsidRPr="000201FA" w:rsidRDefault="0004386B" w:rsidP="0015116F">
            <w:pPr>
              <w:rPr>
                <w:strike/>
              </w:rPr>
            </w:pPr>
          </w:p>
        </w:tc>
        <w:tc>
          <w:tcPr>
            <w:tcW w:w="6946" w:type="dxa"/>
          </w:tcPr>
          <w:p w14:paraId="184F57D5" w14:textId="77777777" w:rsidR="000201FA" w:rsidRDefault="000201FA" w:rsidP="000201FA">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2A0F9672" w14:textId="77777777" w:rsidR="0015116F" w:rsidRDefault="0015116F" w:rsidP="0015116F"/>
        </w:tc>
        <w:tc>
          <w:tcPr>
            <w:tcW w:w="2268" w:type="dxa"/>
          </w:tcPr>
          <w:p w14:paraId="330B6E01" w14:textId="77777777" w:rsidR="0015116F" w:rsidRDefault="0015116F" w:rsidP="0015116F"/>
        </w:tc>
      </w:tr>
      <w:tr w:rsidR="008963C9" w14:paraId="2AD9B8CB" w14:textId="77777777" w:rsidTr="009B2D14">
        <w:tc>
          <w:tcPr>
            <w:tcW w:w="799" w:type="dxa"/>
          </w:tcPr>
          <w:p w14:paraId="70B574D0" w14:textId="13C9CEB7" w:rsidR="008963C9" w:rsidRDefault="008963C9" w:rsidP="008963C9">
            <w:r>
              <w:t>Article 42 (1)</w:t>
            </w:r>
          </w:p>
        </w:tc>
        <w:tc>
          <w:tcPr>
            <w:tcW w:w="3874" w:type="dxa"/>
          </w:tcPr>
          <w:p w14:paraId="08E3993A" w14:textId="77777777" w:rsidR="008963C9" w:rsidRPr="008E4E18" w:rsidRDefault="008963C9" w:rsidP="008963C9">
            <w:pPr>
              <w:shd w:val="clear" w:color="auto" w:fill="FFFFFF"/>
              <w:spacing w:before="120"/>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Simulation of the performance of a transmission-connected demand facility, a transmission-connected distribution facility, </w:t>
            </w:r>
            <w:r w:rsidRPr="008963C9">
              <w:rPr>
                <w:rFonts w:ascii="inherit" w:eastAsia="Times New Roman" w:hAnsi="inherit" w:cs="Times New Roman"/>
                <w:strike/>
                <w:color w:val="FF0000"/>
                <w:sz w:val="24"/>
                <w:szCs w:val="24"/>
                <w:lang w:eastAsia="en-GB"/>
              </w:rPr>
              <w:t>or a demand unit with demand response very fast active power control within a demand facility or a closed distribution system</w:t>
            </w:r>
            <w:r w:rsidRPr="008E4E18">
              <w:rPr>
                <w:rFonts w:ascii="inherit" w:eastAsia="Times New Roman" w:hAnsi="inherit" w:cs="Times New Roman"/>
                <w:color w:val="000000"/>
                <w:sz w:val="24"/>
                <w:szCs w:val="24"/>
                <w:lang w:eastAsia="en-GB"/>
              </w:rPr>
              <w:t xml:space="preserve"> shall result in demonstrating whether the requirements of this Regulation have been fulfilled or not.</w:t>
            </w:r>
          </w:p>
          <w:p w14:paraId="7C4F47E5" w14:textId="77777777" w:rsidR="008963C9" w:rsidRDefault="008963C9" w:rsidP="008963C9"/>
        </w:tc>
        <w:tc>
          <w:tcPr>
            <w:tcW w:w="6946" w:type="dxa"/>
          </w:tcPr>
          <w:p w14:paraId="404DCB38" w14:textId="77777777" w:rsidR="008963C9" w:rsidRDefault="008963C9" w:rsidP="008963C9">
            <w:proofErr w:type="gramStart"/>
            <w:r>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0886119C" w14:textId="77777777" w:rsidR="008963C9" w:rsidRDefault="008963C9" w:rsidP="008963C9"/>
        </w:tc>
        <w:tc>
          <w:tcPr>
            <w:tcW w:w="2268" w:type="dxa"/>
          </w:tcPr>
          <w:p w14:paraId="1A5E3310" w14:textId="77777777" w:rsidR="008963C9" w:rsidRDefault="008963C9" w:rsidP="008963C9"/>
        </w:tc>
      </w:tr>
      <w:tr w:rsidR="008963C9" w14:paraId="11772812" w14:textId="77777777" w:rsidTr="009B2D14">
        <w:tc>
          <w:tcPr>
            <w:tcW w:w="799" w:type="dxa"/>
          </w:tcPr>
          <w:p w14:paraId="7D92FE43" w14:textId="3B5DF540" w:rsidR="008963C9" w:rsidRDefault="008963C9" w:rsidP="008963C9">
            <w:r>
              <w:t>Article 42(2)</w:t>
            </w:r>
          </w:p>
        </w:tc>
        <w:tc>
          <w:tcPr>
            <w:tcW w:w="3874" w:type="dxa"/>
          </w:tcPr>
          <w:p w14:paraId="24C6BD2A" w14:textId="77777777" w:rsidR="008963C9" w:rsidRPr="008E4E18" w:rsidRDefault="008963C9" w:rsidP="008963C9">
            <w:pPr>
              <w:shd w:val="clear" w:color="auto" w:fill="FFFFFF"/>
              <w:spacing w:before="120"/>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Simulations shall be run in the following circumstances:</w:t>
            </w:r>
          </w:p>
          <w:tbl>
            <w:tblPr>
              <w:tblW w:w="5000" w:type="pct"/>
              <w:tblCellMar>
                <w:left w:w="0" w:type="dxa"/>
                <w:right w:w="0" w:type="dxa"/>
              </w:tblCellMar>
              <w:tblLook w:val="04A0" w:firstRow="1" w:lastRow="0" w:firstColumn="1" w:lastColumn="0" w:noHBand="0" w:noVBand="1"/>
            </w:tblPr>
            <w:tblGrid>
              <w:gridCol w:w="301"/>
              <w:gridCol w:w="3357"/>
            </w:tblGrid>
            <w:tr w:rsidR="008963C9" w:rsidRPr="008E4E18" w14:paraId="3E1037B4" w14:textId="77777777" w:rsidTr="00B95180">
              <w:tc>
                <w:tcPr>
                  <w:tcW w:w="0" w:type="auto"/>
                  <w:shd w:val="clear" w:color="auto" w:fill="auto"/>
                  <w:hideMark/>
                </w:tcPr>
                <w:p w14:paraId="7753A795"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5F50E93A"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F35C1DF" w14:textId="77777777" w:rsidR="008963C9" w:rsidRPr="008E4E18" w:rsidRDefault="008963C9" w:rsidP="008963C9">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3343"/>
            </w:tblGrid>
            <w:tr w:rsidR="008963C9" w:rsidRPr="008E4E18" w14:paraId="49C9A94C" w14:textId="77777777" w:rsidTr="00B95180">
              <w:tc>
                <w:tcPr>
                  <w:tcW w:w="0" w:type="auto"/>
                  <w:shd w:val="clear" w:color="auto" w:fill="auto"/>
                  <w:hideMark/>
                </w:tcPr>
                <w:p w14:paraId="1C5B3472"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F7C83C"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963C9">
                    <w:rPr>
                      <w:rFonts w:ascii="inherit" w:eastAsia="Times New Roman" w:hAnsi="inherit" w:cs="Times New Roman"/>
                      <w:strike/>
                      <w:color w:val="FF0000"/>
                      <w:sz w:val="24"/>
                      <w:szCs w:val="24"/>
                      <w:lang w:eastAsia="en-GB"/>
                    </w:rPr>
                    <w:t>a new demand unit used by a demand facility or a closed distribution system to provide demand response very fast active power control to a relevant TSO has been contracted in accordance with Article 30</w:t>
                  </w:r>
                  <w:r w:rsidRPr="008E4E18">
                    <w:rPr>
                      <w:rFonts w:ascii="inherit" w:eastAsia="Times New Roman" w:hAnsi="inherit" w:cs="Times New Roman"/>
                      <w:sz w:val="24"/>
                      <w:szCs w:val="24"/>
                      <w:lang w:eastAsia="en-GB"/>
                    </w:rPr>
                    <w:t>;</w:t>
                  </w:r>
                </w:p>
              </w:tc>
            </w:tr>
          </w:tbl>
          <w:p w14:paraId="58709A0E" w14:textId="77777777" w:rsidR="008963C9" w:rsidRPr="008E4E18" w:rsidRDefault="008963C9" w:rsidP="008963C9">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3368"/>
            </w:tblGrid>
            <w:tr w:rsidR="008963C9" w:rsidRPr="008E4E18" w14:paraId="66B02936" w14:textId="77777777" w:rsidTr="00B95180">
              <w:tc>
                <w:tcPr>
                  <w:tcW w:w="0" w:type="auto"/>
                  <w:shd w:val="clear" w:color="auto" w:fill="auto"/>
                  <w:hideMark/>
                </w:tcPr>
                <w:p w14:paraId="72D2F5EE"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231AC6A"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F29DA22" w14:textId="77777777" w:rsidR="008963C9" w:rsidRPr="008E4E18" w:rsidRDefault="008963C9" w:rsidP="008963C9">
            <w:pPr>
              <w:shd w:val="clear" w:color="auto" w:fill="FFFFFF"/>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3341"/>
            </w:tblGrid>
            <w:tr w:rsidR="008963C9" w:rsidRPr="008E4E18" w14:paraId="31942DD2" w14:textId="77777777" w:rsidTr="00B95180">
              <w:tc>
                <w:tcPr>
                  <w:tcW w:w="0" w:type="auto"/>
                  <w:shd w:val="clear" w:color="auto" w:fill="auto"/>
                  <w:hideMark/>
                </w:tcPr>
                <w:p w14:paraId="53A1F1D7"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6C79462" w14:textId="77777777" w:rsidR="008963C9" w:rsidRPr="008E4E18" w:rsidRDefault="008963C9" w:rsidP="008963C9">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alleged</w:t>
                  </w:r>
                  <w:proofErr w:type="gramEnd"/>
                  <w:r w:rsidRPr="008E4E18">
                    <w:rPr>
                      <w:rFonts w:ascii="inherit" w:eastAsia="Times New Roman" w:hAnsi="inherit" w:cs="Times New Roman"/>
                      <w:sz w:val="24"/>
                      <w:szCs w:val="24"/>
                      <w:lang w:eastAsia="en-GB"/>
                    </w:rPr>
                    <w:t xml:space="preserve"> incompliance by the relevant system operator with the requirements of this Regulation.</w:t>
                  </w:r>
                </w:p>
              </w:tc>
            </w:tr>
          </w:tbl>
          <w:p w14:paraId="0B314B3A" w14:textId="77777777" w:rsidR="008963C9" w:rsidRDefault="008963C9" w:rsidP="008963C9"/>
        </w:tc>
        <w:tc>
          <w:tcPr>
            <w:tcW w:w="6946" w:type="dxa"/>
          </w:tcPr>
          <w:p w14:paraId="46D24EAF" w14:textId="77777777" w:rsidR="008963C9" w:rsidRDefault="008963C9" w:rsidP="008963C9">
            <w:proofErr w:type="gramStart"/>
            <w:r>
              <w:lastRenderedPageBreak/>
              <w:t xml:space="preserve">IFIEC Europe is of the opinion that, while it is important that demand facilities can provide demand response services to system operators and relevant TSOs and while many (industrial) demand facilities are already doing so, these requirements should not be tackled via a (non-agile) </w:t>
            </w:r>
            <w:r>
              <w:lastRenderedPageBreak/>
              <w:t>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7D1F9F59" w14:textId="77777777" w:rsidR="008963C9" w:rsidRDefault="008963C9" w:rsidP="008963C9"/>
        </w:tc>
        <w:tc>
          <w:tcPr>
            <w:tcW w:w="2268" w:type="dxa"/>
          </w:tcPr>
          <w:p w14:paraId="41310AC6" w14:textId="77777777" w:rsidR="008963C9" w:rsidRDefault="008963C9" w:rsidP="008963C9"/>
        </w:tc>
      </w:tr>
      <w:tr w:rsidR="00BD72BF" w14:paraId="385F7E03" w14:textId="77777777" w:rsidTr="009B2D14">
        <w:tc>
          <w:tcPr>
            <w:tcW w:w="799" w:type="dxa"/>
          </w:tcPr>
          <w:p w14:paraId="234901B9" w14:textId="5DE43E76" w:rsidR="00BD72BF" w:rsidRDefault="00BD72BF" w:rsidP="00BD72BF">
            <w:r>
              <w:t>Article 45</w:t>
            </w:r>
          </w:p>
        </w:tc>
        <w:tc>
          <w:tcPr>
            <w:tcW w:w="3874" w:type="dxa"/>
          </w:tcPr>
          <w:p w14:paraId="7AA6AD49" w14:textId="77777777" w:rsidR="00BD72BF" w:rsidRPr="00BD72BF" w:rsidRDefault="00BD72BF" w:rsidP="00BD72BF">
            <w:pPr>
              <w:shd w:val="clear" w:color="auto" w:fill="FFFFFF"/>
              <w:spacing w:before="120"/>
              <w:jc w:val="both"/>
              <w:rPr>
                <w:rFonts w:ascii="inherit" w:eastAsia="Times New Roman" w:hAnsi="inherit" w:cs="Times New Roman"/>
                <w:strike/>
                <w:color w:val="FF0000"/>
                <w:sz w:val="24"/>
                <w:szCs w:val="24"/>
                <w:lang w:eastAsia="en-GB"/>
              </w:rPr>
            </w:pPr>
            <w:r w:rsidRPr="00BD72BF">
              <w:rPr>
                <w:rFonts w:ascii="inherit" w:eastAsia="Times New Roman" w:hAnsi="inherit" w:cs="Times New Roman"/>
                <w:strike/>
                <w:color w:val="FF0000"/>
                <w:sz w:val="24"/>
                <w:szCs w:val="24"/>
                <w:lang w:eastAsia="en-GB"/>
              </w:rPr>
              <w:t>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42D3DF1D" w14:textId="6752CF44" w:rsidR="00BD72BF" w:rsidRPr="00BD72BF" w:rsidRDefault="00BD72BF" w:rsidP="00BD72BF">
            <w:pPr>
              <w:rPr>
                <w:strike/>
                <w:color w:val="FF0000"/>
              </w:rPr>
            </w:pPr>
            <w:r w:rsidRPr="00BD72BF">
              <w:rPr>
                <w:rFonts w:ascii="inherit" w:eastAsia="Times New Roman" w:hAnsi="inherit" w:cs="Times New Roman"/>
                <w:strike/>
                <w:color w:val="FF0000"/>
                <w:sz w:val="24"/>
                <w:szCs w:val="24"/>
                <w:lang w:eastAsia="en-GB"/>
              </w:rPr>
              <w:t xml:space="preserve">2.   The simulation shall be deemed passed provided that the model </w:t>
            </w:r>
            <w:r w:rsidRPr="00BD72BF">
              <w:rPr>
                <w:rFonts w:ascii="inherit" w:eastAsia="Times New Roman" w:hAnsi="inherit" w:cs="Times New Roman"/>
                <w:strike/>
                <w:color w:val="FF0000"/>
                <w:sz w:val="24"/>
                <w:szCs w:val="24"/>
                <w:lang w:eastAsia="en-GB"/>
              </w:rPr>
              <w:lastRenderedPageBreak/>
              <w:t>demonstrates compliance with the conditions set out in Article 30</w:t>
            </w:r>
          </w:p>
        </w:tc>
        <w:tc>
          <w:tcPr>
            <w:tcW w:w="6946" w:type="dxa"/>
          </w:tcPr>
          <w:p w14:paraId="77814602" w14:textId="77777777" w:rsidR="00BD72BF" w:rsidRDefault="00BD72BF" w:rsidP="00BD72BF">
            <w:proofErr w:type="gramStart"/>
            <w:r>
              <w:lastRenderedPageBreak/>
              <w:t>IFIEC Europe is of the opinion that, while it is important that demand facilities can provide demand response services to system operators and relevant TSOs and while many (industrial) demand facilities are already doing so, these requirements should not be tackled via a (non-agile) Network Code but rather be specified in the product requirements of the specific products of these system operators.</w:t>
            </w:r>
            <w:proofErr w:type="gramEnd"/>
            <w:r>
              <w:t xml:space="preserve"> This would allow much faster modifications if needs and/or capabilities change and </w:t>
            </w:r>
            <w:proofErr w:type="gramStart"/>
            <w:r>
              <w:t>would also</w:t>
            </w:r>
            <w:proofErr w:type="gramEnd"/>
            <w:r>
              <w:t xml:space="preserve"> avoid that facilities would not deliver </w:t>
            </w:r>
            <w:r w:rsidRPr="00DF7E11">
              <w:rPr>
                <w:b/>
                <w:bCs/>
              </w:rPr>
              <w:t>some</w:t>
            </w:r>
            <w:r>
              <w:t xml:space="preserve"> demand response service for which they have capabilities because they would not be able to fulfil (without costly investments) </w:t>
            </w:r>
            <w:r w:rsidRPr="00507787">
              <w:rPr>
                <w:b/>
                <w:bCs/>
              </w:rPr>
              <w:t>all</w:t>
            </w:r>
            <w:r>
              <w:t xml:space="preserve"> requirements of the network code.</w:t>
            </w:r>
          </w:p>
          <w:p w14:paraId="55232B42" w14:textId="77777777" w:rsidR="00BD72BF" w:rsidRDefault="00BD72BF" w:rsidP="00BD72BF"/>
        </w:tc>
        <w:tc>
          <w:tcPr>
            <w:tcW w:w="2268" w:type="dxa"/>
          </w:tcPr>
          <w:p w14:paraId="413F6702" w14:textId="77777777" w:rsidR="00BD72BF" w:rsidRDefault="00BD72BF" w:rsidP="00BD72BF"/>
        </w:tc>
      </w:tr>
      <w:tr w:rsidR="00F751A0" w14:paraId="2E07FDAA" w14:textId="77777777" w:rsidTr="009B2D14">
        <w:tc>
          <w:tcPr>
            <w:tcW w:w="799" w:type="dxa"/>
          </w:tcPr>
          <w:p w14:paraId="4271FB1A" w14:textId="246D516F" w:rsidR="00F751A0" w:rsidRDefault="00F751A0" w:rsidP="00F751A0">
            <w:r>
              <w:t>Article 48</w:t>
            </w:r>
          </w:p>
        </w:tc>
        <w:tc>
          <w:tcPr>
            <w:tcW w:w="3874" w:type="dxa"/>
          </w:tcPr>
          <w:p w14:paraId="29BAEF43" w14:textId="6971A23E" w:rsidR="00F751A0" w:rsidRDefault="00F751A0" w:rsidP="00F751A0">
            <w:r>
              <w:t>/</w:t>
            </w:r>
          </w:p>
        </w:tc>
        <w:tc>
          <w:tcPr>
            <w:tcW w:w="6946" w:type="dxa"/>
          </w:tcPr>
          <w:p w14:paraId="79419633" w14:textId="5AE572C0" w:rsidR="00F751A0" w:rsidRDefault="00F751A0" w:rsidP="00F751A0">
            <w:r>
              <w:t>As of this version 2.0 of DCC, it is important to tackle how “existing” will be defined between the different versions of the NC DCC, in order to have a clear view on which requirements will be applicable to which parts of facilities, and thus also knowing for which elements a CBA should be conducted.</w:t>
            </w:r>
          </w:p>
          <w:p w14:paraId="03799684" w14:textId="0368E04D" w:rsidR="00F751A0" w:rsidRDefault="00F751A0" w:rsidP="00F751A0"/>
        </w:tc>
        <w:tc>
          <w:tcPr>
            <w:tcW w:w="2268" w:type="dxa"/>
          </w:tcPr>
          <w:p w14:paraId="6A8FE9C4" w14:textId="77777777" w:rsidR="00F751A0" w:rsidRDefault="00F751A0" w:rsidP="00F751A0"/>
        </w:tc>
      </w:tr>
      <w:tr w:rsidR="00F751A0" w14:paraId="50C6A372" w14:textId="77777777" w:rsidTr="009B2D14">
        <w:tc>
          <w:tcPr>
            <w:tcW w:w="799" w:type="dxa"/>
          </w:tcPr>
          <w:p w14:paraId="039B2719" w14:textId="14FB3224" w:rsidR="00F751A0" w:rsidRDefault="008575F6" w:rsidP="00F751A0">
            <w:r>
              <w:t>Article 58</w:t>
            </w:r>
          </w:p>
        </w:tc>
        <w:tc>
          <w:tcPr>
            <w:tcW w:w="3874" w:type="dxa"/>
          </w:tcPr>
          <w:p w14:paraId="7237905E" w14:textId="03BF524B" w:rsidR="00F751A0" w:rsidRDefault="008575F6" w:rsidP="00F751A0">
            <w:r>
              <w:t>/</w:t>
            </w:r>
          </w:p>
        </w:tc>
        <w:tc>
          <w:tcPr>
            <w:tcW w:w="6946" w:type="dxa"/>
          </w:tcPr>
          <w:p w14:paraId="58AA5F62" w14:textId="042948CB" w:rsidR="00F751A0" w:rsidRDefault="008575F6" w:rsidP="00F751A0">
            <w:r>
              <w:t xml:space="preserve">This article will have to </w:t>
            </w:r>
            <w:proofErr w:type="gramStart"/>
            <w:r>
              <w:t>be reviewed</w:t>
            </w:r>
            <w:proofErr w:type="gramEnd"/>
            <w:r>
              <w:t xml:space="preserve"> in function of the outcome of the discussion and selected options regarding “versioning” of the NC DCC, in order to ensure that this issue is tackled correctly. (see also other points above on </w:t>
            </w:r>
            <w:proofErr w:type="spellStart"/>
            <w:r>
              <w:t>a.o.</w:t>
            </w:r>
            <w:proofErr w:type="spellEnd"/>
            <w:r>
              <w:t xml:space="preserve"> “new” and “existing”</w:t>
            </w:r>
          </w:p>
        </w:tc>
        <w:tc>
          <w:tcPr>
            <w:tcW w:w="2268" w:type="dxa"/>
          </w:tcPr>
          <w:p w14:paraId="1B1A088C" w14:textId="77777777" w:rsidR="00F751A0" w:rsidRDefault="00F751A0" w:rsidP="00F751A0"/>
        </w:tc>
      </w:tr>
      <w:tr w:rsidR="00F751A0" w14:paraId="7DF8073F" w14:textId="77777777" w:rsidTr="009B2D14">
        <w:tc>
          <w:tcPr>
            <w:tcW w:w="799" w:type="dxa"/>
          </w:tcPr>
          <w:p w14:paraId="6F793C48" w14:textId="77777777" w:rsidR="00F751A0" w:rsidRDefault="00F751A0" w:rsidP="00F751A0"/>
        </w:tc>
        <w:tc>
          <w:tcPr>
            <w:tcW w:w="3874" w:type="dxa"/>
          </w:tcPr>
          <w:p w14:paraId="190A7744" w14:textId="77777777" w:rsidR="00F751A0" w:rsidRDefault="00F751A0" w:rsidP="00F751A0"/>
        </w:tc>
        <w:tc>
          <w:tcPr>
            <w:tcW w:w="6946" w:type="dxa"/>
          </w:tcPr>
          <w:p w14:paraId="418E2EC4" w14:textId="77777777" w:rsidR="00F751A0" w:rsidRDefault="00F751A0" w:rsidP="00F751A0"/>
        </w:tc>
        <w:tc>
          <w:tcPr>
            <w:tcW w:w="2268" w:type="dxa"/>
          </w:tcPr>
          <w:p w14:paraId="06A4DE7D" w14:textId="77777777" w:rsidR="00F751A0" w:rsidRDefault="00F751A0" w:rsidP="00F751A0"/>
        </w:tc>
      </w:tr>
      <w:tr w:rsidR="00F751A0" w14:paraId="07F46E30" w14:textId="77777777" w:rsidTr="009B2D14">
        <w:tc>
          <w:tcPr>
            <w:tcW w:w="799" w:type="dxa"/>
          </w:tcPr>
          <w:p w14:paraId="2F3AF1AD" w14:textId="77777777" w:rsidR="00F751A0" w:rsidRDefault="00F751A0" w:rsidP="00F751A0"/>
        </w:tc>
        <w:tc>
          <w:tcPr>
            <w:tcW w:w="3874" w:type="dxa"/>
          </w:tcPr>
          <w:p w14:paraId="03564202" w14:textId="77777777" w:rsidR="00F751A0" w:rsidRDefault="00F751A0" w:rsidP="00F751A0"/>
        </w:tc>
        <w:tc>
          <w:tcPr>
            <w:tcW w:w="6946" w:type="dxa"/>
          </w:tcPr>
          <w:p w14:paraId="1F2EF722" w14:textId="77777777" w:rsidR="00F751A0" w:rsidRDefault="00F751A0" w:rsidP="00F751A0"/>
        </w:tc>
        <w:tc>
          <w:tcPr>
            <w:tcW w:w="2268" w:type="dxa"/>
          </w:tcPr>
          <w:p w14:paraId="67CB93DD" w14:textId="77777777" w:rsidR="00F751A0" w:rsidRDefault="00F751A0" w:rsidP="00F751A0"/>
        </w:tc>
      </w:tr>
    </w:tbl>
    <w:p w14:paraId="0CE20758" w14:textId="77777777" w:rsidR="00C405DA" w:rsidRDefault="00C405DA" w:rsidP="009104DE"/>
    <w:sectPr w:rsidR="00C405DA" w:rsidSect="00C405D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5DA"/>
    <w:rsid w:val="000106AC"/>
    <w:rsid w:val="000201FA"/>
    <w:rsid w:val="0004386B"/>
    <w:rsid w:val="000907DF"/>
    <w:rsid w:val="0015116F"/>
    <w:rsid w:val="0020052F"/>
    <w:rsid w:val="00236F5B"/>
    <w:rsid w:val="00255DD3"/>
    <w:rsid w:val="002C1341"/>
    <w:rsid w:val="0034543F"/>
    <w:rsid w:val="003852A3"/>
    <w:rsid w:val="003915EC"/>
    <w:rsid w:val="0039717E"/>
    <w:rsid w:val="004B43C4"/>
    <w:rsid w:val="004C3159"/>
    <w:rsid w:val="004C662E"/>
    <w:rsid w:val="004E5D78"/>
    <w:rsid w:val="00503653"/>
    <w:rsid w:val="00507787"/>
    <w:rsid w:val="00551D55"/>
    <w:rsid w:val="005677E2"/>
    <w:rsid w:val="00571DFF"/>
    <w:rsid w:val="00572A4A"/>
    <w:rsid w:val="00746BE8"/>
    <w:rsid w:val="007A0C35"/>
    <w:rsid w:val="008575F6"/>
    <w:rsid w:val="00864C53"/>
    <w:rsid w:val="008963C9"/>
    <w:rsid w:val="008B1B3B"/>
    <w:rsid w:val="008F5B33"/>
    <w:rsid w:val="00907CBA"/>
    <w:rsid w:val="009104DE"/>
    <w:rsid w:val="009B2D14"/>
    <w:rsid w:val="009D5F58"/>
    <w:rsid w:val="009E51A5"/>
    <w:rsid w:val="009F2920"/>
    <w:rsid w:val="00A943AF"/>
    <w:rsid w:val="00BD72BF"/>
    <w:rsid w:val="00C405DA"/>
    <w:rsid w:val="00CA09F9"/>
    <w:rsid w:val="00CA1531"/>
    <w:rsid w:val="00D948C0"/>
    <w:rsid w:val="00DF7E11"/>
    <w:rsid w:val="00E1258B"/>
    <w:rsid w:val="00E40019"/>
    <w:rsid w:val="00E9570C"/>
    <w:rsid w:val="00EF12C0"/>
    <w:rsid w:val="00F00740"/>
    <w:rsid w:val="00F26D31"/>
    <w:rsid w:val="00F751A0"/>
    <w:rsid w:val="00FA46BB"/>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5FC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1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0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5D78"/>
    <w:rPr>
      <w:sz w:val="16"/>
      <w:szCs w:val="16"/>
    </w:rPr>
  </w:style>
  <w:style w:type="paragraph" w:styleId="CommentText">
    <w:name w:val="annotation text"/>
    <w:basedOn w:val="Normal"/>
    <w:link w:val="CommentTextChar"/>
    <w:uiPriority w:val="99"/>
    <w:semiHidden/>
    <w:unhideWhenUsed/>
    <w:rsid w:val="004E5D78"/>
    <w:pPr>
      <w:spacing w:line="240" w:lineRule="auto"/>
    </w:pPr>
    <w:rPr>
      <w:sz w:val="20"/>
      <w:szCs w:val="20"/>
    </w:rPr>
  </w:style>
  <w:style w:type="character" w:customStyle="1" w:styleId="CommentTextChar">
    <w:name w:val="Comment Text Char"/>
    <w:basedOn w:val="DefaultParagraphFont"/>
    <w:link w:val="CommentText"/>
    <w:uiPriority w:val="99"/>
    <w:semiHidden/>
    <w:rsid w:val="004E5D7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95B4B0D4-435C-4027-BEE4-39C61073E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99579F-004C-4CAC-801C-7B26E354B226}">
  <ds:schemaRefs>
    <ds:schemaRef ds:uri="http://schemas.microsoft.com/sharepoint/v3/contenttype/forms"/>
  </ds:schemaRefs>
</ds:datastoreItem>
</file>

<file path=customXml/itemProps3.xml><?xml version="1.0" encoding="utf-8"?>
<ds:datastoreItem xmlns:ds="http://schemas.openxmlformats.org/officeDocument/2006/customXml" ds:itemID="{19C1F262-CBFF-4EBE-A19C-42A796974C8D}">
  <ds:schemaRefs>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a5ff7179-4526-4e31-84f3-1e5086ece008"/>
    <ds:schemaRef ds:uri="http://schemas.microsoft.com/office/2006/metadata/properti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4847</Words>
  <Characters>27632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2022-11-24T14:30:00Z</dcterms:created>
  <dcterms:modified xsi:type="dcterms:W3CDTF">2022-11-24T14:30:00Z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