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w:t>
            </w:r>
            <w:r w:rsidRPr="00CA495E">
              <w:rPr>
                <w:rFonts w:ascii="inherit" w:eastAsia="Times New Roman" w:hAnsi="inherit" w:cs="Times New Roman"/>
                <w:sz w:val="24"/>
                <w:szCs w:val="24"/>
                <w:lang w:eastAsia="en-GB"/>
              </w:rPr>
              <w:lastRenderedPageBreak/>
              <w:t>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4A7E123E"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618EA6C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38A1A48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2C3155F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7BBAA6E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42A31B5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065D47B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43948F7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3550C89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772BDBB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1" w:name="_Hlk131174167"/>
      <w:r w:rsidRPr="00CA495E">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75DBF79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2" w:name="_Hlk131174175"/>
      <w:bookmarkEnd w:id="1"/>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2"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3"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3"/>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2"/>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4"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74CA62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5"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13324FE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4"/>
      <w:bookmarkEnd w:id="5"/>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0430D53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3BFF8C66"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55B9EF9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592A033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04E5CA19"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7E86DD3F"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2ED6AAEA"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7C67AFC4"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30CEED76"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0D789A11"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4BA4D774"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2FEB46A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7002428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2C95FC9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1107F371"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51EBD6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3DB04CC3"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3ECD4A70"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6521C017"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5AD31CD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3F3715AB"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3F47054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22A3666B"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719CCB9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273C67C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2554078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402EFC4E"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6592211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320D3B2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37F79015"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5E3480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1F439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commentRangeStart w:id="6"/>
      <w:r w:rsidRPr="009B6AE9">
        <w:rPr>
          <w:rFonts w:ascii="inherit" w:hAnsi="inherit"/>
          <w:w w:val="105"/>
          <w:sz w:val="24"/>
          <w:szCs w:val="24"/>
        </w:rPr>
        <w:t xml:space="preserve">1. With regard to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commentRangeEnd w:id="6"/>
      <w:r w:rsidR="0019620F">
        <w:rPr>
          <w:rStyle w:val="CommentReference"/>
        </w:rPr>
        <w:commentReference w:id="6"/>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r w:rsidRPr="009B6AE9">
        <w:rPr>
          <w:rFonts w:ascii="inherit" w:hAnsi="inherit"/>
          <w:w w:val="105"/>
          <w:sz w:val="24"/>
          <w:szCs w:val="24"/>
        </w:rPr>
        <w:t>12(2);</w:t>
      </w:r>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r w:rsidRPr="009B6AE9">
        <w:rPr>
          <w:rFonts w:ascii="inherit" w:hAnsi="inherit"/>
          <w:w w:val="105"/>
          <w:sz w:val="24"/>
          <w:szCs w:val="24"/>
        </w:rPr>
        <w:t>kV;</w:t>
      </w:r>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64E82D64"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55pt;height:157.95pt" o:ole="">
            <v:imagedata r:id="rId17" o:title=""/>
          </v:shape>
          <o:OLEObject Type="Embed" ProgID="PBrush" ShapeID="_x0000_i1025" DrawAspect="Content" ObjectID="_1757231105" r:id="rId18"/>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35pt;height:148.3pt" o:ole="">
            <v:imagedata r:id="rId19" o:title=""/>
          </v:shape>
          <o:OLEObject Type="Embed" ProgID="PBrush" ShapeID="_x0000_i1026" DrawAspect="Content" ObjectID="_1757231106" r:id="rId20"/>
        </w:object>
      </w:r>
    </w:p>
    <w:p w14:paraId="7E6F9091" w14:textId="3A22468C"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protection schemes shall not jeopardise frequency-ride-through performance specified in point 2.b from this Article;</w:t>
      </w:r>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r w:rsidRPr="009B6AE9" w:rsidDel="00FD6ABF">
        <w:rPr>
          <w:rFonts w:ascii="inherit" w:hAnsi="inherit"/>
          <w:szCs w:val="24"/>
        </w:rPr>
        <w:t xml:space="preserve"> </w:t>
      </w:r>
      <w:r w:rsidRPr="009B6AE9">
        <w:rPr>
          <w:rFonts w:ascii="inherit" w:hAnsi="inherit"/>
          <w:szCs w:val="24"/>
        </w:rPr>
        <w:t>and p</w:t>
      </w:r>
      <w:r w:rsidRPr="009B6AE9">
        <w:rPr>
          <w:rFonts w:ascii="inherit" w:eastAsia="Calibri" w:hAnsi="inherit"/>
          <w:szCs w:val="24"/>
        </w:rPr>
        <w:t>ower-to-gas demand units</w:t>
      </w:r>
      <w:r w:rsidRPr="009B6AE9">
        <w:rPr>
          <w:rFonts w:ascii="inherit" w:hAnsi="inherit"/>
          <w:szCs w:val="24"/>
        </w:rPr>
        <w:t>:</w:t>
      </w:r>
    </w:p>
    <w:p w14:paraId="14C8ECD1" w14:textId="5B853EAC" w:rsidR="00F93A15" w:rsidRPr="009B6AE9" w:rsidRDefault="00F93A15" w:rsidP="00F93A15">
      <w:pPr>
        <w:pStyle w:val="BodyText"/>
        <w:ind w:left="720"/>
        <w:rPr>
          <w:rFonts w:ascii="inherit" w:hAnsi="inherit"/>
          <w:szCs w:val="24"/>
        </w:rPr>
      </w:pPr>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be capable of reducing the consumption from the current active power input automatically down to the 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7309F6B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(c) The frequency threshold shall be 49,8 Hz (inclusive), except for synchronous area IE where the frequency threshold shall be 49,5 Hz (inclusive).</w:t>
      </w:r>
    </w:p>
    <w:p w14:paraId="728BCEE7" w14:textId="1A0D6C2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stay in this specific mode as long as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0B95282C" w:rsidR="00F93A15" w:rsidRPr="009B6AE9" w:rsidRDefault="00F93A15" w:rsidP="00F93A15">
      <w:pPr>
        <w:pStyle w:val="BodyText"/>
        <w:ind w:left="720"/>
        <w:rPr>
          <w:rFonts w:ascii="inherit" w:hAnsi="inherit"/>
          <w:szCs w:val="24"/>
        </w:rPr>
      </w:pPr>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electric charging demand unit or the p</w:t>
      </w:r>
      <w:r w:rsidRPr="009B6AE9">
        <w:rPr>
          <w:rFonts w:ascii="inherit" w:eastAsia="Calibri" w:hAnsi="inherit"/>
          <w:szCs w:val="24"/>
        </w:rPr>
        <w:t>ower-to-gas demand unit</w:t>
      </w:r>
      <w:r w:rsidRPr="009B6AE9">
        <w:rPr>
          <w:rFonts w:ascii="inherit" w:hAnsi="inherit"/>
          <w:szCs w:val="24"/>
        </w:rPr>
        <w:t xml:space="preserve"> should disconnect when reaching its minimum technical operating level;</w:t>
      </w:r>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r w:rsidRPr="009B6AE9">
        <w:rPr>
          <w:rFonts w:ascii="inherit" w:hAnsi="inherit"/>
          <w:szCs w:val="24"/>
        </w:rPr>
        <w:t>(i) Maximum measuring time window: 100 ms</w:t>
      </w:r>
    </w:p>
    <w:p w14:paraId="5B778B5B" w14:textId="77777777" w:rsidR="00F93A15" w:rsidRPr="009B6AE9" w:rsidRDefault="00F93A15" w:rsidP="00F93A15">
      <w:pPr>
        <w:pStyle w:val="BodyText"/>
        <w:ind w:left="1590"/>
        <w:rPr>
          <w:rFonts w:ascii="inherit" w:hAnsi="inherit"/>
          <w:szCs w:val="24"/>
        </w:rPr>
      </w:pPr>
      <w:r w:rsidRPr="009B6AE9">
        <w:rPr>
          <w:rFonts w:ascii="inherit" w:hAnsi="inherit"/>
          <w:szCs w:val="24"/>
        </w:rPr>
        <w:t>(ii) Accuracy: ± 30 mHz</w:t>
      </w:r>
    </w:p>
    <w:p w14:paraId="142A0CD6" w14:textId="1DCB9BDC"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r w:rsidRPr="009B6AE9">
        <w:rPr>
          <w:rFonts w:ascii="inherit" w:hAnsi="inherit"/>
          <w:szCs w:val="24"/>
        </w:rPr>
        <w:t xml:space="preserve"> and the power-to-gas demand unit during LFSM-UC operation shall be ensured;</w:t>
      </w:r>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(i) The response time for LFSM-UC shall be less or equal to 0,5 seconds. The relevant system operator has the right to request the demonstration of technical evidence of the response time.</w:t>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6E1D98ED"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w:t>
      </w:r>
      <w:commentRangeStart w:id="7"/>
      <w:r w:rsidRPr="009B6AE9">
        <w:rPr>
          <w:rFonts w:ascii="inherit" w:hAnsi="inherit"/>
          <w:sz w:val="24"/>
          <w:szCs w:val="24"/>
        </w:rPr>
        <w:t>(b)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commentRangeEnd w:id="7"/>
      <w:r w:rsidR="00226B98">
        <w:rPr>
          <w:rStyle w:val="CommentReference"/>
        </w:rPr>
        <w:commentReference w:id="7"/>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commentRangeStart w:id="8"/>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commentRangeEnd w:id="8"/>
      <w:r w:rsidR="00226B98">
        <w:rPr>
          <w:rStyle w:val="CommentReference"/>
        </w:rPr>
        <w:commentReference w:id="8"/>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w:t>
      </w:r>
      <w:commentRangeStart w:id="9"/>
      <w:r w:rsidRPr="009B6AE9">
        <w:rPr>
          <w:rFonts w:ascii="inherit" w:hAnsi="inherit"/>
          <w:sz w:val="24"/>
          <w:szCs w:val="24"/>
        </w:rPr>
        <w:t xml:space="preserve">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commentRangeEnd w:id="9"/>
      <w:r w:rsidR="00226B98">
        <w:rPr>
          <w:rStyle w:val="CommentReference"/>
        </w:rPr>
        <w:commentReference w:id="9"/>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t>
      </w:r>
      <w:commentRangeStart w:id="10"/>
      <w:r w:rsidRPr="009B6AE9">
        <w:rPr>
          <w:rFonts w:ascii="inherit" w:hAnsi="inherit"/>
          <w:sz w:val="24"/>
          <w:szCs w:val="24"/>
        </w:rPr>
        <w:t xml:space="preserve">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commentRangeEnd w:id="10"/>
      <w:r w:rsidR="00226B98">
        <w:rPr>
          <w:rStyle w:val="CommentReference"/>
        </w:rPr>
        <w:commentReference w:id="10"/>
      </w:r>
      <w:r w:rsidRPr="009B6AE9">
        <w:rPr>
          <w:rFonts w:ascii="inherit" w:hAnsi="inherit"/>
          <w:sz w:val="24"/>
          <w:szCs w:val="24"/>
        </w:rPr>
        <w:t>.</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0B91F4FF"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7970A364"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71391B7A"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36E003BE"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4AFC6391"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4F849FD2"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2DF4159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07ECA3E3"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1C57FC2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4D7EE1D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17AB521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2278494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3352992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02CAE02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5BC63FF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5F90A418"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4AF423D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13105B0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24B8454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355D6A0C"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5658759A"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506254"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50625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4"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50625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6"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50625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8"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50625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50625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50625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4"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506254"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6"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50625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1AA4833E"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344BA363"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54C7D9D7"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11FCF4E2"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304B4B88"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539D7A8B"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68D4B2E6"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42E017A4"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29F7D29C"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235770F5"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6C952903"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31535944"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6594653C"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50625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5827BA44"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A87628" w:rsidRDefault="007B7E56" w:rsidP="009F7183">
            <w:pPr>
              <w:rPr>
                <w:rFonts w:ascii="inherit" w:hAnsi="inherit"/>
                <w:lang w:val="en-GB"/>
              </w:rPr>
            </w:pPr>
          </w:p>
        </w:tc>
        <w:tc>
          <w:tcPr>
            <w:tcW w:w="1354" w:type="dxa"/>
            <w:vMerge/>
          </w:tcPr>
          <w:p w14:paraId="24A87BED"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87628">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A87628" w:rsidRDefault="007B7E56" w:rsidP="009F7183">
            <w:pPr>
              <w:rPr>
                <w:rFonts w:ascii="inherit" w:hAnsi="inherit"/>
                <w:lang w:val="en-GB"/>
              </w:rPr>
            </w:pPr>
          </w:p>
        </w:tc>
        <w:tc>
          <w:tcPr>
            <w:tcW w:w="1354" w:type="dxa"/>
            <w:vMerge/>
          </w:tcPr>
          <w:p w14:paraId="19D93CA0"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A87628" w:rsidRDefault="007B7E56" w:rsidP="009F7183">
            <w:pPr>
              <w:rPr>
                <w:rFonts w:ascii="inherit" w:hAnsi="inherit"/>
                <w:lang w:val="en-GB"/>
              </w:rPr>
            </w:pPr>
          </w:p>
        </w:tc>
        <w:tc>
          <w:tcPr>
            <w:tcW w:w="1354" w:type="dxa"/>
            <w:vMerge/>
          </w:tcPr>
          <w:p w14:paraId="48062DDD"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87628">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A87628" w:rsidRDefault="007B7E56" w:rsidP="009F7183">
            <w:pPr>
              <w:rPr>
                <w:rFonts w:ascii="inherit" w:hAnsi="inherit"/>
                <w:lang w:val="en-GB"/>
              </w:rPr>
            </w:pPr>
          </w:p>
        </w:tc>
        <w:tc>
          <w:tcPr>
            <w:tcW w:w="1354" w:type="dxa"/>
            <w:vMerge/>
          </w:tcPr>
          <w:p w14:paraId="19F8B4A8"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A87628" w:rsidRDefault="007B7E56" w:rsidP="009F7183">
            <w:pPr>
              <w:rPr>
                <w:rFonts w:ascii="inherit" w:hAnsi="inherit"/>
                <w:lang w:val="en-GB"/>
              </w:rPr>
            </w:pPr>
          </w:p>
        </w:tc>
        <w:tc>
          <w:tcPr>
            <w:tcW w:w="1354" w:type="dxa"/>
            <w:vMerge/>
          </w:tcPr>
          <w:p w14:paraId="09FA7EA1"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A87628" w:rsidRDefault="007B7E56" w:rsidP="009F7183">
            <w:pPr>
              <w:rPr>
                <w:rFonts w:ascii="inherit" w:hAnsi="inherit"/>
                <w:lang w:val="en-GB"/>
              </w:rPr>
            </w:pPr>
          </w:p>
        </w:tc>
        <w:tc>
          <w:tcPr>
            <w:tcW w:w="1354" w:type="dxa"/>
            <w:vMerge/>
          </w:tcPr>
          <w:p w14:paraId="7207FD9E"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1,10 pu-1,20 pu</w:t>
            </w:r>
          </w:p>
        </w:tc>
        <w:tc>
          <w:tcPr>
            <w:tcW w:w="2510" w:type="dxa"/>
          </w:tcPr>
          <w:p w14:paraId="608D5C17"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1,10 pu-1,20 pu</w:t>
            </w:r>
          </w:p>
        </w:tc>
        <w:tc>
          <w:tcPr>
            <w:tcW w:w="2510" w:type="dxa"/>
          </w:tcPr>
          <w:p w14:paraId="780C5AC4"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1,10 pu-1,20 pu</w:t>
            </w:r>
          </w:p>
        </w:tc>
        <w:tc>
          <w:tcPr>
            <w:tcW w:w="2510" w:type="dxa"/>
          </w:tcPr>
          <w:p w14:paraId="09B80526"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A87628" w:rsidRDefault="007B7E56" w:rsidP="009F7183">
            <w:pPr>
              <w:rPr>
                <w:rFonts w:ascii="inherit" w:hAnsi="inherit"/>
                <w:lang w:val="en-GB"/>
              </w:rPr>
            </w:pPr>
          </w:p>
        </w:tc>
        <w:tc>
          <w:tcPr>
            <w:tcW w:w="1354" w:type="dxa"/>
            <w:vMerge/>
          </w:tcPr>
          <w:p w14:paraId="56DAA93E"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A87628" w:rsidRDefault="007B7E56" w:rsidP="009F7183">
            <w:pPr>
              <w:rPr>
                <w:rFonts w:ascii="inherit" w:hAnsi="inherit"/>
                <w:lang w:val="en-GB"/>
              </w:rPr>
            </w:pPr>
          </w:p>
        </w:tc>
        <w:tc>
          <w:tcPr>
            <w:tcW w:w="1354" w:type="dxa"/>
            <w:vMerge/>
          </w:tcPr>
          <w:p w14:paraId="36EEFDD4"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Ireland and Northern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1,10 pu-1,20 pu</w:t>
            </w:r>
          </w:p>
        </w:tc>
        <w:tc>
          <w:tcPr>
            <w:tcW w:w="2510" w:type="dxa"/>
          </w:tcPr>
          <w:p w14:paraId="5E932176"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1,10 pu-1,20 pu</w:t>
            </w:r>
          </w:p>
        </w:tc>
        <w:tc>
          <w:tcPr>
            <w:tcW w:w="2510" w:type="dxa"/>
          </w:tcPr>
          <w:p w14:paraId="665BECE3"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1,09 pu-1,20 pu</w:t>
            </w:r>
          </w:p>
        </w:tc>
        <w:tc>
          <w:tcPr>
            <w:tcW w:w="2510" w:type="dxa"/>
          </w:tcPr>
          <w:p w14:paraId="10D9CBDB"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1,10 pu-1,20 pu</w:t>
            </w:r>
          </w:p>
        </w:tc>
        <w:tc>
          <w:tcPr>
            <w:tcW w:w="2510" w:type="dxa"/>
          </w:tcPr>
          <w:p w14:paraId="4AEFE77F"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1,15 pu-1,20 pu</w:t>
            </w:r>
          </w:p>
        </w:tc>
        <w:tc>
          <w:tcPr>
            <w:tcW w:w="2510" w:type="dxa"/>
          </w:tcPr>
          <w:p w14:paraId="286930DB"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87628">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1,15 pu-1,20 pu</w:t>
            </w:r>
          </w:p>
        </w:tc>
        <w:tc>
          <w:tcPr>
            <w:tcW w:w="2510" w:type="dxa"/>
          </w:tcPr>
          <w:p w14:paraId="4EA5D8FA"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1,15 pu-1,20 pu</w:t>
            </w:r>
          </w:p>
        </w:tc>
        <w:tc>
          <w:tcPr>
            <w:tcW w:w="2510" w:type="dxa"/>
          </w:tcPr>
          <w:p w14:paraId="4DFC2600"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A87628">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1,15 pu-1,20 pu</w:t>
            </w:r>
          </w:p>
        </w:tc>
        <w:tc>
          <w:tcPr>
            <w:tcW w:w="2510" w:type="dxa"/>
          </w:tcPr>
          <w:p w14:paraId="11D5E6C9" w14:textId="77777777" w:rsidR="007B7E56" w:rsidRPr="00A87628"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87628">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7407968F"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506254"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Author" w:initials="A">
    <w:p w14:paraId="329F71FF" w14:textId="77777777" w:rsidR="0019620F" w:rsidRDefault="0019620F" w:rsidP="007D3957">
      <w:pPr>
        <w:pStyle w:val="CommentText"/>
      </w:pPr>
      <w:r>
        <w:rPr>
          <w:rStyle w:val="CommentReference"/>
        </w:rPr>
        <w:annotationRef/>
      </w:r>
      <w:r>
        <w:t xml:space="preserve">The heat pump contains often an electrical backup heater. It should be considered as well as the thermodynamic compressor system. The response time of an electrical heater is much faster than the thermodynamic system. </w:t>
      </w:r>
    </w:p>
  </w:comment>
  <w:comment w:id="7" w:author="Author" w:initials="A">
    <w:p w14:paraId="57951754" w14:textId="28B7C8BF" w:rsidR="00226B98" w:rsidRDefault="00226B98">
      <w:pPr>
        <w:pStyle w:val="CommentText"/>
      </w:pPr>
      <w:r>
        <w:rPr>
          <w:rStyle w:val="CommentReference"/>
        </w:rPr>
        <w:annotationRef/>
      </w:r>
      <w:r>
        <w:t>What temperature range are you  referring to? The leaving water temperature of the heat pump or the Ambient temperature setpoint of a Room?</w:t>
      </w:r>
    </w:p>
    <w:p w14:paraId="4057EDB5" w14:textId="77777777" w:rsidR="00226B98" w:rsidRDefault="00226B98" w:rsidP="00BD027C">
      <w:pPr>
        <w:pStyle w:val="CommentText"/>
      </w:pPr>
      <w:r>
        <w:t>Moreover, the principle of a inverter heat pump is to modulate continiously on a temperature setpoint and not to switch ON/OFF depending to an hysteresis.</w:t>
      </w:r>
    </w:p>
  </w:comment>
  <w:comment w:id="8" w:author="Author" w:initials="A">
    <w:p w14:paraId="43D654AA" w14:textId="77777777" w:rsidR="00226B98" w:rsidRDefault="00226B98">
      <w:pPr>
        <w:pStyle w:val="CommentText"/>
      </w:pPr>
      <w:r>
        <w:rPr>
          <w:rStyle w:val="CommentReference"/>
        </w:rPr>
        <w:annotationRef/>
      </w:r>
      <w:r>
        <w:t>The overload of the network is not directly linked with the target temperature but more with the power consumed by the heat pump.</w:t>
      </w:r>
    </w:p>
    <w:p w14:paraId="030ADEE8" w14:textId="77777777" w:rsidR="00226B98" w:rsidRDefault="00226B98" w:rsidP="007650EC">
      <w:pPr>
        <w:pStyle w:val="CommentText"/>
      </w:pPr>
      <w:r>
        <w:t>Therefore, the adjustment variable of the LFSM-UC should be Target Temperature OR Target Power.</w:t>
      </w:r>
    </w:p>
  </w:comment>
  <w:comment w:id="9" w:author="Author" w:initials="A">
    <w:p w14:paraId="6B88AD26" w14:textId="77777777" w:rsidR="00226B98" w:rsidRDefault="00226B98" w:rsidP="00F24374">
      <w:pPr>
        <w:pStyle w:val="CommentText"/>
      </w:pPr>
      <w:r>
        <w:rPr>
          <w:rStyle w:val="CommentReference"/>
        </w:rPr>
        <w:annotationRef/>
      </w:r>
      <w:r>
        <w:t>the adjustment variable of the LFSM-UC should be the Target Temperature OR the Target Power.</w:t>
      </w:r>
    </w:p>
  </w:comment>
  <w:comment w:id="10" w:author="Author" w:initials="A">
    <w:p w14:paraId="1D37A44F" w14:textId="77777777" w:rsidR="00226B98" w:rsidRDefault="00226B98" w:rsidP="00EA12F5">
      <w:pPr>
        <w:pStyle w:val="CommentText"/>
      </w:pPr>
      <w:r>
        <w:rPr>
          <w:rStyle w:val="CommentReference"/>
        </w:rPr>
        <w:annotationRef/>
      </w:r>
      <w:r>
        <w:t>The response time as fast as 300ms is not compatible with heat pumps. The response time is rather in the order of several seconds.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9F71FF" w15:done="0"/>
  <w15:commentEx w15:paraId="4057EDB5" w15:done="0"/>
  <w15:commentEx w15:paraId="030ADEE8" w15:done="0"/>
  <w15:commentEx w15:paraId="6B88AD26" w15:done="0"/>
  <w15:commentEx w15:paraId="1D37A4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9F71FF" w16cid:durableId="28BC3549"/>
  <w16cid:commentId w16cid:paraId="4057EDB5" w16cid:durableId="28BC3284"/>
  <w16cid:commentId w16cid:paraId="030ADEE8" w16cid:durableId="28BC32C5"/>
  <w16cid:commentId w16cid:paraId="6B88AD26" w16cid:durableId="28BC32EE"/>
  <w16cid:commentId w16cid:paraId="1D37A44F" w16cid:durableId="28BC33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2EDC9" w14:textId="77777777" w:rsidR="00704D5E" w:rsidRDefault="00704D5E" w:rsidP="00537C5A">
      <w:pPr>
        <w:spacing w:after="0" w:line="240" w:lineRule="auto"/>
      </w:pPr>
      <w:r>
        <w:separator/>
      </w:r>
    </w:p>
  </w:endnote>
  <w:endnote w:type="continuationSeparator" w:id="0">
    <w:p w14:paraId="3CA5CA0D" w14:textId="77777777" w:rsidR="00704D5E" w:rsidRDefault="00704D5E" w:rsidP="00537C5A">
      <w:pPr>
        <w:spacing w:after="0" w:line="240" w:lineRule="auto"/>
      </w:pPr>
      <w:r>
        <w:continuationSeparator/>
      </w:r>
    </w:p>
  </w:endnote>
  <w:endnote w:type="continuationNotice" w:id="1">
    <w:p w14:paraId="599FB86F" w14:textId="77777777" w:rsidR="00704D5E" w:rsidRDefault="00704D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83917" w14:textId="77777777" w:rsidR="00704D5E" w:rsidRDefault="00704D5E" w:rsidP="00537C5A">
      <w:pPr>
        <w:spacing w:after="0" w:line="240" w:lineRule="auto"/>
      </w:pPr>
      <w:r>
        <w:separator/>
      </w:r>
    </w:p>
  </w:footnote>
  <w:footnote w:type="continuationSeparator" w:id="0">
    <w:p w14:paraId="17C33CEE" w14:textId="77777777" w:rsidR="00704D5E" w:rsidRDefault="00704D5E" w:rsidP="00537C5A">
      <w:pPr>
        <w:spacing w:after="0" w:line="240" w:lineRule="auto"/>
      </w:pPr>
      <w:r>
        <w:continuationSeparator/>
      </w:r>
    </w:p>
  </w:footnote>
  <w:footnote w:type="continuationNotice" w:id="1">
    <w:p w14:paraId="3D9BDA84" w14:textId="77777777" w:rsidR="00704D5E" w:rsidRDefault="00704D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D4799"/>
    <w:rsid w:val="000D5CA9"/>
    <w:rsid w:val="000E7D81"/>
    <w:rsid w:val="000F7F49"/>
    <w:rsid w:val="00110BF8"/>
    <w:rsid w:val="00111DF7"/>
    <w:rsid w:val="001312DF"/>
    <w:rsid w:val="00136CF0"/>
    <w:rsid w:val="00142411"/>
    <w:rsid w:val="00146CB5"/>
    <w:rsid w:val="001529A3"/>
    <w:rsid w:val="00155BB2"/>
    <w:rsid w:val="00155EB4"/>
    <w:rsid w:val="00166F8F"/>
    <w:rsid w:val="00170D89"/>
    <w:rsid w:val="00191318"/>
    <w:rsid w:val="0019620F"/>
    <w:rsid w:val="0019790D"/>
    <w:rsid w:val="001A4A9B"/>
    <w:rsid w:val="001B0BEF"/>
    <w:rsid w:val="001C5AA8"/>
    <w:rsid w:val="001C5DF2"/>
    <w:rsid w:val="002266DE"/>
    <w:rsid w:val="00226B98"/>
    <w:rsid w:val="00240E83"/>
    <w:rsid w:val="00247147"/>
    <w:rsid w:val="00257100"/>
    <w:rsid w:val="0026036B"/>
    <w:rsid w:val="002821E1"/>
    <w:rsid w:val="00286C6C"/>
    <w:rsid w:val="002910E3"/>
    <w:rsid w:val="002A0A1F"/>
    <w:rsid w:val="002C1C5F"/>
    <w:rsid w:val="002C313D"/>
    <w:rsid w:val="002D134D"/>
    <w:rsid w:val="002D6664"/>
    <w:rsid w:val="002F30B2"/>
    <w:rsid w:val="0032070A"/>
    <w:rsid w:val="00321FF4"/>
    <w:rsid w:val="003446E8"/>
    <w:rsid w:val="003475B4"/>
    <w:rsid w:val="00375CB5"/>
    <w:rsid w:val="003A16FF"/>
    <w:rsid w:val="003A3620"/>
    <w:rsid w:val="003B1751"/>
    <w:rsid w:val="003B4F61"/>
    <w:rsid w:val="003B6CCF"/>
    <w:rsid w:val="003C64E7"/>
    <w:rsid w:val="003C6A47"/>
    <w:rsid w:val="003C7B58"/>
    <w:rsid w:val="003D50F6"/>
    <w:rsid w:val="003E5A92"/>
    <w:rsid w:val="003F7867"/>
    <w:rsid w:val="00404B85"/>
    <w:rsid w:val="004050B0"/>
    <w:rsid w:val="00415EA9"/>
    <w:rsid w:val="00422457"/>
    <w:rsid w:val="0043698E"/>
    <w:rsid w:val="00442594"/>
    <w:rsid w:val="00450CF1"/>
    <w:rsid w:val="004612AF"/>
    <w:rsid w:val="004812F6"/>
    <w:rsid w:val="004849CA"/>
    <w:rsid w:val="00490798"/>
    <w:rsid w:val="004B19AD"/>
    <w:rsid w:val="004B3C07"/>
    <w:rsid w:val="004C1819"/>
    <w:rsid w:val="004D3E49"/>
    <w:rsid w:val="004E1128"/>
    <w:rsid w:val="004E69F4"/>
    <w:rsid w:val="00506254"/>
    <w:rsid w:val="00513EE3"/>
    <w:rsid w:val="00537492"/>
    <w:rsid w:val="00537BB5"/>
    <w:rsid w:val="00537C5A"/>
    <w:rsid w:val="00581CE8"/>
    <w:rsid w:val="0058234A"/>
    <w:rsid w:val="0058797A"/>
    <w:rsid w:val="00593E6F"/>
    <w:rsid w:val="00594320"/>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4D6"/>
    <w:rsid w:val="00704D5E"/>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FFE"/>
    <w:rsid w:val="007B7E56"/>
    <w:rsid w:val="007C0658"/>
    <w:rsid w:val="007D7890"/>
    <w:rsid w:val="008044F3"/>
    <w:rsid w:val="0080795E"/>
    <w:rsid w:val="00811FAA"/>
    <w:rsid w:val="00820E13"/>
    <w:rsid w:val="00841233"/>
    <w:rsid w:val="008428C3"/>
    <w:rsid w:val="0084436A"/>
    <w:rsid w:val="00850E8C"/>
    <w:rsid w:val="0085189B"/>
    <w:rsid w:val="00862163"/>
    <w:rsid w:val="008643D1"/>
    <w:rsid w:val="00865CB4"/>
    <w:rsid w:val="008669CB"/>
    <w:rsid w:val="0087294D"/>
    <w:rsid w:val="008747E9"/>
    <w:rsid w:val="00880DCC"/>
    <w:rsid w:val="008B3CC0"/>
    <w:rsid w:val="008D330F"/>
    <w:rsid w:val="008E0BB4"/>
    <w:rsid w:val="008E46C1"/>
    <w:rsid w:val="008E4E18"/>
    <w:rsid w:val="008E5316"/>
    <w:rsid w:val="008E6512"/>
    <w:rsid w:val="008F1475"/>
    <w:rsid w:val="008F566C"/>
    <w:rsid w:val="00902E90"/>
    <w:rsid w:val="00907FF6"/>
    <w:rsid w:val="009107BC"/>
    <w:rsid w:val="009152D7"/>
    <w:rsid w:val="00916964"/>
    <w:rsid w:val="00937958"/>
    <w:rsid w:val="00957C9B"/>
    <w:rsid w:val="00962378"/>
    <w:rsid w:val="00977085"/>
    <w:rsid w:val="009848A3"/>
    <w:rsid w:val="00991A6B"/>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35319"/>
    <w:rsid w:val="00A429F9"/>
    <w:rsid w:val="00A536B3"/>
    <w:rsid w:val="00A6408E"/>
    <w:rsid w:val="00A657BA"/>
    <w:rsid w:val="00A7541E"/>
    <w:rsid w:val="00A77632"/>
    <w:rsid w:val="00A87628"/>
    <w:rsid w:val="00A978C4"/>
    <w:rsid w:val="00AA5A2D"/>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97D5D"/>
    <w:rsid w:val="00BB23CF"/>
    <w:rsid w:val="00BB656F"/>
    <w:rsid w:val="00BD28F9"/>
    <w:rsid w:val="00BD6E22"/>
    <w:rsid w:val="00BE54B6"/>
    <w:rsid w:val="00BF3C5F"/>
    <w:rsid w:val="00BF6060"/>
    <w:rsid w:val="00C02584"/>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F3C5C"/>
    <w:rsid w:val="00CF7F56"/>
    <w:rsid w:val="00D113ED"/>
    <w:rsid w:val="00D1374F"/>
    <w:rsid w:val="00D25EA5"/>
    <w:rsid w:val="00D42299"/>
    <w:rsid w:val="00D71BA8"/>
    <w:rsid w:val="00D74063"/>
    <w:rsid w:val="00D805FE"/>
    <w:rsid w:val="00DA008A"/>
    <w:rsid w:val="00DA5637"/>
    <w:rsid w:val="00DA565C"/>
    <w:rsid w:val="00DA74F6"/>
    <w:rsid w:val="00DC2C7A"/>
    <w:rsid w:val="00DD169C"/>
    <w:rsid w:val="00DE1099"/>
    <w:rsid w:val="00E0483E"/>
    <w:rsid w:val="00E07166"/>
    <w:rsid w:val="00E2762A"/>
    <w:rsid w:val="00E559F1"/>
    <w:rsid w:val="00E578FE"/>
    <w:rsid w:val="00E7012C"/>
    <w:rsid w:val="00E801E2"/>
    <w:rsid w:val="00E90648"/>
    <w:rsid w:val="00E970B7"/>
    <w:rsid w:val="00EA0499"/>
    <w:rsid w:val="00EA2E59"/>
    <w:rsid w:val="00EB6534"/>
    <w:rsid w:val="00EB7BC1"/>
    <w:rsid w:val="00EC312F"/>
    <w:rsid w:val="00ED7148"/>
    <w:rsid w:val="00EF390C"/>
    <w:rsid w:val="00EF3D78"/>
    <w:rsid w:val="00F00297"/>
    <w:rsid w:val="00F161F5"/>
    <w:rsid w:val="00F17336"/>
    <w:rsid w:val="00F17589"/>
    <w:rsid w:val="00F21390"/>
    <w:rsid w:val="00F36760"/>
    <w:rsid w:val="00F40404"/>
    <w:rsid w:val="00F435F4"/>
    <w:rsid w:val="00F52D8D"/>
    <w:rsid w:val="00F531D3"/>
    <w:rsid w:val="00F5322B"/>
    <w:rsid w:val="00F565F8"/>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oleObject" Target="embeddings/oleObject1.bin"/><Relationship Id="rId26" Type="http://schemas.openxmlformats.org/officeDocument/2006/relationships/hyperlink" Target="https://eur-lex.europa.eu/legal-content/EN/AUTO/?uri=OJ:L:2009:211:TOC" TargetMode="External"/><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eur-lex.europa.eu/legal-content/EN/AUTO/?uri=OJ:L:2016:112:TOC" TargetMode="Externa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oleObject" Target="embeddings/oleObject2.bin"/><Relationship Id="rId29" Type="http://schemas.openxmlformats.org/officeDocument/2006/relationships/hyperlink" Target="https://eur-lex.europa.eu/legal-content/EN/TXT/HTML/?uri=CELEX:32016R1388&amp;from=EN"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09:211:TOC" TargetMode="External"/><Relationship Id="rId32" Type="http://schemas.openxmlformats.org/officeDocument/2006/relationships/hyperlink" Target="https://eur-lex.europa.eu/legal-content/EN/AUTO/?uri=OJ:L:2015:197:TOC"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1998:204:TOC" TargetMode="External"/><Relationship Id="rId36"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image" Target="media/image2.png"/><Relationship Id="rId31" Type="http://schemas.openxmlformats.org/officeDocument/2006/relationships/hyperlink" Target="https://eur-lex.europa.eu/legal-content/EN/TXT/HTML/?uri=CELEX:32016R1388&amp;from=EN"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comments" Target="comments.xml"/><Relationship Id="rId22" Type="http://schemas.openxmlformats.org/officeDocument/2006/relationships/image" Target="media/image4.jpeg"/><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2:315:TOC" TargetMode="External"/><Relationship Id="rId35" Type="http://schemas.openxmlformats.org/officeDocument/2006/relationships/hyperlink" Target="https://eur-lex.europa.eu/legal-content/EN/TXT/HTML/?uri=CELEX:32016R1388&amp;from=EN" TargetMode="Externa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 Id="rId12" Type="http://schemas.openxmlformats.org/officeDocument/2006/relationships/hyperlink" Target="https://eur-lex.europa.eu/legal-content/EN/TXT/HTML/?uri=CELEX:32016R1388&amp;from=EN" TargetMode="External"/><Relationship Id="rId17" Type="http://schemas.openxmlformats.org/officeDocument/2006/relationships/image" Target="media/image1.png"/><Relationship Id="rId25" Type="http://schemas.openxmlformats.org/officeDocument/2006/relationships/hyperlink" Target="https://eur-lex.europa.eu/legal-content/EN/TXT/HTML/?uri=CELEX:32016R1388&amp;from=EN" TargetMode="External"/><Relationship Id="rId33" Type="http://schemas.openxmlformats.org/officeDocument/2006/relationships/hyperlink" Target="https://eur-lex.europa.eu/legal-content/EN/TXT/HTML/?uri=CELEX:32016R1388&amp;from=EN"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78852768-B16A-4898-BF51-64B26078A486}"/>
</file>

<file path=customXml/itemProps3.xml><?xml version="1.0" encoding="utf-8"?>
<ds:datastoreItem xmlns:ds="http://schemas.openxmlformats.org/officeDocument/2006/customXml" ds:itemID="{3E841D82-D5E6-4BB4-9C37-68EEB646FC43}"/>
</file>

<file path=customXml/itemProps4.xml><?xml version="1.0" encoding="utf-8"?>
<ds:datastoreItem xmlns:ds="http://schemas.openxmlformats.org/officeDocument/2006/customXml" ds:itemID="{593AE8FA-C3F7-4E7E-8FF7-648B5B637F15}"/>
</file>

<file path=docProps/app.xml><?xml version="1.0" encoding="utf-8"?>
<Properties xmlns="http://schemas.openxmlformats.org/officeDocument/2006/extended-properties" xmlns:vt="http://schemas.openxmlformats.org/officeDocument/2006/docPropsVTypes">
  <Template>Normal</Template>
  <TotalTime>0</TotalTime>
  <Pages>8</Pages>
  <Words>24390</Words>
  <Characters>139024</Characters>
  <Application>Microsoft Office Word</Application>
  <DocSecurity>0</DocSecurity>
  <Lines>1158</Lines>
  <Paragraphs>326</Paragraphs>
  <ScaleCrop>false</ScaleCrop>
  <Company/>
  <LinksUpToDate>false</LinksUpToDate>
  <CharactersWithSpaces>163088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2023-09-26T08:57:00Z</dcterms:created>
  <dcterms:modified xsi:type="dcterms:W3CDTF">2023-09-26T08:57:00Z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