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app.xml" ContentType="application/vnd.openxmlformats-officedocument.extended-properties+xml"/>
  <Override PartName="/word/webSettings.xml" ContentType="application/vnd.openxmlformats-officedocument.wordprocessingml.webSettings+xml"/>
  <Override PartName="/word/styles.xml" ContentType="application/vnd.openxmlformats-officedocument.wordprocessingml.styl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2A7547"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68BC016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47C5DCAD"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0CAFABB9"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5FCF33F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54E106B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664DEA54"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56237E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2AB2CA0A"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w:t>
            </w:r>
            <w:r w:rsidR="00B909E8">
              <w:rPr>
                <w:rFonts w:ascii="inherit" w:eastAsia="Times New Roman" w:hAnsi="inherit" w:cs="Times New Roman"/>
                <w:sz w:val="24"/>
                <w:szCs w:val="24"/>
                <w:lang w:eastAsia="en-GB"/>
              </w:rPr>
              <w:lastRenderedPageBreak/>
              <w:t xml:space="preserve">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area. Disconnections because of voltage disturbances have an impact on </w:t>
            </w:r>
            <w:r w:rsidRPr="00BD0415">
              <w:rPr>
                <w:rFonts w:ascii="inherit" w:eastAsia="Times New Roman" w:hAnsi="inherit" w:cs="Times New Roman"/>
                <w:sz w:val="24"/>
                <w:szCs w:val="24"/>
                <w:lang w:eastAsia="en-GB"/>
              </w:rPr>
              <w:lastRenderedPageBreak/>
              <w:t>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(30)</w:t>
            </w:r>
          </w:p>
        </w:tc>
        <w:tc>
          <w:tcPr>
            <w:tcW w:w="0" w:type="auto"/>
            <w:shd w:val="clear" w:color="auto" w:fill="auto"/>
            <w:hideMark/>
          </w:tcPr>
          <w:p w14:paraId="2393CE26" w14:textId="0385175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1"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1"/>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2CB23E4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4D0B93D7"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5033707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2A44599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0"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1"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2"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659695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37CCFF7A"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4E71BE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7CB1328E"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‘minimum regulating level’ means the minimum active power, as specified in the connection agreement or as agreed between the relevant system operator and the </w:t>
            </w:r>
            <w:r w:rsidRPr="00BD0415">
              <w:rPr>
                <w:rFonts w:ascii="inherit" w:eastAsia="Times New Roman" w:hAnsi="inherit" w:cs="Times New Roman"/>
                <w:sz w:val="24"/>
                <w:szCs w:val="24"/>
                <w:lang w:eastAsia="en-GB"/>
              </w:rPr>
              <w:lastRenderedPageBreak/>
              <w:t>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34ED76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3"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14E27C2B"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commentRangeStart w:id="2"/>
            <w:r>
              <w:rPr>
                <w:rFonts w:ascii="inherit" w:eastAsia="Times New Roman" w:hAnsi="inherit" w:cs="Times New Roman"/>
                <w:sz w:val="24"/>
                <w:szCs w:val="24"/>
                <w:lang w:eastAsia="en-GB"/>
              </w:rPr>
              <w:lastRenderedPageBreak/>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commentRangeEnd w:id="2"/>
            <w:r w:rsidR="00837547">
              <w:rPr>
                <w:rStyle w:val="CommentReference"/>
              </w:rPr>
              <w:commentReference w:id="2"/>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lastRenderedPageBreak/>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4FC241C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6A6360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2D5B0E66"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6477C247"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7C780139"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22D3D6F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33EB049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1F908A3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0AC3F9D2"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7214B3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71DF2E7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37DADD7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The relevant regulatory authority or, where applicable, the Member State shall decide on the extension of the applicability of this Regulation to existing power-generating modules within six months of receipt of the report and the recommendation of the </w:t>
      </w:r>
      <w:r w:rsidRPr="00BD0415">
        <w:rPr>
          <w:rFonts w:ascii="inherit" w:eastAsia="Times New Roman" w:hAnsi="inherit" w:cs="Times New Roman"/>
          <w:color w:val="000000"/>
          <w:sz w:val="24"/>
          <w:szCs w:val="24"/>
          <w:lang w:eastAsia="en-GB"/>
        </w:rPr>
        <w:lastRenderedPageBreak/>
        <w:t>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65E50748"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Determination of significance</w:t>
      </w:r>
    </w:p>
    <w:p w14:paraId="4654D109" w14:textId="1E554A0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49066F9F"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49F7FA17"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0711C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500892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73EB87C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2DC606D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210021B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1D1A669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62E978FD"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3297ED8C"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30F5BA83"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4D8FF872"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273AFCEA"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commentRangeStart w:id="3"/>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commentRangeEnd w:id="3"/>
      <w:r w:rsidR="00F93F11">
        <w:rPr>
          <w:rStyle w:val="CommentReference"/>
        </w:rPr>
        <w:commentReference w:id="3"/>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1D056C22"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lastRenderedPageBreak/>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776EEBE3"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755C48FD"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29A594E8"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1E15813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3A0BDAED"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w:t>
      </w:r>
      <w:r w:rsidRPr="00286E29">
        <w:rPr>
          <w:rFonts w:ascii="inherit" w:eastAsia="Times New Roman" w:hAnsi="inherit" w:cs="Times New Roman"/>
          <w:color w:val="000000"/>
          <w:sz w:val="24"/>
          <w:szCs w:val="24"/>
          <w:lang w:eastAsia="en-GB"/>
        </w:rPr>
        <w:lastRenderedPageBreak/>
        <w:t xml:space="preserve">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227E4255"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w:t>
      </w:r>
      <w:r w:rsidRPr="00BD0415">
        <w:rPr>
          <w:rFonts w:ascii="inherit" w:eastAsia="Times New Roman" w:hAnsi="inherit" w:cs="Times New Roman"/>
          <w:color w:val="000000"/>
          <w:sz w:val="24"/>
          <w:szCs w:val="24"/>
          <w:lang w:eastAsia="en-GB"/>
        </w:rPr>
        <w:lastRenderedPageBreak/>
        <w:t>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60C371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7A6E777B"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4C749CAF"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408B8B1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3257740F"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600C35D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353CD52F"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79CB2B1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Confidential information received by the persons, regulatory authorities or entities referred to in paragraph 2 in the course of their duties may not be divulged to any other </w:t>
      </w:r>
      <w:r w:rsidRPr="00BD0415">
        <w:rPr>
          <w:rFonts w:ascii="inherit" w:eastAsia="Times New Roman" w:hAnsi="inherit" w:cs="Times New Roman"/>
          <w:color w:val="000000"/>
          <w:sz w:val="24"/>
          <w:szCs w:val="24"/>
          <w:lang w:eastAsia="en-GB"/>
        </w:rPr>
        <w:lastRenderedPageBreak/>
        <w:t>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commentRangeStart w:id="4"/>
      <w:r w:rsidRPr="006277B6">
        <w:rPr>
          <w:i/>
          <w:iCs/>
        </w:rPr>
        <w:t>General requirements</w:t>
      </w:r>
      <w:commentRangeEnd w:id="4"/>
      <w:r w:rsidR="00B1397A">
        <w:rPr>
          <w:rStyle w:val="CommentReference"/>
          <w:rFonts w:asciiTheme="minorHAnsi" w:eastAsiaTheme="minorHAnsi" w:hAnsiTheme="minorHAnsi" w:cstheme="minorBidi"/>
          <w:b w:val="0"/>
          <w:bCs w:val="0"/>
          <w:color w:val="auto"/>
          <w:lang w:eastAsia="en-US"/>
        </w:rPr>
        <w:commentReference w:id="4"/>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0E2A1EBF"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00EA4096"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2DBC1A6E"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244EBB3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210A5185"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lastRenderedPageBreak/>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7" o:title=""/>
                </v:shape>
                <o:OLEObject Type="Embed" ProgID="PBrush" ShapeID="_x0000_i1025" DrawAspect="Content" ObjectID="_1757146892"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1.25pt" o:ole="">
                  <v:imagedata r:id="rId19" o:title=""/>
                </v:shape>
                <o:OLEObject Type="Embed" ProgID="PBrush" ShapeID="_x0000_i1026" DrawAspect="Content" ObjectID="_1757146893"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50DFD938"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369D2C0F"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246E0075"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2B144B1E"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449283BB"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43D481D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4A86C876"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2FC53427"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3B6E9B7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1D4F72F6"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0BFA0077"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10F09872"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7914FE44"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562306">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356B6107"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737619CA"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14C848D5"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629EBCF6"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(c)</w:t>
            </w:r>
          </w:p>
        </w:tc>
        <w:tc>
          <w:tcPr>
            <w:tcW w:w="0" w:type="auto"/>
            <w:shd w:val="clear" w:color="auto" w:fill="auto"/>
            <w:hideMark/>
          </w:tcPr>
          <w:p w14:paraId="6C94590E" w14:textId="7EC4224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45C9DB30"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6BEA97A7"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21C8CBFE"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2F469F86"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lastRenderedPageBreak/>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349589A1"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67CDB18A"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5920E2FB"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06978173"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5"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5"/>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2CCFA93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7BF8000F"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(a)</w:t>
            </w:r>
          </w:p>
        </w:tc>
        <w:tc>
          <w:tcPr>
            <w:tcW w:w="0" w:type="auto"/>
            <w:shd w:val="clear" w:color="auto" w:fill="auto"/>
            <w:hideMark/>
          </w:tcPr>
          <w:p w14:paraId="063E4011" w14:textId="742733A9"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573D836F"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6DE81B2E"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2CF5DD3A"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6F34D10F"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5845283B"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lastRenderedPageBreak/>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0F191103"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4FAE5810"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6E752B96"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2AE9E686"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lastRenderedPageBreak/>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4ED4260E"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commentRangeStart w:id="6"/>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commentRangeEnd w:id="6"/>
      <w:r w:rsidR="00760C26">
        <w:rPr>
          <w:rStyle w:val="CommentReference"/>
        </w:rPr>
        <w:commentReference w:id="6"/>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7" o:title=""/>
          </v:shape>
          <o:OLEObject Type="Embed" ProgID="PBrush" ShapeID="_x0000_i1027" DrawAspect="Content" ObjectID="_1757146894"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lastRenderedPageBreak/>
        <w:t>Figure XX.b</w:t>
      </w:r>
    </w:p>
    <w:p w14:paraId="09D25CBC" w14:textId="77777777" w:rsidR="00872862" w:rsidRDefault="00872862" w:rsidP="00872862">
      <w:r>
        <w:object w:dxaOrig="15732" w:dyaOrig="9144" w14:anchorId="388BD701">
          <v:shape id="_x0000_i1028" type="#_x0000_t75" style="width:437.25pt;height:251.25pt" o:ole="">
            <v:imagedata r:id="rId19" o:title=""/>
          </v:shape>
          <o:OLEObject Type="Embed" ProgID="PBrush" ShapeID="_x0000_i1028" DrawAspect="Content" ObjectID="_1757146895" r:id="rId26"/>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3BC4C964"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commentRangeStart w:id="7"/>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commentRangeEnd w:id="7"/>
      <w:r w:rsidR="00FD69F6">
        <w:rPr>
          <w:rStyle w:val="CommentReference"/>
        </w:rPr>
        <w:commentReference w:id="7"/>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commentRangeStart w:id="8"/>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commentRangeEnd w:id="8"/>
      <w:r w:rsidR="00A57E5A">
        <w:rPr>
          <w:rStyle w:val="CommentReference"/>
        </w:rPr>
        <w:commentReference w:id="8"/>
      </w:r>
    </w:p>
    <w:p w14:paraId="06C7CF78" w14:textId="076EE729"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commentRangeStart w:id="9"/>
      <w:r>
        <w:rPr>
          <w:rFonts w:ascii="inherit" w:eastAsia="Times New Roman" w:hAnsi="inherit" w:cs="Times New Roman"/>
          <w:color w:val="000000"/>
          <w:sz w:val="24"/>
          <w:szCs w:val="24"/>
          <w:lang w:eastAsia="en-GB"/>
        </w:rPr>
        <w:lastRenderedPageBreak/>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commentRangeEnd w:id="9"/>
      <w:r w:rsidR="009541E4">
        <w:rPr>
          <w:rStyle w:val="CommentReference"/>
        </w:rPr>
        <w:commentReference w:id="9"/>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6. </w:t>
      </w:r>
      <w:commentRangeStart w:id="10"/>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44A6BD9A"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commentRangeStart w:id="11"/>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commentRangeEnd w:id="11"/>
      <w:r w:rsidR="00143B78">
        <w:rPr>
          <w:rStyle w:val="CommentReference"/>
        </w:rPr>
        <w:commentReference w:id="11"/>
      </w:r>
    </w:p>
    <w:p w14:paraId="6AB56E37" w14:textId="4BC48F24"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4EB43BE2"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commentRangeEnd w:id="10"/>
      <w:r w:rsidR="00792313">
        <w:rPr>
          <w:rStyle w:val="CommentReference"/>
        </w:rPr>
        <w:commentReference w:id="10"/>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w:t>
      </w:r>
      <w:r w:rsidR="00C45CF9" w:rsidRPr="00827173">
        <w:rPr>
          <w:rFonts w:ascii="inherit" w:eastAsia="Times New Roman" w:hAnsi="inherit" w:cs="Times New Roman"/>
          <w:color w:val="000000"/>
          <w:sz w:val="24"/>
          <w:szCs w:val="24"/>
          <w:lang w:eastAsia="en-GB"/>
        </w:rPr>
        <w:lastRenderedPageBreak/>
        <w:t>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1</w:t>
      </w:r>
      <w:r w:rsidR="00C54CC6">
        <w:rPr>
          <w:rFonts w:ascii="inherit" w:eastAsia="Times New Roman" w:hAnsi="inherit" w:cs="Times New Roman"/>
          <w:color w:val="000000"/>
          <w:sz w:val="24"/>
          <w:szCs w:val="24"/>
          <w:lang w:eastAsia="en-GB"/>
        </w:rPr>
        <w:t>0</w:t>
      </w:r>
      <w:commentRangeStart w:id="12"/>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commentRangeEnd w:id="12"/>
      <w:r w:rsidR="002C2BF4">
        <w:rPr>
          <w:rStyle w:val="CommentReference"/>
        </w:rPr>
        <w:commentReference w:id="12"/>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4CB4A2D9"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lastRenderedPageBreak/>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2C1F57D8"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56230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56230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562306"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562306"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562306">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56230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56230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562306"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562306"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562306">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562306"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56230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56230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607B9D14"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56230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0145F07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w:t>
                  </w:r>
                </w:p>
              </w:tc>
              <w:tc>
                <w:tcPr>
                  <w:tcW w:w="0" w:type="auto"/>
                  <w:shd w:val="clear" w:color="auto" w:fill="auto"/>
                  <w:hideMark/>
                </w:tcPr>
                <w:p w14:paraId="45B80F1C" w14:textId="7327DEA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5B956E15"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lastRenderedPageBreak/>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0EACF0AD"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1B99D68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3516260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0450771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718651D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6B66617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4E74348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079FFCD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1A626B92"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7776662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29CB6880"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lastRenderedPageBreak/>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520EC772"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1C0652C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05DC992E"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75B51595"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7BA810F4"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6E98BB26"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2B679293"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1CFB9E6E"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7BF9AF49"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1BF79C9E"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05400755"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(vi)</w:t>
                  </w:r>
                </w:p>
              </w:tc>
              <w:tc>
                <w:tcPr>
                  <w:tcW w:w="0" w:type="auto"/>
                  <w:shd w:val="clear" w:color="auto" w:fill="auto"/>
                  <w:hideMark/>
                </w:tcPr>
                <w:p w14:paraId="1A9AE945" w14:textId="0466089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59656C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504EB044"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lastRenderedPageBreak/>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29A25F8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55385021"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6C66ECC2"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5907F49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213E342C"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6A64392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21F062DC"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22B2442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2BEE5EB2"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6FEDF98D"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lastRenderedPageBreak/>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lastRenderedPageBreak/>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w:t>
                  </w:r>
                  <w:r w:rsidRPr="00BD0415">
                    <w:rPr>
                      <w:rFonts w:ascii="inherit" w:eastAsia="Times New Roman" w:hAnsi="inherit" w:cs="Times New Roman"/>
                      <w:sz w:val="24"/>
                      <w:szCs w:val="24"/>
                      <w:lang w:eastAsia="en-GB"/>
                    </w:rPr>
                    <w:lastRenderedPageBreak/>
                    <w:t xml:space="preserve">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178B9AA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w:t>
                  </w:r>
                  <w:r w:rsidRPr="00BD0415">
                    <w:rPr>
                      <w:rFonts w:ascii="inherit" w:eastAsia="Times New Roman" w:hAnsi="inherit" w:cs="Times New Roman"/>
                      <w:sz w:val="24"/>
                      <w:szCs w:val="24"/>
                      <w:lang w:eastAsia="en-GB"/>
                    </w:rPr>
                    <w:lastRenderedPageBreak/>
                    <w:t xml:space="preserve">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w:t>
                  </w:r>
                  <w:r w:rsidRPr="00E379A1">
                    <w:rPr>
                      <w:rFonts w:ascii="inherit" w:eastAsia="Times New Roman" w:hAnsi="inherit" w:cs="Times New Roman"/>
                      <w:sz w:val="24"/>
                      <w:szCs w:val="24"/>
                      <w:lang w:eastAsia="en-GB"/>
                    </w:rPr>
                    <w:lastRenderedPageBreak/>
                    <w:t xml:space="preserve">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183B48FA"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356B658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7423BE0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220D0852"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6904F440"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7E1B198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710D7E8E"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lastRenderedPageBreak/>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w:t>
                        </w:r>
                        <w:r w:rsidR="007D03FD" w:rsidRPr="007D03FD">
                          <w:rPr>
                            <w:rFonts w:ascii="inherit" w:eastAsia="Times New Roman" w:hAnsi="inherit" w:cs="Times New Roman"/>
                            <w:sz w:val="24"/>
                            <w:szCs w:val="24"/>
                            <w:lang w:eastAsia="en-GB"/>
                          </w:rPr>
                          <w:lastRenderedPageBreak/>
                          <w:t>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2DBCF8F6"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45A7B415"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4DB464BE"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13" w:name="_MON_1715762686"/>
                <w:bookmarkEnd w:id="13"/>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75pt;height:235.5pt" o:ole="">
                        <v:imagedata r:id="rId35" o:title=""/>
                      </v:shape>
                      <o:OLEObject Type="Embed" ProgID="Visio.Drawing.11" ShapeID="_x0000_i1029" DrawAspect="Content" ObjectID="_1757146896" r:id="rId36"/>
                    </w:object>
                  </w:r>
                </w:p>
                <w:p w14:paraId="386B01FA" w14:textId="1C89A212"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w:t>
                  </w:r>
                  <w:r w:rsidR="002144ED" w:rsidRPr="00CC4A99">
                    <w:rPr>
                      <w:rFonts w:ascii="inherit" w:eastAsia="Times New Roman" w:hAnsi="inherit" w:cs="Times New Roman"/>
                      <w:sz w:val="24"/>
                      <w:szCs w:val="24"/>
                      <w:lang w:eastAsia="en-GB"/>
                    </w:rPr>
                    <w:lastRenderedPageBreak/>
                    <w:t>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28C29C8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xml:space="preserve"> in accordance with the times </w:t>
                  </w:r>
                  <w:r w:rsidRPr="00BD0415">
                    <w:rPr>
                      <w:rFonts w:ascii="inherit" w:eastAsia="Times New Roman" w:hAnsi="inherit" w:cs="Times New Roman"/>
                      <w:sz w:val="24"/>
                      <w:szCs w:val="24"/>
                      <w:lang w:eastAsia="en-GB"/>
                    </w:rPr>
                    <w:lastRenderedPageBreak/>
                    <w:t>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4CFB0197"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3D75BCA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2F79E2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71F2A821"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0528E836"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4C8E9F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1694AF5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6117AE3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648264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1DEAB2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4CE2AC4B"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2EF8A18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135A4BB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0A171C0D"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339BC22A"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118C463E"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4D6F7E48"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14294633"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0E76C9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7E0CC0B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2F3BBA1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215E9A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45558A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7DBD95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6D0D1B1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2AD476A7"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33D8BA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1C87591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2C05C31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7D917FD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0D0E4C0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78868A71"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5C7A073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7AF1C89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28A9209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47399D7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3602548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739CAB2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45EE432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60923E40"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401433F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5633677B"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A4DD7"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A4DD7"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A4DD7"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0D15AEA8"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13DA15C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1F301A1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612D660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180350F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3DCED24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67D4528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51BD090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5C10C49C"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76C5532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0B14954E"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6DD11D97" w:rsidR="00EE1A54" w:rsidRPr="00792E87" w:rsidRDefault="00EE1A54" w:rsidP="00EE1A54">
      <w:pPr>
        <w:spacing w:after="0"/>
        <w:jc w:val="both"/>
        <w:rPr>
          <w:rFonts w:ascii="inherit" w:hAnsi="inherit"/>
          <w:sz w:val="24"/>
          <w:szCs w:val="24"/>
        </w:rPr>
      </w:pPr>
    </w:p>
    <w:p w14:paraId="10DC216B" w14:textId="0A691455"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7C3DB8B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2395F565"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0A5E1E1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624AC0AE"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043FE221"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35F61B1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3D7A7C9A"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4C943943"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711C2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7A7B0A7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542D8764"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424B303B"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59861DE6"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0935F1ED"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001278D9"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5FB2C751"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689547E4"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42CB9546"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53E47A45"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4540C5D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60F1F9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3E0D1358"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6962AC59"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4567C06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384D57EF"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562717A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06E398E6"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20204545"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783B7DC1"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7B2AD26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34D64EB3"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470DD5CE"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650256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25B053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0F934298"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39BF6A5C"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7F601EF7"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2590D7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355EBC9E"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0E76D830"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0050544D"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24BEBD8E"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1AB841D5"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1F984307"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330AD8E3"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422F5B2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2DC9979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29C9C90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3D31384E"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2449D55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3F8B202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2156345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0322B3A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48D31C4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32CC5FA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399D27D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5D0EAA5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0522F94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6805B50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3DFDAC73"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47CD7D6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31500EF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49B1ECF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49DB9D1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7469F6F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2034802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2072563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11AB15E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6B75254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06CBAF7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4F17DDD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4E22A9B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22D4EB8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5D5B8589"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1B1EB22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03A59D2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03897A0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37FBD7D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53944DF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1434EAA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4D1B55E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21BD5E9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78E1B06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7B1D9B5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39DD94A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2A6B58C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7339D56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6C9DB1A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78B425AE"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562306"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562306"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562306" w:rsidRDefault="006E2C0B" w:rsidP="00E747CD">
            <w:pPr>
              <w:rPr>
                <w:rFonts w:ascii="inherit" w:hAnsi="inherit"/>
                <w:strike/>
                <w:lang w:val="fr-FR"/>
              </w:rPr>
            </w:pPr>
          </w:p>
        </w:tc>
        <w:tc>
          <w:tcPr>
            <w:tcW w:w="1364" w:type="dxa"/>
            <w:vMerge/>
          </w:tcPr>
          <w:p w14:paraId="15194C88" w14:textId="77777777" w:rsidR="006E2C0B" w:rsidRPr="00562306"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32168D6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032EAB4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306DBD8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7D0CABC0"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270D25F5"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3E75E34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48E44948"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33A45336"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56C39E13"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299413C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16C0489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14"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14"/>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23E1D4CC"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1A8C5A9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157D0624"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2AA0EA2D"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7A44961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620DE3DD"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6B77093D"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50AA57F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31FE048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7900D92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3096AD4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1F81E14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54ACE10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1A1ADF3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13F2C31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6333D97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572BAC2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4179791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6C2838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5E1C014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736A21A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499A4F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3FF8F09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4C31D0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2E21588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504EB8B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7710433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45EFFB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22946D1C"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332A920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0331F67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2EC9ACE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09FA895D"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6B7479CB"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6E7145B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77E1EC6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31381E9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52005A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2A6CCE9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2B3D5B8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6BED35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10C4C7B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682DFE8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478AA5C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6FC4888F"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61B7BC27"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60BA031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5B15DB9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7CEB80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71BE90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36B43DEF"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3DDEE3F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2ADB931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44A744A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6000BBD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17320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2F46A7BD"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449DDBB2"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770213E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54CFFC8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4B5BD38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1B9AA30C"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2E7C6C83"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765BAB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35DB3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23BEF60D"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520C15"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32DA073A" w:rsidR="003B7AE9" w:rsidRPr="00FF01CF" w:rsidRDefault="00520C15"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25DBFC26" w:rsidR="003B7AE9" w:rsidRPr="00BD0415" w:rsidRDefault="00520C1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520C1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520C1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520C1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520C1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520C1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520C1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520C1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520C1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520C15"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Author" w:initials="A">
    <w:p w14:paraId="14357C76" w14:textId="77777777" w:rsidR="00837547" w:rsidRDefault="00837547">
      <w:pPr>
        <w:pStyle w:val="CommentText"/>
      </w:pPr>
      <w:r>
        <w:rPr>
          <w:rStyle w:val="CommentReference"/>
        </w:rPr>
        <w:annotationRef/>
      </w:r>
      <w:r>
        <w:rPr>
          <w:color w:val="444444"/>
          <w:highlight w:val="white"/>
        </w:rPr>
        <w:t>&lt; Delete or adapt it to the following &gt; ‘V1G electrical charging park’ means the installation that has a single connection point to the relevant network and where three or more V1G electric vehicles can be simultaneously connected. It shall be differentiated between comercial and non-commercial charging parks.</w:t>
      </w:r>
      <w:r>
        <w:t xml:space="preserve"> </w:t>
      </w:r>
    </w:p>
    <w:p w14:paraId="62F489EA" w14:textId="77777777" w:rsidR="00837547" w:rsidRDefault="00837547">
      <w:pPr>
        <w:pStyle w:val="CommentText"/>
      </w:pPr>
    </w:p>
    <w:p w14:paraId="5A5BC80C" w14:textId="77777777" w:rsidR="00837547" w:rsidRDefault="00837547">
      <w:pPr>
        <w:pStyle w:val="CommentText"/>
      </w:pPr>
      <w:r>
        <w:rPr>
          <w:color w:val="444444"/>
          <w:highlight w:val="white"/>
        </w:rPr>
        <w:t>This definition is not further used neither in NC RfG nor in NC DC, so our proposal is to delete this definition.</w:t>
      </w:r>
    </w:p>
    <w:p w14:paraId="0E165FBC" w14:textId="77777777" w:rsidR="00837547" w:rsidRDefault="00837547">
      <w:pPr>
        <w:pStyle w:val="CommentText"/>
      </w:pPr>
      <w:r>
        <w:rPr>
          <w:color w:val="444444"/>
          <w:highlight w:val="white"/>
        </w:rPr>
        <w:br/>
      </w:r>
    </w:p>
    <w:p w14:paraId="0B636DF1" w14:textId="77777777" w:rsidR="00837547" w:rsidRDefault="00837547">
      <w:pPr>
        <w:pStyle w:val="CommentText"/>
      </w:pPr>
      <w:r>
        <w:rPr>
          <w:color w:val="444444"/>
          <w:highlight w:val="white"/>
        </w:rPr>
        <w:t>According to the regulation, a multi-family house with three charing points would already be a charging park. However, in such cases, there would not be one single power park operator. In general, it should be avoided to impose additional bureaucratic hurdles on private individuals for the use of EVs.</w:t>
      </w:r>
    </w:p>
    <w:p w14:paraId="007D6456" w14:textId="77777777" w:rsidR="00837547" w:rsidRDefault="00837547">
      <w:pPr>
        <w:pStyle w:val="CommentText"/>
      </w:pPr>
    </w:p>
    <w:p w14:paraId="025252D6" w14:textId="77777777" w:rsidR="00837547" w:rsidRDefault="00837547" w:rsidP="0030764A">
      <w:pPr>
        <w:pStyle w:val="CommentText"/>
      </w:pPr>
    </w:p>
  </w:comment>
  <w:comment w:id="3" w:author="Author" w:initials="A">
    <w:p w14:paraId="2D3C408A" w14:textId="77777777" w:rsidR="00F93F11" w:rsidRDefault="00F93F11">
      <w:pPr>
        <w:pStyle w:val="CommentText"/>
      </w:pPr>
      <w:r>
        <w:rPr>
          <w:rStyle w:val="CommentReference"/>
        </w:rPr>
        <w:annotationRef/>
      </w:r>
      <w:r>
        <w:t>'Distinction between "AC V2G" and "DC V2G" is needed.</w:t>
      </w:r>
    </w:p>
    <w:p w14:paraId="7B84C7AB" w14:textId="77777777" w:rsidR="00F93F11" w:rsidRDefault="00F93F11">
      <w:pPr>
        <w:pStyle w:val="CommentText"/>
      </w:pPr>
      <w:r>
        <w:rPr>
          <w:color w:val="444444"/>
          <w:highlight w:val="white"/>
        </w:rPr>
        <w:br/>
        <w:t xml:space="preserve">Regarding the rules for EV1 and EV2 with reference to Article 13a, a distinction between AC charging (AC vehicle to grid) and DC charging (DC vehicle to grid) shall be added. </w:t>
      </w:r>
    </w:p>
    <w:p w14:paraId="2FECEDA6" w14:textId="77777777" w:rsidR="00F93F11" w:rsidRDefault="00F93F11">
      <w:pPr>
        <w:pStyle w:val="CommentText"/>
      </w:pPr>
      <w:r>
        <w:rPr>
          <w:color w:val="444444"/>
          <w:highlight w:val="white"/>
        </w:rPr>
        <w:t>In any case, the EV supply equipment shall be the master or the charging / generation operation.</w:t>
      </w:r>
    </w:p>
    <w:p w14:paraId="2F65BCF7" w14:textId="77777777" w:rsidR="00F93F11" w:rsidRDefault="00F93F11">
      <w:pPr>
        <w:pStyle w:val="CommentText"/>
      </w:pPr>
      <w:r>
        <w:rPr>
          <w:color w:val="444444"/>
          <w:highlight w:val="white"/>
        </w:rPr>
        <w:br/>
      </w:r>
    </w:p>
    <w:p w14:paraId="6D0F2A64" w14:textId="77777777" w:rsidR="00F93F11" w:rsidRDefault="00F93F11">
      <w:pPr>
        <w:pStyle w:val="CommentText"/>
      </w:pPr>
      <w:r>
        <w:rPr>
          <w:color w:val="444444"/>
          <w:highlight w:val="white"/>
        </w:rPr>
        <w:t>In the case of AC power generation by the EV, the vehicle can implement requirements through the on-board charger itself. In the case of DC power provisioning by the EV, the off-board charger external to the vehicle is the implementing instance (as EV supply equipment). Therefore, a pure power definition is not sufficient to assign functions in the charging system.</w:t>
      </w:r>
    </w:p>
    <w:p w14:paraId="79DA3649" w14:textId="77777777" w:rsidR="00F93F11" w:rsidRDefault="00F93F11">
      <w:pPr>
        <w:pStyle w:val="CommentText"/>
      </w:pPr>
      <w:r>
        <w:rPr>
          <w:color w:val="444444"/>
          <w:highlight w:val="white"/>
        </w:rPr>
        <w:br/>
      </w:r>
    </w:p>
    <w:p w14:paraId="05B1C299" w14:textId="77777777" w:rsidR="00F93F11" w:rsidRDefault="00F93F11" w:rsidP="00CF5651">
      <w:pPr>
        <w:pStyle w:val="CommentText"/>
      </w:pPr>
    </w:p>
  </w:comment>
  <w:comment w:id="4" w:author="Author" w:initials="A">
    <w:p w14:paraId="0E4516B1" w14:textId="77777777" w:rsidR="00B1397A" w:rsidRDefault="00B1397A">
      <w:pPr>
        <w:pStyle w:val="CommentText"/>
      </w:pPr>
      <w:r>
        <w:rPr>
          <w:rStyle w:val="CommentReference"/>
        </w:rPr>
        <w:annotationRef/>
      </w:r>
      <w:r>
        <w:t>- WHERE APPLICABLE</w:t>
      </w:r>
    </w:p>
    <w:p w14:paraId="0B844112" w14:textId="77777777" w:rsidR="00B1397A" w:rsidRDefault="00B1397A">
      <w:pPr>
        <w:pStyle w:val="CommentText"/>
      </w:pPr>
    </w:p>
    <w:p w14:paraId="6BC10EED" w14:textId="77777777" w:rsidR="00B1397A" w:rsidRDefault="00B1397A">
      <w:pPr>
        <w:pStyle w:val="CommentText"/>
      </w:pPr>
      <w:r>
        <w:t>For the controlled reaction of the EV and the EVSE, four cases can basically be distinguished. Taking into account the communication times and the physical limits of the components involved, the following expert estimates for achievable reaction times result. The reaction time is defined from the moment when the EVSE registers an undesired grid condition until the moment when the changed charging behavior appears on the grid.</w:t>
      </w:r>
    </w:p>
    <w:p w14:paraId="68668D8F" w14:textId="77777777" w:rsidR="00B1397A" w:rsidRDefault="00B1397A">
      <w:pPr>
        <w:pStyle w:val="CommentText"/>
      </w:pPr>
    </w:p>
    <w:p w14:paraId="4151A3B4" w14:textId="77777777" w:rsidR="00B1397A" w:rsidRDefault="00B1397A">
      <w:pPr>
        <w:pStyle w:val="CommentText"/>
      </w:pPr>
      <w:r>
        <w:t>1.</w:t>
      </w:r>
      <w:r>
        <w:tab/>
        <w:t>EV is connected to the EVSE, but no current is flowing (sleep mode). Achievable reaction time less than 60 seconds for AC &amp; DC BiDi.</w:t>
      </w:r>
    </w:p>
    <w:p w14:paraId="74021AC9" w14:textId="77777777" w:rsidR="00B1397A" w:rsidRDefault="00B1397A">
      <w:pPr>
        <w:pStyle w:val="CommentText"/>
      </w:pPr>
      <w:r>
        <w:t>2.</w:t>
      </w:r>
      <w:r>
        <w:tab/>
        <w:t>EV is being charged or discharged and the power shall be changed by approx. ± 30%. Reaction time for AC and DC less than 10 seconds.</w:t>
      </w:r>
    </w:p>
    <w:p w14:paraId="0FCA8E87" w14:textId="77777777" w:rsidR="00B1397A" w:rsidRDefault="00B1397A">
      <w:pPr>
        <w:pStyle w:val="CommentText"/>
      </w:pPr>
      <w:r>
        <w:t>3.</w:t>
      </w:r>
      <w:r>
        <w:tab/>
        <w:t>EV is being charged or discharged and the current flow direction shall be reversed. Achievable reaction time for AC and DC less than 20 seconds.</w:t>
      </w:r>
    </w:p>
    <w:p w14:paraId="68CA8E1B" w14:textId="77777777" w:rsidR="00B1397A" w:rsidRDefault="00B1397A">
      <w:pPr>
        <w:pStyle w:val="CommentText"/>
      </w:pPr>
    </w:p>
    <w:p w14:paraId="3DBAA36F" w14:textId="77777777" w:rsidR="00B1397A" w:rsidRDefault="00B1397A">
      <w:pPr>
        <w:pStyle w:val="CommentText"/>
      </w:pPr>
    </w:p>
    <w:p w14:paraId="64933539" w14:textId="77777777" w:rsidR="00B1397A" w:rsidRDefault="00B1397A" w:rsidP="000D3A67">
      <w:pPr>
        <w:pStyle w:val="CommentText"/>
      </w:pPr>
      <w:r>
        <w:t>Regarding the achievable rection times from EV &amp; EVSE, it should be differentiated among different cases. Here we provide our expert estimate on achievable reaction times.</w:t>
      </w:r>
    </w:p>
  </w:comment>
  <w:comment w:id="6" w:author="Author" w:initials="A">
    <w:p w14:paraId="7CAA404E" w14:textId="77777777" w:rsidR="00760C26" w:rsidRDefault="00760C26">
      <w:pPr>
        <w:pStyle w:val="CommentText"/>
      </w:pPr>
      <w:r>
        <w:rPr>
          <w:rStyle w:val="CommentReference"/>
        </w:rPr>
        <w:annotationRef/>
      </w:r>
      <w:r>
        <w:rPr>
          <w:color w:val="444444"/>
          <w:highlight w:val="white"/>
        </w:rPr>
        <w:t>add: "The specifications mentioned here are not an obstacle for the driver/customer to be able to use the vehicle at any time according to his own needs."</w:t>
      </w:r>
      <w:r>
        <w:t xml:space="preserve"> </w:t>
      </w:r>
    </w:p>
    <w:p w14:paraId="2A71DAA9" w14:textId="77777777" w:rsidR="00760C26" w:rsidRDefault="00760C26">
      <w:pPr>
        <w:pStyle w:val="CommentText"/>
      </w:pPr>
    </w:p>
    <w:p w14:paraId="4044EFFC" w14:textId="77777777" w:rsidR="00760C26" w:rsidRDefault="00760C26" w:rsidP="00582103">
      <w:pPr>
        <w:pStyle w:val="CommentText"/>
      </w:pPr>
      <w:r>
        <w:rPr>
          <w:color w:val="444444"/>
          <w:highlight w:val="white"/>
        </w:rPr>
        <w:t>It should be made clear that an EV is first and foremost a vehicle and is intended to ensure customer mobility. The rules mentioned here should not prevent the customer from being able to use the EV at any time according to his or her needs.</w:t>
      </w:r>
      <w:r>
        <w:t xml:space="preserve"> </w:t>
      </w:r>
    </w:p>
  </w:comment>
  <w:comment w:id="7" w:author="Author" w:initials="A">
    <w:p w14:paraId="68059D24" w14:textId="28886306" w:rsidR="00FD69F6" w:rsidRDefault="00FD69F6">
      <w:pPr>
        <w:pStyle w:val="CommentText"/>
      </w:pPr>
      <w:r>
        <w:rPr>
          <w:rStyle w:val="CommentReference"/>
        </w:rPr>
        <w:annotationRef/>
      </w:r>
      <w:r>
        <w:t>EV1 and EV V2G shall be deleated. EVs do not connect autonomously to the network. EVs follow the commands of the infrastructure.</w:t>
      </w:r>
    </w:p>
    <w:p w14:paraId="3A6A4BD0" w14:textId="77777777" w:rsidR="00FD69F6" w:rsidRDefault="00FD69F6">
      <w:pPr>
        <w:pStyle w:val="CommentText"/>
      </w:pPr>
    </w:p>
    <w:p w14:paraId="1AEB4D52" w14:textId="77777777" w:rsidR="00FD69F6" w:rsidRDefault="00FD69F6">
      <w:pPr>
        <w:pStyle w:val="CommentText"/>
      </w:pPr>
      <w:r>
        <w:t>Why 60s observation time? Normal frequency ranges can be verified within milliseconds.</w:t>
      </w:r>
    </w:p>
    <w:p w14:paraId="500205B3" w14:textId="77777777" w:rsidR="00FD69F6" w:rsidRDefault="00FD69F6">
      <w:pPr>
        <w:pStyle w:val="CommentText"/>
      </w:pPr>
    </w:p>
    <w:p w14:paraId="3D1812DC" w14:textId="77777777" w:rsidR="00FD69F6" w:rsidRDefault="00FD69F6" w:rsidP="006168DD">
      <w:pPr>
        <w:pStyle w:val="CommentText"/>
      </w:pPr>
    </w:p>
  </w:comment>
  <w:comment w:id="8" w:author="Author" w:initials="A">
    <w:p w14:paraId="4968AC8D" w14:textId="679451BD" w:rsidR="00A57E5A" w:rsidRDefault="00A57E5A">
      <w:pPr>
        <w:pStyle w:val="CommentText"/>
      </w:pPr>
      <w:r>
        <w:rPr>
          <w:rStyle w:val="CommentReference"/>
        </w:rPr>
        <w:annotationRef/>
      </w:r>
      <w:r>
        <w:rPr>
          <w:color w:val="444444"/>
          <w:highlight w:val="white"/>
        </w:rPr>
        <w:t>The customer will not provide grid support services for free. How is this grid support function monitized? Making this function a rule, business models will not be possible anymore.</w:t>
      </w:r>
    </w:p>
    <w:p w14:paraId="4FB07364" w14:textId="77777777" w:rsidR="00A57E5A" w:rsidRDefault="00A57E5A">
      <w:pPr>
        <w:pStyle w:val="CommentText"/>
      </w:pPr>
      <w:r>
        <w:rPr>
          <w:color w:val="444444"/>
          <w:highlight w:val="white"/>
        </w:rPr>
        <w:br/>
      </w:r>
    </w:p>
    <w:p w14:paraId="3F4798D2" w14:textId="77777777" w:rsidR="00A57E5A" w:rsidRDefault="00A57E5A">
      <w:pPr>
        <w:pStyle w:val="CommentText"/>
      </w:pPr>
      <w:r>
        <w:rPr>
          <w:color w:val="444444"/>
          <w:highlight w:val="white"/>
        </w:rPr>
        <w:t>The main purpose of an electric vehicle is driving – not power generation.</w:t>
      </w:r>
    </w:p>
    <w:p w14:paraId="38BE93CB" w14:textId="77777777" w:rsidR="00A57E5A" w:rsidRDefault="00A57E5A">
      <w:pPr>
        <w:pStyle w:val="CommentText"/>
      </w:pPr>
      <w:r>
        <w:rPr>
          <w:color w:val="444444"/>
          <w:highlight w:val="white"/>
        </w:rPr>
        <w:br/>
      </w:r>
    </w:p>
    <w:p w14:paraId="0238B4FB" w14:textId="77777777" w:rsidR="00A57E5A" w:rsidRDefault="00A57E5A">
      <w:pPr>
        <w:pStyle w:val="CommentText"/>
      </w:pPr>
      <w:r>
        <w:rPr>
          <w:color w:val="444444"/>
          <w:highlight w:val="white"/>
        </w:rPr>
        <w:t xml:space="preserve">Electric vehicles are no power plants. </w:t>
      </w:r>
    </w:p>
    <w:p w14:paraId="5483B9AE" w14:textId="77777777" w:rsidR="00A57E5A" w:rsidRDefault="00A57E5A">
      <w:pPr>
        <w:pStyle w:val="CommentText"/>
      </w:pPr>
      <w:r>
        <w:rPr>
          <w:color w:val="444444"/>
          <w:highlight w:val="white"/>
        </w:rPr>
        <w:br/>
      </w:r>
    </w:p>
    <w:p w14:paraId="5C772067" w14:textId="77777777" w:rsidR="00A57E5A" w:rsidRDefault="00A57E5A">
      <w:pPr>
        <w:pStyle w:val="CommentText"/>
      </w:pPr>
      <w:r>
        <w:rPr>
          <w:color w:val="444444"/>
          <w:highlight w:val="white"/>
        </w:rPr>
        <w:t>The “vehicle to grid” function might just cover a low percentage rate of the vehicle operating time. In this requirement, 100 % availability is assumed.</w:t>
      </w:r>
    </w:p>
    <w:p w14:paraId="6122F83E" w14:textId="77777777" w:rsidR="00A57E5A" w:rsidRDefault="00A57E5A">
      <w:pPr>
        <w:pStyle w:val="CommentText"/>
      </w:pPr>
      <w:r>
        <w:rPr>
          <w:color w:val="444444"/>
          <w:highlight w:val="white"/>
        </w:rPr>
        <w:br/>
      </w:r>
    </w:p>
    <w:p w14:paraId="159A40C9" w14:textId="77777777" w:rsidR="00A57E5A" w:rsidRDefault="00A57E5A">
      <w:pPr>
        <w:pStyle w:val="CommentText"/>
      </w:pPr>
      <w:r>
        <w:rPr>
          <w:color w:val="444444"/>
          <w:highlight w:val="white"/>
        </w:rPr>
        <w:t xml:space="preserve">The charging strategy of the customer is not considered. </w:t>
      </w:r>
    </w:p>
    <w:p w14:paraId="59B425D3" w14:textId="77777777" w:rsidR="00A57E5A" w:rsidRDefault="00A57E5A">
      <w:pPr>
        <w:pStyle w:val="CommentText"/>
      </w:pPr>
      <w:r>
        <w:rPr>
          <w:color w:val="444444"/>
          <w:highlight w:val="white"/>
        </w:rPr>
        <w:br/>
      </w:r>
    </w:p>
    <w:p w14:paraId="6F1C0271" w14:textId="77777777" w:rsidR="00A57E5A" w:rsidRDefault="00A57E5A">
      <w:pPr>
        <w:pStyle w:val="CommentText"/>
      </w:pPr>
      <w:r>
        <w:rPr>
          <w:color w:val="444444"/>
          <w:highlight w:val="white"/>
        </w:rPr>
        <w:t>Reaction times of 500ms are not realistic, because digital communication between the EVSE (“Master of the grid code”) and the vehicle is needed in order to negotiate the operating point.</w:t>
      </w:r>
    </w:p>
    <w:p w14:paraId="20968D62" w14:textId="77777777" w:rsidR="00A57E5A" w:rsidRDefault="00A57E5A">
      <w:pPr>
        <w:pStyle w:val="CommentText"/>
      </w:pPr>
      <w:r>
        <w:rPr>
          <w:color w:val="444444"/>
          <w:highlight w:val="white"/>
        </w:rPr>
        <w:br/>
      </w:r>
    </w:p>
    <w:p w14:paraId="458CB817" w14:textId="77777777" w:rsidR="00A57E5A" w:rsidRDefault="00A57E5A" w:rsidP="00FE7333">
      <w:pPr>
        <w:pStyle w:val="CommentText"/>
      </w:pPr>
      <w:r>
        <w:rPr>
          <w:color w:val="444444"/>
          <w:highlight w:val="white"/>
        </w:rPr>
        <w:t>What happens if the specified reaction for limited frequency sensitive mode – underfrequency (LFSM-U-EV) according to the grid code differs from the operational limits communicated by the EVSE ( e.g. current limit below vs. P_Max requirement)? Which device clarifies the conflict?</w:t>
      </w:r>
    </w:p>
  </w:comment>
  <w:comment w:id="9" w:author="Author" w:initials="A">
    <w:p w14:paraId="7DA4914E" w14:textId="77777777" w:rsidR="009541E4" w:rsidRDefault="009541E4">
      <w:pPr>
        <w:pStyle w:val="CommentText"/>
      </w:pPr>
      <w:r>
        <w:rPr>
          <w:rStyle w:val="CommentReference"/>
        </w:rPr>
        <w:annotationRef/>
      </w:r>
      <w:r>
        <w:rPr>
          <w:color w:val="444444"/>
          <w:highlight w:val="white"/>
        </w:rPr>
        <w:t>add: "The specifications mentioned here are not an obstacle for the driver/customer to be able to use the vehicle at any time according to his own needs."</w:t>
      </w:r>
      <w:r>
        <w:t xml:space="preserve"> </w:t>
      </w:r>
    </w:p>
    <w:p w14:paraId="2D675D3D" w14:textId="77777777" w:rsidR="009541E4" w:rsidRDefault="009541E4">
      <w:pPr>
        <w:pStyle w:val="CommentText"/>
      </w:pPr>
    </w:p>
    <w:p w14:paraId="7146140C" w14:textId="77777777" w:rsidR="009541E4" w:rsidRDefault="009541E4" w:rsidP="007940E7">
      <w:pPr>
        <w:pStyle w:val="CommentText"/>
      </w:pPr>
      <w:r>
        <w:rPr>
          <w:color w:val="444444"/>
          <w:highlight w:val="white"/>
        </w:rPr>
        <w:t>It should be made clear that an EV is first and foremost a vehicle and is intended to ensure customer mobility. The rules mentioned here should not prevent the customer from being able to use the EV at any time according to his or her needs.</w:t>
      </w:r>
      <w:r>
        <w:t xml:space="preserve"> </w:t>
      </w:r>
    </w:p>
  </w:comment>
  <w:comment w:id="11" w:author="Author" w:initials="A">
    <w:p w14:paraId="6D95D5C9" w14:textId="0EEB1889" w:rsidR="00143B78" w:rsidRDefault="00143B78">
      <w:pPr>
        <w:pStyle w:val="CommentText"/>
      </w:pPr>
      <w:r>
        <w:rPr>
          <w:rStyle w:val="CommentReference"/>
        </w:rPr>
        <w:annotationRef/>
      </w:r>
      <w:r>
        <w:t>Shall be deleted, because consumption should not be considered in NC RfG. In general, we reject the forced charging of the vehicle, because this will have negative effect on the lifetime of the electrical components in the EV and EVSE.</w:t>
      </w:r>
    </w:p>
    <w:p w14:paraId="283781A6" w14:textId="77777777" w:rsidR="00143B78" w:rsidRDefault="00143B78">
      <w:pPr>
        <w:pStyle w:val="CommentText"/>
      </w:pPr>
      <w:r>
        <w:br/>
      </w:r>
    </w:p>
    <w:p w14:paraId="74757A12" w14:textId="77777777" w:rsidR="00143B78" w:rsidRDefault="00143B78">
      <w:pPr>
        <w:pStyle w:val="CommentText"/>
      </w:pPr>
      <w:r>
        <w:t>--&gt; Different limits of mains, EVSE and vehicle are realistic</w:t>
      </w:r>
    </w:p>
    <w:p w14:paraId="59D8EA4A" w14:textId="77777777" w:rsidR="00143B78" w:rsidRDefault="00143B78">
      <w:pPr>
        <w:pStyle w:val="CommentText"/>
      </w:pPr>
      <w:r>
        <w:t>What happens, if the specified reaction according to grid code differs from the EVSE?</w:t>
      </w:r>
    </w:p>
    <w:p w14:paraId="5D6644C9" w14:textId="77777777" w:rsidR="00143B78" w:rsidRDefault="00143B78" w:rsidP="00D51B6E">
      <w:pPr>
        <w:pStyle w:val="CommentText"/>
      </w:pPr>
      <w:r>
        <w:t>Which device is master?</w:t>
      </w:r>
    </w:p>
  </w:comment>
  <w:comment w:id="10" w:author="Author" w:initials="A">
    <w:p w14:paraId="475F9F2F" w14:textId="77777777" w:rsidR="00792313" w:rsidRDefault="00792313">
      <w:pPr>
        <w:pStyle w:val="CommentText"/>
      </w:pPr>
      <w:r>
        <w:rPr>
          <w:rStyle w:val="CommentReference"/>
        </w:rPr>
        <w:annotationRef/>
      </w:r>
      <w:r>
        <w:rPr>
          <w:color w:val="444444"/>
          <w:highlight w:val="white"/>
        </w:rPr>
        <w:t>add: "The specifications mentioned here are not an obstacle for the driver/customer to be able to use the vehicle at any time according to his own needs."</w:t>
      </w:r>
      <w:r>
        <w:t xml:space="preserve"> </w:t>
      </w:r>
    </w:p>
    <w:p w14:paraId="3A6AB5B3" w14:textId="77777777" w:rsidR="00792313" w:rsidRDefault="00792313">
      <w:pPr>
        <w:pStyle w:val="CommentText"/>
      </w:pPr>
    </w:p>
    <w:p w14:paraId="0272E26E" w14:textId="77777777" w:rsidR="00792313" w:rsidRDefault="00792313" w:rsidP="003E6972">
      <w:pPr>
        <w:pStyle w:val="CommentText"/>
      </w:pPr>
      <w:r>
        <w:rPr>
          <w:color w:val="444444"/>
          <w:highlight w:val="white"/>
        </w:rPr>
        <w:t>It should be made clear that an EV is first and foremost a vehicle and is intended to ensure customer mobility. The rules mentioned here should not prevent the customer from being able to use the EV at any time according to his or her needs.</w:t>
      </w:r>
      <w:r>
        <w:t xml:space="preserve"> </w:t>
      </w:r>
    </w:p>
  </w:comment>
  <w:comment w:id="12" w:author="Author" w:initials="A">
    <w:p w14:paraId="491827B4" w14:textId="77777777" w:rsidR="002C2BF4" w:rsidRDefault="002C2BF4">
      <w:pPr>
        <w:pStyle w:val="CommentText"/>
      </w:pPr>
      <w:r>
        <w:rPr>
          <w:rStyle w:val="CommentReference"/>
        </w:rPr>
        <w:annotationRef/>
      </w:r>
      <w:r>
        <w:t xml:space="preserve">Fault ride through capability should be deleated. </w:t>
      </w:r>
    </w:p>
    <w:p w14:paraId="3EB80DF7" w14:textId="77777777" w:rsidR="002C2BF4" w:rsidRDefault="002C2BF4">
      <w:pPr>
        <w:pStyle w:val="CommentText"/>
      </w:pPr>
    </w:p>
    <w:p w14:paraId="35FC93F3" w14:textId="77777777" w:rsidR="002C2BF4" w:rsidRDefault="002C2BF4">
      <w:pPr>
        <w:pStyle w:val="CommentText"/>
      </w:pPr>
      <w:r>
        <w:t>Electric vehicles are no power plants!</w:t>
      </w:r>
    </w:p>
    <w:p w14:paraId="2FFD44C5" w14:textId="77777777" w:rsidR="002C2BF4" w:rsidRDefault="002C2BF4" w:rsidP="0065163E">
      <w:pPr>
        <w:pStyle w:val="CommentText"/>
      </w:pPr>
      <w:r>
        <w:t>Even without power generated by EVs, the grid shall have enough short circuit energy to trip protection devices!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25252D6" w15:done="0"/>
  <w15:commentEx w15:paraId="05B1C299" w15:done="0"/>
  <w15:commentEx w15:paraId="64933539" w15:done="0"/>
  <w15:commentEx w15:paraId="4044EFFC" w15:done="0"/>
  <w15:commentEx w15:paraId="3D1812DC" w15:done="0"/>
  <w15:commentEx w15:paraId="458CB817" w15:done="0"/>
  <w15:commentEx w15:paraId="7146140C" w15:done="0"/>
  <w15:commentEx w15:paraId="5D6644C9" w15:done="0"/>
  <w15:commentEx w15:paraId="0272E26E" w15:done="0"/>
  <w15:commentEx w15:paraId="2FFD44C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25252D6" w16cid:durableId="28B8A12C"/>
  <w16cid:commentId w16cid:paraId="05B1C299" w16cid:durableId="28B8A00E"/>
  <w16cid:commentId w16cid:paraId="64933539" w16cid:durableId="28B8A2BC"/>
  <w16cid:commentId w16cid:paraId="4044EFFC" w16cid:durableId="28B8A18F"/>
  <w16cid:commentId w16cid:paraId="3D1812DC" w16cid:durableId="28B8A0C6"/>
  <w16cid:commentId w16cid:paraId="458CB817" w16cid:durableId="28B89EBA"/>
  <w16cid:commentId w16cid:paraId="7146140C" w16cid:durableId="28B8A1ED"/>
  <w16cid:commentId w16cid:paraId="5D6644C9" w16cid:durableId="28B89F57"/>
  <w16cid:commentId w16cid:paraId="0272E26E" w16cid:durableId="28B8A24E"/>
  <w16cid:commentId w16cid:paraId="2FFD44C5" w16cid:durableId="28B8A32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EB2D79" w14:textId="77777777" w:rsidR="004B5C99" w:rsidRDefault="004B5C99" w:rsidP="00D46000">
      <w:pPr>
        <w:spacing w:after="0" w:line="240" w:lineRule="auto"/>
      </w:pPr>
      <w:r>
        <w:separator/>
      </w:r>
    </w:p>
  </w:endnote>
  <w:endnote w:type="continuationSeparator" w:id="0">
    <w:p w14:paraId="4C087D29" w14:textId="77777777" w:rsidR="004B5C99" w:rsidRDefault="004B5C99" w:rsidP="00D46000">
      <w:pPr>
        <w:spacing w:after="0" w:line="240" w:lineRule="auto"/>
      </w:pPr>
      <w:r>
        <w:continuationSeparator/>
      </w:r>
    </w:p>
  </w:endnote>
  <w:endnote w:type="continuationNotice" w:id="1">
    <w:p w14:paraId="7CBF0894" w14:textId="77777777" w:rsidR="004B5C99" w:rsidRDefault="004B5C9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12C52E" w14:textId="77777777" w:rsidR="004B5C99" w:rsidRDefault="004B5C99" w:rsidP="00D46000">
      <w:pPr>
        <w:spacing w:after="0" w:line="240" w:lineRule="auto"/>
      </w:pPr>
      <w:r>
        <w:separator/>
      </w:r>
    </w:p>
  </w:footnote>
  <w:footnote w:type="continuationSeparator" w:id="0">
    <w:p w14:paraId="174318DA" w14:textId="77777777" w:rsidR="004B5C99" w:rsidRDefault="004B5C99" w:rsidP="00D46000">
      <w:pPr>
        <w:spacing w:after="0" w:line="240" w:lineRule="auto"/>
      </w:pPr>
      <w:r>
        <w:continuationSeparator/>
      </w:r>
    </w:p>
  </w:footnote>
  <w:footnote w:type="continuationNotice" w:id="1">
    <w:p w14:paraId="6CC78176" w14:textId="77777777" w:rsidR="004B5C99" w:rsidRDefault="004B5C99">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6"/>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5"/>
  </w:num>
  <w:num w:numId="9" w16cid:durableId="572351443">
    <w:abstractNumId w:val="17"/>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4"/>
  </w:num>
  <w:num w:numId="15" w16cid:durableId="1953172280">
    <w:abstractNumId w:val="10"/>
  </w:num>
  <w:num w:numId="16" w16cid:durableId="2116050287">
    <w:abstractNumId w:val="12"/>
  </w:num>
  <w:num w:numId="17" w16cid:durableId="972951118">
    <w:abstractNumId w:val="13"/>
  </w:num>
  <w:num w:numId="18" w16cid:durableId="18797356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3B78"/>
    <w:rsid w:val="00144BAF"/>
    <w:rsid w:val="00145249"/>
    <w:rsid w:val="0014525A"/>
    <w:rsid w:val="00146387"/>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2BF4"/>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C99"/>
    <w:rsid w:val="004B5DBF"/>
    <w:rsid w:val="004B5E08"/>
    <w:rsid w:val="004B6538"/>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0C15"/>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BBF"/>
    <w:rsid w:val="0056149A"/>
    <w:rsid w:val="00562306"/>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0C2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313"/>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547"/>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1F1"/>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1E4"/>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4D6F"/>
    <w:rsid w:val="00A551CF"/>
    <w:rsid w:val="00A565BD"/>
    <w:rsid w:val="00A570BB"/>
    <w:rsid w:val="00A57E5A"/>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397A"/>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5311"/>
    <w:rsid w:val="00BB5685"/>
    <w:rsid w:val="00BB7290"/>
    <w:rsid w:val="00BC119E"/>
    <w:rsid w:val="00BC154B"/>
    <w:rsid w:val="00BC3B67"/>
    <w:rsid w:val="00BC55E0"/>
    <w:rsid w:val="00BD03CA"/>
    <w:rsid w:val="00BD0415"/>
    <w:rsid w:val="00BD139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41A3"/>
    <w:rsid w:val="00D04673"/>
    <w:rsid w:val="00D04E4E"/>
    <w:rsid w:val="00D05879"/>
    <w:rsid w:val="00D05F97"/>
    <w:rsid w:val="00D11D51"/>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3F11"/>
    <w:rsid w:val="00F9557B"/>
    <w:rsid w:val="00F956C6"/>
    <w:rsid w:val="00FA0381"/>
    <w:rsid w:val="00FA26FD"/>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6A2"/>
    <w:rsid w:val="00FD1C5D"/>
    <w:rsid w:val="00FD3200"/>
    <w:rsid w:val="00FD3768"/>
    <w:rsid w:val="00FD494D"/>
    <w:rsid w:val="00FD4B9A"/>
    <w:rsid w:val="00FD69F6"/>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2"/>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29" Type="http://schemas.openxmlformats.org/officeDocument/2006/relationships/image" Target="media/image9.jpeg"/><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comments" Target="comments.xm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openxmlformats.org/officeDocument/2006/relationships/hyperlink" Target="https://eur-lex.europa.eu/legal-content/EN/TXT/HTML/?uri=CELEX:32016R0631&amp;from=EN" TargetMode="Externa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11/relationships/commentsExtended" Target="commentsExtended.xm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Chapter xmlns="a5ff7179-4526-4e31-84f3-1e5086ece008">Executive Summary</Chapter>
    <MMR_x0020_version xmlns="a5ff7179-4526-4e31-84f3-1e5086ece008" xsi:nil="true"/>
    <Document_x0020_Type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7AAF3A21-FA91-4CC0-8015-49998B9E9837}"/>
</file>

<file path=customXml/itemProps3.xml><?xml version="1.0" encoding="utf-8"?>
<ds:datastoreItem xmlns:ds="http://schemas.openxmlformats.org/officeDocument/2006/customXml" ds:itemID="{85AA1A23-27C0-4BEB-84D8-0F16BD3350E2}"/>
</file>

<file path=customXml/itemProps4.xml><?xml version="1.0" encoding="utf-8"?>
<ds:datastoreItem xmlns:ds="http://schemas.openxmlformats.org/officeDocument/2006/customXml" ds:itemID="{397AA0C2-F819-4088-904A-0379312894F4}"/>
</file>

<file path=docProps/app.xml><?xml version="1.0" encoding="utf-8"?>
<Properties xmlns="http://schemas.openxmlformats.org/officeDocument/2006/extended-properties" xmlns:vt="http://schemas.openxmlformats.org/officeDocument/2006/docPropsVTypes">
  <Template>Normal</Template>
  <TotalTime>0</TotalTime>
  <Pages>63</Pages>
  <Words>43743</Words>
  <Characters>249336</Characters>
  <Application>Microsoft Office Word</Application>
  <DocSecurity>0</DocSecurity>
  <Lines>2077</Lines>
  <Paragraphs>584</Paragraphs>
  <ScaleCrop>false</ScaleCrop>
  <Company/>
  <LinksUpToDate>false</LinksUpToDate>
  <CharactersWithSpaces>292495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2023-09-25T09:34:00Z</dcterms:created>
  <dcterms:modified xsi:type="dcterms:W3CDTF">2023-09-25T09:34:00Z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924dbb1d-991d-4bbd-aad5-33bac1d8ffaf_ContentBits">
    <vt:lpwstr>0</vt:lpwstr>
  </property>
  <property fmtid="{D5CDD505-2E9C-101B-9397-08002B2CF9AE}" pid="3" name="MSIP_Label_924dbb1d-991d-4bbd-aad5-33bac1d8ffaf_SiteId">
    <vt:lpwstr>9652d7c2-1ccf-4940-8151-4a92bd474ed0</vt:lpwstr>
  </property>
  <property fmtid="{D5CDD505-2E9C-101B-9397-08002B2CF9AE}" pid="4" name="MSIP_Label_924dbb1d-991d-4bbd-aad5-33bac1d8ffaf_Method">
    <vt:lpwstr>Standard</vt:lpwstr>
  </property>
  <property fmtid="{D5CDD505-2E9C-101B-9397-08002B2CF9AE}" pid="5" name="MSIP_Label_924dbb1d-991d-4bbd-aad5-33bac1d8ffaf_SetDate">
    <vt:lpwstr>2023-09-22T21:12:36Z</vt:lpwstr>
  </property>
  <property fmtid="{D5CDD505-2E9C-101B-9397-08002B2CF9AE}" pid="6" name="ContentTypeId">
    <vt:lpwstr>0x01010043E53488C602EA48B779D6F9D1672068</vt:lpwstr>
  </property>
  <property fmtid="{D5CDD505-2E9C-101B-9397-08002B2CF9AE}" pid="7" name="MSIP_Label_924dbb1d-991d-4bbd-aad5-33bac1d8ffaf_ActionId">
    <vt:lpwstr>38f62c10-e22a-4ce2-9dce-2841e19ccfb9</vt:lpwstr>
  </property>
  <property fmtid="{D5CDD505-2E9C-101B-9397-08002B2CF9AE}" pid="8" name="MSIP_Label_924dbb1d-991d-4bbd-aad5-33bac1d8ffaf_Name">
    <vt:lpwstr>924dbb1d-991d-4bbd-aad5-33bac1d8ffaf</vt:lpwstr>
  </property>
  <property fmtid="{D5CDD505-2E9C-101B-9397-08002B2CF9AE}" pid="9" name="MSIP_Label_924dbb1d-991d-4bbd-aad5-33bac1d8ffaf_Enabled">
    <vt:lpwstr>true</vt:lpwstr>
  </property>
</Properties>
</file>