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C3C2F" w14:textId="563D37B6" w:rsidR="003049BC" w:rsidRPr="005013F0" w:rsidRDefault="003049BC" w:rsidP="003049BC">
      <w:pPr>
        <w:pStyle w:val="TOCHeading"/>
        <w:rPr>
          <w:b/>
          <w:bCs/>
          <w:color w:val="auto"/>
          <w:sz w:val="36"/>
          <w:szCs w:val="36"/>
          <w:lang w:val="en-GB"/>
        </w:rPr>
      </w:pPr>
      <w:r w:rsidRPr="00167DD0">
        <w:rPr>
          <w:b/>
          <w:bCs/>
          <w:color w:val="auto"/>
          <w:sz w:val="36"/>
          <w:szCs w:val="36"/>
          <w:lang w:val="en-GB"/>
        </w:rPr>
        <w:t>Response to ACER consultation of NC RfG 2.0 and NC DCC 2.0</w:t>
      </w:r>
    </w:p>
    <w:p w14:paraId="49218A3B" w14:textId="2D79B9F3" w:rsidR="00614D85" w:rsidRPr="00167DD0" w:rsidRDefault="00366482" w:rsidP="00366482">
      <w:pPr>
        <w:pStyle w:val="Heading1"/>
        <w:rPr>
          <w:lang w:val="en-GB"/>
        </w:rPr>
      </w:pPr>
      <w:r w:rsidRPr="00167DD0">
        <w:rPr>
          <w:lang w:val="en-GB"/>
        </w:rPr>
        <w:t>Amendment proposal</w:t>
      </w:r>
      <w:r w:rsidR="00354E52" w:rsidRPr="00167DD0">
        <w:rPr>
          <w:lang w:val="en-GB"/>
        </w:rPr>
        <w:t>s</w:t>
      </w:r>
      <w:r w:rsidRPr="00167DD0">
        <w:rPr>
          <w:lang w:val="en-GB"/>
        </w:rPr>
        <w:t xml:space="preserve"> for NC RfG</w:t>
      </w:r>
    </w:p>
    <w:p w14:paraId="2974AC64" w14:textId="137AAA0D" w:rsidR="003049BC" w:rsidRPr="00167DD0" w:rsidRDefault="003049BC" w:rsidP="003049BC">
      <w:pPr>
        <w:pStyle w:val="Heading2"/>
        <w:rPr>
          <w:lang w:val="en-GB"/>
        </w:rPr>
      </w:pPr>
      <w:r w:rsidRPr="00167DD0">
        <w:rPr>
          <w:lang w:val="en-GB"/>
        </w:rPr>
        <w:t>Whereas Section</w:t>
      </w:r>
    </w:p>
    <w:tbl>
      <w:tblPr>
        <w:tblStyle w:val="TableGrid"/>
        <w:tblW w:w="14312" w:type="dxa"/>
        <w:tblLook w:val="04A0" w:firstRow="1" w:lastRow="0" w:firstColumn="1" w:lastColumn="0" w:noHBand="0" w:noVBand="1"/>
      </w:tblPr>
      <w:tblGrid>
        <w:gridCol w:w="1097"/>
        <w:gridCol w:w="6045"/>
        <w:gridCol w:w="7170"/>
      </w:tblGrid>
      <w:tr w:rsidR="003049BC" w:rsidRPr="009A54AD" w14:paraId="643BB86B" w14:textId="77777777" w:rsidTr="003049BC">
        <w:tc>
          <w:tcPr>
            <w:tcW w:w="1097" w:type="dxa"/>
          </w:tcPr>
          <w:p w14:paraId="4E69E91A" w14:textId="0A4B45C6" w:rsidR="003049BC" w:rsidRPr="00167DD0" w:rsidRDefault="003049BC" w:rsidP="003049BC">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Whereas</w:t>
            </w:r>
          </w:p>
        </w:tc>
        <w:tc>
          <w:tcPr>
            <w:tcW w:w="6045" w:type="dxa"/>
            <w:vAlign w:val="bottom"/>
          </w:tcPr>
          <w:p w14:paraId="50207C1C" w14:textId="76146170" w:rsidR="003049BC" w:rsidRPr="00167DD0" w:rsidRDefault="003049BC" w:rsidP="003049BC">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Comment on the ACER draft amendments</w:t>
            </w:r>
          </w:p>
        </w:tc>
        <w:tc>
          <w:tcPr>
            <w:tcW w:w="7170" w:type="dxa"/>
            <w:vAlign w:val="bottom"/>
          </w:tcPr>
          <w:p w14:paraId="09462D12" w14:textId="06EAEF0A" w:rsidR="003049BC" w:rsidRPr="00167DD0" w:rsidRDefault="003049BC" w:rsidP="003049BC">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Alternative legal text amendment proposal (if applicable)</w:t>
            </w:r>
          </w:p>
        </w:tc>
      </w:tr>
      <w:tr w:rsidR="003049BC" w:rsidRPr="009A54AD" w14:paraId="49468B43" w14:textId="77777777" w:rsidTr="003049BC">
        <w:tc>
          <w:tcPr>
            <w:tcW w:w="1097" w:type="dxa"/>
          </w:tcPr>
          <w:p w14:paraId="0C4A28D9" w14:textId="453A2E64" w:rsidR="003049BC" w:rsidRPr="00167DD0" w:rsidRDefault="003049BC" w:rsidP="003049BC">
            <w:pPr>
              <w:rPr>
                <w:sz w:val="18"/>
                <w:szCs w:val="18"/>
                <w:lang w:val="en-GB"/>
              </w:rPr>
            </w:pPr>
            <w:r w:rsidRPr="003049BC">
              <w:rPr>
                <w:rFonts w:asciiTheme="majorHAnsi" w:eastAsia="Times New Roman" w:hAnsiTheme="majorHAnsi" w:cstheme="majorHAnsi"/>
                <w:color w:val="000000"/>
                <w:sz w:val="18"/>
                <w:szCs w:val="18"/>
                <w:lang w:val="en-GB" w:eastAsia="de-AT"/>
              </w:rPr>
              <w:t>9</w:t>
            </w:r>
          </w:p>
        </w:tc>
        <w:tc>
          <w:tcPr>
            <w:tcW w:w="6045" w:type="dxa"/>
          </w:tcPr>
          <w:p w14:paraId="140DC63B" w14:textId="05A02FBD" w:rsidR="003049BC" w:rsidRPr="00167DD0" w:rsidRDefault="003049BC" w:rsidP="003049BC">
            <w:pPr>
              <w:rPr>
                <w:rFonts w:ascii="Calibri" w:hAnsi="Calibri" w:cs="Calibri"/>
                <w:b/>
                <w:bCs/>
                <w:sz w:val="18"/>
                <w:szCs w:val="18"/>
                <w:lang w:val="en-GB"/>
              </w:rPr>
            </w:pPr>
            <w:r w:rsidRPr="003049BC">
              <w:rPr>
                <w:rFonts w:asciiTheme="majorHAnsi" w:eastAsia="Times New Roman" w:hAnsiTheme="majorHAnsi" w:cstheme="majorHAnsi"/>
                <w:sz w:val="18"/>
                <w:szCs w:val="18"/>
                <w:lang w:val="en-GB" w:eastAsia="de-AT"/>
              </w:rPr>
              <w:t xml:space="preserve">Oesterreichs Energie thinks that </w:t>
            </w:r>
            <w:proofErr w:type="gramStart"/>
            <w:r w:rsidRPr="003049BC">
              <w:rPr>
                <w:rFonts w:asciiTheme="majorHAnsi" w:eastAsia="Times New Roman" w:hAnsiTheme="majorHAnsi" w:cstheme="majorHAnsi"/>
                <w:sz w:val="18"/>
                <w:szCs w:val="18"/>
                <w:lang w:val="en-GB" w:eastAsia="de-AT"/>
              </w:rPr>
              <w:t>the whereas</w:t>
            </w:r>
            <w:proofErr w:type="gramEnd"/>
            <w:r w:rsidRPr="003049BC">
              <w:rPr>
                <w:rFonts w:asciiTheme="majorHAnsi" w:eastAsia="Times New Roman" w:hAnsiTheme="majorHAnsi" w:cstheme="majorHAnsi"/>
                <w:sz w:val="18"/>
                <w:szCs w:val="18"/>
                <w:lang w:val="en-GB" w:eastAsia="de-AT"/>
              </w:rPr>
              <w:t xml:space="preserve"> (9) legal text proposal of ACER doe</w:t>
            </w:r>
            <w:r w:rsidR="00A86877" w:rsidRPr="00167DD0">
              <w:rPr>
                <w:rFonts w:asciiTheme="majorHAnsi" w:eastAsia="Times New Roman" w:hAnsiTheme="majorHAnsi" w:cstheme="majorHAnsi"/>
                <w:sz w:val="18"/>
                <w:szCs w:val="18"/>
                <w:lang w:val="en-GB" w:eastAsia="de-AT"/>
              </w:rPr>
              <w:t>s</w:t>
            </w:r>
            <w:r w:rsidRPr="003049BC">
              <w:rPr>
                <w:rFonts w:asciiTheme="majorHAnsi" w:eastAsia="Times New Roman" w:hAnsiTheme="majorHAnsi" w:cstheme="majorHAnsi"/>
                <w:sz w:val="18"/>
                <w:szCs w:val="18"/>
                <w:lang w:val="en-GB" w:eastAsia="de-AT"/>
              </w:rPr>
              <w:t xml:space="preserve"> no</w:t>
            </w:r>
            <w:r w:rsidRPr="00167DD0">
              <w:rPr>
                <w:rFonts w:asciiTheme="majorHAnsi" w:eastAsia="Times New Roman" w:hAnsiTheme="majorHAnsi" w:cstheme="majorHAnsi"/>
                <w:sz w:val="18"/>
                <w:szCs w:val="18"/>
                <w:lang w:val="en-GB" w:eastAsia="de-AT"/>
              </w:rPr>
              <w:t>t</w:t>
            </w:r>
            <w:r w:rsidRPr="003049BC">
              <w:rPr>
                <w:rFonts w:asciiTheme="majorHAnsi" w:eastAsia="Times New Roman" w:hAnsiTheme="majorHAnsi" w:cstheme="majorHAnsi"/>
                <w:sz w:val="18"/>
                <w:szCs w:val="18"/>
                <w:lang w:val="en-GB" w:eastAsia="de-AT"/>
              </w:rPr>
              <w:t xml:space="preserve"> reflect the proposed requirements of RfG. </w:t>
            </w:r>
            <w:r w:rsidRPr="003049BC">
              <w:rPr>
                <w:rFonts w:asciiTheme="majorHAnsi" w:eastAsia="Times New Roman" w:hAnsiTheme="majorHAnsi" w:cstheme="majorHAnsi"/>
                <w:sz w:val="18"/>
                <w:szCs w:val="18"/>
                <w:lang w:val="en-GB" w:eastAsia="de-AT"/>
              </w:rPr>
              <w:br/>
            </w:r>
            <w:r w:rsidRPr="003049BC">
              <w:rPr>
                <w:rFonts w:asciiTheme="majorHAnsi" w:eastAsia="Times New Roman" w:hAnsiTheme="majorHAnsi" w:cstheme="majorHAnsi"/>
                <w:sz w:val="18"/>
                <w:szCs w:val="18"/>
                <w:lang w:val="en-GB" w:eastAsia="de-AT"/>
              </w:rPr>
              <w:br/>
              <w:t xml:space="preserve">An extension of the text in the preamble makes it massively more difficult to interpret the </w:t>
            </w:r>
            <w:proofErr w:type="gramStart"/>
            <w:r w:rsidRPr="003049BC">
              <w:rPr>
                <w:rFonts w:asciiTheme="majorHAnsi" w:eastAsia="Times New Roman" w:hAnsiTheme="majorHAnsi" w:cstheme="majorHAnsi"/>
                <w:sz w:val="18"/>
                <w:szCs w:val="18"/>
                <w:lang w:val="en-GB" w:eastAsia="de-AT"/>
              </w:rPr>
              <w:t>type</w:t>
            </w:r>
            <w:proofErr w:type="gramEnd"/>
            <w:r w:rsidRPr="003049BC">
              <w:rPr>
                <w:rFonts w:asciiTheme="majorHAnsi" w:eastAsia="Times New Roman" w:hAnsiTheme="majorHAnsi" w:cstheme="majorHAnsi"/>
                <w:sz w:val="18"/>
                <w:szCs w:val="18"/>
                <w:lang w:val="en-GB" w:eastAsia="de-AT"/>
              </w:rPr>
              <w:t xml:space="preserve"> classification of non-synchronous power generation plants and, in the worst case, could lead to a large number of sub-power plants behind a grid connection point.</w:t>
            </w:r>
            <w:r w:rsidRPr="003049BC">
              <w:rPr>
                <w:rFonts w:asciiTheme="majorHAnsi" w:eastAsia="Times New Roman" w:hAnsiTheme="majorHAnsi" w:cstheme="majorHAnsi"/>
                <w:sz w:val="18"/>
                <w:szCs w:val="18"/>
                <w:lang w:val="en-GB" w:eastAsia="de-AT"/>
              </w:rPr>
              <w:br/>
            </w:r>
            <w:r w:rsidRPr="003049BC">
              <w:rPr>
                <w:rFonts w:asciiTheme="majorHAnsi" w:eastAsia="Times New Roman" w:hAnsiTheme="majorHAnsi" w:cstheme="majorHAnsi"/>
                <w:strike/>
                <w:sz w:val="18"/>
                <w:szCs w:val="18"/>
                <w:lang w:val="en-GB" w:eastAsia="de-AT"/>
              </w:rPr>
              <w:br/>
            </w:r>
            <w:r w:rsidRPr="00167DD0">
              <w:rPr>
                <w:rFonts w:asciiTheme="majorHAnsi" w:eastAsia="Times New Roman" w:hAnsiTheme="majorHAnsi" w:cstheme="majorHAnsi"/>
                <w:sz w:val="18"/>
                <w:szCs w:val="18"/>
                <w:lang w:val="en-GB" w:eastAsia="de-AT"/>
              </w:rPr>
              <w:t>Our</w:t>
            </w:r>
            <w:r w:rsidRPr="003049BC">
              <w:rPr>
                <w:rFonts w:asciiTheme="majorHAnsi" w:eastAsia="Times New Roman" w:hAnsiTheme="majorHAnsi" w:cstheme="majorHAnsi"/>
                <w:sz w:val="18"/>
                <w:szCs w:val="18"/>
                <w:lang w:val="en-GB" w:eastAsia="de-AT"/>
              </w:rPr>
              <w:t xml:space="preserve"> proposal aims to add clarity and coherency between the legal text and the whereas.</w:t>
            </w:r>
          </w:p>
        </w:tc>
        <w:tc>
          <w:tcPr>
            <w:tcW w:w="7170" w:type="dxa"/>
          </w:tcPr>
          <w:p w14:paraId="6F7A7E27" w14:textId="35814BD7" w:rsidR="003049BC" w:rsidRPr="00167DD0" w:rsidRDefault="003049BC" w:rsidP="003049BC">
            <w:pPr>
              <w:rPr>
                <w:rFonts w:ascii="Calibri" w:hAnsi="Calibri" w:cs="Calibri"/>
                <w:b/>
                <w:bCs/>
                <w:color w:val="000000"/>
                <w:sz w:val="18"/>
                <w:szCs w:val="18"/>
                <w:lang w:val="en-GB"/>
              </w:rPr>
            </w:pPr>
            <w:r w:rsidRPr="003049BC">
              <w:rPr>
                <w:rFonts w:asciiTheme="majorHAnsi" w:eastAsia="Times New Roman" w:hAnsiTheme="majorHAnsi" w:cstheme="majorHAnsi"/>
                <w:color w:val="000000"/>
                <w:sz w:val="18"/>
                <w:szCs w:val="18"/>
                <w:lang w:val="en-GB" w:eastAsia="de-AT"/>
              </w:rPr>
              <w:t>The significance of power-generating modules should be based on their size and their effect on the overall system. Synchronous machines should be classed on the machine size and include all the components of a generating facility that normally run indivisibly. An installation containing a set of synchronous machines that cannot be operated independently from each other, such as combined-cycle gas turbine installation, should be assessed on the whole capacity of that installation.</w:t>
            </w:r>
            <w:r w:rsidRPr="003049BC">
              <w:rPr>
                <w:rFonts w:asciiTheme="majorHAnsi" w:eastAsia="Times New Roman" w:hAnsiTheme="majorHAnsi" w:cstheme="majorHAnsi"/>
                <w:color w:val="000000"/>
                <w:sz w:val="18"/>
                <w:szCs w:val="18"/>
                <w:lang w:val="en-GB" w:eastAsia="de-AT"/>
              </w:rPr>
              <w:br/>
            </w:r>
            <w:proofErr w:type="gramStart"/>
            <w:r w:rsidRPr="003049BC">
              <w:rPr>
                <w:rFonts w:asciiTheme="majorHAnsi" w:eastAsia="Times New Roman" w:hAnsiTheme="majorHAnsi" w:cstheme="majorHAnsi"/>
                <w:color w:val="000000"/>
                <w:sz w:val="18"/>
                <w:szCs w:val="18"/>
                <w:lang w:val="en-GB" w:eastAsia="de-AT"/>
              </w:rPr>
              <w:t>Non-synchronously</w:t>
            </w:r>
            <w:proofErr w:type="gramEnd"/>
            <w:r w:rsidRPr="003049BC">
              <w:rPr>
                <w:rFonts w:asciiTheme="majorHAnsi" w:eastAsia="Times New Roman" w:hAnsiTheme="majorHAnsi" w:cstheme="majorHAnsi"/>
                <w:color w:val="000000"/>
                <w:sz w:val="18"/>
                <w:szCs w:val="18"/>
                <w:lang w:val="en-GB" w:eastAsia="de-AT"/>
              </w:rPr>
              <w:t xml:space="preserve"> connected power-generating units</w:t>
            </w:r>
            <w:r w:rsidRPr="003049BC">
              <w:rPr>
                <w:rFonts w:asciiTheme="majorHAnsi" w:eastAsia="Times New Roman" w:hAnsiTheme="majorHAnsi" w:cstheme="majorHAnsi"/>
                <w:color w:val="FF0000"/>
                <w:sz w:val="18"/>
                <w:szCs w:val="18"/>
                <w:lang w:val="en-GB" w:eastAsia="de-AT"/>
              </w:rPr>
              <w:t xml:space="preserve"> </w:t>
            </w:r>
            <w:r w:rsidRPr="003049BC">
              <w:rPr>
                <w:rFonts w:asciiTheme="majorHAnsi" w:eastAsia="Times New Roman" w:hAnsiTheme="majorHAnsi" w:cstheme="majorHAnsi"/>
                <w:strike/>
                <w:color w:val="FF0000"/>
                <w:sz w:val="18"/>
                <w:szCs w:val="18"/>
                <w:lang w:val="en-GB" w:eastAsia="de-AT"/>
              </w:rPr>
              <w:t>of the same underlying technology</w:t>
            </w:r>
            <w:r w:rsidRPr="003049BC">
              <w:rPr>
                <w:rFonts w:asciiTheme="majorHAnsi" w:eastAsia="Times New Roman" w:hAnsiTheme="majorHAnsi" w:cstheme="majorHAnsi"/>
                <w:color w:val="FF0000"/>
                <w:sz w:val="18"/>
                <w:szCs w:val="18"/>
                <w:lang w:val="en-GB" w:eastAsia="de-AT"/>
              </w:rPr>
              <w:t>,</w:t>
            </w:r>
            <w:r w:rsidRPr="003049BC">
              <w:rPr>
                <w:rFonts w:asciiTheme="majorHAnsi" w:eastAsia="Times New Roman" w:hAnsiTheme="majorHAnsi" w:cstheme="majorHAnsi"/>
                <w:color w:val="000000"/>
                <w:sz w:val="18"/>
                <w:szCs w:val="18"/>
                <w:lang w:val="en-GB" w:eastAsia="de-AT"/>
              </w:rPr>
              <w:t xml:space="preserve"> where they are collected together to form an economic unit and where they have a single connection point should be assessed on their aggregated capacity.  </w:t>
            </w:r>
            <w:r w:rsidRPr="003049BC">
              <w:rPr>
                <w:rFonts w:asciiTheme="majorHAnsi" w:eastAsia="Times New Roman" w:hAnsiTheme="majorHAnsi" w:cstheme="majorHAnsi"/>
                <w:strike/>
                <w:color w:val="FF0000"/>
                <w:sz w:val="18"/>
                <w:szCs w:val="18"/>
                <w:lang w:val="en-GB" w:eastAsia="de-AT"/>
              </w:rPr>
              <w:t>Moreover,  to ensure an appropriate harmonisation or rules for mass-market products, capacities of units of different classes, for instance, photovoltaic, electricity storage, combined heat and power installations, or V2G electric vehicles, should not be aggregated for the purpose of the determination of significance.</w:t>
            </w:r>
            <w:r w:rsidRPr="003049BC">
              <w:rPr>
                <w:rFonts w:asciiTheme="majorHAnsi" w:eastAsia="Times New Roman" w:hAnsiTheme="majorHAnsi" w:cstheme="majorHAnsi"/>
                <w:strike/>
                <w:color w:val="FF0000"/>
                <w:sz w:val="18"/>
                <w:szCs w:val="18"/>
                <w:lang w:val="en-GB" w:eastAsia="de-AT"/>
              </w:rPr>
              <w:br/>
            </w:r>
            <w:r w:rsidRPr="003049BC">
              <w:rPr>
                <w:rFonts w:asciiTheme="majorHAnsi" w:eastAsia="Times New Roman" w:hAnsiTheme="majorHAnsi" w:cstheme="majorHAnsi"/>
                <w:color w:val="000000"/>
                <w:sz w:val="18"/>
                <w:szCs w:val="18"/>
                <w:lang w:val="en-GB" w:eastAsia="de-AT"/>
              </w:rPr>
              <w:t>Electricity storage modules integrated to a power-generating module, where the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capacity. </w:t>
            </w:r>
          </w:p>
        </w:tc>
      </w:tr>
      <w:tr w:rsidR="003049BC" w:rsidRPr="009A54AD" w14:paraId="62D5CD3B" w14:textId="77777777" w:rsidTr="003049BC">
        <w:tc>
          <w:tcPr>
            <w:tcW w:w="1097" w:type="dxa"/>
          </w:tcPr>
          <w:p w14:paraId="0B307B7C" w14:textId="387EF26A" w:rsidR="003049BC" w:rsidRPr="00167DD0" w:rsidRDefault="003049BC" w:rsidP="003049BC">
            <w:pPr>
              <w:rPr>
                <w:rFonts w:asciiTheme="majorHAnsi" w:eastAsia="Times New Roman" w:hAnsiTheme="majorHAnsi" w:cstheme="majorHAnsi"/>
                <w:color w:val="000000"/>
                <w:sz w:val="18"/>
                <w:szCs w:val="18"/>
                <w:lang w:val="en-GB" w:eastAsia="de-AT"/>
              </w:rPr>
            </w:pPr>
            <w:r w:rsidRPr="00167DD0">
              <w:rPr>
                <w:rFonts w:asciiTheme="majorHAnsi" w:eastAsia="Times New Roman" w:hAnsiTheme="majorHAnsi" w:cstheme="majorHAnsi"/>
                <w:color w:val="000000"/>
                <w:sz w:val="18"/>
                <w:szCs w:val="18"/>
                <w:lang w:val="en-GB" w:eastAsia="de-AT"/>
              </w:rPr>
              <w:t>(**)</w:t>
            </w:r>
          </w:p>
        </w:tc>
        <w:tc>
          <w:tcPr>
            <w:tcW w:w="6045" w:type="dxa"/>
          </w:tcPr>
          <w:p w14:paraId="141CF189" w14:textId="426DAB53" w:rsidR="003049BC" w:rsidRPr="00167DD0" w:rsidRDefault="003049BC" w:rsidP="003049BC">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sz w:val="18"/>
                <w:szCs w:val="18"/>
                <w:lang w:val="en-GB" w:eastAsia="de-AT"/>
              </w:rPr>
              <w:t xml:space="preserve">The amendment should be clarified and justified. A fully autonomous energy island isn't clearly </w:t>
            </w:r>
            <w:r w:rsidR="005932C4" w:rsidRPr="00167DD0">
              <w:rPr>
                <w:rFonts w:asciiTheme="majorHAnsi" w:eastAsia="Times New Roman" w:hAnsiTheme="majorHAnsi" w:cstheme="majorHAnsi"/>
                <w:sz w:val="18"/>
                <w:szCs w:val="18"/>
                <w:lang w:val="en-GB" w:eastAsia="de-AT"/>
              </w:rPr>
              <w:t>defined</w:t>
            </w:r>
            <w:r w:rsidRPr="00167DD0">
              <w:rPr>
                <w:rFonts w:asciiTheme="majorHAnsi" w:eastAsia="Times New Roman" w:hAnsiTheme="majorHAnsi" w:cstheme="majorHAnsi"/>
                <w:sz w:val="18"/>
                <w:szCs w:val="18"/>
                <w:lang w:val="en-GB" w:eastAsia="de-AT"/>
              </w:rPr>
              <w:t xml:space="preserve"> in mentioned directive. Additionally, NC RfG should define technical capabilities for PGM's and shouldn't be mixed with market entities.</w:t>
            </w:r>
          </w:p>
          <w:p w14:paraId="356AD057" w14:textId="77777777" w:rsidR="003049BC" w:rsidRPr="00167DD0" w:rsidRDefault="003049BC" w:rsidP="003049BC">
            <w:pPr>
              <w:rPr>
                <w:rFonts w:asciiTheme="majorHAnsi" w:eastAsia="Times New Roman" w:hAnsiTheme="majorHAnsi" w:cstheme="majorHAnsi"/>
                <w:sz w:val="18"/>
                <w:szCs w:val="18"/>
                <w:lang w:val="en-GB" w:eastAsia="de-AT"/>
              </w:rPr>
            </w:pPr>
          </w:p>
          <w:p w14:paraId="5DFE0263" w14:textId="5DC75C97" w:rsidR="003049BC" w:rsidRPr="00167DD0" w:rsidRDefault="003049BC" w:rsidP="003049BC">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sz w:val="18"/>
                <w:szCs w:val="18"/>
                <w:lang w:val="en-GB" w:eastAsia="de-AT"/>
              </w:rPr>
              <w:t>From our point of view, a fully autonomous energy community shall not be allowed if it does not comply with the RfG code since it may also connect to a public grid years after the creation of this community.</w:t>
            </w:r>
          </w:p>
        </w:tc>
        <w:tc>
          <w:tcPr>
            <w:tcW w:w="7170" w:type="dxa"/>
          </w:tcPr>
          <w:p w14:paraId="74AE6E99" w14:textId="77777777" w:rsidR="003049BC" w:rsidRPr="00167DD0" w:rsidRDefault="003049BC" w:rsidP="003049BC">
            <w:pPr>
              <w:rPr>
                <w:rFonts w:asciiTheme="majorHAnsi" w:eastAsia="Times New Roman" w:hAnsiTheme="majorHAnsi" w:cstheme="majorHAnsi"/>
                <w:color w:val="000000"/>
                <w:sz w:val="18"/>
                <w:szCs w:val="18"/>
                <w:lang w:val="en-GB" w:eastAsia="de-AT"/>
              </w:rPr>
            </w:pPr>
          </w:p>
        </w:tc>
      </w:tr>
    </w:tbl>
    <w:p w14:paraId="63DA5EAE" w14:textId="5CE379FF" w:rsidR="003049BC" w:rsidRPr="00167DD0" w:rsidRDefault="003049BC" w:rsidP="003049BC">
      <w:pPr>
        <w:rPr>
          <w:lang w:val="en-GB"/>
        </w:rPr>
      </w:pPr>
    </w:p>
    <w:p w14:paraId="1DCC14B0" w14:textId="77777777" w:rsidR="005932C4" w:rsidRPr="00167DD0" w:rsidRDefault="005932C4" w:rsidP="003049BC">
      <w:pPr>
        <w:rPr>
          <w:lang w:val="en-GB"/>
        </w:rPr>
      </w:pPr>
    </w:p>
    <w:p w14:paraId="2E210D3A" w14:textId="6C78DD79" w:rsidR="003049BC" w:rsidRPr="00167DD0" w:rsidRDefault="003049BC" w:rsidP="003049BC">
      <w:pPr>
        <w:pStyle w:val="Heading2"/>
        <w:rPr>
          <w:lang w:val="en-GB"/>
        </w:rPr>
      </w:pPr>
      <w:r w:rsidRPr="00167DD0">
        <w:rPr>
          <w:lang w:val="en-GB"/>
        </w:rPr>
        <w:lastRenderedPageBreak/>
        <w:t>Definitions (Article 2)</w:t>
      </w:r>
    </w:p>
    <w:tbl>
      <w:tblPr>
        <w:tblStyle w:val="TableGrid"/>
        <w:tblW w:w="14312" w:type="dxa"/>
        <w:tblLook w:val="04A0" w:firstRow="1" w:lastRow="0" w:firstColumn="1" w:lastColumn="0" w:noHBand="0" w:noVBand="1"/>
      </w:tblPr>
      <w:tblGrid>
        <w:gridCol w:w="1097"/>
        <w:gridCol w:w="6045"/>
        <w:gridCol w:w="7170"/>
      </w:tblGrid>
      <w:tr w:rsidR="003049BC" w:rsidRPr="009A54AD" w14:paraId="0A8D7F2D" w14:textId="77777777" w:rsidTr="005745D7">
        <w:tc>
          <w:tcPr>
            <w:tcW w:w="1097" w:type="dxa"/>
          </w:tcPr>
          <w:p w14:paraId="0C594975" w14:textId="14385973" w:rsidR="003049BC" w:rsidRPr="00167DD0" w:rsidRDefault="003049BC"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Article</w:t>
            </w:r>
          </w:p>
        </w:tc>
        <w:tc>
          <w:tcPr>
            <w:tcW w:w="6045" w:type="dxa"/>
            <w:vAlign w:val="bottom"/>
          </w:tcPr>
          <w:p w14:paraId="5863CA6B" w14:textId="77777777" w:rsidR="003049BC" w:rsidRPr="00167DD0" w:rsidRDefault="003049BC"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Comment on the ACER draft amendments</w:t>
            </w:r>
          </w:p>
        </w:tc>
        <w:tc>
          <w:tcPr>
            <w:tcW w:w="7170" w:type="dxa"/>
            <w:vAlign w:val="bottom"/>
          </w:tcPr>
          <w:p w14:paraId="07595E90" w14:textId="77777777" w:rsidR="003049BC" w:rsidRPr="00167DD0" w:rsidRDefault="003049BC"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Alternative legal text amendment proposal (if applicable)</w:t>
            </w:r>
          </w:p>
        </w:tc>
      </w:tr>
      <w:tr w:rsidR="003049BC" w:rsidRPr="009A54AD" w14:paraId="34FD4417" w14:textId="77777777" w:rsidTr="005745D7">
        <w:tc>
          <w:tcPr>
            <w:tcW w:w="1097" w:type="dxa"/>
          </w:tcPr>
          <w:p w14:paraId="7154920C" w14:textId="0CD877DA" w:rsidR="003049BC" w:rsidRPr="00167DD0" w:rsidRDefault="003049BC" w:rsidP="005745D7">
            <w:pPr>
              <w:rPr>
                <w:rFonts w:asciiTheme="majorHAnsi" w:hAnsiTheme="majorHAnsi" w:cstheme="majorHAnsi"/>
                <w:sz w:val="18"/>
                <w:szCs w:val="18"/>
                <w:lang w:val="en-GB"/>
              </w:rPr>
            </w:pPr>
            <w:r w:rsidRPr="00167DD0">
              <w:rPr>
                <w:rFonts w:asciiTheme="majorHAnsi" w:eastAsia="Times New Roman" w:hAnsiTheme="majorHAnsi" w:cstheme="majorHAnsi"/>
                <w:color w:val="000000"/>
                <w:sz w:val="18"/>
                <w:szCs w:val="18"/>
                <w:lang w:val="en-GB" w:eastAsia="de-AT"/>
              </w:rPr>
              <w:t>2(15)</w:t>
            </w:r>
          </w:p>
        </w:tc>
        <w:tc>
          <w:tcPr>
            <w:tcW w:w="6045" w:type="dxa"/>
          </w:tcPr>
          <w:p w14:paraId="17EEBEC2" w14:textId="158EE306" w:rsidR="00A86877" w:rsidRPr="00167DD0" w:rsidRDefault="00A86877" w:rsidP="005745D7">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i/>
                <w:iCs/>
                <w:sz w:val="18"/>
                <w:szCs w:val="18"/>
                <w:lang w:val="en-GB" w:eastAsia="de-AT"/>
              </w:rPr>
              <w:t>"</w:t>
            </w:r>
            <w:proofErr w:type="gramStart"/>
            <w:r w:rsidRPr="00167DD0">
              <w:rPr>
                <w:rFonts w:asciiTheme="majorHAnsi" w:eastAsia="Times New Roman" w:hAnsiTheme="majorHAnsi" w:cstheme="majorHAnsi"/>
                <w:i/>
                <w:iCs/>
                <w:sz w:val="18"/>
                <w:szCs w:val="18"/>
                <w:lang w:val="en-GB" w:eastAsia="de-AT"/>
              </w:rPr>
              <w:t>or</w:t>
            </w:r>
            <w:proofErr w:type="gramEnd"/>
            <w:r w:rsidRPr="00167DD0">
              <w:rPr>
                <w:rFonts w:asciiTheme="majorHAnsi" w:eastAsia="Times New Roman" w:hAnsiTheme="majorHAnsi" w:cstheme="majorHAnsi"/>
                <w:i/>
                <w:iCs/>
                <w:sz w:val="18"/>
                <w:szCs w:val="18"/>
                <w:lang w:val="en-GB" w:eastAsia="de-AT"/>
              </w:rPr>
              <w:t xml:space="preserve"> determined by other appropriate means"</w:t>
            </w:r>
            <w:r w:rsidRPr="00167DD0">
              <w:rPr>
                <w:rFonts w:asciiTheme="majorHAnsi" w:eastAsia="Times New Roman" w:hAnsiTheme="majorHAnsi" w:cstheme="majorHAnsi"/>
                <w:sz w:val="18"/>
                <w:szCs w:val="18"/>
                <w:lang w:val="en-GB" w:eastAsia="de-AT"/>
              </w:rPr>
              <w:t xml:space="preserve"> </w:t>
            </w:r>
            <w:r w:rsidR="00167DD0" w:rsidRPr="00167DD0">
              <w:rPr>
                <w:rFonts w:asciiTheme="majorHAnsi" w:eastAsia="Times New Roman" w:hAnsiTheme="majorHAnsi" w:cstheme="majorHAnsi"/>
                <w:sz w:val="18"/>
                <w:szCs w:val="18"/>
                <w:lang w:val="en-GB" w:eastAsia="de-AT"/>
              </w:rPr>
              <w:t xml:space="preserve">needs to be explained and justified </w:t>
            </w:r>
            <w:r w:rsidRPr="00167DD0">
              <w:rPr>
                <w:rFonts w:asciiTheme="majorHAnsi" w:eastAsia="Times New Roman" w:hAnsiTheme="majorHAnsi" w:cstheme="majorHAnsi"/>
                <w:sz w:val="18"/>
                <w:szCs w:val="18"/>
                <w:lang w:val="en-GB" w:eastAsia="de-AT"/>
              </w:rPr>
              <w:t>as it is unclear from legal prospective.</w:t>
            </w:r>
          </w:p>
          <w:p w14:paraId="5473D91C" w14:textId="7A836657" w:rsidR="00A86877" w:rsidRPr="00167DD0" w:rsidRDefault="003049BC" w:rsidP="005745D7">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sz w:val="18"/>
                <w:szCs w:val="18"/>
                <w:lang w:val="en-GB" w:eastAsia="de-AT"/>
              </w:rPr>
              <w:t>At the end of the definition "by the relevant SO" should be inserted.</w:t>
            </w:r>
            <w:r w:rsidR="00A86877" w:rsidRPr="00167DD0">
              <w:rPr>
                <w:rFonts w:asciiTheme="majorHAnsi" w:eastAsia="Times New Roman" w:hAnsiTheme="majorHAnsi" w:cstheme="majorHAnsi"/>
                <w:sz w:val="18"/>
                <w:szCs w:val="18"/>
                <w:lang w:val="en-GB" w:eastAsia="de-AT"/>
              </w:rPr>
              <w:t xml:space="preserve"> Our</w:t>
            </w:r>
            <w:r w:rsidR="00A86877" w:rsidRPr="003049BC">
              <w:rPr>
                <w:rFonts w:asciiTheme="majorHAnsi" w:eastAsia="Times New Roman" w:hAnsiTheme="majorHAnsi" w:cstheme="majorHAnsi"/>
                <w:sz w:val="18"/>
                <w:szCs w:val="18"/>
                <w:lang w:val="en-GB" w:eastAsia="de-AT"/>
              </w:rPr>
              <w:t xml:space="preserve"> proposal aims to add clarity and coherency</w:t>
            </w:r>
            <w:r w:rsidR="00A86877" w:rsidRPr="00167DD0">
              <w:rPr>
                <w:rFonts w:asciiTheme="majorHAnsi" w:eastAsia="Times New Roman" w:hAnsiTheme="majorHAnsi" w:cstheme="majorHAnsi"/>
                <w:sz w:val="18"/>
                <w:szCs w:val="18"/>
                <w:lang w:val="en-GB" w:eastAsia="de-AT"/>
              </w:rPr>
              <w:t>.</w:t>
            </w:r>
          </w:p>
        </w:tc>
        <w:tc>
          <w:tcPr>
            <w:tcW w:w="7170" w:type="dxa"/>
          </w:tcPr>
          <w:p w14:paraId="7B5CDFA9" w14:textId="2A707D3B" w:rsidR="003049BC" w:rsidRPr="005013F0" w:rsidRDefault="003049BC" w:rsidP="005745D7">
            <w:pPr>
              <w:rPr>
                <w:rFonts w:asciiTheme="majorHAnsi" w:hAnsiTheme="majorHAnsi" w:cstheme="majorHAnsi"/>
                <w:color w:val="000000"/>
                <w:sz w:val="18"/>
                <w:szCs w:val="18"/>
                <w:lang w:val="en-GB"/>
              </w:rPr>
            </w:pPr>
            <w:r w:rsidRPr="00167DD0">
              <w:rPr>
                <w:rFonts w:asciiTheme="majorHAnsi" w:hAnsiTheme="majorHAnsi" w:cstheme="majorHAnsi"/>
                <w:color w:val="000000"/>
                <w:sz w:val="18"/>
                <w:szCs w:val="18"/>
                <w:lang w:val="en-GB"/>
              </w:rPr>
              <w:t xml:space="preserve">‘connection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 or as agreed between the relevant system operator and the demand facility owner, power-generating facility owner or HVDC system owner, </w:t>
            </w:r>
            <w:r w:rsidRPr="00167DD0">
              <w:rPr>
                <w:rFonts w:asciiTheme="majorHAnsi" w:hAnsiTheme="majorHAnsi" w:cstheme="majorHAnsi"/>
                <w:strike/>
                <w:color w:val="FF0000"/>
                <w:sz w:val="18"/>
                <w:szCs w:val="18"/>
                <w:lang w:val="en-GB"/>
              </w:rPr>
              <w:t>or determined by other appropriate means</w:t>
            </w:r>
            <w:r w:rsidRPr="00167DD0">
              <w:rPr>
                <w:rFonts w:asciiTheme="majorHAnsi" w:hAnsiTheme="majorHAnsi" w:cstheme="majorHAnsi"/>
                <w:color w:val="000000"/>
                <w:sz w:val="18"/>
                <w:szCs w:val="18"/>
                <w:lang w:val="en-GB"/>
              </w:rPr>
              <w:t xml:space="preserve">, where an agreement is not required </w:t>
            </w:r>
            <w:r w:rsidRPr="00167DD0">
              <w:rPr>
                <w:rFonts w:asciiTheme="majorHAnsi" w:hAnsiTheme="majorHAnsi" w:cstheme="majorHAnsi"/>
                <w:color w:val="00B050"/>
                <w:sz w:val="18"/>
                <w:szCs w:val="18"/>
                <w:lang w:val="en-GB"/>
              </w:rPr>
              <w:t>by the relevant SO</w:t>
            </w:r>
            <w:r w:rsidRPr="00167DD0">
              <w:rPr>
                <w:rFonts w:asciiTheme="majorHAnsi" w:hAnsiTheme="majorHAnsi" w:cstheme="majorHAnsi"/>
                <w:color w:val="000000"/>
                <w:sz w:val="18"/>
                <w:szCs w:val="18"/>
                <w:lang w:val="en-GB"/>
              </w:rPr>
              <w:t>;</w:t>
            </w:r>
          </w:p>
        </w:tc>
      </w:tr>
      <w:tr w:rsidR="003049BC" w:rsidRPr="009A54AD" w14:paraId="63758435" w14:textId="77777777" w:rsidTr="005745D7">
        <w:tc>
          <w:tcPr>
            <w:tcW w:w="1097" w:type="dxa"/>
          </w:tcPr>
          <w:p w14:paraId="7329FD32" w14:textId="245CD91D" w:rsidR="003049BC" w:rsidRPr="00167DD0" w:rsidRDefault="00A86877" w:rsidP="005745D7">
            <w:pPr>
              <w:rPr>
                <w:rFonts w:asciiTheme="majorHAnsi" w:eastAsia="Times New Roman" w:hAnsiTheme="majorHAnsi" w:cstheme="majorHAnsi"/>
                <w:color w:val="000000"/>
                <w:sz w:val="18"/>
                <w:szCs w:val="18"/>
                <w:lang w:val="en-GB" w:eastAsia="de-AT"/>
              </w:rPr>
            </w:pPr>
            <w:r w:rsidRPr="00167DD0">
              <w:rPr>
                <w:rFonts w:asciiTheme="majorHAnsi" w:eastAsia="Times New Roman" w:hAnsiTheme="majorHAnsi" w:cstheme="majorHAnsi"/>
                <w:color w:val="000000"/>
                <w:sz w:val="18"/>
                <w:szCs w:val="18"/>
                <w:lang w:val="en-GB" w:eastAsia="de-AT"/>
              </w:rPr>
              <w:t>2(16)</w:t>
            </w:r>
          </w:p>
        </w:tc>
        <w:tc>
          <w:tcPr>
            <w:tcW w:w="6045" w:type="dxa"/>
          </w:tcPr>
          <w:p w14:paraId="6A887505" w14:textId="77777777" w:rsidR="00167DD0" w:rsidRPr="00167DD0" w:rsidRDefault="00167DD0" w:rsidP="00167DD0">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i/>
                <w:iCs/>
                <w:sz w:val="18"/>
                <w:szCs w:val="18"/>
                <w:lang w:val="en-GB" w:eastAsia="de-AT"/>
              </w:rPr>
              <w:t>"</w:t>
            </w:r>
            <w:proofErr w:type="gramStart"/>
            <w:r w:rsidRPr="00167DD0">
              <w:rPr>
                <w:rFonts w:asciiTheme="majorHAnsi" w:eastAsia="Times New Roman" w:hAnsiTheme="majorHAnsi" w:cstheme="majorHAnsi"/>
                <w:i/>
                <w:iCs/>
                <w:sz w:val="18"/>
                <w:szCs w:val="18"/>
                <w:lang w:val="en-GB" w:eastAsia="de-AT"/>
              </w:rPr>
              <w:t>or</w:t>
            </w:r>
            <w:proofErr w:type="gramEnd"/>
            <w:r w:rsidRPr="00167DD0">
              <w:rPr>
                <w:rFonts w:asciiTheme="majorHAnsi" w:eastAsia="Times New Roman" w:hAnsiTheme="majorHAnsi" w:cstheme="majorHAnsi"/>
                <w:i/>
                <w:iCs/>
                <w:sz w:val="18"/>
                <w:szCs w:val="18"/>
                <w:lang w:val="en-GB" w:eastAsia="de-AT"/>
              </w:rPr>
              <w:t xml:space="preserve"> determined by other appropriate means"</w:t>
            </w:r>
            <w:r w:rsidRPr="00167DD0">
              <w:rPr>
                <w:rFonts w:asciiTheme="majorHAnsi" w:eastAsia="Times New Roman" w:hAnsiTheme="majorHAnsi" w:cstheme="majorHAnsi"/>
                <w:sz w:val="18"/>
                <w:szCs w:val="18"/>
                <w:lang w:val="en-GB" w:eastAsia="de-AT"/>
              </w:rPr>
              <w:t xml:space="preserve"> needs to be explained and justified as it is unclear from legal prospective.</w:t>
            </w:r>
          </w:p>
          <w:p w14:paraId="2CE35503" w14:textId="0FFE1F61" w:rsidR="003049BC" w:rsidRPr="00167DD0" w:rsidRDefault="00167DD0" w:rsidP="00167DD0">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sz w:val="18"/>
                <w:szCs w:val="18"/>
                <w:lang w:val="en-GB" w:eastAsia="de-AT"/>
              </w:rPr>
              <w:t>At the end of the definition "by the relevant SO" should be inserted. Our</w:t>
            </w:r>
            <w:r w:rsidRPr="003049BC">
              <w:rPr>
                <w:rFonts w:asciiTheme="majorHAnsi" w:eastAsia="Times New Roman" w:hAnsiTheme="majorHAnsi" w:cstheme="majorHAnsi"/>
                <w:sz w:val="18"/>
                <w:szCs w:val="18"/>
                <w:lang w:val="en-GB" w:eastAsia="de-AT"/>
              </w:rPr>
              <w:t xml:space="preserve"> proposal aims to add clarity and coherency</w:t>
            </w:r>
            <w:r w:rsidRPr="00167DD0">
              <w:rPr>
                <w:rFonts w:asciiTheme="majorHAnsi" w:eastAsia="Times New Roman" w:hAnsiTheme="majorHAnsi" w:cstheme="majorHAnsi"/>
                <w:sz w:val="18"/>
                <w:szCs w:val="18"/>
                <w:lang w:val="en-GB" w:eastAsia="de-AT"/>
              </w:rPr>
              <w:t>.</w:t>
            </w:r>
          </w:p>
        </w:tc>
        <w:tc>
          <w:tcPr>
            <w:tcW w:w="7170" w:type="dxa"/>
          </w:tcPr>
          <w:p w14:paraId="391E3E20" w14:textId="77777777" w:rsidR="00A86877" w:rsidRPr="00167DD0" w:rsidRDefault="00A86877" w:rsidP="00A86877">
            <w:pPr>
              <w:rPr>
                <w:rFonts w:asciiTheme="majorHAnsi" w:hAnsiTheme="majorHAnsi" w:cstheme="majorHAnsi"/>
                <w:color w:val="000000"/>
                <w:sz w:val="18"/>
                <w:szCs w:val="18"/>
                <w:lang w:val="en-GB"/>
              </w:rPr>
            </w:pPr>
            <w:r w:rsidRPr="00167DD0">
              <w:rPr>
                <w:rFonts w:asciiTheme="majorHAnsi" w:hAnsiTheme="majorHAnsi" w:cstheme="majorHAnsi"/>
                <w:color w:val="000000"/>
                <w:sz w:val="18"/>
                <w:szCs w:val="18"/>
                <w:lang w:val="en-GB"/>
              </w:rPr>
              <w:t xml:space="preserve">‘maximum capacity’ or ‘Pmax’ means the maximum continuous active power which a power-generating module can produce, less any demand or losses associated solely with facilitating the operation of that power-generating module and not fed into the network as specified in the connection agreement or as agreed between the relevant system operator and the power-generating facility owner, </w:t>
            </w:r>
            <w:r w:rsidRPr="00167DD0">
              <w:rPr>
                <w:rFonts w:asciiTheme="majorHAnsi" w:hAnsiTheme="majorHAnsi" w:cstheme="majorHAnsi"/>
                <w:strike/>
                <w:color w:val="FF0000"/>
                <w:sz w:val="18"/>
                <w:szCs w:val="18"/>
                <w:lang w:val="en-GB"/>
              </w:rPr>
              <w:t>or determined by other appropriate means,</w:t>
            </w:r>
            <w:r w:rsidRPr="00167DD0">
              <w:rPr>
                <w:rFonts w:asciiTheme="majorHAnsi" w:hAnsiTheme="majorHAnsi" w:cstheme="majorHAnsi"/>
                <w:strike/>
                <w:sz w:val="18"/>
                <w:szCs w:val="18"/>
                <w:lang w:val="en-GB"/>
              </w:rPr>
              <w:t xml:space="preserve"> </w:t>
            </w:r>
            <w:r w:rsidRPr="00167DD0">
              <w:rPr>
                <w:rFonts w:asciiTheme="majorHAnsi" w:hAnsiTheme="majorHAnsi" w:cstheme="majorHAnsi"/>
                <w:sz w:val="18"/>
                <w:szCs w:val="18"/>
                <w:lang w:val="en-GB"/>
              </w:rPr>
              <w:t>where an agreement is not required</w:t>
            </w:r>
            <w:r w:rsidRPr="00167DD0">
              <w:rPr>
                <w:rFonts w:asciiTheme="majorHAnsi" w:hAnsiTheme="majorHAnsi" w:cstheme="majorHAnsi"/>
                <w:color w:val="FF0000"/>
                <w:sz w:val="18"/>
                <w:szCs w:val="18"/>
                <w:lang w:val="en-GB"/>
              </w:rPr>
              <w:t xml:space="preserve"> </w:t>
            </w:r>
            <w:r w:rsidRPr="00167DD0">
              <w:rPr>
                <w:rFonts w:asciiTheme="majorHAnsi" w:hAnsiTheme="majorHAnsi" w:cstheme="majorHAnsi"/>
                <w:color w:val="00B050"/>
                <w:sz w:val="18"/>
                <w:szCs w:val="18"/>
                <w:lang w:val="en-GB"/>
              </w:rPr>
              <w:t>by the relevant SO</w:t>
            </w:r>
            <w:r w:rsidRPr="00167DD0">
              <w:rPr>
                <w:rFonts w:asciiTheme="majorHAnsi" w:hAnsiTheme="majorHAnsi" w:cstheme="majorHAnsi"/>
                <w:color w:val="000000"/>
                <w:sz w:val="18"/>
                <w:szCs w:val="18"/>
                <w:lang w:val="en-GB"/>
              </w:rPr>
              <w:t>;</w:t>
            </w:r>
          </w:p>
          <w:p w14:paraId="284112A8" w14:textId="77777777" w:rsidR="003049BC" w:rsidRPr="00167DD0" w:rsidRDefault="003049BC" w:rsidP="005745D7">
            <w:pPr>
              <w:rPr>
                <w:rFonts w:asciiTheme="majorHAnsi" w:eastAsia="Times New Roman" w:hAnsiTheme="majorHAnsi" w:cstheme="majorHAnsi"/>
                <w:color w:val="000000"/>
                <w:sz w:val="18"/>
                <w:szCs w:val="18"/>
                <w:lang w:val="en-GB" w:eastAsia="de-AT"/>
              </w:rPr>
            </w:pPr>
          </w:p>
        </w:tc>
      </w:tr>
      <w:tr w:rsidR="000C498A" w:rsidRPr="009A54AD" w14:paraId="1F2B83EC" w14:textId="77777777" w:rsidTr="005745D7">
        <w:tc>
          <w:tcPr>
            <w:tcW w:w="1097" w:type="dxa"/>
          </w:tcPr>
          <w:p w14:paraId="2E5DC28B" w14:textId="1CE3D0A1" w:rsidR="000C498A" w:rsidRPr="00167DD0" w:rsidRDefault="000C498A" w:rsidP="000C498A">
            <w:pPr>
              <w:rPr>
                <w:rFonts w:asciiTheme="majorHAnsi" w:eastAsia="Times New Roman" w:hAnsiTheme="majorHAnsi" w:cstheme="majorHAnsi"/>
                <w:color w:val="000000"/>
                <w:sz w:val="18"/>
                <w:szCs w:val="18"/>
                <w:lang w:val="en-GB" w:eastAsia="de-AT"/>
              </w:rPr>
            </w:pPr>
            <w:r w:rsidRPr="00167DD0">
              <w:rPr>
                <w:rFonts w:asciiTheme="majorHAnsi" w:eastAsia="Times New Roman" w:hAnsiTheme="majorHAnsi" w:cstheme="majorHAnsi"/>
                <w:color w:val="000000"/>
                <w:sz w:val="18"/>
                <w:szCs w:val="18"/>
                <w:lang w:val="en-GB" w:eastAsia="de-AT"/>
              </w:rPr>
              <w:t>2(34)</w:t>
            </w:r>
          </w:p>
        </w:tc>
        <w:tc>
          <w:tcPr>
            <w:tcW w:w="6045" w:type="dxa"/>
          </w:tcPr>
          <w:p w14:paraId="33CB2066" w14:textId="35143A2C" w:rsidR="000C498A" w:rsidRPr="00167DD0" w:rsidRDefault="000C498A" w:rsidP="000C498A">
            <w:pPr>
              <w:rPr>
                <w:rFonts w:asciiTheme="majorHAnsi" w:eastAsia="Times New Roman" w:hAnsiTheme="majorHAnsi" w:cstheme="majorHAnsi"/>
                <w:sz w:val="18"/>
                <w:szCs w:val="18"/>
                <w:lang w:val="en-GB" w:eastAsia="de-AT"/>
              </w:rPr>
            </w:pPr>
            <w:r w:rsidRPr="00167DD0">
              <w:rPr>
                <w:rFonts w:asciiTheme="majorHAnsi" w:hAnsiTheme="majorHAnsi" w:cstheme="majorHAnsi"/>
                <w:color w:val="000000"/>
                <w:sz w:val="18"/>
                <w:szCs w:val="18"/>
                <w:lang w:val="en-GB"/>
              </w:rPr>
              <w:t>Minor change of text is proposed.</w:t>
            </w:r>
          </w:p>
        </w:tc>
        <w:tc>
          <w:tcPr>
            <w:tcW w:w="7170" w:type="dxa"/>
          </w:tcPr>
          <w:p w14:paraId="12A6AC45" w14:textId="64086E2B" w:rsidR="000C498A" w:rsidRPr="00167DD0" w:rsidRDefault="000C498A" w:rsidP="000C498A">
            <w:pPr>
              <w:rPr>
                <w:rFonts w:asciiTheme="majorHAnsi" w:eastAsia="Times New Roman" w:hAnsiTheme="majorHAnsi" w:cstheme="majorHAnsi"/>
                <w:color w:val="000000"/>
                <w:sz w:val="18"/>
                <w:szCs w:val="18"/>
                <w:lang w:val="en-GB" w:eastAsia="de-AT"/>
              </w:rPr>
            </w:pPr>
            <w:r w:rsidRPr="00167DD0">
              <w:rPr>
                <w:rFonts w:asciiTheme="majorHAnsi" w:hAnsiTheme="majorHAnsi" w:cstheme="majorHAnsi"/>
                <w:color w:val="000000"/>
                <w:sz w:val="18"/>
                <w:szCs w:val="18"/>
                <w:lang w:val="en-GB"/>
              </w:rPr>
              <w:t xml:space="preserve">synthetic inertia’ means the facility provided by a power park module or HVDC system to </w:t>
            </w:r>
            <w:r w:rsidRPr="00167DD0">
              <w:rPr>
                <w:rFonts w:asciiTheme="majorHAnsi" w:hAnsiTheme="majorHAnsi" w:cstheme="majorHAnsi"/>
                <w:color w:val="00B050"/>
                <w:sz w:val="18"/>
                <w:szCs w:val="18"/>
                <w:lang w:val="en-GB"/>
              </w:rPr>
              <w:t>emulate</w:t>
            </w:r>
            <w:r w:rsidRPr="00167DD0">
              <w:rPr>
                <w:rFonts w:asciiTheme="majorHAnsi" w:hAnsiTheme="majorHAnsi" w:cstheme="majorHAnsi"/>
                <w:color w:val="FF0000"/>
                <w:sz w:val="18"/>
                <w:szCs w:val="18"/>
                <w:lang w:val="en-GB"/>
              </w:rPr>
              <w:t xml:space="preserve"> </w:t>
            </w:r>
            <w:r w:rsidRPr="00167DD0">
              <w:rPr>
                <w:rFonts w:asciiTheme="majorHAnsi" w:hAnsiTheme="majorHAnsi" w:cstheme="majorHAnsi"/>
                <w:strike/>
                <w:color w:val="FF0000"/>
                <w:sz w:val="18"/>
                <w:szCs w:val="18"/>
                <w:lang w:val="en-GB"/>
              </w:rPr>
              <w:t>replace</w:t>
            </w:r>
            <w:r w:rsidRPr="00167DD0">
              <w:rPr>
                <w:rFonts w:asciiTheme="majorHAnsi" w:hAnsiTheme="majorHAnsi" w:cstheme="majorHAnsi"/>
                <w:color w:val="000000"/>
                <w:sz w:val="18"/>
                <w:szCs w:val="18"/>
                <w:lang w:val="en-GB"/>
              </w:rPr>
              <w:t xml:space="preserve"> the effect of inertia of a synchronous power-generating module to a prescribed level of performance</w:t>
            </w:r>
          </w:p>
        </w:tc>
      </w:tr>
      <w:tr w:rsidR="00167DD0" w:rsidRPr="009A54AD" w14:paraId="4CE1A157" w14:textId="77777777" w:rsidTr="005745D7">
        <w:tc>
          <w:tcPr>
            <w:tcW w:w="1097" w:type="dxa"/>
          </w:tcPr>
          <w:p w14:paraId="6370B8B1" w14:textId="245E11AC" w:rsidR="00167DD0" w:rsidRPr="00167DD0" w:rsidRDefault="00167DD0" w:rsidP="00167DD0">
            <w:pPr>
              <w:rPr>
                <w:rFonts w:asciiTheme="majorHAnsi" w:eastAsia="Times New Roman" w:hAnsiTheme="majorHAnsi" w:cstheme="majorHAnsi"/>
                <w:color w:val="000000"/>
                <w:sz w:val="18"/>
                <w:szCs w:val="18"/>
                <w:lang w:val="en-GB" w:eastAsia="de-AT"/>
              </w:rPr>
            </w:pPr>
            <w:r w:rsidRPr="00167DD0">
              <w:rPr>
                <w:rFonts w:asciiTheme="majorHAnsi" w:hAnsiTheme="majorHAnsi" w:cstheme="majorHAnsi"/>
                <w:color w:val="000000"/>
                <w:sz w:val="18"/>
                <w:szCs w:val="18"/>
                <w:lang w:val="en-GB"/>
              </w:rPr>
              <w:t>2(68)</w:t>
            </w:r>
          </w:p>
        </w:tc>
        <w:tc>
          <w:tcPr>
            <w:tcW w:w="6045" w:type="dxa"/>
          </w:tcPr>
          <w:p w14:paraId="31F1FC97" w14:textId="77777777" w:rsidR="00167DD0" w:rsidRPr="00167DD0" w:rsidRDefault="00167DD0" w:rsidP="00167DD0">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i/>
                <w:iCs/>
                <w:sz w:val="18"/>
                <w:szCs w:val="18"/>
                <w:lang w:val="en-GB" w:eastAsia="de-AT"/>
              </w:rPr>
              <w:t>"</w:t>
            </w:r>
            <w:proofErr w:type="gramStart"/>
            <w:r w:rsidRPr="00167DD0">
              <w:rPr>
                <w:rFonts w:asciiTheme="majorHAnsi" w:eastAsia="Times New Roman" w:hAnsiTheme="majorHAnsi" w:cstheme="majorHAnsi"/>
                <w:i/>
                <w:iCs/>
                <w:sz w:val="18"/>
                <w:szCs w:val="18"/>
                <w:lang w:val="en-GB" w:eastAsia="de-AT"/>
              </w:rPr>
              <w:t>or</w:t>
            </w:r>
            <w:proofErr w:type="gramEnd"/>
            <w:r w:rsidRPr="00167DD0">
              <w:rPr>
                <w:rFonts w:asciiTheme="majorHAnsi" w:eastAsia="Times New Roman" w:hAnsiTheme="majorHAnsi" w:cstheme="majorHAnsi"/>
                <w:i/>
                <w:iCs/>
                <w:sz w:val="18"/>
                <w:szCs w:val="18"/>
                <w:lang w:val="en-GB" w:eastAsia="de-AT"/>
              </w:rPr>
              <w:t xml:space="preserve"> determined by other appropriate means"</w:t>
            </w:r>
            <w:r w:rsidRPr="00167DD0">
              <w:rPr>
                <w:rFonts w:asciiTheme="majorHAnsi" w:eastAsia="Times New Roman" w:hAnsiTheme="majorHAnsi" w:cstheme="majorHAnsi"/>
                <w:sz w:val="18"/>
                <w:szCs w:val="18"/>
                <w:lang w:val="en-GB" w:eastAsia="de-AT"/>
              </w:rPr>
              <w:t xml:space="preserve"> needs to be explained and justified as it is unclear from legal prospective.</w:t>
            </w:r>
          </w:p>
          <w:p w14:paraId="766A54D6" w14:textId="2B740C64" w:rsidR="00167DD0" w:rsidRPr="00167DD0" w:rsidRDefault="00167DD0" w:rsidP="00167DD0">
            <w:pPr>
              <w:rPr>
                <w:rFonts w:asciiTheme="majorHAnsi" w:eastAsia="Times New Roman" w:hAnsiTheme="majorHAnsi" w:cstheme="majorHAnsi"/>
                <w:sz w:val="18"/>
                <w:szCs w:val="18"/>
                <w:lang w:val="en-GB" w:eastAsia="de-AT"/>
              </w:rPr>
            </w:pPr>
            <w:r w:rsidRPr="00167DD0">
              <w:rPr>
                <w:rFonts w:asciiTheme="majorHAnsi" w:eastAsia="Times New Roman" w:hAnsiTheme="majorHAnsi" w:cstheme="majorHAnsi"/>
                <w:sz w:val="18"/>
                <w:szCs w:val="18"/>
                <w:lang w:val="en-GB" w:eastAsia="de-AT"/>
              </w:rPr>
              <w:t>At the end of the definition "by the relevant SO" should be inserted. Our</w:t>
            </w:r>
            <w:r w:rsidRPr="003049BC">
              <w:rPr>
                <w:rFonts w:asciiTheme="majorHAnsi" w:eastAsia="Times New Roman" w:hAnsiTheme="majorHAnsi" w:cstheme="majorHAnsi"/>
                <w:sz w:val="18"/>
                <w:szCs w:val="18"/>
                <w:lang w:val="en-GB" w:eastAsia="de-AT"/>
              </w:rPr>
              <w:t xml:space="preserve"> proposal aims to add clarity and coherency</w:t>
            </w:r>
            <w:r w:rsidRPr="00167DD0">
              <w:rPr>
                <w:rFonts w:asciiTheme="majorHAnsi" w:eastAsia="Times New Roman" w:hAnsiTheme="majorHAnsi" w:cstheme="majorHAnsi"/>
                <w:sz w:val="18"/>
                <w:szCs w:val="18"/>
                <w:lang w:val="en-GB" w:eastAsia="de-AT"/>
              </w:rPr>
              <w:t>.</w:t>
            </w:r>
          </w:p>
        </w:tc>
        <w:tc>
          <w:tcPr>
            <w:tcW w:w="7170" w:type="dxa"/>
          </w:tcPr>
          <w:p w14:paraId="68457D37" w14:textId="678E548E" w:rsidR="00167DD0" w:rsidRPr="00167DD0" w:rsidRDefault="00167DD0" w:rsidP="00167DD0">
            <w:pPr>
              <w:rPr>
                <w:rFonts w:asciiTheme="majorHAnsi" w:eastAsia="Times New Roman" w:hAnsiTheme="majorHAnsi" w:cstheme="majorHAnsi"/>
                <w:color w:val="000000"/>
                <w:sz w:val="18"/>
                <w:szCs w:val="18"/>
                <w:lang w:val="en-GB" w:eastAsia="de-AT"/>
              </w:rPr>
            </w:pPr>
            <w:r w:rsidRPr="00167DD0">
              <w:rPr>
                <w:rFonts w:asciiTheme="majorHAnsi" w:hAnsiTheme="majorHAnsi" w:cstheme="majorHAnsi"/>
                <w:color w:val="000000"/>
                <w:sz w:val="18"/>
                <w:szCs w:val="18"/>
                <w:lang w:val="en-GB"/>
              </w:rPr>
              <w:t xml:space="preserve">maximum consumption capacity’  means the maximum continuous active power which an demand unit or electricity storage module can consume, less any demand or losses associated solely with facilitating the operation of that demand unit or electricity storage module, as specified in the connection agreement or as agreed between the relevant system operator and the demand facility owner or power-generating facility owner, </w:t>
            </w:r>
            <w:r w:rsidRPr="00167DD0">
              <w:rPr>
                <w:rFonts w:asciiTheme="majorHAnsi" w:hAnsiTheme="majorHAnsi" w:cstheme="majorHAnsi"/>
                <w:strike/>
                <w:color w:val="FF0000"/>
                <w:sz w:val="18"/>
                <w:szCs w:val="18"/>
                <w:lang w:val="en-GB"/>
              </w:rPr>
              <w:t>or determined by other appropriate means,</w:t>
            </w:r>
            <w:r w:rsidRPr="00167DD0">
              <w:rPr>
                <w:rFonts w:asciiTheme="majorHAnsi" w:hAnsiTheme="majorHAnsi" w:cstheme="majorHAnsi"/>
                <w:color w:val="000000"/>
                <w:sz w:val="18"/>
                <w:szCs w:val="18"/>
                <w:lang w:val="en-GB"/>
              </w:rPr>
              <w:t xml:space="preserve"> where an agreement is not required </w:t>
            </w:r>
            <w:r w:rsidRPr="00167DD0">
              <w:rPr>
                <w:rFonts w:asciiTheme="majorHAnsi" w:hAnsiTheme="majorHAnsi" w:cstheme="majorHAnsi"/>
                <w:color w:val="00B050"/>
                <w:sz w:val="18"/>
                <w:szCs w:val="18"/>
                <w:lang w:val="en-GB"/>
              </w:rPr>
              <w:t>by the relevant SO</w:t>
            </w:r>
            <w:r w:rsidRPr="00167DD0">
              <w:rPr>
                <w:rFonts w:asciiTheme="majorHAnsi" w:hAnsiTheme="majorHAnsi" w:cstheme="majorHAnsi"/>
                <w:color w:val="000000"/>
                <w:sz w:val="18"/>
                <w:szCs w:val="18"/>
                <w:lang w:val="en-GB"/>
              </w:rPr>
              <w:t>.</w:t>
            </w:r>
          </w:p>
        </w:tc>
      </w:tr>
      <w:tr w:rsidR="00167DD0" w:rsidRPr="009A54AD" w14:paraId="271EE3F0" w14:textId="77777777" w:rsidTr="005745D7">
        <w:tc>
          <w:tcPr>
            <w:tcW w:w="1097" w:type="dxa"/>
          </w:tcPr>
          <w:p w14:paraId="64DB91FF" w14:textId="77777777" w:rsidR="00167DD0" w:rsidRDefault="00167DD0" w:rsidP="00167DD0">
            <w:pPr>
              <w:rPr>
                <w:rFonts w:asciiTheme="majorHAnsi" w:hAnsiTheme="majorHAnsi" w:cstheme="majorHAnsi"/>
                <w:color w:val="000000"/>
                <w:sz w:val="18"/>
                <w:szCs w:val="18"/>
                <w:lang w:val="en-GB"/>
              </w:rPr>
            </w:pPr>
            <w:r w:rsidRPr="00167DD0">
              <w:rPr>
                <w:rFonts w:asciiTheme="majorHAnsi" w:hAnsiTheme="majorHAnsi" w:cstheme="majorHAnsi"/>
                <w:color w:val="000000"/>
                <w:sz w:val="18"/>
                <w:szCs w:val="18"/>
                <w:lang w:val="en-GB"/>
              </w:rPr>
              <w:t>2(69)</w:t>
            </w:r>
          </w:p>
          <w:p w14:paraId="52817603" w14:textId="77777777" w:rsidR="00BE642D" w:rsidRDefault="00BE642D" w:rsidP="00167DD0">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t>2(70)</w:t>
            </w:r>
          </w:p>
          <w:p w14:paraId="2B0BEBA5" w14:textId="77777777" w:rsidR="00BE642D" w:rsidRDefault="00BE642D" w:rsidP="00167DD0">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t>2(73)</w:t>
            </w:r>
          </w:p>
          <w:p w14:paraId="689EB151" w14:textId="3312514B" w:rsidR="00BE642D" w:rsidRPr="00167DD0" w:rsidRDefault="00BE642D" w:rsidP="00167DD0">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t>2(74)</w:t>
            </w:r>
          </w:p>
        </w:tc>
        <w:tc>
          <w:tcPr>
            <w:tcW w:w="6045" w:type="dxa"/>
          </w:tcPr>
          <w:p w14:paraId="22FEF564" w14:textId="77777777" w:rsidR="00167DD0" w:rsidRDefault="00167DD0" w:rsidP="00167DD0">
            <w:pPr>
              <w:rPr>
                <w:rFonts w:asciiTheme="majorHAnsi" w:hAnsiTheme="majorHAnsi" w:cstheme="majorHAnsi"/>
                <w:color w:val="000000"/>
                <w:sz w:val="18"/>
                <w:szCs w:val="18"/>
                <w:lang w:val="en-GB"/>
              </w:rPr>
            </w:pPr>
            <w:r w:rsidRPr="00167DD0">
              <w:rPr>
                <w:rFonts w:asciiTheme="majorHAnsi" w:hAnsiTheme="majorHAnsi" w:cstheme="majorHAnsi"/>
                <w:color w:val="000000"/>
                <w:sz w:val="18"/>
                <w:szCs w:val="18"/>
                <w:lang w:val="en-GB"/>
              </w:rPr>
              <w:t xml:space="preserve">From our point of view it is important that V1G/V2G </w:t>
            </w:r>
            <w:r w:rsidRPr="00BE642D">
              <w:rPr>
                <w:rFonts w:asciiTheme="majorHAnsi" w:hAnsiTheme="majorHAnsi" w:cstheme="majorHAnsi"/>
                <w:color w:val="000000"/>
                <w:sz w:val="18"/>
                <w:szCs w:val="18"/>
                <w:u w:val="single"/>
                <w:lang w:val="en-GB"/>
              </w:rPr>
              <w:t>electrical charging parks</w:t>
            </w:r>
            <w:r w:rsidRPr="00167DD0">
              <w:rPr>
                <w:rFonts w:asciiTheme="majorHAnsi" w:hAnsiTheme="majorHAnsi" w:cstheme="majorHAnsi"/>
                <w:color w:val="000000"/>
                <w:sz w:val="18"/>
                <w:szCs w:val="18"/>
                <w:lang w:val="en-GB"/>
              </w:rPr>
              <w:t xml:space="preserve"> should fulfil additional requirements</w:t>
            </w:r>
            <w:r w:rsidR="00BE642D">
              <w:rPr>
                <w:rFonts w:asciiTheme="majorHAnsi" w:hAnsiTheme="majorHAnsi" w:cstheme="majorHAnsi"/>
                <w:color w:val="000000"/>
                <w:sz w:val="18"/>
                <w:szCs w:val="18"/>
                <w:lang w:val="en-GB"/>
              </w:rPr>
              <w:t xml:space="preserve"> (on top of V1G/V2G EVs)</w:t>
            </w:r>
            <w:r w:rsidRPr="00167DD0">
              <w:rPr>
                <w:rFonts w:asciiTheme="majorHAnsi" w:hAnsiTheme="majorHAnsi" w:cstheme="majorHAnsi"/>
                <w:color w:val="000000"/>
                <w:sz w:val="18"/>
                <w:szCs w:val="18"/>
                <w:lang w:val="en-GB"/>
              </w:rPr>
              <w:t xml:space="preserve">, similar to standard Type B, C or D. Particularly, if the aggregated installed capacity is e.g. greater than the A/B threshold the V1G/V2G </w:t>
            </w:r>
            <w:r w:rsidR="00BE642D" w:rsidRPr="00BE642D">
              <w:rPr>
                <w:rFonts w:asciiTheme="majorHAnsi" w:hAnsiTheme="majorHAnsi" w:cstheme="majorHAnsi"/>
                <w:color w:val="000000"/>
                <w:sz w:val="18"/>
                <w:szCs w:val="18"/>
                <w:u w:val="single"/>
                <w:lang w:val="en-GB"/>
              </w:rPr>
              <w:t xml:space="preserve">electrical </w:t>
            </w:r>
            <w:r w:rsidRPr="00BE642D">
              <w:rPr>
                <w:rFonts w:asciiTheme="majorHAnsi" w:hAnsiTheme="majorHAnsi" w:cstheme="majorHAnsi"/>
                <w:color w:val="000000"/>
                <w:sz w:val="18"/>
                <w:szCs w:val="18"/>
                <w:u w:val="single"/>
                <w:lang w:val="en-GB"/>
              </w:rPr>
              <w:t>charging park</w:t>
            </w:r>
            <w:r w:rsidRPr="00167DD0">
              <w:rPr>
                <w:rFonts w:asciiTheme="majorHAnsi" w:hAnsiTheme="majorHAnsi" w:cstheme="majorHAnsi"/>
                <w:color w:val="000000"/>
                <w:sz w:val="18"/>
                <w:szCs w:val="18"/>
                <w:lang w:val="en-GB"/>
              </w:rPr>
              <w:t xml:space="preserve"> should be also treated as SGU and fulfil </w:t>
            </w:r>
            <w:r w:rsidR="00BE642D">
              <w:rPr>
                <w:rFonts w:asciiTheme="majorHAnsi" w:hAnsiTheme="majorHAnsi" w:cstheme="majorHAnsi"/>
                <w:color w:val="000000"/>
                <w:sz w:val="18"/>
                <w:szCs w:val="18"/>
                <w:lang w:val="en-GB"/>
              </w:rPr>
              <w:t xml:space="preserve">the relevant </w:t>
            </w:r>
            <w:r w:rsidRPr="00167DD0">
              <w:rPr>
                <w:rFonts w:asciiTheme="majorHAnsi" w:hAnsiTheme="majorHAnsi" w:cstheme="majorHAnsi"/>
                <w:color w:val="000000"/>
                <w:sz w:val="18"/>
                <w:szCs w:val="18"/>
                <w:lang w:val="en-GB"/>
              </w:rPr>
              <w:t>data-exchange requirements</w:t>
            </w:r>
            <w:r w:rsidR="00BE642D">
              <w:rPr>
                <w:rFonts w:asciiTheme="majorHAnsi" w:hAnsiTheme="majorHAnsi" w:cstheme="majorHAnsi"/>
                <w:color w:val="000000"/>
                <w:sz w:val="18"/>
                <w:szCs w:val="18"/>
                <w:lang w:val="en-GB"/>
              </w:rPr>
              <w:t xml:space="preserve"> of SOGL.</w:t>
            </w:r>
            <w:r w:rsidRPr="00167DD0">
              <w:rPr>
                <w:rFonts w:asciiTheme="majorHAnsi" w:hAnsiTheme="majorHAnsi" w:cstheme="majorHAnsi"/>
                <w:color w:val="000000"/>
                <w:sz w:val="18"/>
                <w:szCs w:val="18"/>
                <w:lang w:val="en-GB"/>
              </w:rPr>
              <w:br/>
            </w:r>
            <w:r w:rsidRPr="00167DD0">
              <w:rPr>
                <w:rFonts w:asciiTheme="majorHAnsi" w:hAnsiTheme="majorHAnsi" w:cstheme="majorHAnsi"/>
                <w:color w:val="000000"/>
                <w:sz w:val="18"/>
                <w:szCs w:val="18"/>
                <w:lang w:val="en-GB"/>
              </w:rPr>
              <w:br/>
              <w:t>SOGL does not yet cover the new EV types introduced in RfG/DCC 2.0</w:t>
            </w:r>
            <w:r w:rsidR="00BE642D">
              <w:rPr>
                <w:rFonts w:asciiTheme="majorHAnsi" w:hAnsiTheme="majorHAnsi" w:cstheme="majorHAnsi"/>
                <w:color w:val="000000"/>
                <w:sz w:val="18"/>
                <w:szCs w:val="18"/>
                <w:lang w:val="en-GB"/>
              </w:rPr>
              <w:t>.</w:t>
            </w:r>
          </w:p>
          <w:p w14:paraId="117CF26A" w14:textId="77777777" w:rsidR="007C2A5B" w:rsidRDefault="007C2A5B" w:rsidP="00167DD0">
            <w:pPr>
              <w:rPr>
                <w:rFonts w:asciiTheme="majorHAnsi" w:hAnsiTheme="majorHAnsi" w:cstheme="majorHAnsi"/>
                <w:sz w:val="18"/>
                <w:szCs w:val="18"/>
                <w:lang w:val="en-GB"/>
              </w:rPr>
            </w:pPr>
          </w:p>
          <w:p w14:paraId="2B056B62" w14:textId="7A86894D" w:rsidR="007C2A5B" w:rsidRPr="00167DD0" w:rsidRDefault="007C2A5B" w:rsidP="00167DD0">
            <w:pPr>
              <w:rPr>
                <w:rFonts w:asciiTheme="majorHAnsi" w:eastAsia="Times New Roman" w:hAnsiTheme="majorHAnsi" w:cstheme="majorHAnsi"/>
                <w:sz w:val="18"/>
                <w:szCs w:val="18"/>
                <w:lang w:val="en-GB" w:eastAsia="de-AT"/>
              </w:rPr>
            </w:pPr>
            <w:r>
              <w:rPr>
                <w:rFonts w:asciiTheme="majorHAnsi" w:hAnsiTheme="majorHAnsi" w:cstheme="majorHAnsi"/>
                <w:sz w:val="18"/>
                <w:szCs w:val="18"/>
                <w:lang w:val="en-GB"/>
              </w:rPr>
              <w:t xml:space="preserve">Furthermore, we think that is important to further distinguish the specific requirements between AC- and DC-connected EVs. </w:t>
            </w:r>
            <w:r w:rsidR="005013F0" w:rsidRPr="005013F0">
              <w:rPr>
                <w:rFonts w:asciiTheme="majorHAnsi" w:hAnsiTheme="majorHAnsi" w:cstheme="majorHAnsi"/>
                <w:sz w:val="18"/>
                <w:szCs w:val="18"/>
                <w:lang w:val="en-GB"/>
              </w:rPr>
              <w:t xml:space="preserve">With AC charging, the regulation </w:t>
            </w:r>
            <w:proofErr w:type="gramStart"/>
            <w:r w:rsidR="005013F0" w:rsidRPr="005013F0">
              <w:rPr>
                <w:rFonts w:asciiTheme="majorHAnsi" w:hAnsiTheme="majorHAnsi" w:cstheme="majorHAnsi"/>
                <w:sz w:val="18"/>
                <w:szCs w:val="18"/>
                <w:lang w:val="en-GB"/>
              </w:rPr>
              <w:t>has to</w:t>
            </w:r>
            <w:proofErr w:type="gramEnd"/>
            <w:r w:rsidR="005013F0" w:rsidRPr="005013F0">
              <w:rPr>
                <w:rFonts w:asciiTheme="majorHAnsi" w:hAnsiTheme="majorHAnsi" w:cstheme="majorHAnsi"/>
                <w:sz w:val="18"/>
                <w:szCs w:val="18"/>
                <w:lang w:val="en-GB"/>
              </w:rPr>
              <w:t xml:space="preserve"> be fulfilled by the EV itself, whereas with DC charging the charging infrastructure is responsible for fulfilling the regulation</w:t>
            </w:r>
            <w:r w:rsidR="005013F0">
              <w:rPr>
                <w:rFonts w:asciiTheme="majorHAnsi" w:hAnsiTheme="majorHAnsi" w:cstheme="majorHAnsi"/>
                <w:sz w:val="18"/>
                <w:szCs w:val="18"/>
                <w:lang w:val="en-GB"/>
              </w:rPr>
              <w:t>.</w:t>
            </w:r>
          </w:p>
        </w:tc>
        <w:tc>
          <w:tcPr>
            <w:tcW w:w="7170" w:type="dxa"/>
          </w:tcPr>
          <w:p w14:paraId="09F56B37" w14:textId="4F00499F" w:rsidR="00167DD0" w:rsidRPr="00167DD0" w:rsidRDefault="00167DD0" w:rsidP="00167DD0">
            <w:pPr>
              <w:rPr>
                <w:rFonts w:asciiTheme="majorHAnsi" w:eastAsia="Times New Roman" w:hAnsiTheme="majorHAnsi" w:cstheme="majorHAnsi"/>
                <w:color w:val="000000"/>
                <w:sz w:val="18"/>
                <w:szCs w:val="18"/>
                <w:lang w:val="en-GB" w:eastAsia="de-AT"/>
              </w:rPr>
            </w:pPr>
            <w:r w:rsidRPr="00167DD0">
              <w:rPr>
                <w:rFonts w:asciiTheme="majorHAnsi" w:hAnsiTheme="majorHAnsi" w:cstheme="majorHAnsi"/>
                <w:color w:val="000000"/>
                <w:sz w:val="18"/>
                <w:szCs w:val="18"/>
                <w:lang w:val="en-GB"/>
              </w:rPr>
              <w:t> </w:t>
            </w:r>
          </w:p>
        </w:tc>
      </w:tr>
    </w:tbl>
    <w:p w14:paraId="49C1B49D" w14:textId="3E2CE0DA" w:rsidR="00354E52" w:rsidRPr="00167DD0" w:rsidRDefault="000C498A" w:rsidP="00354E52">
      <w:pPr>
        <w:pStyle w:val="Heading2"/>
        <w:rPr>
          <w:lang w:val="en-GB"/>
        </w:rPr>
      </w:pPr>
      <w:r w:rsidRPr="00167DD0">
        <w:rPr>
          <w:lang w:val="en-GB"/>
        </w:rPr>
        <w:lastRenderedPageBreak/>
        <w:t>TITLE I</w:t>
      </w:r>
    </w:p>
    <w:tbl>
      <w:tblPr>
        <w:tblStyle w:val="TableGrid"/>
        <w:tblW w:w="14312" w:type="dxa"/>
        <w:tblLook w:val="04A0" w:firstRow="1" w:lastRow="0" w:firstColumn="1" w:lastColumn="0" w:noHBand="0" w:noVBand="1"/>
      </w:tblPr>
      <w:tblGrid>
        <w:gridCol w:w="1097"/>
        <w:gridCol w:w="6045"/>
        <w:gridCol w:w="7170"/>
      </w:tblGrid>
      <w:tr w:rsidR="00167DD0" w:rsidRPr="009A54AD" w14:paraId="2F4EAD0B" w14:textId="77777777" w:rsidTr="005745D7">
        <w:tc>
          <w:tcPr>
            <w:tcW w:w="1097" w:type="dxa"/>
          </w:tcPr>
          <w:p w14:paraId="4C92A9B6" w14:textId="77777777" w:rsidR="000C498A" w:rsidRPr="00167DD0" w:rsidRDefault="000C498A"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Article</w:t>
            </w:r>
          </w:p>
        </w:tc>
        <w:tc>
          <w:tcPr>
            <w:tcW w:w="6045" w:type="dxa"/>
            <w:vAlign w:val="bottom"/>
          </w:tcPr>
          <w:p w14:paraId="31857812" w14:textId="77777777" w:rsidR="000C498A" w:rsidRPr="00167DD0" w:rsidRDefault="000C498A"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Comment on the ACER draft amendments</w:t>
            </w:r>
          </w:p>
        </w:tc>
        <w:tc>
          <w:tcPr>
            <w:tcW w:w="7170" w:type="dxa"/>
            <w:vAlign w:val="bottom"/>
          </w:tcPr>
          <w:p w14:paraId="685C12EB" w14:textId="77777777" w:rsidR="000C498A" w:rsidRPr="00167DD0" w:rsidRDefault="000C498A" w:rsidP="005745D7">
            <w:pPr>
              <w:rPr>
                <w:rFonts w:asciiTheme="majorHAnsi" w:eastAsia="Times New Roman" w:hAnsiTheme="majorHAnsi" w:cstheme="majorHAnsi"/>
                <w:b/>
                <w:bCs/>
                <w:sz w:val="18"/>
                <w:szCs w:val="18"/>
                <w:lang w:val="en-GB" w:eastAsia="de-AT"/>
              </w:rPr>
            </w:pPr>
            <w:r w:rsidRPr="00167DD0">
              <w:rPr>
                <w:rFonts w:asciiTheme="majorHAnsi" w:eastAsia="Times New Roman" w:hAnsiTheme="majorHAnsi" w:cstheme="majorHAnsi"/>
                <w:b/>
                <w:bCs/>
                <w:sz w:val="18"/>
                <w:szCs w:val="18"/>
                <w:lang w:val="en-GB" w:eastAsia="de-AT"/>
              </w:rPr>
              <w:t>Alternative legal text amendment proposal (if applicable)</w:t>
            </w:r>
          </w:p>
        </w:tc>
      </w:tr>
      <w:tr w:rsidR="000C498A" w:rsidRPr="009A54AD" w14:paraId="4441057C" w14:textId="77777777" w:rsidTr="005745D7">
        <w:tc>
          <w:tcPr>
            <w:tcW w:w="1097" w:type="dxa"/>
          </w:tcPr>
          <w:p w14:paraId="78515982" w14:textId="5B9AFFA8" w:rsidR="000C498A" w:rsidRPr="00167DD0" w:rsidRDefault="000C498A" w:rsidP="000C498A">
            <w:pPr>
              <w:rPr>
                <w:rFonts w:asciiTheme="majorHAnsi" w:hAnsiTheme="majorHAnsi" w:cstheme="majorHAnsi"/>
                <w:sz w:val="18"/>
                <w:szCs w:val="18"/>
                <w:lang w:val="en-GB"/>
              </w:rPr>
            </w:pPr>
            <w:r w:rsidRPr="00167DD0">
              <w:rPr>
                <w:rFonts w:asciiTheme="majorHAnsi" w:hAnsiTheme="majorHAnsi" w:cstheme="majorHAnsi"/>
                <w:color w:val="000000"/>
                <w:sz w:val="18"/>
                <w:szCs w:val="18"/>
                <w:lang w:val="en-GB"/>
              </w:rPr>
              <w:t>5</w:t>
            </w:r>
            <w:r w:rsidR="00167DD0">
              <w:rPr>
                <w:rFonts w:asciiTheme="majorHAnsi" w:hAnsiTheme="majorHAnsi" w:cstheme="majorHAnsi"/>
                <w:color w:val="000000"/>
                <w:sz w:val="18"/>
                <w:szCs w:val="18"/>
                <w:lang w:val="en-GB"/>
              </w:rPr>
              <w:t xml:space="preserve">(4) </w:t>
            </w:r>
            <w:r w:rsidRPr="00167DD0">
              <w:rPr>
                <w:rFonts w:asciiTheme="majorHAnsi" w:hAnsiTheme="majorHAnsi" w:cstheme="majorHAnsi"/>
                <w:color w:val="000000"/>
                <w:sz w:val="18"/>
                <w:szCs w:val="18"/>
                <w:lang w:val="en-GB"/>
              </w:rPr>
              <w:t xml:space="preserve">a </w:t>
            </w:r>
          </w:p>
        </w:tc>
        <w:tc>
          <w:tcPr>
            <w:tcW w:w="6045" w:type="dxa"/>
          </w:tcPr>
          <w:p w14:paraId="326D03FD" w14:textId="70E02293" w:rsidR="000C498A" w:rsidRPr="00167DD0" w:rsidRDefault="00167DD0" w:rsidP="000C498A">
            <w:pPr>
              <w:rPr>
                <w:rFonts w:asciiTheme="majorHAnsi" w:eastAsia="Times New Roman" w:hAnsiTheme="majorHAnsi" w:cstheme="majorHAnsi"/>
                <w:sz w:val="18"/>
                <w:szCs w:val="18"/>
                <w:lang w:val="en-GB" w:eastAsia="de-AT"/>
              </w:rPr>
            </w:pPr>
            <w:r>
              <w:rPr>
                <w:rFonts w:asciiTheme="majorHAnsi" w:hAnsiTheme="majorHAnsi" w:cstheme="majorHAnsi"/>
                <w:color w:val="000000"/>
                <w:sz w:val="18"/>
                <w:szCs w:val="18"/>
                <w:lang w:val="en-GB"/>
              </w:rPr>
              <w:t>I</w:t>
            </w:r>
            <w:r w:rsidR="000C498A" w:rsidRPr="00167DD0">
              <w:rPr>
                <w:rFonts w:asciiTheme="majorHAnsi" w:hAnsiTheme="majorHAnsi" w:cstheme="majorHAnsi"/>
                <w:color w:val="000000"/>
                <w:sz w:val="18"/>
                <w:szCs w:val="18"/>
                <w:lang w:val="en-GB"/>
              </w:rPr>
              <w:t>t shall be possible to decrease the threshold to 5 MW regardless of the existing national B/C or C/D thresholds</w:t>
            </w:r>
          </w:p>
        </w:tc>
        <w:tc>
          <w:tcPr>
            <w:tcW w:w="7170" w:type="dxa"/>
          </w:tcPr>
          <w:p w14:paraId="5529EB9F" w14:textId="77777777" w:rsidR="000C498A" w:rsidRPr="00167DD0" w:rsidRDefault="000C498A" w:rsidP="000C498A">
            <w:pPr>
              <w:rPr>
                <w:rFonts w:asciiTheme="majorHAnsi" w:hAnsiTheme="majorHAnsi" w:cstheme="majorHAnsi"/>
                <w:b/>
                <w:bCs/>
                <w:color w:val="000000"/>
                <w:sz w:val="18"/>
                <w:szCs w:val="18"/>
                <w:lang w:val="en-GB"/>
              </w:rPr>
            </w:pPr>
          </w:p>
        </w:tc>
      </w:tr>
      <w:tr w:rsidR="000C498A" w:rsidRPr="009A54AD" w14:paraId="35FF7E81" w14:textId="77777777" w:rsidTr="005745D7">
        <w:tc>
          <w:tcPr>
            <w:tcW w:w="1097" w:type="dxa"/>
          </w:tcPr>
          <w:p w14:paraId="0D7C2DE8" w14:textId="644EC9F0" w:rsidR="000C498A" w:rsidRPr="00167DD0" w:rsidRDefault="000C498A" w:rsidP="000C498A">
            <w:pPr>
              <w:rPr>
                <w:rFonts w:asciiTheme="majorHAnsi" w:eastAsia="Times New Roman" w:hAnsiTheme="majorHAnsi" w:cstheme="majorHAnsi"/>
                <w:color w:val="000000"/>
                <w:sz w:val="18"/>
                <w:szCs w:val="18"/>
                <w:lang w:val="en-GB" w:eastAsia="de-AT"/>
              </w:rPr>
            </w:pPr>
            <w:r w:rsidRPr="00167DD0">
              <w:rPr>
                <w:rFonts w:asciiTheme="majorHAnsi" w:hAnsiTheme="majorHAnsi" w:cstheme="majorHAnsi"/>
                <w:color w:val="000000"/>
                <w:sz w:val="18"/>
                <w:szCs w:val="18"/>
                <w:lang w:val="en-GB"/>
              </w:rPr>
              <w:t>5</w:t>
            </w:r>
            <w:r w:rsidR="00167DD0">
              <w:rPr>
                <w:rFonts w:asciiTheme="majorHAnsi" w:hAnsiTheme="majorHAnsi" w:cstheme="majorHAnsi"/>
                <w:color w:val="000000"/>
                <w:sz w:val="18"/>
                <w:szCs w:val="18"/>
                <w:lang w:val="en-GB"/>
              </w:rPr>
              <w:t>(</w:t>
            </w:r>
            <w:r w:rsidRPr="00167DD0">
              <w:rPr>
                <w:rFonts w:asciiTheme="majorHAnsi" w:hAnsiTheme="majorHAnsi" w:cstheme="majorHAnsi"/>
                <w:color w:val="000000"/>
                <w:sz w:val="18"/>
                <w:szCs w:val="18"/>
                <w:lang w:val="en-GB"/>
              </w:rPr>
              <w:t>6</w:t>
            </w:r>
            <w:r w:rsidR="00167DD0">
              <w:rPr>
                <w:rFonts w:asciiTheme="majorHAnsi" w:hAnsiTheme="majorHAnsi" w:cstheme="majorHAnsi"/>
                <w:color w:val="000000"/>
                <w:sz w:val="18"/>
                <w:szCs w:val="18"/>
                <w:lang w:val="en-GB"/>
              </w:rPr>
              <w:t xml:space="preserve">) </w:t>
            </w:r>
            <w:r w:rsidRPr="00167DD0">
              <w:rPr>
                <w:rFonts w:asciiTheme="majorHAnsi" w:hAnsiTheme="majorHAnsi" w:cstheme="majorHAnsi"/>
                <w:color w:val="000000"/>
                <w:sz w:val="18"/>
                <w:szCs w:val="18"/>
                <w:lang w:val="en-GB"/>
              </w:rPr>
              <w:t>c</w:t>
            </w:r>
          </w:p>
        </w:tc>
        <w:tc>
          <w:tcPr>
            <w:tcW w:w="6045" w:type="dxa"/>
          </w:tcPr>
          <w:p w14:paraId="5EE70758" w14:textId="67384159" w:rsidR="000C498A" w:rsidRPr="00167DD0" w:rsidRDefault="000C498A" w:rsidP="000C498A">
            <w:pPr>
              <w:rPr>
                <w:rFonts w:asciiTheme="majorHAnsi" w:eastAsia="Times New Roman" w:hAnsiTheme="majorHAnsi" w:cstheme="majorHAnsi"/>
                <w:sz w:val="18"/>
                <w:szCs w:val="18"/>
                <w:lang w:val="en-GB" w:eastAsia="de-AT"/>
              </w:rPr>
            </w:pPr>
            <w:r w:rsidRPr="00167DD0">
              <w:rPr>
                <w:rFonts w:asciiTheme="majorHAnsi" w:hAnsiTheme="majorHAnsi" w:cstheme="majorHAnsi"/>
                <w:sz w:val="18"/>
                <w:szCs w:val="18"/>
                <w:lang w:val="en-GB"/>
              </w:rPr>
              <w:t>We would like to raise awareness that the A/B-Threshold is harmonized to a maximum of 500</w:t>
            </w:r>
            <w:r w:rsidR="00167DD0">
              <w:rPr>
                <w:rFonts w:asciiTheme="majorHAnsi" w:hAnsiTheme="majorHAnsi" w:cstheme="majorHAnsi"/>
                <w:sz w:val="18"/>
                <w:szCs w:val="18"/>
                <w:lang w:val="en-GB"/>
              </w:rPr>
              <w:t xml:space="preserve"> </w:t>
            </w:r>
            <w:r w:rsidRPr="00167DD0">
              <w:rPr>
                <w:rFonts w:asciiTheme="majorHAnsi" w:hAnsiTheme="majorHAnsi" w:cstheme="majorHAnsi"/>
                <w:sz w:val="18"/>
                <w:szCs w:val="18"/>
                <w:lang w:val="en-GB"/>
              </w:rPr>
              <w:t>kW</w:t>
            </w:r>
            <w:r w:rsidR="00E018D8">
              <w:rPr>
                <w:rFonts w:asciiTheme="majorHAnsi" w:hAnsiTheme="majorHAnsi" w:cstheme="majorHAnsi"/>
                <w:sz w:val="18"/>
                <w:szCs w:val="18"/>
                <w:lang w:val="en-GB"/>
              </w:rPr>
              <w:t xml:space="preserve"> in the synchronous area CE (see table 1)</w:t>
            </w:r>
            <w:r w:rsidRPr="00167DD0">
              <w:rPr>
                <w:rFonts w:asciiTheme="majorHAnsi" w:hAnsiTheme="majorHAnsi" w:cstheme="majorHAnsi"/>
                <w:sz w:val="18"/>
                <w:szCs w:val="18"/>
                <w:lang w:val="en-GB"/>
              </w:rPr>
              <w:t xml:space="preserve">. It seems illogical that the </w:t>
            </w:r>
            <w:r w:rsidR="00167DD0">
              <w:rPr>
                <w:rFonts w:asciiTheme="majorHAnsi" w:hAnsiTheme="majorHAnsi" w:cstheme="majorHAnsi"/>
                <w:sz w:val="18"/>
                <w:szCs w:val="18"/>
                <w:lang w:val="en-GB"/>
              </w:rPr>
              <w:t>t</w:t>
            </w:r>
            <w:r w:rsidR="00167DD0" w:rsidRPr="00167DD0">
              <w:rPr>
                <w:rFonts w:asciiTheme="majorHAnsi" w:hAnsiTheme="majorHAnsi" w:cstheme="majorHAnsi"/>
                <w:sz w:val="18"/>
                <w:szCs w:val="18"/>
                <w:lang w:val="en-GB"/>
              </w:rPr>
              <w:t>hreshold</w:t>
            </w:r>
            <w:r w:rsidRPr="00167DD0">
              <w:rPr>
                <w:rFonts w:asciiTheme="majorHAnsi" w:hAnsiTheme="majorHAnsi" w:cstheme="majorHAnsi"/>
                <w:sz w:val="18"/>
                <w:szCs w:val="18"/>
                <w:lang w:val="en-GB"/>
              </w:rPr>
              <w:t xml:space="preserve"> for EV3 goes up to 1</w:t>
            </w:r>
            <w:r w:rsidR="00E018D8">
              <w:rPr>
                <w:rFonts w:asciiTheme="majorHAnsi" w:hAnsiTheme="majorHAnsi" w:cstheme="majorHAnsi"/>
                <w:sz w:val="18"/>
                <w:szCs w:val="18"/>
                <w:lang w:val="en-GB"/>
              </w:rPr>
              <w:t xml:space="preserve"> </w:t>
            </w:r>
            <w:r w:rsidRPr="00167DD0">
              <w:rPr>
                <w:rFonts w:asciiTheme="majorHAnsi" w:hAnsiTheme="majorHAnsi" w:cstheme="majorHAnsi"/>
                <w:sz w:val="18"/>
                <w:szCs w:val="18"/>
                <w:lang w:val="en-GB"/>
              </w:rPr>
              <w:t>MW.</w:t>
            </w:r>
          </w:p>
        </w:tc>
        <w:tc>
          <w:tcPr>
            <w:tcW w:w="7170" w:type="dxa"/>
          </w:tcPr>
          <w:p w14:paraId="1F91C356" w14:textId="77777777" w:rsidR="000C498A" w:rsidRPr="00167DD0" w:rsidRDefault="000C498A" w:rsidP="000C498A">
            <w:pPr>
              <w:rPr>
                <w:rFonts w:asciiTheme="majorHAnsi" w:eastAsia="Times New Roman" w:hAnsiTheme="majorHAnsi" w:cstheme="majorHAnsi"/>
                <w:color w:val="000000"/>
                <w:sz w:val="18"/>
                <w:szCs w:val="18"/>
                <w:lang w:val="en-GB" w:eastAsia="de-AT"/>
              </w:rPr>
            </w:pPr>
          </w:p>
        </w:tc>
      </w:tr>
    </w:tbl>
    <w:p w14:paraId="5ABACE1B" w14:textId="4B81C384" w:rsidR="000C498A" w:rsidRPr="00167DD0" w:rsidRDefault="000C498A" w:rsidP="000C498A">
      <w:pPr>
        <w:rPr>
          <w:lang w:val="en-GB"/>
        </w:rPr>
      </w:pPr>
    </w:p>
    <w:p w14:paraId="160BDCB5" w14:textId="1D131122" w:rsidR="000C498A" w:rsidRPr="00167DD0" w:rsidRDefault="000C498A" w:rsidP="000C498A">
      <w:pPr>
        <w:pStyle w:val="Heading2"/>
        <w:rPr>
          <w:lang w:val="en-GB"/>
        </w:rPr>
      </w:pPr>
      <w:r w:rsidRPr="00167DD0">
        <w:rPr>
          <w:lang w:val="en-GB"/>
        </w:rPr>
        <w:t>TITLE II CH. 1</w:t>
      </w:r>
    </w:p>
    <w:tbl>
      <w:tblPr>
        <w:tblStyle w:val="TableGrid"/>
        <w:tblW w:w="14312" w:type="dxa"/>
        <w:tblLook w:val="04A0" w:firstRow="1" w:lastRow="0" w:firstColumn="1" w:lastColumn="0" w:noHBand="0" w:noVBand="1"/>
      </w:tblPr>
      <w:tblGrid>
        <w:gridCol w:w="1097"/>
        <w:gridCol w:w="6045"/>
        <w:gridCol w:w="7170"/>
      </w:tblGrid>
      <w:tr w:rsidR="00277EE4" w:rsidRPr="009A54AD" w14:paraId="39362534" w14:textId="77777777" w:rsidTr="0040597A">
        <w:tc>
          <w:tcPr>
            <w:tcW w:w="1097" w:type="dxa"/>
            <w:vAlign w:val="center"/>
          </w:tcPr>
          <w:p w14:paraId="6B508DCF" w14:textId="77777777" w:rsidR="000C498A" w:rsidRPr="0040597A" w:rsidRDefault="000C498A" w:rsidP="005745D7">
            <w:pPr>
              <w:rPr>
                <w:rFonts w:asciiTheme="majorHAnsi" w:eastAsia="Times New Roman" w:hAnsiTheme="majorHAnsi" w:cstheme="majorHAnsi"/>
                <w:b/>
                <w:bCs/>
                <w:sz w:val="18"/>
                <w:szCs w:val="18"/>
                <w:lang w:val="en-GB" w:eastAsia="de-AT"/>
              </w:rPr>
            </w:pPr>
            <w:r w:rsidRPr="0040597A">
              <w:rPr>
                <w:rFonts w:asciiTheme="majorHAnsi" w:eastAsia="Times New Roman" w:hAnsiTheme="majorHAnsi" w:cstheme="majorHAnsi"/>
                <w:b/>
                <w:bCs/>
                <w:sz w:val="18"/>
                <w:szCs w:val="18"/>
                <w:lang w:val="en-GB" w:eastAsia="de-AT"/>
              </w:rPr>
              <w:t>Article</w:t>
            </w:r>
          </w:p>
        </w:tc>
        <w:tc>
          <w:tcPr>
            <w:tcW w:w="6045" w:type="dxa"/>
            <w:vAlign w:val="center"/>
          </w:tcPr>
          <w:p w14:paraId="0C5D31AB" w14:textId="77777777" w:rsidR="000C498A" w:rsidRPr="0040597A" w:rsidRDefault="000C498A" w:rsidP="005745D7">
            <w:pPr>
              <w:rPr>
                <w:rFonts w:asciiTheme="majorHAnsi" w:eastAsia="Times New Roman" w:hAnsiTheme="majorHAnsi" w:cstheme="majorHAnsi"/>
                <w:b/>
                <w:bCs/>
                <w:sz w:val="18"/>
                <w:szCs w:val="18"/>
                <w:lang w:val="en-GB" w:eastAsia="de-AT"/>
              </w:rPr>
            </w:pPr>
            <w:r w:rsidRPr="0040597A">
              <w:rPr>
                <w:rFonts w:asciiTheme="majorHAnsi" w:eastAsia="Times New Roman" w:hAnsiTheme="majorHAnsi" w:cstheme="majorHAnsi"/>
                <w:b/>
                <w:bCs/>
                <w:sz w:val="18"/>
                <w:szCs w:val="18"/>
                <w:lang w:val="en-GB" w:eastAsia="de-AT"/>
              </w:rPr>
              <w:t>Comment on the ACER draft amendments</w:t>
            </w:r>
          </w:p>
        </w:tc>
        <w:tc>
          <w:tcPr>
            <w:tcW w:w="7170" w:type="dxa"/>
            <w:vAlign w:val="center"/>
          </w:tcPr>
          <w:p w14:paraId="6E471D26" w14:textId="77777777" w:rsidR="000C498A" w:rsidRPr="0040597A" w:rsidRDefault="000C498A" w:rsidP="005745D7">
            <w:pPr>
              <w:rPr>
                <w:rFonts w:asciiTheme="majorHAnsi" w:eastAsia="Times New Roman" w:hAnsiTheme="majorHAnsi" w:cstheme="majorHAnsi"/>
                <w:b/>
                <w:bCs/>
                <w:sz w:val="18"/>
                <w:szCs w:val="18"/>
                <w:lang w:val="en-GB" w:eastAsia="de-AT"/>
              </w:rPr>
            </w:pPr>
            <w:r w:rsidRPr="0040597A">
              <w:rPr>
                <w:rFonts w:asciiTheme="majorHAnsi" w:eastAsia="Times New Roman" w:hAnsiTheme="majorHAnsi" w:cstheme="majorHAnsi"/>
                <w:b/>
                <w:bCs/>
                <w:sz w:val="18"/>
                <w:szCs w:val="18"/>
                <w:lang w:val="en-GB" w:eastAsia="de-AT"/>
              </w:rPr>
              <w:t>Alternative legal text amendment proposal (if applicable)</w:t>
            </w:r>
          </w:p>
        </w:tc>
      </w:tr>
      <w:tr w:rsidR="00277EE4" w:rsidRPr="009A54AD" w14:paraId="2FC938B2" w14:textId="77777777" w:rsidTr="0040597A">
        <w:tc>
          <w:tcPr>
            <w:tcW w:w="1097" w:type="dxa"/>
            <w:vAlign w:val="center"/>
          </w:tcPr>
          <w:p w14:paraId="6D3E1308" w14:textId="57E44904" w:rsidR="000C498A" w:rsidRPr="0040597A" w:rsidRDefault="000C498A" w:rsidP="000C498A">
            <w:pPr>
              <w:rPr>
                <w:rFonts w:asciiTheme="majorHAnsi" w:hAnsiTheme="majorHAnsi" w:cstheme="majorHAnsi"/>
                <w:sz w:val="18"/>
                <w:szCs w:val="18"/>
                <w:lang w:val="en-GB"/>
              </w:rPr>
            </w:pPr>
            <w:r w:rsidRPr="0040597A">
              <w:rPr>
                <w:rFonts w:asciiTheme="majorHAnsi" w:hAnsiTheme="majorHAnsi" w:cstheme="majorHAnsi"/>
                <w:color w:val="000000"/>
                <w:sz w:val="18"/>
                <w:szCs w:val="18"/>
                <w:lang w:val="en-GB"/>
              </w:rPr>
              <w:t>13(2)</w:t>
            </w:r>
          </w:p>
        </w:tc>
        <w:tc>
          <w:tcPr>
            <w:tcW w:w="6045" w:type="dxa"/>
            <w:vAlign w:val="center"/>
          </w:tcPr>
          <w:p w14:paraId="5A0D14D0" w14:textId="4B1E249D" w:rsidR="0040597A" w:rsidRDefault="0040597A" w:rsidP="000C498A">
            <w:pPr>
              <w:rPr>
                <w:rFonts w:asciiTheme="majorHAnsi" w:hAnsiTheme="majorHAnsi" w:cstheme="majorHAnsi"/>
                <w:color w:val="000000"/>
                <w:sz w:val="18"/>
                <w:szCs w:val="18"/>
                <w:lang w:val="en-GB"/>
              </w:rPr>
            </w:pPr>
            <w:r w:rsidRPr="0040597A">
              <w:rPr>
                <w:rFonts w:asciiTheme="majorHAnsi" w:hAnsiTheme="majorHAnsi" w:cstheme="majorHAnsi"/>
                <w:sz w:val="18"/>
                <w:szCs w:val="18"/>
                <w:lang w:val="en-GB"/>
              </w:rPr>
              <w:t xml:space="preserve">We think </w:t>
            </w:r>
            <w:r>
              <w:rPr>
                <w:rFonts w:asciiTheme="majorHAnsi" w:hAnsiTheme="majorHAnsi" w:cstheme="majorHAnsi"/>
                <w:sz w:val="18"/>
                <w:szCs w:val="18"/>
                <w:lang w:val="en-GB"/>
              </w:rPr>
              <w:t xml:space="preserve">that </w:t>
            </w:r>
            <w:r w:rsidRPr="0040597A">
              <w:rPr>
                <w:rFonts w:asciiTheme="majorHAnsi" w:hAnsiTheme="majorHAnsi" w:cstheme="majorHAnsi"/>
                <w:sz w:val="18"/>
                <w:szCs w:val="18"/>
                <w:lang w:val="en-GB"/>
              </w:rPr>
              <w:t xml:space="preserve">it is possible to </w:t>
            </w:r>
            <w:r>
              <w:rPr>
                <w:rFonts w:asciiTheme="majorHAnsi" w:hAnsiTheme="majorHAnsi" w:cstheme="majorHAnsi"/>
                <w:sz w:val="18"/>
                <w:szCs w:val="18"/>
                <w:lang w:val="en-GB"/>
              </w:rPr>
              <w:t xml:space="preserve">fully </w:t>
            </w:r>
            <w:r w:rsidRPr="0040597A">
              <w:rPr>
                <w:rFonts w:asciiTheme="majorHAnsi" w:hAnsiTheme="majorHAnsi" w:cstheme="majorHAnsi"/>
                <w:sz w:val="18"/>
                <w:szCs w:val="18"/>
                <w:lang w:val="en-GB"/>
              </w:rPr>
              <w:t xml:space="preserve">harmonise </w:t>
            </w:r>
            <w:r>
              <w:rPr>
                <w:rFonts w:asciiTheme="majorHAnsi" w:hAnsiTheme="majorHAnsi" w:cstheme="majorHAnsi"/>
                <w:sz w:val="18"/>
                <w:szCs w:val="18"/>
                <w:lang w:val="en-GB"/>
              </w:rPr>
              <w:t xml:space="preserve">the </w:t>
            </w:r>
            <w:r w:rsidR="000C498A" w:rsidRPr="0040597A">
              <w:rPr>
                <w:rFonts w:asciiTheme="majorHAnsi" w:hAnsiTheme="majorHAnsi" w:cstheme="majorHAnsi"/>
                <w:color w:val="000000"/>
                <w:sz w:val="18"/>
                <w:szCs w:val="18"/>
                <w:lang w:val="en-GB"/>
              </w:rPr>
              <w:t xml:space="preserve">f-ranges </w:t>
            </w:r>
            <w:r>
              <w:rPr>
                <w:rFonts w:asciiTheme="majorHAnsi" w:hAnsiTheme="majorHAnsi" w:cstheme="majorHAnsi"/>
                <w:color w:val="000000"/>
                <w:sz w:val="18"/>
                <w:szCs w:val="18"/>
                <w:lang w:val="en-GB"/>
              </w:rPr>
              <w:t xml:space="preserve">in </w:t>
            </w:r>
            <w:r w:rsidR="000C498A" w:rsidRPr="0040597A">
              <w:rPr>
                <w:rFonts w:asciiTheme="majorHAnsi" w:hAnsiTheme="majorHAnsi" w:cstheme="majorHAnsi"/>
                <w:color w:val="000000"/>
                <w:sz w:val="18"/>
                <w:szCs w:val="18"/>
                <w:lang w:val="en-GB"/>
              </w:rPr>
              <w:t>both RfG and DCC</w:t>
            </w:r>
            <w:r>
              <w:rPr>
                <w:rFonts w:asciiTheme="majorHAnsi" w:hAnsiTheme="majorHAnsi" w:cstheme="majorHAnsi"/>
                <w:color w:val="000000"/>
                <w:sz w:val="18"/>
                <w:szCs w:val="18"/>
                <w:lang w:val="en-GB"/>
              </w:rPr>
              <w:t xml:space="preserve">. Currently it is possible to specify different f-ranges for </w:t>
            </w:r>
            <w:proofErr w:type="gramStart"/>
            <w:r>
              <w:rPr>
                <w:rFonts w:asciiTheme="majorHAnsi" w:hAnsiTheme="majorHAnsi" w:cstheme="majorHAnsi"/>
                <w:color w:val="000000"/>
                <w:sz w:val="18"/>
                <w:szCs w:val="18"/>
                <w:lang w:val="en-GB"/>
              </w:rPr>
              <w:t>e.g.</w:t>
            </w:r>
            <w:proofErr w:type="gramEnd"/>
            <w:r>
              <w:rPr>
                <w:rFonts w:asciiTheme="majorHAnsi" w:hAnsiTheme="majorHAnsi" w:cstheme="majorHAnsi"/>
                <w:color w:val="000000"/>
                <w:sz w:val="18"/>
                <w:szCs w:val="18"/>
                <w:lang w:val="en-GB"/>
              </w:rPr>
              <w:t xml:space="preserve"> V1G and V2G, which may be counterproductive.</w:t>
            </w:r>
          </w:p>
          <w:p w14:paraId="016CFD44" w14:textId="461CCDB9" w:rsidR="0040597A" w:rsidRPr="0040597A" w:rsidRDefault="0040597A" w:rsidP="000C498A">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 xml:space="preserve"> </w:t>
            </w:r>
          </w:p>
        </w:tc>
        <w:tc>
          <w:tcPr>
            <w:tcW w:w="7170" w:type="dxa"/>
            <w:vAlign w:val="center"/>
          </w:tcPr>
          <w:p w14:paraId="4D3CC7C9" w14:textId="31FECAEC" w:rsidR="000C498A" w:rsidRPr="0040597A" w:rsidRDefault="0037292C" w:rsidP="000C498A">
            <w:pPr>
              <w:rPr>
                <w:rFonts w:asciiTheme="majorHAnsi" w:hAnsiTheme="majorHAnsi" w:cstheme="majorHAnsi"/>
                <w:b/>
                <w:bCs/>
                <w:color w:val="000000"/>
                <w:sz w:val="18"/>
                <w:szCs w:val="18"/>
                <w:lang w:val="en-GB"/>
              </w:rPr>
            </w:pPr>
            <w:r>
              <w:rPr>
                <w:rFonts w:asciiTheme="majorHAnsi" w:hAnsiTheme="majorHAnsi" w:cstheme="majorHAnsi"/>
                <w:sz w:val="18"/>
                <w:szCs w:val="18"/>
                <w:lang w:val="en-GB"/>
              </w:rPr>
              <w:t>Harmonised f</w:t>
            </w:r>
            <w:r w:rsidR="0040597A" w:rsidRPr="0040597A">
              <w:rPr>
                <w:rFonts w:asciiTheme="majorHAnsi" w:hAnsiTheme="majorHAnsi" w:cstheme="majorHAnsi"/>
                <w:sz w:val="18"/>
                <w:szCs w:val="18"/>
                <w:lang w:val="en-GB"/>
              </w:rPr>
              <w:t>requency range</w:t>
            </w:r>
            <w:r w:rsidR="00281630">
              <w:rPr>
                <w:rFonts w:asciiTheme="majorHAnsi" w:hAnsiTheme="majorHAnsi" w:cstheme="majorHAnsi"/>
                <w:sz w:val="18"/>
                <w:szCs w:val="18"/>
                <w:lang w:val="en-GB"/>
              </w:rPr>
              <w:t xml:space="preserve"> according to table 2</w:t>
            </w:r>
            <w:r>
              <w:rPr>
                <w:rFonts w:asciiTheme="majorHAnsi" w:hAnsiTheme="majorHAnsi" w:cstheme="majorHAnsi"/>
                <w:sz w:val="18"/>
                <w:szCs w:val="18"/>
                <w:lang w:val="en-GB"/>
              </w:rPr>
              <w:t>:</w:t>
            </w:r>
            <w:r w:rsidR="0040597A" w:rsidRPr="0040597A">
              <w:rPr>
                <w:rFonts w:asciiTheme="majorHAnsi" w:hAnsiTheme="majorHAnsi" w:cstheme="majorHAnsi"/>
                <w:sz w:val="18"/>
                <w:szCs w:val="18"/>
                <w:lang w:val="en-GB"/>
              </w:rPr>
              <w:t xml:space="preserve"> </w:t>
            </w:r>
            <w:r w:rsidR="0040597A" w:rsidRPr="0040597A">
              <w:rPr>
                <w:rFonts w:asciiTheme="majorHAnsi" w:hAnsiTheme="majorHAnsi" w:cstheme="majorHAnsi"/>
                <w:sz w:val="18"/>
                <w:szCs w:val="18"/>
                <w:lang w:val="en-GB"/>
              </w:rPr>
              <w:br/>
            </w:r>
            <w:r w:rsidR="0040597A" w:rsidRPr="0040597A">
              <w:rPr>
                <w:rFonts w:asciiTheme="majorHAnsi" w:hAnsiTheme="majorHAnsi" w:cstheme="majorHAnsi"/>
                <w:b/>
                <w:bCs/>
                <w:sz w:val="18"/>
                <w:szCs w:val="18"/>
                <w:lang w:val="en-GB"/>
              </w:rPr>
              <w:t>47,5 Hz-48,5</w:t>
            </w:r>
            <w:r w:rsidR="0040597A" w:rsidRPr="0040597A">
              <w:rPr>
                <w:rFonts w:asciiTheme="majorHAnsi" w:hAnsiTheme="majorHAnsi" w:cstheme="majorHAnsi"/>
                <w:sz w:val="18"/>
                <w:szCs w:val="18"/>
                <w:lang w:val="en-GB"/>
              </w:rPr>
              <w:t xml:space="preserve"> Hz for 60 min</w:t>
            </w:r>
            <w:r w:rsidR="0040597A" w:rsidRPr="0040597A">
              <w:rPr>
                <w:rFonts w:asciiTheme="majorHAnsi" w:hAnsiTheme="majorHAnsi" w:cstheme="majorHAnsi"/>
                <w:sz w:val="18"/>
                <w:szCs w:val="18"/>
                <w:lang w:val="en-GB"/>
              </w:rPr>
              <w:br/>
            </w:r>
            <w:r w:rsidR="0040597A" w:rsidRPr="0040597A">
              <w:rPr>
                <w:rFonts w:asciiTheme="majorHAnsi" w:hAnsiTheme="majorHAnsi" w:cstheme="majorHAnsi"/>
                <w:b/>
                <w:bCs/>
                <w:sz w:val="18"/>
                <w:szCs w:val="18"/>
                <w:lang w:val="en-GB"/>
              </w:rPr>
              <w:t>48,5 Hz-49,0</w:t>
            </w:r>
            <w:r w:rsidR="0040597A" w:rsidRPr="0040597A">
              <w:rPr>
                <w:rFonts w:asciiTheme="majorHAnsi" w:hAnsiTheme="majorHAnsi" w:cstheme="majorHAnsi"/>
                <w:sz w:val="18"/>
                <w:szCs w:val="18"/>
                <w:lang w:val="en-GB"/>
              </w:rPr>
              <w:t xml:space="preserve"> Hz for </w:t>
            </w:r>
            <w:r w:rsidR="008326A8">
              <w:rPr>
                <w:rFonts w:asciiTheme="majorHAnsi" w:hAnsiTheme="majorHAnsi" w:cstheme="majorHAnsi"/>
                <w:sz w:val="18"/>
                <w:szCs w:val="18"/>
                <w:lang w:val="en-GB"/>
              </w:rPr>
              <w:t>90 min</w:t>
            </w:r>
            <w:r w:rsidR="0040597A" w:rsidRPr="0040597A">
              <w:rPr>
                <w:rFonts w:asciiTheme="majorHAnsi" w:hAnsiTheme="majorHAnsi" w:cstheme="majorHAnsi"/>
                <w:sz w:val="18"/>
                <w:szCs w:val="18"/>
                <w:lang w:val="en-GB"/>
              </w:rPr>
              <w:br/>
            </w:r>
            <w:r w:rsidR="0040597A" w:rsidRPr="0040597A">
              <w:rPr>
                <w:rFonts w:asciiTheme="majorHAnsi" w:hAnsiTheme="majorHAnsi" w:cstheme="majorHAnsi"/>
                <w:b/>
                <w:bCs/>
                <w:sz w:val="18"/>
                <w:szCs w:val="18"/>
                <w:lang w:val="en-GB"/>
              </w:rPr>
              <w:t>49,0 Hz-51,0</w:t>
            </w:r>
            <w:r w:rsidR="0040597A" w:rsidRPr="0040597A">
              <w:rPr>
                <w:rFonts w:asciiTheme="majorHAnsi" w:hAnsiTheme="majorHAnsi" w:cstheme="majorHAnsi"/>
                <w:sz w:val="18"/>
                <w:szCs w:val="18"/>
                <w:lang w:val="en-GB"/>
              </w:rPr>
              <w:t xml:space="preserve"> Hz for unlimited</w:t>
            </w:r>
            <w:r w:rsidR="0040597A" w:rsidRPr="0040597A">
              <w:rPr>
                <w:rFonts w:asciiTheme="majorHAnsi" w:hAnsiTheme="majorHAnsi" w:cstheme="majorHAnsi"/>
                <w:sz w:val="18"/>
                <w:szCs w:val="18"/>
                <w:lang w:val="en-GB"/>
              </w:rPr>
              <w:br/>
            </w:r>
            <w:r w:rsidR="0040597A" w:rsidRPr="0040597A">
              <w:rPr>
                <w:rFonts w:asciiTheme="majorHAnsi" w:hAnsiTheme="majorHAnsi" w:cstheme="majorHAnsi"/>
                <w:b/>
                <w:bCs/>
                <w:sz w:val="18"/>
                <w:szCs w:val="18"/>
                <w:lang w:val="en-GB"/>
              </w:rPr>
              <w:t>51,0 Hz-51,5</w:t>
            </w:r>
            <w:r w:rsidR="0040597A" w:rsidRPr="0040597A">
              <w:rPr>
                <w:rFonts w:asciiTheme="majorHAnsi" w:hAnsiTheme="majorHAnsi" w:cstheme="majorHAnsi"/>
                <w:sz w:val="18"/>
                <w:szCs w:val="18"/>
                <w:lang w:val="en-GB"/>
              </w:rPr>
              <w:t xml:space="preserve"> Hz for </w:t>
            </w:r>
            <w:r w:rsidR="007C1187">
              <w:rPr>
                <w:rFonts w:asciiTheme="majorHAnsi" w:hAnsiTheme="majorHAnsi" w:cstheme="majorHAnsi"/>
                <w:sz w:val="18"/>
                <w:szCs w:val="18"/>
                <w:lang w:val="en-GB"/>
              </w:rPr>
              <w:t>3</w:t>
            </w:r>
            <w:r w:rsidR="0040597A" w:rsidRPr="0040597A">
              <w:rPr>
                <w:rFonts w:asciiTheme="majorHAnsi" w:hAnsiTheme="majorHAnsi" w:cstheme="majorHAnsi"/>
                <w:sz w:val="18"/>
                <w:szCs w:val="18"/>
                <w:lang w:val="en-GB"/>
              </w:rPr>
              <w:t>0 min</w:t>
            </w:r>
          </w:p>
        </w:tc>
      </w:tr>
      <w:tr w:rsidR="00277EE4" w:rsidRPr="00277EE4" w14:paraId="1B73A450" w14:textId="77777777" w:rsidTr="008C0E17">
        <w:tc>
          <w:tcPr>
            <w:tcW w:w="1097" w:type="dxa"/>
            <w:vAlign w:val="center"/>
          </w:tcPr>
          <w:p w14:paraId="0831BB34" w14:textId="3FB5EBF4" w:rsidR="00277EE4" w:rsidRPr="0040597A" w:rsidRDefault="00277EE4" w:rsidP="00277EE4">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13(9a)</w:t>
            </w:r>
          </w:p>
        </w:tc>
        <w:tc>
          <w:tcPr>
            <w:tcW w:w="6045" w:type="dxa"/>
            <w:vAlign w:val="center"/>
          </w:tcPr>
          <w:p w14:paraId="76E7802C" w14:textId="25617358" w:rsidR="00277EE4" w:rsidRPr="0040597A" w:rsidRDefault="009212E7" w:rsidP="00277EE4">
            <w:pPr>
              <w:rPr>
                <w:rFonts w:asciiTheme="majorHAnsi" w:hAnsiTheme="majorHAnsi" w:cstheme="majorHAnsi"/>
                <w:sz w:val="18"/>
                <w:szCs w:val="18"/>
                <w:lang w:val="en-GB"/>
              </w:rPr>
            </w:pPr>
            <w:r>
              <w:rPr>
                <w:rFonts w:asciiTheme="majorHAnsi" w:hAnsiTheme="majorHAnsi" w:cstheme="majorHAnsi"/>
                <w:sz w:val="18"/>
                <w:szCs w:val="18"/>
                <w:lang w:val="en-GB"/>
              </w:rPr>
              <w:t xml:space="preserve">From experience with existing national </w:t>
            </w:r>
            <w:proofErr w:type="gramStart"/>
            <w:r>
              <w:rPr>
                <w:rFonts w:asciiTheme="majorHAnsi" w:hAnsiTheme="majorHAnsi" w:cstheme="majorHAnsi"/>
                <w:sz w:val="18"/>
                <w:szCs w:val="18"/>
                <w:lang w:val="en-GB"/>
              </w:rPr>
              <w:t>regulation</w:t>
            </w:r>
            <w:r w:rsidR="00D00C73">
              <w:rPr>
                <w:rFonts w:asciiTheme="majorHAnsi" w:hAnsiTheme="majorHAnsi" w:cstheme="majorHAnsi"/>
                <w:sz w:val="18"/>
                <w:szCs w:val="18"/>
                <w:lang w:val="en-GB"/>
              </w:rPr>
              <w:t>s</w:t>
            </w:r>
            <w:proofErr w:type="gramEnd"/>
            <w:r>
              <w:rPr>
                <w:rFonts w:asciiTheme="majorHAnsi" w:hAnsiTheme="majorHAnsi" w:cstheme="majorHAnsi"/>
                <w:sz w:val="18"/>
                <w:szCs w:val="18"/>
                <w:lang w:val="en-GB"/>
              </w:rPr>
              <w:t xml:space="preserve"> we know that this function is already available in the majority of infeed converters and it helps solving voltage problems in many cases.</w:t>
            </w:r>
          </w:p>
        </w:tc>
        <w:tc>
          <w:tcPr>
            <w:tcW w:w="7170" w:type="dxa"/>
          </w:tcPr>
          <w:p w14:paraId="2B465670" w14:textId="73EEBA17" w:rsidR="00277EE4" w:rsidRPr="00D00C73" w:rsidRDefault="00277EE4" w:rsidP="00277EE4">
            <w:pPr>
              <w:spacing w:line="200" w:lineRule="exact"/>
              <w:rPr>
                <w:rFonts w:asciiTheme="majorHAnsi" w:hAnsiTheme="majorHAnsi" w:cstheme="majorHAnsi"/>
                <w:sz w:val="18"/>
                <w:szCs w:val="18"/>
                <w:lang w:val="en-GB"/>
              </w:rPr>
            </w:pPr>
            <w:r w:rsidRPr="00D00C73">
              <w:rPr>
                <w:rFonts w:asciiTheme="majorHAnsi" w:hAnsiTheme="majorHAnsi" w:cstheme="majorHAnsi"/>
                <w:sz w:val="18"/>
                <w:szCs w:val="18"/>
                <w:lang w:val="en-GB"/>
              </w:rPr>
              <w:t>Typ</w:t>
            </w:r>
            <w:r w:rsidR="00D00C73" w:rsidRPr="00D00C73">
              <w:rPr>
                <w:rFonts w:asciiTheme="majorHAnsi" w:hAnsiTheme="majorHAnsi" w:cstheme="majorHAnsi"/>
                <w:sz w:val="18"/>
                <w:szCs w:val="18"/>
                <w:lang w:val="en-GB"/>
              </w:rPr>
              <w:t>e</w:t>
            </w:r>
            <w:r w:rsidRPr="00D00C73">
              <w:rPr>
                <w:rFonts w:asciiTheme="majorHAnsi" w:hAnsiTheme="majorHAnsi" w:cstheme="majorHAnsi"/>
                <w:sz w:val="18"/>
                <w:szCs w:val="18"/>
                <w:lang w:val="en-GB"/>
              </w:rPr>
              <w:t xml:space="preserve"> A power-generator modules shall be capable of providing reactive power with regard to U/</w:t>
            </w:r>
            <w:proofErr w:type="gramStart"/>
            <w:r w:rsidRPr="00D00C73">
              <w:rPr>
                <w:rFonts w:asciiTheme="majorHAnsi" w:hAnsiTheme="majorHAnsi" w:cstheme="majorHAnsi"/>
                <w:sz w:val="18"/>
                <w:szCs w:val="18"/>
                <w:lang w:val="en-GB"/>
              </w:rPr>
              <w:t>Un  specified</w:t>
            </w:r>
            <w:proofErr w:type="gramEnd"/>
            <w:r w:rsidRPr="00D00C73">
              <w:rPr>
                <w:rFonts w:asciiTheme="majorHAnsi" w:hAnsiTheme="majorHAnsi" w:cstheme="majorHAnsi"/>
                <w:sz w:val="18"/>
                <w:szCs w:val="18"/>
                <w:lang w:val="en-GB"/>
              </w:rPr>
              <w:t xml:space="preserve"> by the relevant </w:t>
            </w:r>
            <w:r w:rsidR="00D00C73" w:rsidRPr="00D00C73">
              <w:rPr>
                <w:rFonts w:asciiTheme="majorHAnsi" w:hAnsiTheme="majorHAnsi" w:cstheme="majorHAnsi"/>
                <w:sz w:val="18"/>
                <w:szCs w:val="18"/>
                <w:lang w:val="en-GB"/>
              </w:rPr>
              <w:t>system operator</w:t>
            </w:r>
            <w:r w:rsidRPr="00D00C73">
              <w:rPr>
                <w:rFonts w:asciiTheme="majorHAnsi" w:hAnsiTheme="majorHAnsi" w:cstheme="majorHAnsi"/>
                <w:sz w:val="18"/>
                <w:szCs w:val="18"/>
                <w:lang w:val="en-GB"/>
              </w:rPr>
              <w:t>.</w:t>
            </w:r>
          </w:p>
          <w:p w14:paraId="446EE027" w14:textId="77777777" w:rsidR="00277EE4" w:rsidRPr="00D00C73" w:rsidRDefault="00277EE4" w:rsidP="00277EE4">
            <w:pPr>
              <w:spacing w:line="200" w:lineRule="exact"/>
              <w:rPr>
                <w:rFonts w:asciiTheme="majorHAnsi" w:hAnsiTheme="majorHAnsi" w:cstheme="majorHAnsi"/>
                <w:sz w:val="18"/>
                <w:szCs w:val="18"/>
                <w:lang w:val="en-GB"/>
              </w:rPr>
            </w:pPr>
          </w:p>
          <w:p w14:paraId="791ECA67" w14:textId="77777777" w:rsidR="00277EE4" w:rsidRPr="00D00C73" w:rsidRDefault="00277EE4" w:rsidP="00277EE4">
            <w:pPr>
              <w:spacing w:line="200" w:lineRule="exact"/>
              <w:rPr>
                <w:rFonts w:asciiTheme="majorHAnsi" w:hAnsiTheme="majorHAnsi" w:cstheme="majorHAnsi"/>
                <w:sz w:val="18"/>
                <w:szCs w:val="18"/>
                <w:lang w:val="en-GB"/>
              </w:rPr>
            </w:pPr>
          </w:p>
          <w:p w14:paraId="374A3232" w14:textId="77777777" w:rsidR="00277EE4" w:rsidRPr="00D00C73" w:rsidRDefault="00277EE4" w:rsidP="00277EE4">
            <w:pPr>
              <w:spacing w:line="200" w:lineRule="exact"/>
              <w:rPr>
                <w:rFonts w:asciiTheme="majorHAnsi" w:hAnsiTheme="majorHAnsi" w:cstheme="majorHAnsi"/>
                <w:sz w:val="18"/>
                <w:szCs w:val="18"/>
                <w:lang w:val="en-GB"/>
              </w:rPr>
            </w:pPr>
          </w:p>
          <w:p w14:paraId="74D75018" w14:textId="77777777" w:rsidR="00277EE4" w:rsidRPr="00D00C73" w:rsidRDefault="00277EE4" w:rsidP="00277EE4">
            <w:pPr>
              <w:spacing w:line="200" w:lineRule="exact"/>
              <w:rPr>
                <w:rFonts w:asciiTheme="majorHAnsi" w:hAnsiTheme="majorHAnsi" w:cstheme="majorHAnsi"/>
                <w:sz w:val="18"/>
                <w:szCs w:val="18"/>
                <w:lang w:val="en-GB"/>
              </w:rPr>
            </w:pPr>
          </w:p>
          <w:p w14:paraId="465040A9" w14:textId="77777777" w:rsidR="00277EE4" w:rsidRPr="00D00C73" w:rsidRDefault="00277EE4" w:rsidP="00277EE4">
            <w:pPr>
              <w:spacing w:line="200" w:lineRule="exact"/>
              <w:rPr>
                <w:rFonts w:asciiTheme="majorHAnsi" w:hAnsiTheme="majorHAnsi" w:cstheme="majorHAnsi"/>
                <w:sz w:val="18"/>
                <w:szCs w:val="18"/>
                <w:lang w:val="en-GB"/>
              </w:rPr>
            </w:pPr>
          </w:p>
          <w:p w14:paraId="585D0E87" w14:textId="77777777" w:rsidR="00277EE4" w:rsidRPr="00D00C73" w:rsidRDefault="00277EE4" w:rsidP="00277EE4">
            <w:pPr>
              <w:spacing w:line="200" w:lineRule="exact"/>
              <w:rPr>
                <w:rFonts w:asciiTheme="majorHAnsi" w:hAnsiTheme="majorHAnsi" w:cstheme="majorHAnsi"/>
                <w:sz w:val="18"/>
                <w:szCs w:val="18"/>
                <w:lang w:val="en-GB"/>
              </w:rPr>
            </w:pPr>
          </w:p>
          <w:p w14:paraId="697944C4" w14:textId="77777777" w:rsidR="00277EE4" w:rsidRPr="00D00C73" w:rsidRDefault="00277EE4" w:rsidP="00277EE4">
            <w:pPr>
              <w:spacing w:line="200" w:lineRule="exact"/>
              <w:rPr>
                <w:rFonts w:asciiTheme="majorHAnsi" w:hAnsiTheme="majorHAnsi" w:cstheme="majorHAnsi"/>
                <w:sz w:val="18"/>
                <w:szCs w:val="18"/>
                <w:lang w:val="en-GB"/>
              </w:rPr>
            </w:pPr>
          </w:p>
          <w:p w14:paraId="54C0A893" w14:textId="77777777" w:rsidR="00277EE4" w:rsidRPr="00D00C73" w:rsidRDefault="00277EE4" w:rsidP="00277EE4">
            <w:pPr>
              <w:spacing w:line="200" w:lineRule="exact"/>
              <w:rPr>
                <w:rFonts w:asciiTheme="majorHAnsi" w:hAnsiTheme="majorHAnsi" w:cstheme="majorHAnsi"/>
                <w:sz w:val="18"/>
                <w:szCs w:val="18"/>
                <w:lang w:val="en-GB"/>
              </w:rPr>
            </w:pPr>
          </w:p>
          <w:p w14:paraId="476793AC" w14:textId="77777777" w:rsidR="00277EE4" w:rsidRPr="00D00C73" w:rsidRDefault="00277EE4" w:rsidP="00277EE4">
            <w:pPr>
              <w:spacing w:line="200" w:lineRule="exact"/>
              <w:rPr>
                <w:rFonts w:asciiTheme="majorHAnsi" w:hAnsiTheme="majorHAnsi" w:cstheme="majorHAnsi"/>
                <w:sz w:val="18"/>
                <w:szCs w:val="18"/>
                <w:lang w:val="en-GB"/>
              </w:rPr>
            </w:pPr>
          </w:p>
          <w:p w14:paraId="69C340ED" w14:textId="77777777" w:rsidR="00277EE4" w:rsidRPr="00D00C73" w:rsidRDefault="00277EE4" w:rsidP="00277EE4">
            <w:pPr>
              <w:spacing w:line="200" w:lineRule="exact"/>
              <w:rPr>
                <w:rFonts w:asciiTheme="majorHAnsi" w:hAnsiTheme="majorHAnsi" w:cstheme="majorHAnsi"/>
                <w:sz w:val="18"/>
                <w:szCs w:val="18"/>
                <w:lang w:val="en-GB"/>
              </w:rPr>
            </w:pPr>
          </w:p>
          <w:p w14:paraId="1ABECA9F" w14:textId="77777777" w:rsidR="00277EE4" w:rsidRPr="00D00C73" w:rsidRDefault="00277EE4" w:rsidP="00277EE4">
            <w:pPr>
              <w:spacing w:line="200" w:lineRule="exact"/>
              <w:rPr>
                <w:rFonts w:asciiTheme="majorHAnsi" w:hAnsiTheme="majorHAnsi" w:cstheme="majorHAnsi"/>
                <w:sz w:val="18"/>
                <w:szCs w:val="18"/>
                <w:lang w:val="en-GB"/>
              </w:rPr>
            </w:pPr>
          </w:p>
          <w:p w14:paraId="742B73A5" w14:textId="77777777" w:rsidR="00277EE4" w:rsidRPr="00D00C73" w:rsidRDefault="00277EE4" w:rsidP="00277EE4">
            <w:pPr>
              <w:spacing w:line="200" w:lineRule="exact"/>
              <w:rPr>
                <w:rFonts w:asciiTheme="majorHAnsi" w:hAnsiTheme="majorHAnsi" w:cstheme="majorHAnsi"/>
                <w:sz w:val="18"/>
                <w:szCs w:val="18"/>
                <w:lang w:val="en-GB"/>
              </w:rPr>
            </w:pPr>
          </w:p>
          <w:p w14:paraId="24200B8A" w14:textId="77777777" w:rsidR="00277EE4" w:rsidRPr="00D00C73" w:rsidRDefault="00277EE4" w:rsidP="00277EE4">
            <w:pPr>
              <w:spacing w:line="200" w:lineRule="exact"/>
              <w:rPr>
                <w:rFonts w:asciiTheme="majorHAnsi" w:hAnsiTheme="majorHAnsi" w:cstheme="majorHAnsi"/>
                <w:sz w:val="18"/>
                <w:szCs w:val="18"/>
                <w:lang w:val="en-GB"/>
              </w:rPr>
            </w:pPr>
          </w:p>
          <w:p w14:paraId="268D1FDA" w14:textId="77777777" w:rsidR="00277EE4" w:rsidRPr="00D00C73" w:rsidRDefault="00277EE4" w:rsidP="00277EE4">
            <w:pPr>
              <w:spacing w:line="200" w:lineRule="exact"/>
              <w:rPr>
                <w:rFonts w:asciiTheme="majorHAnsi" w:hAnsiTheme="majorHAnsi" w:cstheme="majorHAnsi"/>
                <w:sz w:val="18"/>
                <w:szCs w:val="18"/>
                <w:lang w:val="en-GB"/>
              </w:rPr>
            </w:pPr>
          </w:p>
          <w:p w14:paraId="097B9B1E" w14:textId="3D848390" w:rsidR="00277EE4" w:rsidRPr="00D00C73" w:rsidRDefault="00277EE4" w:rsidP="00277EE4">
            <w:pPr>
              <w:spacing w:line="200" w:lineRule="exact"/>
              <w:rPr>
                <w:rFonts w:asciiTheme="majorHAnsi" w:hAnsiTheme="majorHAnsi" w:cstheme="majorHAnsi"/>
                <w:sz w:val="18"/>
                <w:szCs w:val="18"/>
                <w:lang w:val="en-GB"/>
              </w:rPr>
            </w:pPr>
            <w:r w:rsidRPr="00D00C73">
              <w:rPr>
                <w:rFonts w:asciiTheme="majorHAnsi" w:hAnsiTheme="majorHAnsi" w:cstheme="majorHAnsi"/>
                <w:noProof/>
                <w:sz w:val="18"/>
                <w:szCs w:val="18"/>
                <w:lang w:val="en-GB"/>
              </w:rPr>
              <w:drawing>
                <wp:inline distT="0" distB="0" distL="0" distR="0" wp14:anchorId="1FB7F232" wp14:editId="2411C442">
                  <wp:extent cx="2943225" cy="1667403"/>
                  <wp:effectExtent l="0" t="0" r="0" b="9525"/>
                  <wp:docPr id="9863303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330388" name=""/>
                          <pic:cNvPicPr/>
                        </pic:nvPicPr>
                        <pic:blipFill>
                          <a:blip r:embed="rId8"/>
                          <a:stretch>
                            <a:fillRect/>
                          </a:stretch>
                        </pic:blipFill>
                        <pic:spPr>
                          <a:xfrm>
                            <a:off x="0" y="0"/>
                            <a:ext cx="2964587" cy="1679505"/>
                          </a:xfrm>
                          <a:prstGeom prst="rect">
                            <a:avLst/>
                          </a:prstGeom>
                        </pic:spPr>
                      </pic:pic>
                    </a:graphicData>
                  </a:graphic>
                </wp:inline>
              </w:drawing>
            </w:r>
          </w:p>
          <w:p w14:paraId="2A2D005C" w14:textId="77777777" w:rsidR="00277EE4" w:rsidRDefault="00277EE4" w:rsidP="00277EE4">
            <w:pPr>
              <w:rPr>
                <w:rFonts w:asciiTheme="majorHAnsi" w:hAnsiTheme="majorHAnsi" w:cstheme="majorHAnsi"/>
                <w:sz w:val="18"/>
                <w:szCs w:val="18"/>
                <w:lang w:val="en-GB"/>
              </w:rPr>
            </w:pPr>
          </w:p>
        </w:tc>
      </w:tr>
      <w:tr w:rsidR="00277EE4" w:rsidRPr="00277EE4" w14:paraId="1CD5F0D0" w14:textId="77777777" w:rsidTr="008C0E17">
        <w:tc>
          <w:tcPr>
            <w:tcW w:w="1097" w:type="dxa"/>
            <w:vAlign w:val="center"/>
          </w:tcPr>
          <w:p w14:paraId="766BB924" w14:textId="23530388" w:rsidR="00277EE4" w:rsidRDefault="00277EE4" w:rsidP="00277EE4">
            <w:pPr>
              <w:rPr>
                <w:rFonts w:asciiTheme="majorHAnsi" w:hAnsiTheme="majorHAnsi" w:cstheme="majorHAnsi"/>
                <w:color w:val="000000"/>
                <w:sz w:val="18"/>
                <w:szCs w:val="18"/>
                <w:lang w:val="en-GB"/>
              </w:rPr>
            </w:pPr>
            <w:r w:rsidRPr="008C6604">
              <w:rPr>
                <w:rFonts w:asciiTheme="majorHAnsi" w:hAnsiTheme="majorHAnsi" w:cstheme="majorHAnsi"/>
                <w:color w:val="000000"/>
                <w:sz w:val="18"/>
                <w:szCs w:val="18"/>
                <w:lang w:val="en-GB"/>
              </w:rPr>
              <w:t>13(9b)</w:t>
            </w:r>
          </w:p>
        </w:tc>
        <w:tc>
          <w:tcPr>
            <w:tcW w:w="6045" w:type="dxa"/>
            <w:vAlign w:val="center"/>
          </w:tcPr>
          <w:p w14:paraId="1DAA8753" w14:textId="4A5DDCB0" w:rsidR="00277EE4" w:rsidRPr="0040597A" w:rsidRDefault="008C6604" w:rsidP="00277EE4">
            <w:pPr>
              <w:rPr>
                <w:rFonts w:asciiTheme="majorHAnsi" w:hAnsiTheme="majorHAnsi" w:cstheme="majorHAnsi"/>
                <w:sz w:val="18"/>
                <w:szCs w:val="18"/>
                <w:lang w:val="en-GB"/>
              </w:rPr>
            </w:pPr>
            <w:r>
              <w:rPr>
                <w:rFonts w:asciiTheme="majorHAnsi" w:hAnsiTheme="majorHAnsi" w:cstheme="majorHAnsi"/>
                <w:sz w:val="18"/>
                <w:szCs w:val="18"/>
                <w:lang w:val="en-GB"/>
              </w:rPr>
              <w:t xml:space="preserve">From experience with existing national </w:t>
            </w:r>
            <w:proofErr w:type="gramStart"/>
            <w:r>
              <w:rPr>
                <w:rFonts w:asciiTheme="majorHAnsi" w:hAnsiTheme="majorHAnsi" w:cstheme="majorHAnsi"/>
                <w:sz w:val="18"/>
                <w:szCs w:val="18"/>
                <w:lang w:val="en-GB"/>
              </w:rPr>
              <w:t>regulations</w:t>
            </w:r>
            <w:proofErr w:type="gramEnd"/>
            <w:r>
              <w:rPr>
                <w:rFonts w:asciiTheme="majorHAnsi" w:hAnsiTheme="majorHAnsi" w:cstheme="majorHAnsi"/>
                <w:sz w:val="18"/>
                <w:szCs w:val="18"/>
                <w:lang w:val="en-GB"/>
              </w:rPr>
              <w:t xml:space="preserve"> we know that this function is already available in the majority of infeed converters and it helps solving voltage problems in many cases. On top issues with power quality (flicker) can be mitigated.</w:t>
            </w:r>
          </w:p>
        </w:tc>
        <w:tc>
          <w:tcPr>
            <w:tcW w:w="7170" w:type="dxa"/>
          </w:tcPr>
          <w:p w14:paraId="3D69745F" w14:textId="4ED04EDD" w:rsidR="00277EE4" w:rsidRPr="00D00C73" w:rsidRDefault="00277EE4" w:rsidP="00277EE4">
            <w:pPr>
              <w:rPr>
                <w:rFonts w:asciiTheme="majorHAnsi" w:hAnsiTheme="majorHAnsi" w:cstheme="majorHAnsi"/>
                <w:sz w:val="18"/>
                <w:szCs w:val="18"/>
                <w:lang w:val="en-GB"/>
              </w:rPr>
            </w:pPr>
            <w:r w:rsidRPr="00D00C73">
              <w:rPr>
                <w:rFonts w:asciiTheme="majorHAnsi" w:hAnsiTheme="majorHAnsi" w:cstheme="majorHAnsi"/>
                <w:sz w:val="18"/>
                <w:szCs w:val="18"/>
                <w:lang w:val="en-GB"/>
              </w:rPr>
              <w:t>Typ</w:t>
            </w:r>
            <w:r w:rsidR="00D00C73" w:rsidRPr="00D00C73">
              <w:rPr>
                <w:rFonts w:asciiTheme="majorHAnsi" w:hAnsiTheme="majorHAnsi" w:cstheme="majorHAnsi"/>
                <w:sz w:val="18"/>
                <w:szCs w:val="18"/>
                <w:lang w:val="en-GB"/>
              </w:rPr>
              <w:t>e</w:t>
            </w:r>
            <w:r w:rsidRPr="00D00C73">
              <w:rPr>
                <w:rFonts w:asciiTheme="majorHAnsi" w:hAnsiTheme="majorHAnsi" w:cstheme="majorHAnsi"/>
                <w:sz w:val="18"/>
                <w:szCs w:val="18"/>
                <w:lang w:val="en-GB"/>
              </w:rPr>
              <w:t xml:space="preserve"> A power-generator modules shall be capable of providing active power </w:t>
            </w:r>
            <w:proofErr w:type="gramStart"/>
            <w:r w:rsidRPr="00D00C73">
              <w:rPr>
                <w:rFonts w:asciiTheme="majorHAnsi" w:hAnsiTheme="majorHAnsi" w:cstheme="majorHAnsi"/>
                <w:sz w:val="18"/>
                <w:szCs w:val="18"/>
                <w:lang w:val="en-GB"/>
              </w:rPr>
              <w:t>with regard to</w:t>
            </w:r>
            <w:proofErr w:type="gramEnd"/>
            <w:r w:rsidRPr="00D00C73">
              <w:rPr>
                <w:rFonts w:asciiTheme="majorHAnsi" w:hAnsiTheme="majorHAnsi" w:cstheme="majorHAnsi"/>
                <w:sz w:val="18"/>
                <w:szCs w:val="18"/>
                <w:lang w:val="en-GB"/>
              </w:rPr>
              <w:t xml:space="preserve"> U/Un starting at 110% Un.</w:t>
            </w:r>
          </w:p>
          <w:p w14:paraId="4FE3AB83" w14:textId="77777777" w:rsidR="00277EE4" w:rsidRPr="00D00C73" w:rsidRDefault="00277EE4" w:rsidP="00277EE4">
            <w:pPr>
              <w:rPr>
                <w:rFonts w:asciiTheme="majorHAnsi" w:hAnsiTheme="majorHAnsi" w:cstheme="majorHAnsi"/>
                <w:sz w:val="18"/>
                <w:szCs w:val="18"/>
                <w:lang w:val="en-GB"/>
              </w:rPr>
            </w:pPr>
          </w:p>
          <w:p w14:paraId="7568D8DA" w14:textId="447D78E5" w:rsidR="00277EE4" w:rsidRPr="00D00C73" w:rsidRDefault="00277EE4" w:rsidP="00277EE4">
            <w:pPr>
              <w:rPr>
                <w:rFonts w:asciiTheme="majorHAnsi" w:hAnsiTheme="majorHAnsi" w:cstheme="majorHAnsi"/>
                <w:sz w:val="18"/>
                <w:szCs w:val="18"/>
                <w:lang w:val="en-GB"/>
              </w:rPr>
            </w:pPr>
            <w:r w:rsidRPr="00D00C73">
              <w:rPr>
                <w:rFonts w:asciiTheme="majorHAnsi" w:hAnsiTheme="majorHAnsi" w:cstheme="majorHAnsi"/>
                <w:noProof/>
                <w:sz w:val="18"/>
                <w:szCs w:val="18"/>
                <w:lang w:val="en-GB"/>
              </w:rPr>
              <w:lastRenderedPageBreak/>
              <w:drawing>
                <wp:inline distT="0" distB="0" distL="0" distR="0" wp14:anchorId="1C93BAF1" wp14:editId="30764F5D">
                  <wp:extent cx="3371850" cy="1891496"/>
                  <wp:effectExtent l="0" t="0" r="0" b="0"/>
                  <wp:docPr id="19149995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999511" name=""/>
                          <pic:cNvPicPr/>
                        </pic:nvPicPr>
                        <pic:blipFill>
                          <a:blip r:embed="rId9"/>
                          <a:stretch>
                            <a:fillRect/>
                          </a:stretch>
                        </pic:blipFill>
                        <pic:spPr>
                          <a:xfrm>
                            <a:off x="0" y="0"/>
                            <a:ext cx="3387054" cy="1900025"/>
                          </a:xfrm>
                          <a:prstGeom prst="rect">
                            <a:avLst/>
                          </a:prstGeom>
                        </pic:spPr>
                      </pic:pic>
                    </a:graphicData>
                  </a:graphic>
                </wp:inline>
              </w:drawing>
            </w:r>
          </w:p>
          <w:p w14:paraId="7F18A63B" w14:textId="77777777" w:rsidR="00277EE4" w:rsidRPr="00D00C73" w:rsidRDefault="00277EE4" w:rsidP="00277EE4">
            <w:pPr>
              <w:rPr>
                <w:rFonts w:asciiTheme="majorHAnsi" w:hAnsiTheme="majorHAnsi" w:cstheme="majorHAnsi"/>
                <w:sz w:val="18"/>
                <w:szCs w:val="18"/>
                <w:lang w:val="en-GB"/>
              </w:rPr>
            </w:pPr>
          </w:p>
          <w:p w14:paraId="32164EB3" w14:textId="11A24166" w:rsidR="00277EE4" w:rsidRPr="00D00C73" w:rsidRDefault="00277EE4" w:rsidP="00277EE4">
            <w:pPr>
              <w:tabs>
                <w:tab w:val="left" w:pos="2220"/>
              </w:tabs>
              <w:spacing w:line="200" w:lineRule="exact"/>
              <w:rPr>
                <w:rFonts w:asciiTheme="majorHAnsi" w:hAnsiTheme="majorHAnsi" w:cstheme="majorHAnsi"/>
                <w:sz w:val="18"/>
                <w:szCs w:val="18"/>
                <w:lang w:val="en-GB"/>
              </w:rPr>
            </w:pPr>
          </w:p>
        </w:tc>
      </w:tr>
      <w:tr w:rsidR="00277EE4" w:rsidRPr="009A54AD" w14:paraId="4470CE5A" w14:textId="77777777" w:rsidTr="0040597A">
        <w:tc>
          <w:tcPr>
            <w:tcW w:w="1097" w:type="dxa"/>
            <w:vAlign w:val="center"/>
          </w:tcPr>
          <w:p w14:paraId="5590DF54" w14:textId="6BD2107E"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lastRenderedPageBreak/>
              <w:t>13(12)</w:t>
            </w:r>
          </w:p>
        </w:tc>
        <w:tc>
          <w:tcPr>
            <w:tcW w:w="6045" w:type="dxa"/>
            <w:vAlign w:val="center"/>
          </w:tcPr>
          <w:p w14:paraId="31D46B1D" w14:textId="71710CE2" w:rsidR="00277EE4" w:rsidRPr="0040597A" w:rsidRDefault="00277EE4" w:rsidP="00277EE4">
            <w:pPr>
              <w:rPr>
                <w:rFonts w:asciiTheme="majorHAnsi" w:eastAsia="Times New Roman" w:hAnsiTheme="majorHAnsi" w:cstheme="majorHAnsi"/>
                <w:sz w:val="18"/>
                <w:szCs w:val="18"/>
                <w:lang w:val="en-GB" w:eastAsia="de-AT"/>
              </w:rPr>
            </w:pPr>
            <w:r w:rsidRPr="0040597A">
              <w:rPr>
                <w:rFonts w:asciiTheme="majorHAnsi" w:hAnsiTheme="majorHAnsi" w:cstheme="majorHAnsi"/>
                <w:color w:val="000000"/>
                <w:sz w:val="18"/>
                <w:szCs w:val="18"/>
                <w:lang w:val="en-GB"/>
              </w:rPr>
              <w:t>We ask to change the voltage threshold to 1 kV, since this is the usual threshold for LV or MV connection requirements.</w:t>
            </w:r>
          </w:p>
        </w:tc>
        <w:tc>
          <w:tcPr>
            <w:tcW w:w="7170" w:type="dxa"/>
            <w:vAlign w:val="center"/>
          </w:tcPr>
          <w:p w14:paraId="3D1E09F5" w14:textId="42E44AE6" w:rsidR="00277EE4" w:rsidRPr="0040597A" w:rsidRDefault="00277EE4" w:rsidP="00277EE4">
            <w:pPr>
              <w:rPr>
                <w:rFonts w:asciiTheme="majorHAnsi" w:eastAsia="Times New Roman" w:hAnsiTheme="majorHAnsi" w:cstheme="majorHAnsi"/>
                <w:color w:val="000000"/>
                <w:sz w:val="18"/>
                <w:szCs w:val="18"/>
                <w:lang w:val="en-GB" w:eastAsia="de-AT"/>
              </w:rPr>
            </w:pPr>
            <w:proofErr w:type="gramStart"/>
            <w:r w:rsidRPr="0040597A">
              <w:rPr>
                <w:rFonts w:asciiTheme="majorHAnsi" w:hAnsiTheme="majorHAnsi" w:cstheme="majorHAnsi"/>
                <w:sz w:val="18"/>
                <w:szCs w:val="18"/>
                <w:lang w:val="en-GB"/>
              </w:rPr>
              <w:t>With regard to</w:t>
            </w:r>
            <w:proofErr w:type="gramEnd"/>
            <w:r w:rsidRPr="0040597A">
              <w:rPr>
                <w:rFonts w:asciiTheme="majorHAnsi" w:hAnsiTheme="majorHAnsi" w:cstheme="majorHAnsi"/>
                <w:sz w:val="18"/>
                <w:szCs w:val="18"/>
                <w:lang w:val="en-GB"/>
              </w:rPr>
              <w:t xml:space="preserve"> voltage stability, unless otherwise provided in this Regulation, the power-generating module shall be capable of staying connected to the network and operate continuously within the range of 0,85 </w:t>
            </w:r>
            <w:proofErr w:type="spellStart"/>
            <w:r w:rsidRPr="0040597A">
              <w:rPr>
                <w:rFonts w:asciiTheme="majorHAnsi" w:hAnsiTheme="majorHAnsi" w:cstheme="majorHAnsi"/>
                <w:sz w:val="18"/>
                <w:szCs w:val="18"/>
                <w:lang w:val="en-GB"/>
              </w:rPr>
              <w:t>pu</w:t>
            </w:r>
            <w:proofErr w:type="spellEnd"/>
            <w:r w:rsidRPr="0040597A">
              <w:rPr>
                <w:rFonts w:asciiTheme="majorHAnsi" w:hAnsiTheme="majorHAnsi" w:cstheme="majorHAnsi"/>
                <w:sz w:val="18"/>
                <w:szCs w:val="18"/>
                <w:lang w:val="en-GB"/>
              </w:rPr>
              <w:t xml:space="preserve"> - 1,1 </w:t>
            </w:r>
            <w:proofErr w:type="spellStart"/>
            <w:r w:rsidRPr="0040597A">
              <w:rPr>
                <w:rFonts w:asciiTheme="majorHAnsi" w:hAnsiTheme="majorHAnsi" w:cstheme="majorHAnsi"/>
                <w:sz w:val="18"/>
                <w:szCs w:val="18"/>
                <w:lang w:val="en-GB"/>
              </w:rPr>
              <w:t>pu</w:t>
            </w:r>
            <w:proofErr w:type="spellEnd"/>
            <w:r w:rsidRPr="0040597A">
              <w:rPr>
                <w:rFonts w:asciiTheme="majorHAnsi" w:hAnsiTheme="majorHAnsi" w:cstheme="majorHAnsi"/>
                <w:sz w:val="18"/>
                <w:szCs w:val="18"/>
                <w:lang w:val="en-GB"/>
              </w:rPr>
              <w:t xml:space="preserve"> at the connection point, should that be at or below </w:t>
            </w:r>
            <w:r w:rsidRPr="0040597A">
              <w:rPr>
                <w:rFonts w:asciiTheme="majorHAnsi" w:hAnsiTheme="majorHAnsi" w:cstheme="majorHAnsi"/>
                <w:b/>
                <w:bCs/>
                <w:strike/>
                <w:color w:val="FF0000"/>
                <w:sz w:val="18"/>
                <w:szCs w:val="18"/>
                <w:lang w:val="en-GB"/>
              </w:rPr>
              <w:t xml:space="preserve">400 V </w:t>
            </w:r>
            <w:r w:rsidRPr="0040597A">
              <w:rPr>
                <w:rFonts w:asciiTheme="majorHAnsi" w:hAnsiTheme="majorHAnsi" w:cstheme="majorHAnsi"/>
                <w:b/>
                <w:bCs/>
                <w:color w:val="00B050"/>
                <w:sz w:val="18"/>
                <w:szCs w:val="18"/>
                <w:lang w:val="en-GB"/>
              </w:rPr>
              <w:t>1 kV</w:t>
            </w:r>
            <w:r w:rsidRPr="0040597A">
              <w:rPr>
                <w:rFonts w:asciiTheme="majorHAnsi" w:hAnsiTheme="majorHAnsi" w:cstheme="majorHAnsi"/>
                <w:sz w:val="18"/>
                <w:szCs w:val="18"/>
                <w:lang w:val="en-GB"/>
              </w:rPr>
              <w:t xml:space="preserve">. </w:t>
            </w:r>
            <w:proofErr w:type="gramStart"/>
            <w:r w:rsidRPr="0040597A">
              <w:rPr>
                <w:rFonts w:asciiTheme="majorHAnsi" w:hAnsiTheme="majorHAnsi" w:cstheme="majorHAnsi"/>
                <w:sz w:val="18"/>
                <w:szCs w:val="18"/>
                <w:lang w:val="en-GB"/>
              </w:rPr>
              <w:t>With regard to</w:t>
            </w:r>
            <w:proofErr w:type="gramEnd"/>
            <w:r w:rsidRPr="0040597A">
              <w:rPr>
                <w:rFonts w:asciiTheme="majorHAnsi" w:hAnsiTheme="majorHAnsi" w:cstheme="majorHAnsi"/>
                <w:sz w:val="18"/>
                <w:szCs w:val="18"/>
                <w:lang w:val="en-GB"/>
              </w:rPr>
              <w:t xml:space="preserve"> voltage level above </w:t>
            </w:r>
            <w:r w:rsidRPr="0040597A">
              <w:rPr>
                <w:rFonts w:asciiTheme="majorHAnsi" w:hAnsiTheme="majorHAnsi" w:cstheme="majorHAnsi"/>
                <w:b/>
                <w:bCs/>
                <w:color w:val="FF0000"/>
                <w:sz w:val="18"/>
                <w:szCs w:val="18"/>
                <w:lang w:val="en-GB"/>
              </w:rPr>
              <w:t>400 V</w:t>
            </w:r>
            <w:r w:rsidRPr="0040597A">
              <w:rPr>
                <w:rFonts w:asciiTheme="majorHAnsi" w:hAnsiTheme="majorHAnsi" w:cstheme="majorHAnsi"/>
                <w:sz w:val="18"/>
                <w:szCs w:val="18"/>
                <w:lang w:val="en-GB"/>
              </w:rPr>
              <w:t xml:space="preserve"> </w:t>
            </w:r>
            <w:r w:rsidRPr="0040597A">
              <w:rPr>
                <w:rFonts w:asciiTheme="majorHAnsi" w:hAnsiTheme="majorHAnsi" w:cstheme="majorHAnsi"/>
                <w:b/>
                <w:bCs/>
                <w:color w:val="00B050"/>
                <w:sz w:val="18"/>
                <w:szCs w:val="18"/>
                <w:lang w:val="en-GB"/>
              </w:rPr>
              <w:t>1 kV</w:t>
            </w:r>
            <w:r w:rsidRPr="0040597A">
              <w:rPr>
                <w:rFonts w:asciiTheme="majorHAnsi" w:hAnsiTheme="majorHAnsi" w:cstheme="majorHAnsi"/>
                <w:sz w:val="18"/>
                <w:szCs w:val="18"/>
                <w:lang w:val="en-GB"/>
              </w:rPr>
              <w:t xml:space="preserve"> and below 110 kV the relevant system operator, in coordination with the relevant TSO, shall specify ranges of the network voltage at the connection point within which a power-generating module shall be capable of staying connected to the network and operating. The specification shall include minimum time periods during which a power-generating module must be capable of operating for voltages deviating from the reference 1 </w:t>
            </w:r>
            <w:proofErr w:type="spellStart"/>
            <w:r w:rsidRPr="0040597A">
              <w:rPr>
                <w:rFonts w:asciiTheme="majorHAnsi" w:hAnsiTheme="majorHAnsi" w:cstheme="majorHAnsi"/>
                <w:sz w:val="18"/>
                <w:szCs w:val="18"/>
                <w:lang w:val="en-GB"/>
              </w:rPr>
              <w:t>pu</w:t>
            </w:r>
            <w:proofErr w:type="spellEnd"/>
            <w:r w:rsidRPr="0040597A">
              <w:rPr>
                <w:rFonts w:asciiTheme="majorHAnsi" w:hAnsiTheme="majorHAnsi" w:cstheme="majorHAnsi"/>
                <w:sz w:val="18"/>
                <w:szCs w:val="18"/>
                <w:lang w:val="en-GB"/>
              </w:rPr>
              <w:t xml:space="preserve"> value at the connection point without disconnecting from the network. The voltage ranges shall cover at least the range of 0,85 </w:t>
            </w:r>
            <w:proofErr w:type="spellStart"/>
            <w:r w:rsidRPr="0040597A">
              <w:rPr>
                <w:rFonts w:asciiTheme="majorHAnsi" w:hAnsiTheme="majorHAnsi" w:cstheme="majorHAnsi"/>
                <w:sz w:val="18"/>
                <w:szCs w:val="18"/>
                <w:lang w:val="en-GB"/>
              </w:rPr>
              <w:t>pu</w:t>
            </w:r>
            <w:proofErr w:type="spellEnd"/>
            <w:r w:rsidRPr="0040597A">
              <w:rPr>
                <w:rFonts w:asciiTheme="majorHAnsi" w:hAnsiTheme="majorHAnsi" w:cstheme="majorHAnsi"/>
                <w:sz w:val="18"/>
                <w:szCs w:val="18"/>
                <w:lang w:val="en-GB"/>
              </w:rPr>
              <w:t xml:space="preserve"> - 1,1 </w:t>
            </w:r>
            <w:proofErr w:type="spellStart"/>
            <w:r w:rsidRPr="0040597A">
              <w:rPr>
                <w:rFonts w:asciiTheme="majorHAnsi" w:hAnsiTheme="majorHAnsi" w:cstheme="majorHAnsi"/>
                <w:sz w:val="18"/>
                <w:szCs w:val="18"/>
                <w:lang w:val="en-GB"/>
              </w:rPr>
              <w:t>pu</w:t>
            </w:r>
            <w:proofErr w:type="spellEnd"/>
            <w:r w:rsidRPr="0040597A">
              <w:rPr>
                <w:rFonts w:asciiTheme="majorHAnsi" w:hAnsiTheme="majorHAnsi" w:cstheme="majorHAnsi"/>
                <w:sz w:val="18"/>
                <w:szCs w:val="18"/>
                <w:lang w:val="en-GB"/>
              </w:rPr>
              <w:t>.</w:t>
            </w:r>
          </w:p>
        </w:tc>
      </w:tr>
      <w:tr w:rsidR="00277EE4" w:rsidRPr="0040597A" w14:paraId="36A8AB25" w14:textId="77777777" w:rsidTr="0040597A">
        <w:tc>
          <w:tcPr>
            <w:tcW w:w="1097" w:type="dxa"/>
            <w:vAlign w:val="center"/>
          </w:tcPr>
          <w:p w14:paraId="36A91E13" w14:textId="2D0F3E1A"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13</w:t>
            </w:r>
            <w:proofErr w:type="gramStart"/>
            <w:r w:rsidRPr="0040597A">
              <w:rPr>
                <w:rFonts w:asciiTheme="majorHAnsi" w:hAnsiTheme="majorHAnsi" w:cstheme="majorHAnsi"/>
                <w:color w:val="000000"/>
                <w:sz w:val="18"/>
                <w:szCs w:val="18"/>
                <w:lang w:val="en-GB"/>
              </w:rPr>
              <w:t>a(</w:t>
            </w:r>
            <w:proofErr w:type="gramEnd"/>
            <w:r w:rsidRPr="0040597A">
              <w:rPr>
                <w:rFonts w:asciiTheme="majorHAnsi" w:hAnsiTheme="majorHAnsi" w:cstheme="majorHAnsi"/>
                <w:color w:val="000000"/>
                <w:sz w:val="18"/>
                <w:szCs w:val="18"/>
                <w:lang w:val="en-GB"/>
              </w:rPr>
              <w:t>1)</w:t>
            </w:r>
          </w:p>
        </w:tc>
        <w:tc>
          <w:tcPr>
            <w:tcW w:w="6045" w:type="dxa"/>
            <w:vAlign w:val="center"/>
          </w:tcPr>
          <w:p w14:paraId="10F38E68" w14:textId="6DBEBA18" w:rsidR="00277EE4" w:rsidRPr="0040597A" w:rsidRDefault="00277EE4" w:rsidP="00277EE4">
            <w:pPr>
              <w:rPr>
                <w:rFonts w:asciiTheme="majorHAnsi" w:hAnsiTheme="majorHAnsi" w:cstheme="majorHAnsi"/>
                <w:color w:val="000000"/>
                <w:sz w:val="18"/>
                <w:szCs w:val="18"/>
                <w:lang w:val="en-GB"/>
              </w:rPr>
            </w:pPr>
            <w:r w:rsidRPr="0040597A">
              <w:rPr>
                <w:rFonts w:asciiTheme="majorHAnsi" w:hAnsiTheme="majorHAnsi" w:cstheme="majorHAnsi"/>
                <w:sz w:val="18"/>
                <w:szCs w:val="18"/>
                <w:lang w:val="en-GB"/>
              </w:rPr>
              <w:t xml:space="preserve">We think </w:t>
            </w:r>
            <w:r>
              <w:rPr>
                <w:rFonts w:asciiTheme="majorHAnsi" w:hAnsiTheme="majorHAnsi" w:cstheme="majorHAnsi"/>
                <w:sz w:val="18"/>
                <w:szCs w:val="18"/>
                <w:lang w:val="en-GB"/>
              </w:rPr>
              <w:t xml:space="preserve">that </w:t>
            </w:r>
            <w:r w:rsidRPr="0040597A">
              <w:rPr>
                <w:rFonts w:asciiTheme="majorHAnsi" w:hAnsiTheme="majorHAnsi" w:cstheme="majorHAnsi"/>
                <w:sz w:val="18"/>
                <w:szCs w:val="18"/>
                <w:lang w:val="en-GB"/>
              </w:rPr>
              <w:t xml:space="preserve">it is possible to </w:t>
            </w:r>
            <w:r>
              <w:rPr>
                <w:rFonts w:asciiTheme="majorHAnsi" w:hAnsiTheme="majorHAnsi" w:cstheme="majorHAnsi"/>
                <w:sz w:val="18"/>
                <w:szCs w:val="18"/>
                <w:lang w:val="en-GB"/>
              </w:rPr>
              <w:t xml:space="preserve">fully </w:t>
            </w:r>
            <w:r w:rsidRPr="0040597A">
              <w:rPr>
                <w:rFonts w:asciiTheme="majorHAnsi" w:hAnsiTheme="majorHAnsi" w:cstheme="majorHAnsi"/>
                <w:sz w:val="18"/>
                <w:szCs w:val="18"/>
                <w:lang w:val="en-GB"/>
              </w:rPr>
              <w:t xml:space="preserve">harmonise </w:t>
            </w:r>
            <w:r>
              <w:rPr>
                <w:rFonts w:asciiTheme="majorHAnsi" w:hAnsiTheme="majorHAnsi" w:cstheme="majorHAnsi"/>
                <w:sz w:val="18"/>
                <w:szCs w:val="18"/>
                <w:lang w:val="en-GB"/>
              </w:rPr>
              <w:t xml:space="preserve">the </w:t>
            </w:r>
            <w:r w:rsidRPr="0040597A">
              <w:rPr>
                <w:rFonts w:asciiTheme="majorHAnsi" w:hAnsiTheme="majorHAnsi" w:cstheme="majorHAnsi"/>
                <w:color w:val="000000"/>
                <w:sz w:val="18"/>
                <w:szCs w:val="18"/>
                <w:lang w:val="en-GB"/>
              </w:rPr>
              <w:t xml:space="preserve">f-ranges </w:t>
            </w:r>
            <w:r>
              <w:rPr>
                <w:rFonts w:asciiTheme="majorHAnsi" w:hAnsiTheme="majorHAnsi" w:cstheme="majorHAnsi"/>
                <w:color w:val="000000"/>
                <w:sz w:val="18"/>
                <w:szCs w:val="18"/>
                <w:lang w:val="en-GB"/>
              </w:rPr>
              <w:t xml:space="preserve">in </w:t>
            </w:r>
            <w:r w:rsidRPr="0040597A">
              <w:rPr>
                <w:rFonts w:asciiTheme="majorHAnsi" w:hAnsiTheme="majorHAnsi" w:cstheme="majorHAnsi"/>
                <w:color w:val="000000"/>
                <w:sz w:val="18"/>
                <w:szCs w:val="18"/>
                <w:lang w:val="en-GB"/>
              </w:rPr>
              <w:t>both RfG and DCC</w:t>
            </w:r>
            <w:r>
              <w:rPr>
                <w:rFonts w:asciiTheme="majorHAnsi" w:hAnsiTheme="majorHAnsi" w:cstheme="majorHAnsi"/>
                <w:color w:val="000000"/>
                <w:sz w:val="18"/>
                <w:szCs w:val="18"/>
                <w:lang w:val="en-GB"/>
              </w:rPr>
              <w:t xml:space="preserve">. Currently it is possible to specify different f-ranges for </w:t>
            </w:r>
            <w:proofErr w:type="gramStart"/>
            <w:r>
              <w:rPr>
                <w:rFonts w:asciiTheme="majorHAnsi" w:hAnsiTheme="majorHAnsi" w:cstheme="majorHAnsi"/>
                <w:color w:val="000000"/>
                <w:sz w:val="18"/>
                <w:szCs w:val="18"/>
                <w:lang w:val="en-GB"/>
              </w:rPr>
              <w:t>e.g.</w:t>
            </w:r>
            <w:proofErr w:type="gramEnd"/>
            <w:r>
              <w:rPr>
                <w:rFonts w:asciiTheme="majorHAnsi" w:hAnsiTheme="majorHAnsi" w:cstheme="majorHAnsi"/>
                <w:color w:val="000000"/>
                <w:sz w:val="18"/>
                <w:szCs w:val="18"/>
                <w:lang w:val="en-GB"/>
              </w:rPr>
              <w:t xml:space="preserve"> V1G and V2G, which may be counterproductive.</w:t>
            </w:r>
          </w:p>
        </w:tc>
        <w:tc>
          <w:tcPr>
            <w:tcW w:w="7170" w:type="dxa"/>
            <w:vAlign w:val="center"/>
          </w:tcPr>
          <w:p w14:paraId="6AAAD48A" w14:textId="555130F3" w:rsidR="00277EE4" w:rsidRPr="0040597A" w:rsidRDefault="00277EE4" w:rsidP="00277EE4">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t>See 13(2)</w:t>
            </w:r>
          </w:p>
        </w:tc>
      </w:tr>
      <w:tr w:rsidR="00277EE4" w:rsidRPr="009A54AD" w14:paraId="29409D5C" w14:textId="77777777" w:rsidTr="0040597A">
        <w:tc>
          <w:tcPr>
            <w:tcW w:w="1097" w:type="dxa"/>
            <w:vAlign w:val="center"/>
          </w:tcPr>
          <w:p w14:paraId="7FBA6B53" w14:textId="25FEFB50"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13</w:t>
            </w:r>
            <w:proofErr w:type="gramStart"/>
            <w:r w:rsidRPr="0040597A">
              <w:rPr>
                <w:rFonts w:asciiTheme="majorHAnsi" w:hAnsiTheme="majorHAnsi" w:cstheme="majorHAnsi"/>
                <w:color w:val="000000"/>
                <w:sz w:val="18"/>
                <w:szCs w:val="18"/>
                <w:lang w:val="en-GB"/>
              </w:rPr>
              <w:t>a(</w:t>
            </w:r>
            <w:proofErr w:type="gramEnd"/>
            <w:r w:rsidRPr="0040597A">
              <w:rPr>
                <w:rFonts w:asciiTheme="majorHAnsi" w:hAnsiTheme="majorHAnsi" w:cstheme="majorHAnsi"/>
                <w:color w:val="000000"/>
                <w:sz w:val="18"/>
                <w:szCs w:val="18"/>
                <w:lang w:val="en-GB"/>
              </w:rPr>
              <w:t>2)</w:t>
            </w:r>
          </w:p>
        </w:tc>
        <w:tc>
          <w:tcPr>
            <w:tcW w:w="6045" w:type="dxa"/>
            <w:vAlign w:val="center"/>
          </w:tcPr>
          <w:p w14:paraId="2DB45AE5" w14:textId="2EC53C0C" w:rsidR="00277EE4" w:rsidRPr="0040597A" w:rsidRDefault="00277EE4" w:rsidP="00277EE4">
            <w:pPr>
              <w:rPr>
                <w:rFonts w:asciiTheme="majorHAnsi" w:eastAsia="Times New Roman" w:hAnsiTheme="majorHAnsi" w:cstheme="majorHAnsi"/>
                <w:sz w:val="18"/>
                <w:szCs w:val="18"/>
                <w:lang w:val="en-GB" w:eastAsia="de-AT"/>
              </w:rPr>
            </w:pPr>
            <w:r w:rsidRPr="0040597A">
              <w:rPr>
                <w:rFonts w:asciiTheme="majorHAnsi" w:hAnsiTheme="majorHAnsi" w:cstheme="majorHAnsi"/>
                <w:sz w:val="18"/>
                <w:szCs w:val="18"/>
                <w:lang w:val="en-GB"/>
              </w:rPr>
              <w:t>Wording for "cyber-protected data exchange interface" should be aligned with other wordings</w:t>
            </w:r>
            <w:r>
              <w:rPr>
                <w:rFonts w:asciiTheme="majorHAnsi" w:hAnsiTheme="majorHAnsi" w:cstheme="majorHAnsi"/>
                <w:sz w:val="18"/>
                <w:szCs w:val="18"/>
                <w:lang w:val="en-GB"/>
              </w:rPr>
              <w:t xml:space="preserve"> used in RfG or DCC</w:t>
            </w:r>
            <w:r w:rsidRPr="0040597A">
              <w:rPr>
                <w:rFonts w:asciiTheme="majorHAnsi" w:hAnsiTheme="majorHAnsi" w:cstheme="majorHAnsi"/>
                <w:sz w:val="18"/>
                <w:szCs w:val="18"/>
                <w:lang w:val="en-GB"/>
              </w:rPr>
              <w:t xml:space="preserve">; </w:t>
            </w:r>
            <w:r>
              <w:rPr>
                <w:rFonts w:asciiTheme="majorHAnsi" w:hAnsiTheme="majorHAnsi" w:cstheme="majorHAnsi"/>
                <w:sz w:val="18"/>
                <w:szCs w:val="18"/>
                <w:lang w:val="en-GB"/>
              </w:rPr>
              <w:t>We</w:t>
            </w:r>
            <w:r w:rsidRPr="0040597A">
              <w:rPr>
                <w:rFonts w:asciiTheme="majorHAnsi" w:hAnsiTheme="majorHAnsi" w:cstheme="majorHAnsi"/>
                <w:sz w:val="18"/>
                <w:szCs w:val="18"/>
                <w:lang w:val="en-GB"/>
              </w:rPr>
              <w:t xml:space="preserve"> propose to use a more generic definition, such as "communication interface"</w:t>
            </w:r>
            <w:r>
              <w:rPr>
                <w:rFonts w:asciiTheme="majorHAnsi" w:hAnsiTheme="majorHAnsi" w:cstheme="majorHAnsi"/>
                <w:sz w:val="18"/>
                <w:szCs w:val="18"/>
                <w:lang w:val="en-GB"/>
              </w:rPr>
              <w:t>.</w:t>
            </w:r>
          </w:p>
        </w:tc>
        <w:tc>
          <w:tcPr>
            <w:tcW w:w="7170" w:type="dxa"/>
            <w:vAlign w:val="center"/>
          </w:tcPr>
          <w:p w14:paraId="7B0FD3E3" w14:textId="77777777" w:rsidR="00277EE4" w:rsidRPr="0040597A" w:rsidRDefault="00277EE4" w:rsidP="00277EE4">
            <w:pPr>
              <w:rPr>
                <w:rFonts w:asciiTheme="majorHAnsi" w:eastAsia="Times New Roman" w:hAnsiTheme="majorHAnsi" w:cstheme="majorHAnsi"/>
                <w:color w:val="000000"/>
                <w:sz w:val="18"/>
                <w:szCs w:val="18"/>
                <w:lang w:val="en-GB" w:eastAsia="de-AT"/>
              </w:rPr>
            </w:pPr>
          </w:p>
        </w:tc>
      </w:tr>
      <w:tr w:rsidR="00277EE4" w:rsidRPr="009A54AD" w14:paraId="341192D3" w14:textId="77777777" w:rsidTr="0040597A">
        <w:tc>
          <w:tcPr>
            <w:tcW w:w="1097" w:type="dxa"/>
            <w:vAlign w:val="center"/>
          </w:tcPr>
          <w:p w14:paraId="2EE1897F" w14:textId="3E23C497"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13</w:t>
            </w:r>
            <w:proofErr w:type="gramStart"/>
            <w:r w:rsidRPr="0040597A">
              <w:rPr>
                <w:rFonts w:asciiTheme="majorHAnsi" w:hAnsiTheme="majorHAnsi" w:cstheme="majorHAnsi"/>
                <w:color w:val="000000"/>
                <w:sz w:val="18"/>
                <w:szCs w:val="18"/>
                <w:lang w:val="en-GB"/>
              </w:rPr>
              <w:t>a(</w:t>
            </w:r>
            <w:proofErr w:type="gramEnd"/>
            <w:r w:rsidRPr="0040597A">
              <w:rPr>
                <w:rFonts w:asciiTheme="majorHAnsi" w:hAnsiTheme="majorHAnsi" w:cstheme="majorHAnsi"/>
                <w:color w:val="000000"/>
                <w:sz w:val="18"/>
                <w:szCs w:val="18"/>
                <w:lang w:val="en-GB"/>
              </w:rPr>
              <w:t>5)</w:t>
            </w:r>
          </w:p>
        </w:tc>
        <w:tc>
          <w:tcPr>
            <w:tcW w:w="6045" w:type="dxa"/>
            <w:vAlign w:val="center"/>
          </w:tcPr>
          <w:p w14:paraId="1D649405" w14:textId="707FFA02" w:rsidR="00277EE4" w:rsidRPr="0040597A" w:rsidRDefault="00277EE4" w:rsidP="00277EE4">
            <w:pPr>
              <w:rPr>
                <w:rFonts w:asciiTheme="majorHAnsi" w:eastAsia="Times New Roman" w:hAnsiTheme="majorHAnsi" w:cstheme="majorHAnsi"/>
                <w:sz w:val="18"/>
                <w:szCs w:val="18"/>
                <w:lang w:val="en-GB" w:eastAsia="de-AT"/>
              </w:rPr>
            </w:pPr>
            <w:r w:rsidRPr="0040597A">
              <w:rPr>
                <w:rFonts w:asciiTheme="majorHAnsi" w:hAnsiTheme="majorHAnsi" w:cstheme="majorHAnsi"/>
                <w:sz w:val="18"/>
                <w:szCs w:val="18"/>
                <w:lang w:val="en-GB"/>
              </w:rPr>
              <w:t>Mistake in figure (should be s=5%)</w:t>
            </w:r>
          </w:p>
        </w:tc>
        <w:tc>
          <w:tcPr>
            <w:tcW w:w="7170" w:type="dxa"/>
            <w:vAlign w:val="center"/>
          </w:tcPr>
          <w:p w14:paraId="368F5736" w14:textId="77777777" w:rsidR="00277EE4" w:rsidRPr="0040597A" w:rsidRDefault="00277EE4" w:rsidP="00277EE4">
            <w:pPr>
              <w:rPr>
                <w:rFonts w:asciiTheme="majorHAnsi" w:eastAsia="Times New Roman" w:hAnsiTheme="majorHAnsi" w:cstheme="majorHAnsi"/>
                <w:color w:val="000000"/>
                <w:sz w:val="18"/>
                <w:szCs w:val="18"/>
                <w:lang w:val="en-GB" w:eastAsia="de-AT"/>
              </w:rPr>
            </w:pPr>
          </w:p>
        </w:tc>
      </w:tr>
      <w:tr w:rsidR="00277EE4" w:rsidRPr="009A54AD" w14:paraId="26B28F95" w14:textId="77777777" w:rsidTr="0040597A">
        <w:tc>
          <w:tcPr>
            <w:tcW w:w="1097" w:type="dxa"/>
            <w:vAlign w:val="center"/>
          </w:tcPr>
          <w:p w14:paraId="213A8B2F" w14:textId="2E8CBE8E"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14</w:t>
            </w:r>
            <w:r>
              <w:rPr>
                <w:rFonts w:asciiTheme="majorHAnsi" w:hAnsiTheme="majorHAnsi" w:cstheme="majorHAnsi"/>
                <w:color w:val="000000"/>
                <w:sz w:val="18"/>
                <w:szCs w:val="18"/>
                <w:lang w:val="en-GB"/>
              </w:rPr>
              <w:t>(</w:t>
            </w:r>
            <w:r w:rsidRPr="0040597A">
              <w:rPr>
                <w:rFonts w:asciiTheme="majorHAnsi" w:hAnsiTheme="majorHAnsi" w:cstheme="majorHAnsi"/>
                <w:color w:val="000000"/>
                <w:sz w:val="18"/>
                <w:szCs w:val="18"/>
                <w:lang w:val="en-GB"/>
              </w:rPr>
              <w:t>3</w:t>
            </w:r>
            <w:r>
              <w:rPr>
                <w:rFonts w:asciiTheme="majorHAnsi" w:hAnsiTheme="majorHAnsi" w:cstheme="majorHAnsi"/>
                <w:color w:val="000000"/>
                <w:sz w:val="18"/>
                <w:szCs w:val="18"/>
                <w:lang w:val="en-GB"/>
              </w:rPr>
              <w:t>)</w:t>
            </w:r>
            <w:r w:rsidRPr="0040597A">
              <w:rPr>
                <w:rFonts w:asciiTheme="majorHAnsi" w:hAnsiTheme="majorHAnsi" w:cstheme="majorHAnsi"/>
                <w:color w:val="000000"/>
                <w:sz w:val="18"/>
                <w:szCs w:val="18"/>
                <w:lang w:val="en-GB"/>
              </w:rPr>
              <w:t xml:space="preserve"> c</w:t>
            </w:r>
          </w:p>
        </w:tc>
        <w:tc>
          <w:tcPr>
            <w:tcW w:w="6045" w:type="dxa"/>
            <w:vAlign w:val="center"/>
          </w:tcPr>
          <w:p w14:paraId="7B6C3E62" w14:textId="4E6EC215" w:rsidR="00277EE4" w:rsidRDefault="00277EE4" w:rsidP="00277EE4">
            <w:pPr>
              <w:rPr>
                <w:rFonts w:asciiTheme="majorHAnsi" w:hAnsiTheme="majorHAnsi" w:cstheme="majorHAnsi"/>
                <w:color w:val="000000"/>
                <w:sz w:val="18"/>
                <w:szCs w:val="18"/>
                <w:lang w:val="en-GB"/>
              </w:rPr>
            </w:pPr>
            <w:r w:rsidRPr="0040597A">
              <w:rPr>
                <w:rFonts w:asciiTheme="majorHAnsi" w:hAnsiTheme="majorHAnsi" w:cstheme="majorHAnsi"/>
                <w:color w:val="000000"/>
                <w:sz w:val="18"/>
                <w:szCs w:val="18"/>
                <w:lang w:val="en-GB"/>
              </w:rPr>
              <w:t>Besides new HVRT requirements, Oesterreichs Energie proposes to add in parallel further clarifications</w:t>
            </w:r>
            <w:r>
              <w:rPr>
                <w:rFonts w:asciiTheme="majorHAnsi" w:hAnsiTheme="majorHAnsi" w:cstheme="majorHAnsi"/>
                <w:color w:val="000000"/>
                <w:sz w:val="18"/>
                <w:szCs w:val="18"/>
                <w:lang w:val="en-GB"/>
              </w:rPr>
              <w:t xml:space="preserve">. </w:t>
            </w:r>
            <w:r w:rsidRPr="0040597A">
              <w:rPr>
                <w:rFonts w:asciiTheme="majorHAnsi" w:hAnsiTheme="majorHAnsi" w:cstheme="majorHAnsi"/>
                <w:color w:val="000000"/>
                <w:sz w:val="18"/>
                <w:szCs w:val="18"/>
                <w:lang w:val="en-GB"/>
              </w:rPr>
              <w:t xml:space="preserve">These additional clarifications </w:t>
            </w:r>
            <w:proofErr w:type="gramStart"/>
            <w:r w:rsidRPr="0040597A">
              <w:rPr>
                <w:rFonts w:asciiTheme="majorHAnsi" w:hAnsiTheme="majorHAnsi" w:cstheme="majorHAnsi"/>
                <w:color w:val="000000"/>
                <w:sz w:val="18"/>
                <w:szCs w:val="18"/>
                <w:lang w:val="en-GB"/>
              </w:rPr>
              <w:t>take into account</w:t>
            </w:r>
            <w:proofErr w:type="gramEnd"/>
            <w:r w:rsidRPr="0040597A">
              <w:rPr>
                <w:rFonts w:asciiTheme="majorHAnsi" w:hAnsiTheme="majorHAnsi" w:cstheme="majorHAnsi"/>
                <w:color w:val="000000"/>
                <w:sz w:val="18"/>
                <w:szCs w:val="18"/>
                <w:lang w:val="en-GB"/>
              </w:rPr>
              <w:t xml:space="preserve">, that the recommended over-voltage protection settings in national grid codes usually require the fulfilment of voltage quality criteria (EN 50160) and the risk mitigation of high voltages for customers. With typical protection relays (U&gt;, U&gt;&gt;) there could be a contradiction between the relevant system operator’s protection concept and the </w:t>
            </w:r>
            <w:r>
              <w:rPr>
                <w:rFonts w:asciiTheme="majorHAnsi" w:hAnsiTheme="majorHAnsi" w:cstheme="majorHAnsi"/>
                <w:color w:val="000000"/>
                <w:sz w:val="18"/>
                <w:szCs w:val="18"/>
                <w:lang w:val="en-GB"/>
              </w:rPr>
              <w:t xml:space="preserve">full </w:t>
            </w:r>
            <w:r w:rsidRPr="0040597A">
              <w:rPr>
                <w:rFonts w:asciiTheme="majorHAnsi" w:hAnsiTheme="majorHAnsi" w:cstheme="majorHAnsi"/>
                <w:color w:val="000000"/>
                <w:sz w:val="18"/>
                <w:szCs w:val="18"/>
                <w:lang w:val="en-GB"/>
              </w:rPr>
              <w:t>activation of HVRT in certain grid areas.</w:t>
            </w:r>
          </w:p>
          <w:p w14:paraId="24898B10" w14:textId="77777777" w:rsidR="00277EE4" w:rsidRDefault="00277EE4" w:rsidP="00277EE4">
            <w:pPr>
              <w:rPr>
                <w:rFonts w:asciiTheme="majorHAnsi" w:eastAsia="Times New Roman" w:hAnsiTheme="majorHAnsi" w:cstheme="majorHAnsi"/>
                <w:color w:val="000000"/>
                <w:sz w:val="18"/>
                <w:szCs w:val="18"/>
                <w:lang w:val="en-GB" w:eastAsia="de-AT"/>
              </w:rPr>
            </w:pPr>
          </w:p>
          <w:p w14:paraId="5DFA5E71" w14:textId="0F13EC60" w:rsidR="00277EE4" w:rsidRPr="00F018C1" w:rsidRDefault="00277EE4" w:rsidP="00277EE4">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t xml:space="preserve">Furthermore, we ask to clarify the per-unit basis for the HVRT requirements. Is it </w:t>
            </w:r>
            <w:proofErr w:type="spellStart"/>
            <w:r>
              <w:rPr>
                <w:rFonts w:asciiTheme="majorHAnsi" w:eastAsia="Times New Roman" w:hAnsiTheme="majorHAnsi" w:cstheme="majorHAnsi"/>
                <w:color w:val="000000"/>
                <w:sz w:val="18"/>
                <w:szCs w:val="18"/>
                <w:lang w:val="en-GB" w:eastAsia="de-AT"/>
              </w:rPr>
              <w:t>Urecf</w:t>
            </w:r>
            <w:proofErr w:type="spellEnd"/>
            <w:r>
              <w:rPr>
                <w:rFonts w:asciiTheme="majorHAnsi" w:eastAsia="Times New Roman" w:hAnsiTheme="majorHAnsi" w:cstheme="majorHAnsi"/>
                <w:color w:val="000000"/>
                <w:sz w:val="18"/>
                <w:szCs w:val="18"/>
                <w:lang w:val="en-GB" w:eastAsia="de-AT"/>
              </w:rPr>
              <w:t xml:space="preserve"> (</w:t>
            </w:r>
            <w:proofErr w:type="gramStart"/>
            <w:r>
              <w:rPr>
                <w:rFonts w:asciiTheme="majorHAnsi" w:eastAsia="Times New Roman" w:hAnsiTheme="majorHAnsi" w:cstheme="majorHAnsi"/>
                <w:color w:val="000000"/>
                <w:sz w:val="18"/>
                <w:szCs w:val="18"/>
                <w:lang w:val="en-GB" w:eastAsia="de-AT"/>
              </w:rPr>
              <w:t>i.e.</w:t>
            </w:r>
            <w:proofErr w:type="gramEnd"/>
            <w:r>
              <w:rPr>
                <w:rFonts w:asciiTheme="majorHAnsi" w:eastAsia="Times New Roman" w:hAnsiTheme="majorHAnsi" w:cstheme="majorHAnsi"/>
                <w:color w:val="000000"/>
                <w:sz w:val="18"/>
                <w:szCs w:val="18"/>
                <w:lang w:val="en-GB" w:eastAsia="de-AT"/>
              </w:rPr>
              <w:t xml:space="preserve"> the maximum per-unit value according to 14(2)) or </w:t>
            </w:r>
            <w:proofErr w:type="spellStart"/>
            <w:r>
              <w:rPr>
                <w:rFonts w:asciiTheme="majorHAnsi" w:eastAsia="Times New Roman" w:hAnsiTheme="majorHAnsi" w:cstheme="majorHAnsi"/>
                <w:color w:val="000000"/>
                <w:sz w:val="18"/>
                <w:szCs w:val="18"/>
                <w:lang w:val="en-GB" w:eastAsia="de-AT"/>
              </w:rPr>
              <w:t>Uref</w:t>
            </w:r>
            <w:proofErr w:type="spellEnd"/>
            <w:r>
              <w:rPr>
                <w:rFonts w:asciiTheme="majorHAnsi" w:eastAsia="Times New Roman" w:hAnsiTheme="majorHAnsi" w:cstheme="majorHAnsi"/>
                <w:color w:val="000000"/>
                <w:sz w:val="18"/>
                <w:szCs w:val="18"/>
                <w:lang w:val="en-GB" w:eastAsia="de-AT"/>
              </w:rPr>
              <w:t xml:space="preserve"> = 1 </w:t>
            </w:r>
            <w:proofErr w:type="spellStart"/>
            <w:r>
              <w:rPr>
                <w:rFonts w:asciiTheme="majorHAnsi" w:eastAsia="Times New Roman" w:hAnsiTheme="majorHAnsi" w:cstheme="majorHAnsi"/>
                <w:color w:val="000000"/>
                <w:sz w:val="18"/>
                <w:szCs w:val="18"/>
                <w:lang w:val="en-GB" w:eastAsia="de-AT"/>
              </w:rPr>
              <w:t>pu</w:t>
            </w:r>
            <w:proofErr w:type="spellEnd"/>
            <w:r>
              <w:rPr>
                <w:rFonts w:asciiTheme="majorHAnsi" w:eastAsia="Times New Roman" w:hAnsiTheme="majorHAnsi" w:cstheme="majorHAnsi"/>
                <w:color w:val="000000"/>
                <w:sz w:val="18"/>
                <w:szCs w:val="18"/>
                <w:lang w:val="en-GB" w:eastAsia="de-AT"/>
              </w:rPr>
              <w:t xml:space="preserve">? Finally, we think that the proposed HVRT values are in contradiction with the isolation coordination, particularly if the per-unit basis for the HVRT requirements is </w:t>
            </w:r>
            <w:proofErr w:type="spellStart"/>
            <w:r>
              <w:rPr>
                <w:rFonts w:asciiTheme="majorHAnsi" w:eastAsia="Times New Roman" w:hAnsiTheme="majorHAnsi" w:cstheme="majorHAnsi"/>
                <w:color w:val="000000"/>
                <w:sz w:val="18"/>
                <w:szCs w:val="18"/>
                <w:lang w:val="en-GB" w:eastAsia="de-AT"/>
              </w:rPr>
              <w:t>Urecf</w:t>
            </w:r>
            <w:proofErr w:type="spellEnd"/>
            <w:r>
              <w:rPr>
                <w:rFonts w:asciiTheme="majorHAnsi" w:eastAsia="Times New Roman" w:hAnsiTheme="majorHAnsi" w:cstheme="majorHAnsi"/>
                <w:color w:val="000000"/>
                <w:sz w:val="18"/>
                <w:szCs w:val="18"/>
                <w:lang w:val="en-GB" w:eastAsia="de-AT"/>
              </w:rPr>
              <w:t xml:space="preserve">. Therefore, we propose to define </w:t>
            </w:r>
            <w:proofErr w:type="spellStart"/>
            <w:r>
              <w:rPr>
                <w:rFonts w:asciiTheme="majorHAnsi" w:eastAsia="Times New Roman" w:hAnsiTheme="majorHAnsi" w:cstheme="majorHAnsi"/>
                <w:color w:val="000000"/>
                <w:sz w:val="18"/>
                <w:szCs w:val="18"/>
                <w:lang w:val="en-GB" w:eastAsia="de-AT"/>
              </w:rPr>
              <w:t>Urecf</w:t>
            </w:r>
            <w:proofErr w:type="spellEnd"/>
            <w:r>
              <w:rPr>
                <w:rFonts w:asciiTheme="majorHAnsi" w:eastAsia="Times New Roman" w:hAnsiTheme="majorHAnsi" w:cstheme="majorHAnsi"/>
                <w:color w:val="000000"/>
                <w:sz w:val="18"/>
                <w:szCs w:val="18"/>
                <w:lang w:val="en-GB" w:eastAsia="de-AT"/>
              </w:rPr>
              <w:t xml:space="preserve"> = </w:t>
            </w:r>
            <w:proofErr w:type="spellStart"/>
            <w:r>
              <w:rPr>
                <w:rFonts w:asciiTheme="majorHAnsi" w:eastAsia="Times New Roman" w:hAnsiTheme="majorHAnsi" w:cstheme="majorHAnsi"/>
                <w:color w:val="000000"/>
                <w:sz w:val="18"/>
                <w:szCs w:val="18"/>
                <w:lang w:val="en-GB" w:eastAsia="de-AT"/>
              </w:rPr>
              <w:t>Uref</w:t>
            </w:r>
            <w:proofErr w:type="spellEnd"/>
            <w:r>
              <w:rPr>
                <w:rFonts w:asciiTheme="majorHAnsi" w:eastAsia="Times New Roman" w:hAnsiTheme="majorHAnsi" w:cstheme="majorHAnsi"/>
                <w:color w:val="000000"/>
                <w:sz w:val="18"/>
                <w:szCs w:val="18"/>
                <w:lang w:val="en-GB" w:eastAsia="de-AT"/>
              </w:rPr>
              <w:t xml:space="preserve"> = 1 </w:t>
            </w:r>
            <w:proofErr w:type="spellStart"/>
            <w:r>
              <w:rPr>
                <w:rFonts w:asciiTheme="majorHAnsi" w:eastAsia="Times New Roman" w:hAnsiTheme="majorHAnsi" w:cstheme="majorHAnsi"/>
                <w:color w:val="000000"/>
                <w:sz w:val="18"/>
                <w:szCs w:val="18"/>
                <w:lang w:val="en-GB" w:eastAsia="de-AT"/>
              </w:rPr>
              <w:t>pu</w:t>
            </w:r>
            <w:proofErr w:type="spellEnd"/>
            <w:r>
              <w:rPr>
                <w:rFonts w:asciiTheme="majorHAnsi" w:eastAsia="Times New Roman" w:hAnsiTheme="majorHAnsi" w:cstheme="majorHAnsi"/>
                <w:color w:val="000000"/>
                <w:sz w:val="18"/>
                <w:szCs w:val="18"/>
                <w:lang w:val="en-GB" w:eastAsia="de-AT"/>
              </w:rPr>
              <w:t>.</w:t>
            </w:r>
          </w:p>
        </w:tc>
        <w:tc>
          <w:tcPr>
            <w:tcW w:w="7170" w:type="dxa"/>
            <w:vAlign w:val="center"/>
          </w:tcPr>
          <w:p w14:paraId="57ABF6AA" w14:textId="299236BF" w:rsidR="00277EE4" w:rsidRDefault="00277EE4" w:rsidP="00277EE4">
            <w:pPr>
              <w:rPr>
                <w:rFonts w:asciiTheme="majorHAnsi" w:eastAsia="Times New Roman" w:hAnsiTheme="majorHAnsi" w:cstheme="majorHAnsi"/>
                <w:color w:val="000000"/>
                <w:sz w:val="18"/>
                <w:szCs w:val="18"/>
                <w:lang w:val="en-GB" w:eastAsia="de-AT"/>
              </w:rPr>
            </w:pPr>
            <w:r>
              <w:rPr>
                <w:rFonts w:asciiTheme="majorHAnsi" w:eastAsia="Times New Roman" w:hAnsiTheme="majorHAnsi" w:cstheme="majorHAnsi"/>
                <w:color w:val="000000"/>
                <w:sz w:val="18"/>
                <w:szCs w:val="18"/>
                <w:lang w:val="en-GB" w:eastAsia="de-AT"/>
              </w:rPr>
              <w:lastRenderedPageBreak/>
              <w:t>Add additional text after HVRT figure:</w:t>
            </w:r>
          </w:p>
          <w:p w14:paraId="6906031E" w14:textId="7B22C4ED"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i/>
                <w:iCs/>
                <w:color w:val="000000"/>
                <w:sz w:val="18"/>
                <w:szCs w:val="18"/>
                <w:lang w:val="en-GB"/>
              </w:rPr>
              <w:t xml:space="preserve">"The respective over-voltage protection settings must not counteract the HVRT requirement. The relevant system operator may define other over-voltage protection settings, </w:t>
            </w:r>
            <w:proofErr w:type="gramStart"/>
            <w:r w:rsidRPr="0040597A">
              <w:rPr>
                <w:rFonts w:asciiTheme="majorHAnsi" w:hAnsiTheme="majorHAnsi" w:cstheme="majorHAnsi"/>
                <w:i/>
                <w:iCs/>
                <w:color w:val="000000"/>
                <w:sz w:val="18"/>
                <w:szCs w:val="18"/>
                <w:lang w:val="en-GB"/>
              </w:rPr>
              <w:t>in order to</w:t>
            </w:r>
            <w:proofErr w:type="gramEnd"/>
            <w:r w:rsidRPr="0040597A">
              <w:rPr>
                <w:rFonts w:asciiTheme="majorHAnsi" w:hAnsiTheme="majorHAnsi" w:cstheme="majorHAnsi"/>
                <w:i/>
                <w:iCs/>
                <w:color w:val="000000"/>
                <w:sz w:val="18"/>
                <w:szCs w:val="18"/>
                <w:lang w:val="en-GB"/>
              </w:rPr>
              <w:t xml:space="preserve"> ensure voltage quality criteria or the risk of high voltages for customers.”</w:t>
            </w:r>
            <w:r w:rsidRPr="0040597A">
              <w:rPr>
                <w:rFonts w:asciiTheme="majorHAnsi" w:hAnsiTheme="majorHAnsi" w:cstheme="majorHAnsi"/>
                <w:i/>
                <w:iCs/>
                <w:color w:val="000000"/>
                <w:sz w:val="18"/>
                <w:szCs w:val="18"/>
                <w:lang w:val="en-GB"/>
              </w:rPr>
              <w:br/>
            </w:r>
          </w:p>
        </w:tc>
      </w:tr>
      <w:tr w:rsidR="00277EE4" w:rsidRPr="00A221BB" w14:paraId="121C1ED3" w14:textId="77777777" w:rsidTr="0040597A">
        <w:tc>
          <w:tcPr>
            <w:tcW w:w="1097" w:type="dxa"/>
            <w:vAlign w:val="center"/>
          </w:tcPr>
          <w:p w14:paraId="1E74AE23" w14:textId="211DFB52" w:rsidR="00277EE4" w:rsidRDefault="00277EE4" w:rsidP="00277EE4">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14(3) a</w:t>
            </w:r>
          </w:p>
          <w:p w14:paraId="163F4AFD" w14:textId="5D8B0473" w:rsidR="00277EE4" w:rsidRDefault="00277EE4" w:rsidP="00277EE4">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14</w:t>
            </w:r>
            <w:proofErr w:type="gramStart"/>
            <w:r>
              <w:rPr>
                <w:rFonts w:asciiTheme="majorHAnsi" w:hAnsiTheme="majorHAnsi" w:cstheme="majorHAnsi"/>
                <w:color w:val="000000"/>
                <w:sz w:val="18"/>
                <w:szCs w:val="18"/>
                <w:lang w:val="en-GB"/>
              </w:rPr>
              <w:t>a(</w:t>
            </w:r>
            <w:proofErr w:type="gramEnd"/>
            <w:r>
              <w:rPr>
                <w:rFonts w:asciiTheme="majorHAnsi" w:hAnsiTheme="majorHAnsi" w:cstheme="majorHAnsi"/>
                <w:color w:val="000000"/>
                <w:sz w:val="18"/>
                <w:szCs w:val="18"/>
                <w:lang w:val="en-GB"/>
              </w:rPr>
              <w:t>3) a</w:t>
            </w:r>
          </w:p>
          <w:p w14:paraId="2B3B205F" w14:textId="130E1628"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16(3</w:t>
            </w:r>
            <w:r>
              <w:rPr>
                <w:rFonts w:asciiTheme="majorHAnsi" w:hAnsiTheme="majorHAnsi" w:cstheme="majorHAnsi"/>
                <w:color w:val="000000"/>
                <w:sz w:val="18"/>
                <w:szCs w:val="18"/>
                <w:lang w:val="en-GB"/>
              </w:rPr>
              <w:t>) a</w:t>
            </w:r>
          </w:p>
        </w:tc>
        <w:tc>
          <w:tcPr>
            <w:tcW w:w="6045" w:type="dxa"/>
            <w:vAlign w:val="center"/>
          </w:tcPr>
          <w:p w14:paraId="16559CCE" w14:textId="6652D6FA" w:rsidR="00277EE4" w:rsidRPr="0040597A" w:rsidRDefault="00277EE4" w:rsidP="00277EE4">
            <w:pPr>
              <w:rPr>
                <w:rFonts w:asciiTheme="majorHAnsi" w:eastAsia="Times New Roman" w:hAnsiTheme="majorHAnsi" w:cstheme="majorHAnsi"/>
                <w:sz w:val="18"/>
                <w:szCs w:val="18"/>
                <w:lang w:val="en-GB" w:eastAsia="de-AT"/>
              </w:rPr>
            </w:pPr>
            <w:r>
              <w:rPr>
                <w:rFonts w:asciiTheme="majorHAnsi" w:hAnsiTheme="majorHAnsi" w:cstheme="majorHAnsi"/>
                <w:sz w:val="18"/>
                <w:szCs w:val="18"/>
                <w:lang w:val="en-GB"/>
              </w:rPr>
              <w:t>T</w:t>
            </w:r>
            <w:r w:rsidRPr="0040597A">
              <w:rPr>
                <w:rFonts w:asciiTheme="majorHAnsi" w:hAnsiTheme="majorHAnsi" w:cstheme="majorHAnsi"/>
                <w:sz w:val="18"/>
                <w:szCs w:val="18"/>
                <w:lang w:val="en-GB"/>
              </w:rPr>
              <w:t>he clause "when operating above the minimum stable operating level"</w:t>
            </w:r>
            <w:r>
              <w:rPr>
                <w:rFonts w:asciiTheme="majorHAnsi" w:hAnsiTheme="majorHAnsi" w:cstheme="majorHAnsi"/>
                <w:sz w:val="18"/>
                <w:szCs w:val="18"/>
                <w:lang w:val="en-GB"/>
              </w:rPr>
              <w:t xml:space="preserve"> may complicate the interpretation. </w:t>
            </w:r>
            <w:r w:rsidRPr="0040597A">
              <w:rPr>
                <w:rFonts w:asciiTheme="majorHAnsi" w:hAnsiTheme="majorHAnsi" w:cstheme="majorHAnsi"/>
                <w:sz w:val="18"/>
                <w:szCs w:val="18"/>
                <w:lang w:val="en-GB"/>
              </w:rPr>
              <w:t xml:space="preserve">Some </w:t>
            </w:r>
            <w:proofErr w:type="gramStart"/>
            <w:r w:rsidRPr="0040597A">
              <w:rPr>
                <w:rFonts w:asciiTheme="majorHAnsi" w:hAnsiTheme="majorHAnsi" w:cstheme="majorHAnsi"/>
                <w:sz w:val="18"/>
                <w:szCs w:val="18"/>
                <w:lang w:val="en-GB"/>
              </w:rPr>
              <w:t>stakeholder</w:t>
            </w:r>
            <w:proofErr w:type="gramEnd"/>
            <w:r w:rsidRPr="0040597A">
              <w:rPr>
                <w:rFonts w:asciiTheme="majorHAnsi" w:hAnsiTheme="majorHAnsi" w:cstheme="majorHAnsi"/>
                <w:sz w:val="18"/>
                <w:szCs w:val="18"/>
                <w:lang w:val="en-GB"/>
              </w:rPr>
              <w:t xml:space="preserve"> may misunderstand it</w:t>
            </w:r>
            <w:r>
              <w:rPr>
                <w:rFonts w:asciiTheme="majorHAnsi" w:hAnsiTheme="majorHAnsi" w:cstheme="majorHAnsi"/>
                <w:sz w:val="18"/>
                <w:szCs w:val="18"/>
                <w:lang w:val="en-GB"/>
              </w:rPr>
              <w:t>.</w:t>
            </w:r>
            <w:r w:rsidRPr="0040597A">
              <w:rPr>
                <w:rFonts w:asciiTheme="majorHAnsi" w:hAnsiTheme="majorHAnsi" w:cstheme="majorHAnsi"/>
                <w:sz w:val="18"/>
                <w:szCs w:val="18"/>
                <w:lang w:val="en-GB"/>
              </w:rPr>
              <w:t xml:space="preserve"> </w:t>
            </w:r>
          </w:p>
        </w:tc>
        <w:tc>
          <w:tcPr>
            <w:tcW w:w="7170" w:type="dxa"/>
            <w:vAlign w:val="center"/>
          </w:tcPr>
          <w:p w14:paraId="6D6D3877" w14:textId="4EB58771" w:rsidR="00277EE4" w:rsidRPr="0040597A" w:rsidRDefault="00277EE4" w:rsidP="00277EE4">
            <w:pPr>
              <w:rPr>
                <w:rFonts w:asciiTheme="majorHAnsi" w:eastAsia="Times New Roman" w:hAnsiTheme="majorHAnsi" w:cstheme="majorHAnsi"/>
                <w:color w:val="000000"/>
                <w:sz w:val="18"/>
                <w:szCs w:val="18"/>
                <w:lang w:val="en-GB" w:eastAsia="de-AT"/>
              </w:rPr>
            </w:pPr>
          </w:p>
        </w:tc>
      </w:tr>
      <w:tr w:rsidR="00277EE4" w:rsidRPr="009A54AD" w14:paraId="4A59EF7D" w14:textId="77777777" w:rsidTr="0040597A">
        <w:tc>
          <w:tcPr>
            <w:tcW w:w="1097" w:type="dxa"/>
            <w:vAlign w:val="center"/>
          </w:tcPr>
          <w:p w14:paraId="029C2F68" w14:textId="6D41EC9C"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16</w:t>
            </w:r>
            <w:r>
              <w:rPr>
                <w:rFonts w:asciiTheme="majorHAnsi" w:hAnsiTheme="majorHAnsi" w:cstheme="majorHAnsi"/>
                <w:color w:val="000000"/>
                <w:sz w:val="18"/>
                <w:szCs w:val="18"/>
                <w:lang w:val="en-GB"/>
              </w:rPr>
              <w:t>(</w:t>
            </w:r>
            <w:r w:rsidRPr="0040597A">
              <w:rPr>
                <w:rFonts w:asciiTheme="majorHAnsi" w:hAnsiTheme="majorHAnsi" w:cstheme="majorHAnsi"/>
                <w:color w:val="000000"/>
                <w:sz w:val="18"/>
                <w:szCs w:val="18"/>
                <w:lang w:val="en-GB"/>
              </w:rPr>
              <w:t>3</w:t>
            </w:r>
            <w:r>
              <w:rPr>
                <w:rFonts w:asciiTheme="majorHAnsi" w:hAnsiTheme="majorHAnsi" w:cstheme="majorHAnsi"/>
                <w:color w:val="000000"/>
                <w:sz w:val="18"/>
                <w:szCs w:val="18"/>
                <w:lang w:val="en-GB"/>
              </w:rPr>
              <w:t>)</w:t>
            </w:r>
          </w:p>
        </w:tc>
        <w:tc>
          <w:tcPr>
            <w:tcW w:w="6045" w:type="dxa"/>
            <w:vAlign w:val="center"/>
          </w:tcPr>
          <w:p w14:paraId="3CD34EB2" w14:textId="095A8132" w:rsidR="00277EE4" w:rsidRPr="0040597A" w:rsidRDefault="00277EE4" w:rsidP="00277EE4">
            <w:pPr>
              <w:rPr>
                <w:rFonts w:asciiTheme="majorHAnsi" w:eastAsia="Times New Roman" w:hAnsiTheme="majorHAnsi" w:cstheme="majorHAnsi"/>
                <w:sz w:val="18"/>
                <w:szCs w:val="18"/>
                <w:lang w:val="en-GB" w:eastAsia="de-AT"/>
              </w:rPr>
            </w:pPr>
            <w:r>
              <w:rPr>
                <w:rFonts w:asciiTheme="majorHAnsi" w:hAnsiTheme="majorHAnsi" w:cstheme="majorHAnsi"/>
                <w:sz w:val="18"/>
                <w:szCs w:val="18"/>
                <w:lang w:val="en-GB"/>
              </w:rPr>
              <w:t xml:space="preserve">Requirements regarding </w:t>
            </w:r>
            <w:r w:rsidRPr="0040597A">
              <w:rPr>
                <w:rFonts w:asciiTheme="majorHAnsi" w:hAnsiTheme="majorHAnsi" w:cstheme="majorHAnsi"/>
                <w:sz w:val="18"/>
                <w:szCs w:val="18"/>
                <w:lang w:val="en-GB"/>
              </w:rPr>
              <w:t>consecutive faults</w:t>
            </w:r>
            <w:r>
              <w:rPr>
                <w:rFonts w:asciiTheme="majorHAnsi" w:hAnsiTheme="majorHAnsi" w:cstheme="majorHAnsi"/>
                <w:sz w:val="18"/>
                <w:szCs w:val="18"/>
                <w:lang w:val="en-GB"/>
              </w:rPr>
              <w:t xml:space="preserve"> are missing</w:t>
            </w:r>
            <w:r w:rsidRPr="0040597A">
              <w:rPr>
                <w:rFonts w:asciiTheme="majorHAnsi" w:hAnsiTheme="majorHAnsi" w:cstheme="majorHAnsi"/>
                <w:sz w:val="18"/>
                <w:szCs w:val="18"/>
                <w:lang w:val="en-GB"/>
              </w:rPr>
              <w:t xml:space="preserve">. </w:t>
            </w:r>
            <w:r>
              <w:rPr>
                <w:rFonts w:asciiTheme="majorHAnsi" w:hAnsiTheme="majorHAnsi" w:cstheme="majorHAnsi"/>
                <w:sz w:val="18"/>
                <w:szCs w:val="18"/>
                <w:lang w:val="en-GB"/>
              </w:rPr>
              <w:t>We believe</w:t>
            </w:r>
            <w:r w:rsidRPr="0040597A">
              <w:rPr>
                <w:rFonts w:asciiTheme="majorHAnsi" w:hAnsiTheme="majorHAnsi" w:cstheme="majorHAnsi"/>
                <w:sz w:val="18"/>
                <w:szCs w:val="18"/>
                <w:lang w:val="en-GB"/>
              </w:rPr>
              <w:t xml:space="preserve"> that this is a cross-border issue</w:t>
            </w:r>
            <w:r>
              <w:rPr>
                <w:rFonts w:asciiTheme="majorHAnsi" w:hAnsiTheme="majorHAnsi" w:cstheme="majorHAnsi"/>
                <w:sz w:val="18"/>
                <w:szCs w:val="18"/>
                <w:lang w:val="en-GB"/>
              </w:rPr>
              <w:t xml:space="preserve"> and should be addressed </w:t>
            </w:r>
            <w:r w:rsidRPr="0040597A">
              <w:rPr>
                <w:rFonts w:asciiTheme="majorHAnsi" w:hAnsiTheme="majorHAnsi" w:cstheme="majorHAnsi"/>
                <w:sz w:val="18"/>
                <w:szCs w:val="18"/>
                <w:lang w:val="en-GB"/>
              </w:rPr>
              <w:t>in RfG.</w:t>
            </w:r>
          </w:p>
        </w:tc>
        <w:tc>
          <w:tcPr>
            <w:tcW w:w="7170" w:type="dxa"/>
            <w:vAlign w:val="center"/>
          </w:tcPr>
          <w:p w14:paraId="117ED910" w14:textId="3AB130A0" w:rsidR="00277EE4" w:rsidRPr="0040597A" w:rsidRDefault="00277EE4" w:rsidP="00277EE4">
            <w:pPr>
              <w:rPr>
                <w:rFonts w:asciiTheme="majorHAnsi" w:eastAsia="Times New Roman" w:hAnsiTheme="majorHAnsi" w:cstheme="majorHAnsi"/>
                <w:color w:val="000000"/>
                <w:sz w:val="18"/>
                <w:szCs w:val="18"/>
                <w:lang w:val="en-GB" w:eastAsia="de-AT"/>
              </w:rPr>
            </w:pPr>
            <w:r w:rsidRPr="0040597A">
              <w:rPr>
                <w:rFonts w:asciiTheme="majorHAnsi" w:hAnsiTheme="majorHAnsi" w:cstheme="majorHAnsi"/>
                <w:color w:val="000000"/>
                <w:sz w:val="18"/>
                <w:szCs w:val="18"/>
                <w:lang w:val="en-GB"/>
              </w:rPr>
              <w:t> </w:t>
            </w:r>
          </w:p>
        </w:tc>
      </w:tr>
    </w:tbl>
    <w:p w14:paraId="4B03C95B" w14:textId="730EDF81" w:rsidR="000C498A" w:rsidRPr="00167DD0" w:rsidRDefault="000C498A" w:rsidP="000C498A">
      <w:pPr>
        <w:rPr>
          <w:lang w:val="en-GB"/>
        </w:rPr>
      </w:pPr>
    </w:p>
    <w:p w14:paraId="558B3A8B" w14:textId="3643EE1F" w:rsidR="005932C4" w:rsidRPr="00167DD0" w:rsidRDefault="005932C4" w:rsidP="005932C4">
      <w:pPr>
        <w:pStyle w:val="Heading2"/>
        <w:rPr>
          <w:lang w:val="en-GB"/>
        </w:rPr>
      </w:pPr>
      <w:r w:rsidRPr="00167DD0">
        <w:rPr>
          <w:lang w:val="en-GB"/>
        </w:rPr>
        <w:t>TITLE II CH. 2</w:t>
      </w:r>
    </w:p>
    <w:tbl>
      <w:tblPr>
        <w:tblStyle w:val="TableGrid"/>
        <w:tblW w:w="14312" w:type="dxa"/>
        <w:tblLook w:val="04A0" w:firstRow="1" w:lastRow="0" w:firstColumn="1" w:lastColumn="0" w:noHBand="0" w:noVBand="1"/>
      </w:tblPr>
      <w:tblGrid>
        <w:gridCol w:w="1097"/>
        <w:gridCol w:w="6045"/>
        <w:gridCol w:w="7170"/>
      </w:tblGrid>
      <w:tr w:rsidR="0032513B" w:rsidRPr="009A54AD" w14:paraId="5F9E9C97" w14:textId="77777777" w:rsidTr="0032513B">
        <w:tc>
          <w:tcPr>
            <w:tcW w:w="1097" w:type="dxa"/>
            <w:vAlign w:val="center"/>
          </w:tcPr>
          <w:p w14:paraId="47F4F02D"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Article</w:t>
            </w:r>
          </w:p>
        </w:tc>
        <w:tc>
          <w:tcPr>
            <w:tcW w:w="6045" w:type="dxa"/>
            <w:vAlign w:val="center"/>
          </w:tcPr>
          <w:p w14:paraId="1AAEC98A"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Comment on the ACER draft amendments</w:t>
            </w:r>
          </w:p>
        </w:tc>
        <w:tc>
          <w:tcPr>
            <w:tcW w:w="7170" w:type="dxa"/>
            <w:vAlign w:val="center"/>
          </w:tcPr>
          <w:p w14:paraId="3E7668C8"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Alternative legal text amendment proposal (if applicable)</w:t>
            </w:r>
          </w:p>
        </w:tc>
      </w:tr>
      <w:tr w:rsidR="0032513B" w:rsidRPr="009A54AD" w14:paraId="31F117B7" w14:textId="77777777" w:rsidTr="0032513B">
        <w:tc>
          <w:tcPr>
            <w:tcW w:w="1097" w:type="dxa"/>
            <w:vAlign w:val="center"/>
          </w:tcPr>
          <w:p w14:paraId="62EA4830" w14:textId="7EF9D147" w:rsidR="005932C4" w:rsidRPr="0032513B" w:rsidRDefault="005932C4" w:rsidP="005932C4">
            <w:pPr>
              <w:rPr>
                <w:rFonts w:asciiTheme="majorHAnsi" w:hAnsiTheme="majorHAnsi" w:cstheme="majorHAnsi"/>
                <w:sz w:val="18"/>
                <w:szCs w:val="18"/>
                <w:lang w:val="en-GB"/>
              </w:rPr>
            </w:pPr>
            <w:r w:rsidRPr="0032513B">
              <w:rPr>
                <w:rFonts w:asciiTheme="majorHAnsi" w:hAnsiTheme="majorHAnsi" w:cstheme="majorHAnsi"/>
                <w:color w:val="000000"/>
                <w:sz w:val="18"/>
                <w:szCs w:val="18"/>
                <w:lang w:val="en-GB"/>
              </w:rPr>
              <w:t>19</w:t>
            </w:r>
            <w:r w:rsidR="0032513B">
              <w:rPr>
                <w:rFonts w:asciiTheme="majorHAnsi" w:hAnsiTheme="majorHAnsi" w:cstheme="majorHAnsi"/>
                <w:color w:val="000000"/>
                <w:sz w:val="18"/>
                <w:szCs w:val="18"/>
                <w:lang w:val="en-GB"/>
              </w:rPr>
              <w:t>(</w:t>
            </w:r>
            <w:r w:rsidRPr="0032513B">
              <w:rPr>
                <w:rFonts w:asciiTheme="majorHAnsi" w:hAnsiTheme="majorHAnsi" w:cstheme="majorHAnsi"/>
                <w:color w:val="000000"/>
                <w:sz w:val="18"/>
                <w:szCs w:val="18"/>
                <w:lang w:val="en-GB"/>
              </w:rPr>
              <w:t>4</w:t>
            </w:r>
            <w:r w:rsidR="0032513B">
              <w:rPr>
                <w:rFonts w:asciiTheme="majorHAnsi" w:hAnsiTheme="majorHAnsi" w:cstheme="majorHAnsi"/>
                <w:color w:val="000000"/>
                <w:sz w:val="18"/>
                <w:szCs w:val="18"/>
                <w:lang w:val="en-GB"/>
              </w:rPr>
              <w:t>)</w:t>
            </w:r>
          </w:p>
        </w:tc>
        <w:tc>
          <w:tcPr>
            <w:tcW w:w="6045" w:type="dxa"/>
            <w:vAlign w:val="center"/>
          </w:tcPr>
          <w:p w14:paraId="50E03287" w14:textId="74B996FC" w:rsidR="005932C4" w:rsidRPr="0032513B" w:rsidRDefault="005932C4" w:rsidP="005932C4">
            <w:pPr>
              <w:rPr>
                <w:rFonts w:asciiTheme="majorHAnsi" w:eastAsia="Times New Roman" w:hAnsiTheme="majorHAnsi" w:cstheme="majorHAnsi"/>
                <w:sz w:val="18"/>
                <w:szCs w:val="18"/>
                <w:lang w:val="en-GB" w:eastAsia="de-AT"/>
              </w:rPr>
            </w:pPr>
            <w:r w:rsidRPr="0032513B">
              <w:rPr>
                <w:rFonts w:asciiTheme="majorHAnsi" w:hAnsiTheme="majorHAnsi" w:cstheme="majorHAnsi"/>
                <w:color w:val="000000"/>
                <w:sz w:val="18"/>
                <w:szCs w:val="18"/>
                <w:lang w:val="en-GB"/>
              </w:rPr>
              <w:t>A power related threshold for SPGM</w:t>
            </w:r>
            <w:r w:rsidR="0032513B">
              <w:rPr>
                <w:rFonts w:asciiTheme="majorHAnsi" w:hAnsiTheme="majorHAnsi" w:cstheme="majorHAnsi"/>
                <w:color w:val="000000"/>
                <w:sz w:val="18"/>
                <w:szCs w:val="18"/>
                <w:lang w:val="en-GB"/>
              </w:rPr>
              <w:t>s</w:t>
            </w:r>
            <w:r w:rsidRPr="0032513B">
              <w:rPr>
                <w:rFonts w:asciiTheme="majorHAnsi" w:hAnsiTheme="majorHAnsi" w:cstheme="majorHAnsi"/>
                <w:color w:val="000000"/>
                <w:sz w:val="18"/>
                <w:szCs w:val="18"/>
                <w:lang w:val="en-GB"/>
              </w:rPr>
              <w:t xml:space="preserve"> does not make sense from a technical point of view. </w:t>
            </w:r>
            <w:proofErr w:type="gramStart"/>
            <w:r w:rsidRPr="0032513B">
              <w:rPr>
                <w:rFonts w:asciiTheme="majorHAnsi" w:hAnsiTheme="majorHAnsi" w:cstheme="majorHAnsi"/>
                <w:color w:val="000000"/>
                <w:sz w:val="18"/>
                <w:szCs w:val="18"/>
                <w:lang w:val="en-GB"/>
              </w:rPr>
              <w:t xml:space="preserve">It is clear that </w:t>
            </w:r>
            <w:r w:rsidR="001878B6">
              <w:rPr>
                <w:rFonts w:asciiTheme="majorHAnsi" w:hAnsiTheme="majorHAnsi" w:cstheme="majorHAnsi"/>
                <w:color w:val="000000"/>
                <w:sz w:val="18"/>
                <w:szCs w:val="18"/>
                <w:lang w:val="en-GB"/>
              </w:rPr>
              <w:t>specific</w:t>
            </w:r>
            <w:proofErr w:type="gramEnd"/>
            <w:r w:rsidRPr="0032513B">
              <w:rPr>
                <w:rFonts w:asciiTheme="majorHAnsi" w:hAnsiTheme="majorHAnsi" w:cstheme="majorHAnsi"/>
                <w:color w:val="000000"/>
                <w:sz w:val="18"/>
                <w:szCs w:val="18"/>
                <w:lang w:val="en-GB"/>
              </w:rPr>
              <w:t xml:space="preserve"> SPGM</w:t>
            </w:r>
            <w:r w:rsidR="001878B6">
              <w:rPr>
                <w:rFonts w:asciiTheme="majorHAnsi" w:hAnsiTheme="majorHAnsi" w:cstheme="majorHAnsi"/>
                <w:color w:val="000000"/>
                <w:sz w:val="18"/>
                <w:szCs w:val="18"/>
                <w:lang w:val="en-GB"/>
              </w:rPr>
              <w:t xml:space="preserve"> technologies </w:t>
            </w:r>
            <w:r w:rsidRPr="0032513B">
              <w:rPr>
                <w:rFonts w:asciiTheme="majorHAnsi" w:hAnsiTheme="majorHAnsi" w:cstheme="majorHAnsi"/>
                <w:color w:val="000000"/>
                <w:sz w:val="18"/>
                <w:szCs w:val="18"/>
                <w:lang w:val="en-GB"/>
              </w:rPr>
              <w:t xml:space="preserve">have issues with the current RoCoF requirements. However, there are also </w:t>
            </w:r>
            <w:proofErr w:type="gramStart"/>
            <w:r w:rsidRPr="0032513B">
              <w:rPr>
                <w:rFonts w:asciiTheme="majorHAnsi" w:hAnsiTheme="majorHAnsi" w:cstheme="majorHAnsi"/>
                <w:color w:val="000000"/>
                <w:sz w:val="18"/>
                <w:szCs w:val="18"/>
                <w:lang w:val="en-GB"/>
              </w:rPr>
              <w:t>a</w:t>
            </w:r>
            <w:proofErr w:type="gramEnd"/>
            <w:r w:rsidRPr="0032513B">
              <w:rPr>
                <w:rFonts w:asciiTheme="majorHAnsi" w:hAnsiTheme="majorHAnsi" w:cstheme="majorHAnsi"/>
                <w:color w:val="000000"/>
                <w:sz w:val="18"/>
                <w:szCs w:val="18"/>
                <w:lang w:val="en-GB"/>
              </w:rPr>
              <w:t xml:space="preserve"> </w:t>
            </w:r>
            <w:r w:rsidR="001878B6">
              <w:rPr>
                <w:rFonts w:asciiTheme="majorHAnsi" w:hAnsiTheme="majorHAnsi" w:cstheme="majorHAnsi"/>
                <w:color w:val="000000"/>
                <w:sz w:val="18"/>
                <w:szCs w:val="18"/>
                <w:lang w:val="en-GB"/>
              </w:rPr>
              <w:t>other</w:t>
            </w:r>
            <w:r w:rsidRPr="0032513B">
              <w:rPr>
                <w:rFonts w:asciiTheme="majorHAnsi" w:hAnsiTheme="majorHAnsi" w:cstheme="majorHAnsi"/>
                <w:color w:val="000000"/>
                <w:sz w:val="18"/>
                <w:szCs w:val="18"/>
                <w:lang w:val="en-GB"/>
              </w:rPr>
              <w:t xml:space="preserve"> SPGM technologies that can </w:t>
            </w:r>
            <w:r w:rsidR="0032513B" w:rsidRPr="0032513B">
              <w:rPr>
                <w:rFonts w:asciiTheme="majorHAnsi" w:hAnsiTheme="majorHAnsi" w:cstheme="majorHAnsi"/>
                <w:color w:val="000000"/>
                <w:sz w:val="18"/>
                <w:szCs w:val="18"/>
                <w:lang w:val="en-GB"/>
              </w:rPr>
              <w:t>fulfil</w:t>
            </w:r>
            <w:r w:rsidRPr="0032513B">
              <w:rPr>
                <w:rFonts w:asciiTheme="majorHAnsi" w:hAnsiTheme="majorHAnsi" w:cstheme="majorHAnsi"/>
                <w:color w:val="000000"/>
                <w:sz w:val="18"/>
                <w:szCs w:val="18"/>
                <w:lang w:val="en-GB"/>
              </w:rPr>
              <w:t xml:space="preserve"> the current RoCoF (2 Hz/s) requirements.</w:t>
            </w:r>
          </w:p>
        </w:tc>
        <w:tc>
          <w:tcPr>
            <w:tcW w:w="7170" w:type="dxa"/>
            <w:vAlign w:val="center"/>
          </w:tcPr>
          <w:p w14:paraId="43FF3DC2" w14:textId="77777777" w:rsidR="005932C4" w:rsidRPr="0032513B" w:rsidRDefault="005932C4" w:rsidP="005932C4">
            <w:pPr>
              <w:rPr>
                <w:rFonts w:asciiTheme="majorHAnsi" w:hAnsiTheme="majorHAnsi" w:cstheme="majorHAnsi"/>
                <w:b/>
                <w:bCs/>
                <w:color w:val="000000"/>
                <w:sz w:val="18"/>
                <w:szCs w:val="18"/>
                <w:lang w:val="en-GB"/>
              </w:rPr>
            </w:pPr>
          </w:p>
        </w:tc>
      </w:tr>
    </w:tbl>
    <w:p w14:paraId="02280D19" w14:textId="77777777" w:rsidR="005932C4" w:rsidRPr="00167DD0" w:rsidRDefault="005932C4" w:rsidP="000C498A">
      <w:pPr>
        <w:rPr>
          <w:lang w:val="en-GB"/>
        </w:rPr>
      </w:pPr>
    </w:p>
    <w:p w14:paraId="123B4F35" w14:textId="1ADC0084" w:rsidR="005932C4" w:rsidRPr="00167DD0" w:rsidRDefault="005932C4" w:rsidP="005932C4">
      <w:pPr>
        <w:pStyle w:val="Heading2"/>
        <w:rPr>
          <w:lang w:val="en-GB"/>
        </w:rPr>
      </w:pPr>
      <w:r w:rsidRPr="00167DD0">
        <w:rPr>
          <w:lang w:val="en-GB"/>
        </w:rPr>
        <w:t>TITLE II CH. 3</w:t>
      </w:r>
    </w:p>
    <w:tbl>
      <w:tblPr>
        <w:tblStyle w:val="TableGrid"/>
        <w:tblW w:w="14312" w:type="dxa"/>
        <w:tblLook w:val="04A0" w:firstRow="1" w:lastRow="0" w:firstColumn="1" w:lastColumn="0" w:noHBand="0" w:noVBand="1"/>
      </w:tblPr>
      <w:tblGrid>
        <w:gridCol w:w="1097"/>
        <w:gridCol w:w="6045"/>
        <w:gridCol w:w="7170"/>
      </w:tblGrid>
      <w:tr w:rsidR="0032513B" w:rsidRPr="009A54AD" w14:paraId="55F28D6F" w14:textId="77777777" w:rsidTr="005745D7">
        <w:tc>
          <w:tcPr>
            <w:tcW w:w="1097" w:type="dxa"/>
          </w:tcPr>
          <w:p w14:paraId="3AA7F8BC"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Article</w:t>
            </w:r>
          </w:p>
        </w:tc>
        <w:tc>
          <w:tcPr>
            <w:tcW w:w="6045" w:type="dxa"/>
            <w:vAlign w:val="bottom"/>
          </w:tcPr>
          <w:p w14:paraId="58FE0569"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Comment on the ACER draft amendments</w:t>
            </w:r>
          </w:p>
        </w:tc>
        <w:tc>
          <w:tcPr>
            <w:tcW w:w="7170" w:type="dxa"/>
            <w:vAlign w:val="bottom"/>
          </w:tcPr>
          <w:p w14:paraId="24226111" w14:textId="77777777" w:rsidR="005932C4" w:rsidRPr="0032513B" w:rsidRDefault="005932C4" w:rsidP="005745D7">
            <w:pPr>
              <w:rPr>
                <w:rFonts w:asciiTheme="majorHAnsi" w:eastAsia="Times New Roman" w:hAnsiTheme="majorHAnsi" w:cstheme="majorHAnsi"/>
                <w:b/>
                <w:bCs/>
                <w:sz w:val="18"/>
                <w:szCs w:val="18"/>
                <w:lang w:val="en-GB" w:eastAsia="de-AT"/>
              </w:rPr>
            </w:pPr>
            <w:r w:rsidRPr="0032513B">
              <w:rPr>
                <w:rFonts w:asciiTheme="majorHAnsi" w:eastAsia="Times New Roman" w:hAnsiTheme="majorHAnsi" w:cstheme="majorHAnsi"/>
                <w:b/>
                <w:bCs/>
                <w:sz w:val="18"/>
                <w:szCs w:val="18"/>
                <w:lang w:val="en-GB" w:eastAsia="de-AT"/>
              </w:rPr>
              <w:t>Alternative legal text amendment proposal (if applicable)</w:t>
            </w:r>
          </w:p>
        </w:tc>
      </w:tr>
      <w:tr w:rsidR="005932C4" w:rsidRPr="000C31FC" w14:paraId="388FB6B2" w14:textId="77777777" w:rsidTr="001A513D">
        <w:tc>
          <w:tcPr>
            <w:tcW w:w="1097" w:type="dxa"/>
          </w:tcPr>
          <w:p w14:paraId="5821DF08" w14:textId="77777777" w:rsidR="0032513B" w:rsidRDefault="0032513B" w:rsidP="005932C4">
            <w:pPr>
              <w:rPr>
                <w:rFonts w:asciiTheme="majorHAnsi" w:hAnsiTheme="majorHAnsi" w:cstheme="majorHAnsi"/>
                <w:color w:val="000000"/>
                <w:sz w:val="18"/>
                <w:szCs w:val="18"/>
                <w:lang w:val="en-GB"/>
              </w:rPr>
            </w:pPr>
          </w:p>
          <w:p w14:paraId="1E88530C" w14:textId="77777777" w:rsidR="0032513B" w:rsidRDefault="0032513B" w:rsidP="005932C4">
            <w:pPr>
              <w:rPr>
                <w:rFonts w:asciiTheme="majorHAnsi" w:hAnsiTheme="majorHAnsi" w:cstheme="majorHAnsi"/>
                <w:color w:val="000000"/>
                <w:sz w:val="18"/>
                <w:szCs w:val="18"/>
                <w:lang w:val="en-GB"/>
              </w:rPr>
            </w:pPr>
          </w:p>
          <w:p w14:paraId="5528C75F" w14:textId="26762C25" w:rsidR="005932C4" w:rsidRPr="0032513B" w:rsidRDefault="005932C4" w:rsidP="005932C4">
            <w:pPr>
              <w:rPr>
                <w:rFonts w:asciiTheme="majorHAnsi" w:hAnsiTheme="majorHAnsi" w:cstheme="majorHAnsi"/>
                <w:sz w:val="18"/>
                <w:szCs w:val="18"/>
                <w:lang w:val="en-GB"/>
              </w:rPr>
            </w:pPr>
            <w:proofErr w:type="gramStart"/>
            <w:r w:rsidRPr="0032513B">
              <w:rPr>
                <w:rFonts w:asciiTheme="majorHAnsi" w:hAnsiTheme="majorHAnsi" w:cstheme="majorHAnsi"/>
                <w:color w:val="000000"/>
                <w:sz w:val="18"/>
                <w:szCs w:val="18"/>
                <w:lang w:val="en-GB"/>
              </w:rPr>
              <w:t>Y(</w:t>
            </w:r>
            <w:proofErr w:type="gramEnd"/>
            <w:r w:rsidRPr="0032513B">
              <w:rPr>
                <w:rFonts w:asciiTheme="majorHAnsi" w:hAnsiTheme="majorHAnsi" w:cstheme="majorHAnsi"/>
                <w:color w:val="000000"/>
                <w:sz w:val="18"/>
                <w:szCs w:val="18"/>
                <w:lang w:val="en-GB"/>
              </w:rPr>
              <w:t>7)</w:t>
            </w:r>
          </w:p>
        </w:tc>
        <w:tc>
          <w:tcPr>
            <w:tcW w:w="6045" w:type="dxa"/>
          </w:tcPr>
          <w:p w14:paraId="787B9B0F" w14:textId="77777777" w:rsidR="0032513B" w:rsidRDefault="0032513B" w:rsidP="005932C4">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We do</w:t>
            </w:r>
            <w:r w:rsidR="005932C4" w:rsidRPr="0032513B">
              <w:rPr>
                <w:rFonts w:asciiTheme="majorHAnsi" w:hAnsiTheme="majorHAnsi" w:cstheme="majorHAnsi"/>
                <w:color w:val="000000"/>
                <w:sz w:val="18"/>
                <w:szCs w:val="18"/>
                <w:lang w:val="en-GB"/>
              </w:rPr>
              <w:t xml:space="preserve"> not support the part activation and deactivation. </w:t>
            </w:r>
          </w:p>
          <w:p w14:paraId="33CA3FBA" w14:textId="2335C1C5" w:rsidR="0032513B" w:rsidRDefault="0032513B" w:rsidP="005932C4">
            <w:pPr>
              <w:rPr>
                <w:rFonts w:asciiTheme="majorHAnsi" w:hAnsiTheme="majorHAnsi" w:cstheme="majorHAnsi"/>
                <w:color w:val="000000"/>
                <w:sz w:val="18"/>
                <w:szCs w:val="18"/>
                <w:lang w:val="en-GB"/>
              </w:rPr>
            </w:pPr>
          </w:p>
          <w:p w14:paraId="18755E82" w14:textId="76A7CCF6" w:rsidR="005932C4" w:rsidRPr="0032513B" w:rsidRDefault="0032513B" w:rsidP="005932C4">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GB"/>
              </w:rPr>
              <w:t>O</w:t>
            </w:r>
            <w:r w:rsidRPr="0032513B">
              <w:rPr>
                <w:rFonts w:asciiTheme="majorHAnsi" w:hAnsiTheme="majorHAnsi" w:cstheme="majorHAnsi"/>
                <w:color w:val="000000"/>
                <w:sz w:val="18"/>
                <w:szCs w:val="18"/>
                <w:lang w:val="en-GB"/>
              </w:rPr>
              <w:t xml:space="preserve">n/off switching of GF </w:t>
            </w:r>
            <w:r>
              <w:rPr>
                <w:rFonts w:asciiTheme="majorHAnsi" w:hAnsiTheme="majorHAnsi" w:cstheme="majorHAnsi"/>
                <w:color w:val="000000"/>
                <w:sz w:val="18"/>
                <w:szCs w:val="18"/>
                <w:lang w:val="en-GB"/>
              </w:rPr>
              <w:t>may also trigger</w:t>
            </w:r>
            <w:r w:rsidRPr="0032513B">
              <w:rPr>
                <w:rFonts w:asciiTheme="majorHAnsi" w:hAnsiTheme="majorHAnsi" w:cstheme="majorHAnsi"/>
                <w:color w:val="000000"/>
                <w:sz w:val="18"/>
                <w:szCs w:val="18"/>
                <w:lang w:val="en-GB"/>
              </w:rPr>
              <w:t xml:space="preserve"> a lot of operational risks. Who really knows what is activated/deactivated in lots of decentralized inverters, particularly in times of </w:t>
            </w:r>
            <w:proofErr w:type="spellStart"/>
            <w:r w:rsidRPr="0032513B">
              <w:rPr>
                <w:rFonts w:asciiTheme="majorHAnsi" w:hAnsiTheme="majorHAnsi" w:cstheme="majorHAnsi"/>
                <w:color w:val="000000"/>
                <w:sz w:val="18"/>
                <w:szCs w:val="18"/>
                <w:lang w:val="en-GB"/>
              </w:rPr>
              <w:t>OtA</w:t>
            </w:r>
            <w:proofErr w:type="spellEnd"/>
            <w:r w:rsidRPr="0032513B">
              <w:rPr>
                <w:rFonts w:asciiTheme="majorHAnsi" w:hAnsiTheme="majorHAnsi" w:cstheme="majorHAnsi"/>
                <w:color w:val="000000"/>
                <w:sz w:val="18"/>
                <w:szCs w:val="18"/>
                <w:lang w:val="en-GB"/>
              </w:rPr>
              <w:t xml:space="preserve">-Updates that </w:t>
            </w:r>
            <w:r w:rsidR="000C31FC">
              <w:rPr>
                <w:rFonts w:asciiTheme="majorHAnsi" w:hAnsiTheme="majorHAnsi" w:cstheme="majorHAnsi"/>
                <w:color w:val="000000"/>
                <w:sz w:val="18"/>
                <w:szCs w:val="18"/>
                <w:lang w:val="en-GB"/>
              </w:rPr>
              <w:t xml:space="preserve">may </w:t>
            </w:r>
            <w:r w:rsidR="000C31FC" w:rsidRPr="000C31FC">
              <w:rPr>
                <w:rFonts w:asciiTheme="majorHAnsi" w:hAnsiTheme="majorHAnsi" w:cstheme="majorHAnsi"/>
                <w:color w:val="000000"/>
                <w:sz w:val="18"/>
                <w:szCs w:val="18"/>
                <w:lang w:val="en-GB"/>
              </w:rPr>
              <w:t xml:space="preserve">inadvertently </w:t>
            </w:r>
            <w:r w:rsidR="000C31FC">
              <w:rPr>
                <w:rFonts w:asciiTheme="majorHAnsi" w:hAnsiTheme="majorHAnsi" w:cstheme="majorHAnsi"/>
                <w:color w:val="000000"/>
                <w:sz w:val="18"/>
                <w:szCs w:val="18"/>
                <w:lang w:val="en-GB"/>
              </w:rPr>
              <w:t xml:space="preserve"> </w:t>
            </w:r>
            <w:r w:rsidRPr="0032513B">
              <w:rPr>
                <w:rFonts w:asciiTheme="majorHAnsi" w:hAnsiTheme="majorHAnsi" w:cstheme="majorHAnsi"/>
                <w:color w:val="000000"/>
                <w:sz w:val="18"/>
                <w:szCs w:val="18"/>
                <w:lang w:val="en-GB"/>
              </w:rPr>
              <w:t xml:space="preserve"> "overwrite" important setup parameters. Concluding,</w:t>
            </w:r>
            <w:r>
              <w:rPr>
                <w:rFonts w:asciiTheme="majorHAnsi" w:hAnsiTheme="majorHAnsi" w:cstheme="majorHAnsi"/>
                <w:color w:val="000000"/>
                <w:sz w:val="18"/>
                <w:szCs w:val="18"/>
                <w:lang w:val="en-GB"/>
              </w:rPr>
              <w:t xml:space="preserve"> we</w:t>
            </w:r>
            <w:r w:rsidRPr="0032513B">
              <w:rPr>
                <w:rFonts w:asciiTheme="majorHAnsi" w:hAnsiTheme="majorHAnsi" w:cstheme="majorHAnsi"/>
                <w:color w:val="000000"/>
                <w:sz w:val="18"/>
                <w:szCs w:val="18"/>
                <w:lang w:val="en-GB"/>
              </w:rPr>
              <w:t xml:space="preserve"> propos</w:t>
            </w:r>
            <w:r>
              <w:rPr>
                <w:rFonts w:asciiTheme="majorHAnsi" w:hAnsiTheme="majorHAnsi" w:cstheme="majorHAnsi"/>
                <w:color w:val="000000"/>
                <w:sz w:val="18"/>
                <w:szCs w:val="18"/>
                <w:lang w:val="en-GB"/>
              </w:rPr>
              <w:t>e</w:t>
            </w:r>
            <w:r w:rsidRPr="0032513B">
              <w:rPr>
                <w:rFonts w:asciiTheme="majorHAnsi" w:hAnsiTheme="majorHAnsi" w:cstheme="majorHAnsi"/>
                <w:color w:val="000000"/>
                <w:sz w:val="18"/>
                <w:szCs w:val="18"/>
                <w:lang w:val="en-GB"/>
              </w:rPr>
              <w:t xml:space="preserve"> to delete the "switching" of GF.</w:t>
            </w:r>
          </w:p>
        </w:tc>
        <w:tc>
          <w:tcPr>
            <w:tcW w:w="7170" w:type="dxa"/>
          </w:tcPr>
          <w:p w14:paraId="69B75048" w14:textId="77777777" w:rsidR="005932C4" w:rsidRPr="0032513B" w:rsidRDefault="005932C4" w:rsidP="005932C4">
            <w:pPr>
              <w:rPr>
                <w:rFonts w:asciiTheme="majorHAnsi" w:hAnsiTheme="majorHAnsi" w:cstheme="majorHAnsi"/>
                <w:b/>
                <w:bCs/>
                <w:color w:val="000000"/>
                <w:sz w:val="18"/>
                <w:szCs w:val="18"/>
                <w:lang w:val="en-GB"/>
              </w:rPr>
            </w:pPr>
          </w:p>
        </w:tc>
      </w:tr>
    </w:tbl>
    <w:p w14:paraId="6D0A06DC" w14:textId="77777777" w:rsidR="000C498A" w:rsidRPr="00167DD0" w:rsidRDefault="000C498A" w:rsidP="000C498A">
      <w:pPr>
        <w:rPr>
          <w:lang w:val="en-GB"/>
        </w:rPr>
      </w:pPr>
    </w:p>
    <w:sectPr w:rsidR="000C498A" w:rsidRPr="00167DD0" w:rsidSect="003049BC">
      <w:headerReference w:type="even" r:id="rId10"/>
      <w:headerReference w:type="default" r:id="rId11"/>
      <w:footerReference w:type="even" r:id="rId12"/>
      <w:footerReference w:type="default" r:id="rId13"/>
      <w:headerReference w:type="first" r:id="rId14"/>
      <w:type w:val="continuous"/>
      <w:pgSz w:w="16838" w:h="11906" w:orient="landscape" w:code="9"/>
      <w:pgMar w:top="1418" w:right="1560" w:bottom="567" w:left="1418" w:header="45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45455" w14:textId="77777777" w:rsidR="00DD1D70" w:rsidRDefault="00DD1D70" w:rsidP="00E30D13">
      <w:pPr>
        <w:spacing w:line="240" w:lineRule="auto"/>
      </w:pPr>
      <w:r>
        <w:separator/>
      </w:r>
    </w:p>
  </w:endnote>
  <w:endnote w:type="continuationSeparator" w:id="0">
    <w:p w14:paraId="5439B348" w14:textId="77777777" w:rsidR="00DD1D70" w:rsidRDefault="00DD1D70" w:rsidP="00E30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A3C0" w14:textId="77777777" w:rsidR="0094070D" w:rsidRPr="00744160" w:rsidRDefault="0094070D" w:rsidP="00744160">
    <w:pPr>
      <w:pStyle w:val="FuzeileS1"/>
      <w:tabs>
        <w:tab w:val="left" w:pos="6150"/>
        <w:tab w:val="right" w:pos="9070"/>
      </w:tabs>
      <w:spacing w:before="0"/>
      <w:jc w:val="left"/>
    </w:pPr>
    <w:r w:rsidRPr="005D2146">
      <w:rPr>
        <w:lang w:eastAsia="de-AT"/>
      </w:rPr>
      <mc:AlternateContent>
        <mc:Choice Requires="wps">
          <w:drawing>
            <wp:anchor distT="45720" distB="45720" distL="114300" distR="114300" simplePos="0" relativeHeight="251659264" behindDoc="1" locked="1" layoutInCell="1" allowOverlap="1" wp14:anchorId="06C3D5CA" wp14:editId="21ED5597">
              <wp:simplePos x="0" y="0"/>
              <wp:positionH relativeFrom="column">
                <wp:posOffset>3255645</wp:posOffset>
              </wp:positionH>
              <wp:positionV relativeFrom="page">
                <wp:posOffset>10149840</wp:posOffset>
              </wp:positionV>
              <wp:extent cx="3052800" cy="144000"/>
              <wp:effectExtent l="0" t="0" r="0" b="889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800" cy="144000"/>
                      </a:xfrm>
                      <a:prstGeom prst="rect">
                        <a:avLst/>
                      </a:prstGeom>
                      <a:noFill/>
                      <a:ln w="9525">
                        <a:noFill/>
                        <a:miter lim="800000"/>
                        <a:headEnd/>
                        <a:tailEnd/>
                      </a:ln>
                    </wps:spPr>
                    <wps:txbx>
                      <w:txbxContent>
                        <w:p w14:paraId="6ABA71DD" w14:textId="25188DB9" w:rsidR="0094070D" w:rsidRPr="00B248C8" w:rsidRDefault="0094070D" w:rsidP="00744160">
                          <w:pPr>
                            <w:pStyle w:val="FuzeileAdresse"/>
                            <w:jc w:val="right"/>
                            <w:rPr>
                              <w:lang w:val="de-DE"/>
                            </w:rPr>
                          </w:pPr>
                          <w:r>
                            <w:fldChar w:fldCharType="begin"/>
                          </w:r>
                          <w:r>
                            <w:instrText xml:space="preserve"> SAVEDATE  \@ "dd.MM.yyyy"  \* MERGEFORMAT </w:instrText>
                          </w:r>
                          <w:r>
                            <w:fldChar w:fldCharType="separate"/>
                          </w:r>
                          <w:r w:rsidR="009A54AD">
                            <w:rPr>
                              <w:noProof/>
                            </w:rPr>
                            <w:t>21.09.2023</w:t>
                          </w:r>
                          <w:r>
                            <w:fldChar w:fldCharType="end"/>
                          </w:r>
                          <w:r>
                            <w:t xml:space="preserve">, </w:t>
                          </w:r>
                          <w:r w:rsidRPr="00B248C8">
                            <w:t xml:space="preserve">Oesterreichs Energie  </w:t>
                          </w:r>
                          <w:r w:rsidRPr="00CC36A4">
                            <w:rPr>
                              <w:bCs/>
                            </w:rPr>
                            <w:fldChar w:fldCharType="begin"/>
                          </w:r>
                          <w:r w:rsidRPr="00CC36A4">
                            <w:rPr>
                              <w:bCs/>
                            </w:rPr>
                            <w:instrText>PAGE  \* Arabic  \* MERGEFORMAT</w:instrText>
                          </w:r>
                          <w:r w:rsidRPr="00CC36A4">
                            <w:rPr>
                              <w:bCs/>
                            </w:rPr>
                            <w:fldChar w:fldCharType="separate"/>
                          </w:r>
                          <w:r w:rsidR="00E22CF3">
                            <w:rPr>
                              <w:bCs/>
                              <w:noProof/>
                            </w:rPr>
                            <w:t>15</w:t>
                          </w:r>
                          <w:r w:rsidRPr="00CC36A4">
                            <w:rPr>
                              <w:bCs/>
                            </w:rPr>
                            <w:fldChar w:fldCharType="end"/>
                          </w:r>
                          <w:r w:rsidRPr="00CC36A4">
                            <w:rPr>
                              <w:lang w:val="de-DE"/>
                            </w:rPr>
                            <w:t>/</w:t>
                          </w:r>
                          <w:r w:rsidRPr="00CC36A4">
                            <w:rPr>
                              <w:bCs/>
                            </w:rPr>
                            <w:fldChar w:fldCharType="begin"/>
                          </w:r>
                          <w:r w:rsidRPr="00CC36A4">
                            <w:rPr>
                              <w:bCs/>
                            </w:rPr>
                            <w:instrText>NUMPAGES  \* Arabic  \* MERGEFORMAT</w:instrText>
                          </w:r>
                          <w:r w:rsidRPr="00CC36A4">
                            <w:rPr>
                              <w:bCs/>
                            </w:rPr>
                            <w:fldChar w:fldCharType="separate"/>
                          </w:r>
                          <w:r w:rsidR="00E22CF3">
                            <w:rPr>
                              <w:bCs/>
                              <w:noProof/>
                            </w:rPr>
                            <w:t>35</w:t>
                          </w:r>
                          <w:r w:rsidRPr="00CC36A4">
                            <w:rPr>
                              <w:bCs/>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C3D5CA" id="_x0000_t202" coordsize="21600,21600" o:spt="202" path="m,l,21600r21600,l21600,xe">
              <v:stroke joinstyle="miter"/>
              <v:path gradientshapeok="t" o:connecttype="rect"/>
            </v:shapetype>
            <v:shape id="Textfeld 2" o:spid="_x0000_s1026" type="#_x0000_t202" style="position:absolute;margin-left:256.35pt;margin-top:799.2pt;width:240.4pt;height:11.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" filled="f" stroked="f">
              <v:textbox inset="0,0,0,0">
                <w:txbxContent>
                  <w:p w14:paraId="6ABA71DD" w14:textId="25188DB9" w:rsidR="0094070D" w:rsidRPr="00B248C8" w:rsidRDefault="0094070D" w:rsidP="00744160">
                    <w:pPr>
                      <w:pStyle w:val="FuzeileAdresse"/>
                      <w:jc w:val="right"/>
                      <w:rPr>
                        <w:lang w:val="de-DE"/>
                      </w:rPr>
                    </w:pPr>
                    <w:r>
                      <w:fldChar w:fldCharType="begin"/>
                    </w:r>
                    <w:r>
                      <w:instrText xml:space="preserve"> SAVEDATE  \@ "dd.MM.yyyy"  \* MERGEFORMAT </w:instrText>
                    </w:r>
                    <w:r>
                      <w:fldChar w:fldCharType="separate"/>
                    </w:r>
                    <w:r w:rsidR="009A54AD">
                      <w:rPr>
                        <w:noProof/>
                      </w:rPr>
                      <w:t>21.09.2023</w:t>
                    </w:r>
                    <w:r>
                      <w:fldChar w:fldCharType="end"/>
                    </w:r>
                    <w:r>
                      <w:t xml:space="preserve">, </w:t>
                    </w:r>
                    <w:r w:rsidRPr="00B248C8">
                      <w:t xml:space="preserve">Oesterreichs Energie  </w:t>
                    </w:r>
                    <w:r w:rsidRPr="00CC36A4">
                      <w:rPr>
                        <w:bCs/>
                      </w:rPr>
                      <w:fldChar w:fldCharType="begin"/>
                    </w:r>
                    <w:r w:rsidRPr="00CC36A4">
                      <w:rPr>
                        <w:bCs/>
                      </w:rPr>
                      <w:instrText>PAGE  \* Arabic  \* MERGEFORMAT</w:instrText>
                    </w:r>
                    <w:r w:rsidRPr="00CC36A4">
                      <w:rPr>
                        <w:bCs/>
                      </w:rPr>
                      <w:fldChar w:fldCharType="separate"/>
                    </w:r>
                    <w:r w:rsidR="00E22CF3">
                      <w:rPr>
                        <w:bCs/>
                        <w:noProof/>
                      </w:rPr>
                      <w:t>15</w:t>
                    </w:r>
                    <w:r w:rsidRPr="00CC36A4">
                      <w:rPr>
                        <w:bCs/>
                      </w:rPr>
                      <w:fldChar w:fldCharType="end"/>
                    </w:r>
                    <w:r w:rsidRPr="00CC36A4">
                      <w:rPr>
                        <w:lang w:val="de-DE"/>
                      </w:rPr>
                      <w:t>/</w:t>
                    </w:r>
                    <w:r w:rsidRPr="00CC36A4">
                      <w:rPr>
                        <w:bCs/>
                      </w:rPr>
                      <w:fldChar w:fldCharType="begin"/>
                    </w:r>
                    <w:r w:rsidRPr="00CC36A4">
                      <w:rPr>
                        <w:bCs/>
                      </w:rPr>
                      <w:instrText>NUMPAGES  \* Arabic  \* MERGEFORMAT</w:instrText>
                    </w:r>
                    <w:r w:rsidRPr="00CC36A4">
                      <w:rPr>
                        <w:bCs/>
                      </w:rPr>
                      <w:fldChar w:fldCharType="separate"/>
                    </w:r>
                    <w:r w:rsidR="00E22CF3">
                      <w:rPr>
                        <w:bCs/>
                        <w:noProof/>
                      </w:rPr>
                      <w:t>35</w:t>
                    </w:r>
                    <w:r w:rsidRPr="00CC36A4">
                      <w:rPr>
                        <w:bCs/>
                      </w:rPr>
                      <w:fldChar w:fldCharType="end"/>
                    </w:r>
                  </w:p>
                </w:txbxContent>
              </v:textbox>
              <w10:wrap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FCBE" w14:textId="77777777" w:rsidR="0094070D" w:rsidRPr="004C2321" w:rsidRDefault="0094070D" w:rsidP="00744160">
    <w:pPr>
      <w:pStyle w:val="FuzeileS1"/>
      <w:tabs>
        <w:tab w:val="left" w:pos="6150"/>
        <w:tab w:val="right" w:pos="9070"/>
      </w:tabs>
      <w:spacing w:before="0"/>
      <w:jc w:val="left"/>
    </w:pPr>
    <w:r w:rsidRPr="005D2146">
      <w:rPr>
        <w:lang w:eastAsia="de-AT"/>
      </w:rPr>
      <mc:AlternateContent>
        <mc:Choice Requires="wps">
          <w:drawing>
            <wp:anchor distT="45720" distB="45720" distL="114300" distR="114300" simplePos="0" relativeHeight="251655168" behindDoc="1" locked="1" layoutInCell="1" allowOverlap="1" wp14:anchorId="28F945F8" wp14:editId="7DFDF2D6">
              <wp:simplePos x="0" y="0"/>
              <wp:positionH relativeFrom="column">
                <wp:posOffset>3255645</wp:posOffset>
              </wp:positionH>
              <wp:positionV relativeFrom="page">
                <wp:posOffset>10149840</wp:posOffset>
              </wp:positionV>
              <wp:extent cx="3052800" cy="144000"/>
              <wp:effectExtent l="0" t="0" r="0" b="889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800" cy="144000"/>
                      </a:xfrm>
                      <a:prstGeom prst="rect">
                        <a:avLst/>
                      </a:prstGeom>
                      <a:noFill/>
                      <a:ln w="9525">
                        <a:noFill/>
                        <a:miter lim="800000"/>
                        <a:headEnd/>
                        <a:tailEnd/>
                      </a:ln>
                    </wps:spPr>
                    <wps:txbx>
                      <w:txbxContent>
                        <w:p w14:paraId="143B2B0D" w14:textId="688F4A70" w:rsidR="0094070D" w:rsidRPr="002A6C69" w:rsidRDefault="002A6C69" w:rsidP="004901FA">
                          <w:pPr>
                            <w:pStyle w:val="FuzeileAdresse"/>
                            <w:jc w:val="right"/>
                            <w:rPr>
                              <w:lang w:val="en-GB"/>
                            </w:rPr>
                          </w:pPr>
                          <w:r w:rsidRPr="002A6C69">
                            <w:rPr>
                              <w:lang w:val="en-GB"/>
                            </w:rPr>
                            <w:t>October</w:t>
                          </w:r>
                          <w:r w:rsidR="0094070D" w:rsidRPr="002A6C69">
                            <w:rPr>
                              <w:lang w:val="en-GB"/>
                            </w:rPr>
                            <w:t xml:space="preserve"> 2022, Oesterreichs Energie  </w:t>
                          </w:r>
                          <w:r w:rsidR="0094070D" w:rsidRPr="002A6C69">
                            <w:rPr>
                              <w:bCs/>
                              <w:lang w:val="en-GB"/>
                            </w:rPr>
                            <w:fldChar w:fldCharType="begin"/>
                          </w:r>
                          <w:r w:rsidR="0094070D" w:rsidRPr="002A6C69">
                            <w:rPr>
                              <w:bCs/>
                              <w:lang w:val="en-GB"/>
                            </w:rPr>
                            <w:instrText>PAGE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r w:rsidR="0094070D" w:rsidRPr="002A6C69">
                            <w:rPr>
                              <w:lang w:val="en-GB"/>
                            </w:rPr>
                            <w:t>/</w:t>
                          </w:r>
                          <w:r w:rsidR="0094070D" w:rsidRPr="002A6C69">
                            <w:rPr>
                              <w:bCs/>
                              <w:lang w:val="en-GB"/>
                            </w:rPr>
                            <w:fldChar w:fldCharType="begin"/>
                          </w:r>
                          <w:r w:rsidR="0094070D" w:rsidRPr="002A6C69">
                            <w:rPr>
                              <w:bCs/>
                              <w:lang w:val="en-GB"/>
                            </w:rPr>
                            <w:instrText>NUMPAGES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F945F8" id="_x0000_t202" coordsize="21600,21600" o:spt="202" path="m,l,21600r21600,l21600,xe">
              <v:stroke joinstyle="miter"/>
              <v:path gradientshapeok="t" o:connecttype="rect"/>
            </v:shapetype>
            <v:shape id="_x0000_s1027" type="#_x0000_t202" style="position:absolute;margin-left:256.35pt;margin-top:799.2pt;width:240.4pt;height:11.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" filled="f" stroked="f">
              <v:textbox inset="0,0,0,0">
                <w:txbxContent>
                  <w:p w14:paraId="143B2B0D" w14:textId="688F4A70" w:rsidR="0094070D" w:rsidRPr="002A6C69" w:rsidRDefault="002A6C69" w:rsidP="004901FA">
                    <w:pPr>
                      <w:pStyle w:val="FuzeileAdresse"/>
                      <w:jc w:val="right"/>
                      <w:rPr>
                        <w:lang w:val="en-GB"/>
                      </w:rPr>
                    </w:pPr>
                    <w:r w:rsidRPr="002A6C69">
                      <w:rPr>
                        <w:lang w:val="en-GB"/>
                      </w:rPr>
                      <w:t>October</w:t>
                    </w:r>
                    <w:r w:rsidR="0094070D" w:rsidRPr="002A6C69">
                      <w:rPr>
                        <w:lang w:val="en-GB"/>
                      </w:rPr>
                      <w:t xml:space="preserve"> 2022, Oesterreichs Energie  </w:t>
                    </w:r>
                    <w:r w:rsidR="0094070D" w:rsidRPr="002A6C69">
                      <w:rPr>
                        <w:bCs/>
                        <w:lang w:val="en-GB"/>
                      </w:rPr>
                      <w:fldChar w:fldCharType="begin"/>
                    </w:r>
                    <w:r w:rsidR="0094070D" w:rsidRPr="002A6C69">
                      <w:rPr>
                        <w:bCs/>
                        <w:lang w:val="en-GB"/>
                      </w:rPr>
                      <w:instrText>PAGE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r w:rsidR="0094070D" w:rsidRPr="002A6C69">
                      <w:rPr>
                        <w:lang w:val="en-GB"/>
                      </w:rPr>
                      <w:t>/</w:t>
                    </w:r>
                    <w:r w:rsidR="0094070D" w:rsidRPr="002A6C69">
                      <w:rPr>
                        <w:bCs/>
                        <w:lang w:val="en-GB"/>
                      </w:rPr>
                      <w:fldChar w:fldCharType="begin"/>
                    </w:r>
                    <w:r w:rsidR="0094070D" w:rsidRPr="002A6C69">
                      <w:rPr>
                        <w:bCs/>
                        <w:lang w:val="en-GB"/>
                      </w:rPr>
                      <w:instrText>NUMPAGES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C15F" w14:textId="77777777" w:rsidR="00DD1D70" w:rsidRDefault="00DD1D70" w:rsidP="00E30D13">
      <w:pPr>
        <w:spacing w:line="240" w:lineRule="auto"/>
      </w:pPr>
      <w:r>
        <w:separator/>
      </w:r>
    </w:p>
  </w:footnote>
  <w:footnote w:type="continuationSeparator" w:id="0">
    <w:p w14:paraId="6126996F" w14:textId="77777777" w:rsidR="00DD1D70" w:rsidRDefault="00DD1D70" w:rsidP="00E30D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9516" w14:textId="77777777" w:rsidR="0094070D" w:rsidRPr="00744160" w:rsidRDefault="0094070D" w:rsidP="00744160">
    <w:pPr>
      <w:jc w:val="right"/>
    </w:pPr>
    <w:r>
      <w:rPr>
        <w:noProof/>
        <w:lang w:eastAsia="de-AT"/>
      </w:rPr>
      <w:drawing>
        <wp:inline distT="0" distB="0" distL="0" distR="0" wp14:anchorId="52AB849F" wp14:editId="190BBA08">
          <wp:extent cx="2197100" cy="522605"/>
          <wp:effectExtent l="0" t="0" r="0" b="0"/>
          <wp:docPr id="31" name="Grafik 31"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8222" w14:textId="77777777" w:rsidR="0094070D" w:rsidRDefault="0094070D" w:rsidP="00D6382E">
    <w:pPr>
      <w:jc w:val="right"/>
    </w:pPr>
    <w:r>
      <w:rPr>
        <w:noProof/>
        <w:lang w:eastAsia="de-AT"/>
      </w:rPr>
      <w:drawing>
        <wp:inline distT="0" distB="0" distL="0" distR="0" wp14:anchorId="71EC7874" wp14:editId="17D5F926">
          <wp:extent cx="2197100" cy="522605"/>
          <wp:effectExtent l="0" t="0" r="0" b="0"/>
          <wp:docPr id="32" name="Grafik 32"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B5393" w14:textId="1050B7A7" w:rsidR="0094070D" w:rsidRDefault="0094070D" w:rsidP="00DA7862">
    <w:pPr>
      <w:pStyle w:val="Header"/>
      <w:jc w:val="right"/>
    </w:pPr>
    <w:r>
      <w:rPr>
        <w:noProof/>
        <w:lang w:eastAsia="de-AT"/>
      </w:rPr>
      <w:drawing>
        <wp:inline distT="0" distB="0" distL="0" distR="0" wp14:anchorId="64DBAFE1" wp14:editId="03A24209">
          <wp:extent cx="2197100" cy="522605"/>
          <wp:effectExtent l="0" t="0" r="0" b="0"/>
          <wp:docPr id="33" name="Grafik 33"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44A6F"/>
    <w:multiLevelType w:val="multilevel"/>
    <w:tmpl w:val="9B5699D0"/>
    <w:styleLink w:val="Aufzhlung"/>
    <w:lvl w:ilvl="0">
      <w:start w:val="1"/>
      <w:numFmt w:val="bullet"/>
      <w:pStyle w:val="ListBullet"/>
      <w:lvlText w:val=""/>
      <w:lvlJc w:val="left"/>
      <w:pPr>
        <w:tabs>
          <w:tab w:val="num" w:pos="284"/>
        </w:tabs>
        <w:ind w:left="284" w:hanging="284"/>
      </w:pPr>
      <w:rPr>
        <w:rFonts w:ascii="Wingdings" w:hAnsi="Wingdings" w:hint="default"/>
        <w:color w:val="auto"/>
        <w:u w:color="706F6F"/>
      </w:rPr>
    </w:lvl>
    <w:lvl w:ilvl="1">
      <w:start w:val="1"/>
      <w:numFmt w:val="bullet"/>
      <w:pStyle w:val="ListBullet2"/>
      <w:lvlText w:val=""/>
      <w:lvlJc w:val="left"/>
      <w:pPr>
        <w:tabs>
          <w:tab w:val="num" w:pos="568"/>
        </w:tabs>
        <w:ind w:left="568" w:hanging="284"/>
      </w:pPr>
      <w:rPr>
        <w:rFonts w:ascii="Wingdings" w:hAnsi="Wingdings" w:hint="default"/>
        <w:color w:val="auto"/>
      </w:rPr>
    </w:lvl>
    <w:lvl w:ilvl="2">
      <w:start w:val="1"/>
      <w:numFmt w:val="bullet"/>
      <w:pStyle w:val="ListBullet3"/>
      <w:lvlText w:val=""/>
      <w:lvlJc w:val="left"/>
      <w:pPr>
        <w:tabs>
          <w:tab w:val="num" w:pos="852"/>
        </w:tabs>
        <w:ind w:left="852" w:hanging="284"/>
      </w:pPr>
      <w:rPr>
        <w:rFonts w:ascii="Wingdings" w:hAnsi="Wingdings" w:hint="default"/>
        <w:color w:val="auto"/>
      </w:rPr>
    </w:lvl>
    <w:lvl w:ilvl="3">
      <w:start w:val="1"/>
      <w:numFmt w:val="bullet"/>
      <w:pStyle w:val="ListBullet4"/>
      <w:lvlText w:val=""/>
      <w:lvlJc w:val="left"/>
      <w:pPr>
        <w:tabs>
          <w:tab w:val="num" w:pos="1136"/>
        </w:tabs>
        <w:ind w:left="1136" w:hanging="284"/>
      </w:pPr>
      <w:rPr>
        <w:rFonts w:ascii="Wingdings" w:hAnsi="Wingdings" w:hint="default"/>
        <w:color w:val="auto"/>
      </w:rPr>
    </w:lvl>
    <w:lvl w:ilvl="4">
      <w:start w:val="1"/>
      <w:numFmt w:val="bullet"/>
      <w:pStyle w:val="ListBullet5"/>
      <w:lvlText w:val=""/>
      <w:lvlJc w:val="left"/>
      <w:pPr>
        <w:tabs>
          <w:tab w:val="num" w:pos="1420"/>
        </w:tabs>
        <w:ind w:left="1420" w:hanging="284"/>
      </w:pPr>
      <w:rPr>
        <w:rFonts w:ascii="Wingdings" w:hAnsi="Wingdings" w:hint="default"/>
        <w:color w:val="auto"/>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 w15:restartNumberingAfterBreak="0">
    <w:nsid w:val="28784968"/>
    <w:multiLevelType w:val="hybridMultilevel"/>
    <w:tmpl w:val="9A44C9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97E1378"/>
    <w:multiLevelType w:val="hybridMultilevel"/>
    <w:tmpl w:val="BE3452A2"/>
    <w:lvl w:ilvl="0" w:tplc="D88E5244">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C72970"/>
    <w:multiLevelType w:val="hybridMultilevel"/>
    <w:tmpl w:val="BAD02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E793A75"/>
    <w:multiLevelType w:val="hybridMultilevel"/>
    <w:tmpl w:val="BE86A0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7F74F12"/>
    <w:multiLevelType w:val="multilevel"/>
    <w:tmpl w:val="95845E02"/>
    <w:lvl w:ilvl="0">
      <w:start w:val="1"/>
      <w:numFmt w:val="decimal"/>
      <w:pStyle w:val="Heading1"/>
      <w:lvlText w:val="%1"/>
      <w:lvlJc w:val="left"/>
      <w:pPr>
        <w:ind w:left="432" w:hanging="432"/>
      </w:pPr>
      <w:rPr>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B9A2672"/>
    <w:multiLevelType w:val="hybridMultilevel"/>
    <w:tmpl w:val="60065A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FD71F56"/>
    <w:multiLevelType w:val="hybridMultilevel"/>
    <w:tmpl w:val="B986E4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584607659">
    <w:abstractNumId w:val="0"/>
  </w:num>
  <w:num w:numId="2" w16cid:durableId="1233084407">
    <w:abstractNumId w:val="0"/>
  </w:num>
  <w:num w:numId="3" w16cid:durableId="260602351">
    <w:abstractNumId w:val="3"/>
  </w:num>
  <w:num w:numId="4" w16cid:durableId="1684474055">
    <w:abstractNumId w:val="1"/>
  </w:num>
  <w:num w:numId="5" w16cid:durableId="1941837985">
    <w:abstractNumId w:val="5"/>
  </w:num>
  <w:num w:numId="6" w16cid:durableId="1174497023">
    <w:abstractNumId w:val="2"/>
  </w:num>
  <w:num w:numId="7" w16cid:durableId="975260754">
    <w:abstractNumId w:val="6"/>
  </w:num>
  <w:num w:numId="8" w16cid:durableId="2109039511">
    <w:abstractNumId w:val="5"/>
  </w:num>
  <w:num w:numId="9" w16cid:durableId="1657296762">
    <w:abstractNumId w:val="7"/>
  </w:num>
  <w:num w:numId="10" w16cid:durableId="1631667848">
    <w:abstractNumId w:val="4"/>
  </w:num>
  <w:num w:numId="11" w16cid:durableId="4275335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F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1"/>
  <w:defaultTabStop w:val="720"/>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BE6"/>
    <w:rsid w:val="00002891"/>
    <w:rsid w:val="000032CB"/>
    <w:rsid w:val="00010FD9"/>
    <w:rsid w:val="000144F9"/>
    <w:rsid w:val="0001497F"/>
    <w:rsid w:val="00020457"/>
    <w:rsid w:val="00023492"/>
    <w:rsid w:val="00024B19"/>
    <w:rsid w:val="00024E65"/>
    <w:rsid w:val="00025C3B"/>
    <w:rsid w:val="0003187F"/>
    <w:rsid w:val="0003537A"/>
    <w:rsid w:val="000371AE"/>
    <w:rsid w:val="000431A5"/>
    <w:rsid w:val="000505D2"/>
    <w:rsid w:val="00073D5C"/>
    <w:rsid w:val="00077531"/>
    <w:rsid w:val="00077B3E"/>
    <w:rsid w:val="00080A5A"/>
    <w:rsid w:val="000835D6"/>
    <w:rsid w:val="00083A47"/>
    <w:rsid w:val="000844E2"/>
    <w:rsid w:val="000C31FC"/>
    <w:rsid w:val="000C498A"/>
    <w:rsid w:val="000E1C79"/>
    <w:rsid w:val="00107B1A"/>
    <w:rsid w:val="00111306"/>
    <w:rsid w:val="001118BE"/>
    <w:rsid w:val="001304AC"/>
    <w:rsid w:val="00131EBB"/>
    <w:rsid w:val="0013691E"/>
    <w:rsid w:val="00136AF0"/>
    <w:rsid w:val="001448F8"/>
    <w:rsid w:val="0014561B"/>
    <w:rsid w:val="001464EA"/>
    <w:rsid w:val="00146AFC"/>
    <w:rsid w:val="00151EB7"/>
    <w:rsid w:val="00156A2E"/>
    <w:rsid w:val="00167DD0"/>
    <w:rsid w:val="00170F28"/>
    <w:rsid w:val="00171712"/>
    <w:rsid w:val="00175E16"/>
    <w:rsid w:val="00177395"/>
    <w:rsid w:val="00177EBB"/>
    <w:rsid w:val="00186BEC"/>
    <w:rsid w:val="001878B6"/>
    <w:rsid w:val="00194DD6"/>
    <w:rsid w:val="00197DF8"/>
    <w:rsid w:val="001A7729"/>
    <w:rsid w:val="001B1DEB"/>
    <w:rsid w:val="001C602F"/>
    <w:rsid w:val="001C6C52"/>
    <w:rsid w:val="001D083B"/>
    <w:rsid w:val="001D22DF"/>
    <w:rsid w:val="001D3C17"/>
    <w:rsid w:val="001E7ED3"/>
    <w:rsid w:val="001F008A"/>
    <w:rsid w:val="001F6FCA"/>
    <w:rsid w:val="0020288C"/>
    <w:rsid w:val="00210717"/>
    <w:rsid w:val="00215188"/>
    <w:rsid w:val="00217A74"/>
    <w:rsid w:val="0022694E"/>
    <w:rsid w:val="00227E58"/>
    <w:rsid w:val="00230FA2"/>
    <w:rsid w:val="002342CD"/>
    <w:rsid w:val="002348A7"/>
    <w:rsid w:val="00242A22"/>
    <w:rsid w:val="00254E0E"/>
    <w:rsid w:val="00262408"/>
    <w:rsid w:val="00263961"/>
    <w:rsid w:val="002740E6"/>
    <w:rsid w:val="0027721C"/>
    <w:rsid w:val="00277EE4"/>
    <w:rsid w:val="00281630"/>
    <w:rsid w:val="002852DC"/>
    <w:rsid w:val="00287B7E"/>
    <w:rsid w:val="002A6C69"/>
    <w:rsid w:val="002B13A7"/>
    <w:rsid w:val="002B59FF"/>
    <w:rsid w:val="002B5FC7"/>
    <w:rsid w:val="002B617D"/>
    <w:rsid w:val="002B7AB8"/>
    <w:rsid w:val="002C02E4"/>
    <w:rsid w:val="002C2A9E"/>
    <w:rsid w:val="002C64AA"/>
    <w:rsid w:val="002D56B0"/>
    <w:rsid w:val="002D7B31"/>
    <w:rsid w:val="002E14DA"/>
    <w:rsid w:val="002F02CC"/>
    <w:rsid w:val="002F12C3"/>
    <w:rsid w:val="0030141A"/>
    <w:rsid w:val="003049BC"/>
    <w:rsid w:val="00312C21"/>
    <w:rsid w:val="0032513B"/>
    <w:rsid w:val="00340B66"/>
    <w:rsid w:val="00343840"/>
    <w:rsid w:val="00345956"/>
    <w:rsid w:val="00350CDF"/>
    <w:rsid w:val="00352C89"/>
    <w:rsid w:val="00353460"/>
    <w:rsid w:val="00353D83"/>
    <w:rsid w:val="00354E52"/>
    <w:rsid w:val="003554DE"/>
    <w:rsid w:val="003614E5"/>
    <w:rsid w:val="00366482"/>
    <w:rsid w:val="00370FD3"/>
    <w:rsid w:val="0037292C"/>
    <w:rsid w:val="00376502"/>
    <w:rsid w:val="0039154F"/>
    <w:rsid w:val="003A49D9"/>
    <w:rsid w:val="003A5EDD"/>
    <w:rsid w:val="003A77EE"/>
    <w:rsid w:val="003B01B2"/>
    <w:rsid w:val="003B7832"/>
    <w:rsid w:val="003C2CCD"/>
    <w:rsid w:val="003C4521"/>
    <w:rsid w:val="003C485B"/>
    <w:rsid w:val="003C5B7A"/>
    <w:rsid w:val="003C664F"/>
    <w:rsid w:val="003D3884"/>
    <w:rsid w:val="003D6D34"/>
    <w:rsid w:val="003D77BF"/>
    <w:rsid w:val="003E6D60"/>
    <w:rsid w:val="003F0E61"/>
    <w:rsid w:val="003F11A2"/>
    <w:rsid w:val="003F11D4"/>
    <w:rsid w:val="003F5D14"/>
    <w:rsid w:val="004035AF"/>
    <w:rsid w:val="0040597A"/>
    <w:rsid w:val="00407A11"/>
    <w:rsid w:val="00413727"/>
    <w:rsid w:val="00433AAA"/>
    <w:rsid w:val="004363E9"/>
    <w:rsid w:val="0044201F"/>
    <w:rsid w:val="00444074"/>
    <w:rsid w:val="0045183F"/>
    <w:rsid w:val="00456D28"/>
    <w:rsid w:val="00461C1A"/>
    <w:rsid w:val="00466B44"/>
    <w:rsid w:val="00467595"/>
    <w:rsid w:val="00470ACD"/>
    <w:rsid w:val="00471EE7"/>
    <w:rsid w:val="00486E10"/>
    <w:rsid w:val="004901FA"/>
    <w:rsid w:val="00492AFE"/>
    <w:rsid w:val="004A0297"/>
    <w:rsid w:val="004A645E"/>
    <w:rsid w:val="004B19C7"/>
    <w:rsid w:val="004B4155"/>
    <w:rsid w:val="004B5F4C"/>
    <w:rsid w:val="004B7E23"/>
    <w:rsid w:val="004C2321"/>
    <w:rsid w:val="004C2CCB"/>
    <w:rsid w:val="004C6184"/>
    <w:rsid w:val="004C70F0"/>
    <w:rsid w:val="004D0608"/>
    <w:rsid w:val="004D6049"/>
    <w:rsid w:val="004E0627"/>
    <w:rsid w:val="004E60BA"/>
    <w:rsid w:val="004F4501"/>
    <w:rsid w:val="004F669C"/>
    <w:rsid w:val="004F7429"/>
    <w:rsid w:val="005013F0"/>
    <w:rsid w:val="005075B3"/>
    <w:rsid w:val="00512EF9"/>
    <w:rsid w:val="00513D18"/>
    <w:rsid w:val="00513E16"/>
    <w:rsid w:val="0052279D"/>
    <w:rsid w:val="00522E81"/>
    <w:rsid w:val="00525EAE"/>
    <w:rsid w:val="00532701"/>
    <w:rsid w:val="00536D33"/>
    <w:rsid w:val="00541D87"/>
    <w:rsid w:val="00560A94"/>
    <w:rsid w:val="00562BA6"/>
    <w:rsid w:val="00562EE2"/>
    <w:rsid w:val="00573115"/>
    <w:rsid w:val="00587970"/>
    <w:rsid w:val="00587988"/>
    <w:rsid w:val="005932C4"/>
    <w:rsid w:val="00594F31"/>
    <w:rsid w:val="005A0099"/>
    <w:rsid w:val="005A032D"/>
    <w:rsid w:val="005A0FF7"/>
    <w:rsid w:val="005B0F0B"/>
    <w:rsid w:val="005B523A"/>
    <w:rsid w:val="005D3992"/>
    <w:rsid w:val="005D3F82"/>
    <w:rsid w:val="005D7EED"/>
    <w:rsid w:val="005E3976"/>
    <w:rsid w:val="005F543A"/>
    <w:rsid w:val="006003E2"/>
    <w:rsid w:val="00603908"/>
    <w:rsid w:val="00614D85"/>
    <w:rsid w:val="006160A0"/>
    <w:rsid w:val="00624D26"/>
    <w:rsid w:val="00633FAE"/>
    <w:rsid w:val="0067491C"/>
    <w:rsid w:val="00686822"/>
    <w:rsid w:val="00696888"/>
    <w:rsid w:val="006A4BD9"/>
    <w:rsid w:val="006A6E4C"/>
    <w:rsid w:val="006B253A"/>
    <w:rsid w:val="006B2B14"/>
    <w:rsid w:val="006C1C31"/>
    <w:rsid w:val="006E3365"/>
    <w:rsid w:val="006E4D1B"/>
    <w:rsid w:val="006F1ACA"/>
    <w:rsid w:val="006F1DF0"/>
    <w:rsid w:val="00702F97"/>
    <w:rsid w:val="00705304"/>
    <w:rsid w:val="00705E95"/>
    <w:rsid w:val="00712B4A"/>
    <w:rsid w:val="00713332"/>
    <w:rsid w:val="007177F8"/>
    <w:rsid w:val="007256F0"/>
    <w:rsid w:val="007311D8"/>
    <w:rsid w:val="007314DB"/>
    <w:rsid w:val="00740A22"/>
    <w:rsid w:val="00743797"/>
    <w:rsid w:val="00744160"/>
    <w:rsid w:val="00746333"/>
    <w:rsid w:val="00750DF8"/>
    <w:rsid w:val="00757892"/>
    <w:rsid w:val="00761991"/>
    <w:rsid w:val="00761F84"/>
    <w:rsid w:val="00764751"/>
    <w:rsid w:val="00770602"/>
    <w:rsid w:val="00771CE2"/>
    <w:rsid w:val="00783948"/>
    <w:rsid w:val="007910A0"/>
    <w:rsid w:val="00796469"/>
    <w:rsid w:val="007A23D5"/>
    <w:rsid w:val="007A4BE9"/>
    <w:rsid w:val="007C1187"/>
    <w:rsid w:val="007C2A5B"/>
    <w:rsid w:val="007D159E"/>
    <w:rsid w:val="007E0B2B"/>
    <w:rsid w:val="007E1B87"/>
    <w:rsid w:val="007E31F3"/>
    <w:rsid w:val="007E7EE6"/>
    <w:rsid w:val="007F0232"/>
    <w:rsid w:val="007F1A26"/>
    <w:rsid w:val="007F6AA1"/>
    <w:rsid w:val="00802A43"/>
    <w:rsid w:val="008059C4"/>
    <w:rsid w:val="00812FA5"/>
    <w:rsid w:val="00826078"/>
    <w:rsid w:val="008262A0"/>
    <w:rsid w:val="0083225F"/>
    <w:rsid w:val="008326A8"/>
    <w:rsid w:val="00846AEF"/>
    <w:rsid w:val="00851BE6"/>
    <w:rsid w:val="00852CD0"/>
    <w:rsid w:val="00855B13"/>
    <w:rsid w:val="008566C9"/>
    <w:rsid w:val="00862E00"/>
    <w:rsid w:val="008637BB"/>
    <w:rsid w:val="00864A2C"/>
    <w:rsid w:val="008716FA"/>
    <w:rsid w:val="008750D8"/>
    <w:rsid w:val="00880E0D"/>
    <w:rsid w:val="00884455"/>
    <w:rsid w:val="00886CBA"/>
    <w:rsid w:val="008969F6"/>
    <w:rsid w:val="008A1C22"/>
    <w:rsid w:val="008A29C1"/>
    <w:rsid w:val="008A4ACF"/>
    <w:rsid w:val="008B3CA3"/>
    <w:rsid w:val="008C0E58"/>
    <w:rsid w:val="008C2E43"/>
    <w:rsid w:val="008C639B"/>
    <w:rsid w:val="008C6604"/>
    <w:rsid w:val="008D5DC7"/>
    <w:rsid w:val="008F2391"/>
    <w:rsid w:val="008F32DB"/>
    <w:rsid w:val="009054A3"/>
    <w:rsid w:val="0090570A"/>
    <w:rsid w:val="009073ED"/>
    <w:rsid w:val="00914C6A"/>
    <w:rsid w:val="009212E7"/>
    <w:rsid w:val="00921482"/>
    <w:rsid w:val="00936938"/>
    <w:rsid w:val="0094070D"/>
    <w:rsid w:val="00942733"/>
    <w:rsid w:val="009433D7"/>
    <w:rsid w:val="009450BC"/>
    <w:rsid w:val="00945934"/>
    <w:rsid w:val="009500E9"/>
    <w:rsid w:val="0096147D"/>
    <w:rsid w:val="00961ACE"/>
    <w:rsid w:val="00964F74"/>
    <w:rsid w:val="00970934"/>
    <w:rsid w:val="00973236"/>
    <w:rsid w:val="009839B1"/>
    <w:rsid w:val="0098599D"/>
    <w:rsid w:val="0099726F"/>
    <w:rsid w:val="009A0EA0"/>
    <w:rsid w:val="009A2DDB"/>
    <w:rsid w:val="009A3805"/>
    <w:rsid w:val="009A54AD"/>
    <w:rsid w:val="009B1428"/>
    <w:rsid w:val="009B4614"/>
    <w:rsid w:val="009C0E60"/>
    <w:rsid w:val="009C3CF2"/>
    <w:rsid w:val="009D458F"/>
    <w:rsid w:val="009D4A6A"/>
    <w:rsid w:val="009E58F0"/>
    <w:rsid w:val="009E72DB"/>
    <w:rsid w:val="009F03A1"/>
    <w:rsid w:val="009F05C2"/>
    <w:rsid w:val="009F1651"/>
    <w:rsid w:val="00A000FA"/>
    <w:rsid w:val="00A015BF"/>
    <w:rsid w:val="00A01CA0"/>
    <w:rsid w:val="00A06325"/>
    <w:rsid w:val="00A070BF"/>
    <w:rsid w:val="00A13F4F"/>
    <w:rsid w:val="00A221BB"/>
    <w:rsid w:val="00A24453"/>
    <w:rsid w:val="00A25A00"/>
    <w:rsid w:val="00A31D2B"/>
    <w:rsid w:val="00A36677"/>
    <w:rsid w:val="00A4003F"/>
    <w:rsid w:val="00A43553"/>
    <w:rsid w:val="00A516BB"/>
    <w:rsid w:val="00A63B01"/>
    <w:rsid w:val="00A658C1"/>
    <w:rsid w:val="00A662F3"/>
    <w:rsid w:val="00A73216"/>
    <w:rsid w:val="00A75221"/>
    <w:rsid w:val="00A76084"/>
    <w:rsid w:val="00A76405"/>
    <w:rsid w:val="00A86877"/>
    <w:rsid w:val="00A90CC7"/>
    <w:rsid w:val="00A95500"/>
    <w:rsid w:val="00A97D3F"/>
    <w:rsid w:val="00AA5B1A"/>
    <w:rsid w:val="00AB4CD3"/>
    <w:rsid w:val="00AC2E20"/>
    <w:rsid w:val="00AC3716"/>
    <w:rsid w:val="00AC41E4"/>
    <w:rsid w:val="00AC4769"/>
    <w:rsid w:val="00AC58E7"/>
    <w:rsid w:val="00AD2155"/>
    <w:rsid w:val="00AE2826"/>
    <w:rsid w:val="00AE517B"/>
    <w:rsid w:val="00AF294E"/>
    <w:rsid w:val="00AF3CBA"/>
    <w:rsid w:val="00B033DD"/>
    <w:rsid w:val="00B05B35"/>
    <w:rsid w:val="00B11E2C"/>
    <w:rsid w:val="00B1730E"/>
    <w:rsid w:val="00B44703"/>
    <w:rsid w:val="00B47A84"/>
    <w:rsid w:val="00B51CE8"/>
    <w:rsid w:val="00B51F0A"/>
    <w:rsid w:val="00B52079"/>
    <w:rsid w:val="00B5765B"/>
    <w:rsid w:val="00B65C8C"/>
    <w:rsid w:val="00B75EA1"/>
    <w:rsid w:val="00B7606E"/>
    <w:rsid w:val="00B80E4E"/>
    <w:rsid w:val="00B85096"/>
    <w:rsid w:val="00B85938"/>
    <w:rsid w:val="00BA1BE9"/>
    <w:rsid w:val="00BC0439"/>
    <w:rsid w:val="00BC0A9B"/>
    <w:rsid w:val="00BD0955"/>
    <w:rsid w:val="00BD2018"/>
    <w:rsid w:val="00BE4169"/>
    <w:rsid w:val="00BE44B8"/>
    <w:rsid w:val="00BE5F7D"/>
    <w:rsid w:val="00BE642D"/>
    <w:rsid w:val="00BF02AE"/>
    <w:rsid w:val="00BF0591"/>
    <w:rsid w:val="00BF729A"/>
    <w:rsid w:val="00C00B11"/>
    <w:rsid w:val="00C07B3F"/>
    <w:rsid w:val="00C136FF"/>
    <w:rsid w:val="00C30997"/>
    <w:rsid w:val="00C30F09"/>
    <w:rsid w:val="00C335A0"/>
    <w:rsid w:val="00C40BC7"/>
    <w:rsid w:val="00C45251"/>
    <w:rsid w:val="00C51718"/>
    <w:rsid w:val="00C57A15"/>
    <w:rsid w:val="00C57DDF"/>
    <w:rsid w:val="00C660C8"/>
    <w:rsid w:val="00C73279"/>
    <w:rsid w:val="00C73A0E"/>
    <w:rsid w:val="00C861FA"/>
    <w:rsid w:val="00C87CEF"/>
    <w:rsid w:val="00C939B9"/>
    <w:rsid w:val="00CA37C2"/>
    <w:rsid w:val="00CB24E6"/>
    <w:rsid w:val="00CB602E"/>
    <w:rsid w:val="00CC160E"/>
    <w:rsid w:val="00CC3B1C"/>
    <w:rsid w:val="00CC426F"/>
    <w:rsid w:val="00CC7E8D"/>
    <w:rsid w:val="00CD0B63"/>
    <w:rsid w:val="00CD1671"/>
    <w:rsid w:val="00CD1DC7"/>
    <w:rsid w:val="00CD4C47"/>
    <w:rsid w:val="00CD4F47"/>
    <w:rsid w:val="00CD5F2B"/>
    <w:rsid w:val="00CE2623"/>
    <w:rsid w:val="00CE3A51"/>
    <w:rsid w:val="00CF12F0"/>
    <w:rsid w:val="00CF47C5"/>
    <w:rsid w:val="00D005BF"/>
    <w:rsid w:val="00D00C73"/>
    <w:rsid w:val="00D161EC"/>
    <w:rsid w:val="00D3021B"/>
    <w:rsid w:val="00D3354C"/>
    <w:rsid w:val="00D4465F"/>
    <w:rsid w:val="00D50B18"/>
    <w:rsid w:val="00D55F2A"/>
    <w:rsid w:val="00D61D36"/>
    <w:rsid w:val="00D6382E"/>
    <w:rsid w:val="00D64858"/>
    <w:rsid w:val="00D64BE7"/>
    <w:rsid w:val="00D64D7D"/>
    <w:rsid w:val="00D75779"/>
    <w:rsid w:val="00D81233"/>
    <w:rsid w:val="00D85D53"/>
    <w:rsid w:val="00D86F08"/>
    <w:rsid w:val="00D909E7"/>
    <w:rsid w:val="00D914C0"/>
    <w:rsid w:val="00D91675"/>
    <w:rsid w:val="00DA043C"/>
    <w:rsid w:val="00DA3B03"/>
    <w:rsid w:val="00DA7862"/>
    <w:rsid w:val="00DB1C2D"/>
    <w:rsid w:val="00DD1257"/>
    <w:rsid w:val="00DD1D70"/>
    <w:rsid w:val="00DD4E57"/>
    <w:rsid w:val="00DD57DE"/>
    <w:rsid w:val="00DE0A54"/>
    <w:rsid w:val="00DE3613"/>
    <w:rsid w:val="00DE4B8C"/>
    <w:rsid w:val="00DE4C15"/>
    <w:rsid w:val="00E018D8"/>
    <w:rsid w:val="00E030DA"/>
    <w:rsid w:val="00E0387D"/>
    <w:rsid w:val="00E114E4"/>
    <w:rsid w:val="00E1178C"/>
    <w:rsid w:val="00E12030"/>
    <w:rsid w:val="00E17925"/>
    <w:rsid w:val="00E20DD1"/>
    <w:rsid w:val="00E22CF3"/>
    <w:rsid w:val="00E235A6"/>
    <w:rsid w:val="00E30D13"/>
    <w:rsid w:val="00E338E1"/>
    <w:rsid w:val="00E42D40"/>
    <w:rsid w:val="00E44F62"/>
    <w:rsid w:val="00E50FC6"/>
    <w:rsid w:val="00E53270"/>
    <w:rsid w:val="00E612CF"/>
    <w:rsid w:val="00E7244E"/>
    <w:rsid w:val="00E83984"/>
    <w:rsid w:val="00E85646"/>
    <w:rsid w:val="00E85AC6"/>
    <w:rsid w:val="00E95E3C"/>
    <w:rsid w:val="00E96FEC"/>
    <w:rsid w:val="00EB7FAE"/>
    <w:rsid w:val="00EC0AE7"/>
    <w:rsid w:val="00ED39BB"/>
    <w:rsid w:val="00EE3CB0"/>
    <w:rsid w:val="00EF031C"/>
    <w:rsid w:val="00F018C1"/>
    <w:rsid w:val="00F10ACF"/>
    <w:rsid w:val="00F140C2"/>
    <w:rsid w:val="00F30D21"/>
    <w:rsid w:val="00F43404"/>
    <w:rsid w:val="00F45F9A"/>
    <w:rsid w:val="00F513C6"/>
    <w:rsid w:val="00F52D5B"/>
    <w:rsid w:val="00F52F0C"/>
    <w:rsid w:val="00F60739"/>
    <w:rsid w:val="00F60A97"/>
    <w:rsid w:val="00F62B00"/>
    <w:rsid w:val="00F641E9"/>
    <w:rsid w:val="00F715A0"/>
    <w:rsid w:val="00F815AE"/>
    <w:rsid w:val="00F84CAA"/>
    <w:rsid w:val="00F903CA"/>
    <w:rsid w:val="00F91F38"/>
    <w:rsid w:val="00F94E9F"/>
    <w:rsid w:val="00FA4C32"/>
    <w:rsid w:val="00FA4CFF"/>
    <w:rsid w:val="00FA54FA"/>
    <w:rsid w:val="00FA570A"/>
    <w:rsid w:val="00FB5BC1"/>
    <w:rsid w:val="00FC3A53"/>
    <w:rsid w:val="00FD1DF5"/>
    <w:rsid w:val="00FD5AB5"/>
    <w:rsid w:val="00FE0478"/>
    <w:rsid w:val="00FE3A64"/>
    <w:rsid w:val="00FE73CA"/>
    <w:rsid w:val="00FE7FFE"/>
    <w:rsid w:val="00FF3857"/>
    <w:rsid w:val="00FF41EF"/>
    <w:rsid w:val="00FF4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F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imes New Roman"/>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4" w:qFormat="1"/>
    <w:lsdException w:name="List Bullet 3" w:uiPriority="4" w:qFormat="1"/>
    <w:lsdException w:name="List Bullet 4" w:uiPriority="4"/>
    <w:lsdException w:name="List Bullet 5" w:semiHidden="1" w:uiPriority="4"/>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C1"/>
    <w:rPr>
      <w:lang w:val="de-AT"/>
    </w:rPr>
  </w:style>
  <w:style w:type="paragraph" w:styleId="Heading1">
    <w:name w:val="heading 1"/>
    <w:basedOn w:val="Normal"/>
    <w:next w:val="Normal"/>
    <w:link w:val="Heading1Char"/>
    <w:uiPriority w:val="9"/>
    <w:qFormat/>
    <w:rsid w:val="007177F8"/>
    <w:pPr>
      <w:keepNext/>
      <w:keepLines/>
      <w:numPr>
        <w:numId w:val="5"/>
      </w:numPr>
      <w:spacing w:before="360" w:after="120"/>
      <w:ind w:right="851"/>
      <w:outlineLvl w:val="0"/>
    </w:pPr>
    <w:rPr>
      <w:b/>
      <w:color w:val="991239"/>
      <w:sz w:val="28"/>
      <w:szCs w:val="28"/>
      <w:lang w:val="de-DE"/>
    </w:rPr>
  </w:style>
  <w:style w:type="paragraph" w:styleId="Heading2">
    <w:name w:val="heading 2"/>
    <w:basedOn w:val="Normal"/>
    <w:next w:val="Normal"/>
    <w:link w:val="Heading2Char"/>
    <w:uiPriority w:val="9"/>
    <w:qFormat/>
    <w:rsid w:val="00513D18"/>
    <w:pPr>
      <w:keepNext/>
      <w:numPr>
        <w:ilvl w:val="1"/>
        <w:numId w:val="5"/>
      </w:numPr>
      <w:spacing w:before="240" w:after="60"/>
      <w:outlineLvl w:val="1"/>
    </w:pPr>
    <w:rPr>
      <w:rFonts w:cs="Arial"/>
      <w:bCs/>
      <w:iCs/>
      <w:color w:val="991239"/>
      <w:sz w:val="24"/>
      <w:szCs w:val="24"/>
    </w:rPr>
  </w:style>
  <w:style w:type="paragraph" w:styleId="Heading3">
    <w:name w:val="heading 3"/>
    <w:basedOn w:val="Normal"/>
    <w:next w:val="Normal"/>
    <w:uiPriority w:val="9"/>
    <w:qFormat/>
    <w:rsid w:val="000144F9"/>
    <w:pPr>
      <w:keepNext/>
      <w:numPr>
        <w:ilvl w:val="2"/>
        <w:numId w:val="5"/>
      </w:numPr>
      <w:spacing w:before="240" w:after="60"/>
      <w:outlineLvl w:val="2"/>
    </w:pPr>
    <w:rPr>
      <w:rFonts w:cs="Arial"/>
      <w:b/>
      <w:bCs/>
      <w:sz w:val="26"/>
      <w:szCs w:val="26"/>
    </w:rPr>
  </w:style>
  <w:style w:type="paragraph" w:styleId="Heading4">
    <w:name w:val="heading 4"/>
    <w:basedOn w:val="Normal"/>
    <w:next w:val="Normal"/>
    <w:link w:val="Heading4Char"/>
    <w:uiPriority w:val="9"/>
    <w:semiHidden/>
    <w:qFormat/>
    <w:rsid w:val="008262A0"/>
    <w:pPr>
      <w:keepNext/>
      <w:keepLines/>
      <w:numPr>
        <w:ilvl w:val="3"/>
        <w:numId w:val="5"/>
      </w:numPr>
      <w:spacing w:before="40"/>
      <w:outlineLvl w:val="3"/>
    </w:pPr>
    <w:rPr>
      <w:rFonts w:asciiTheme="majorHAnsi" w:eastAsiaTheme="majorEastAsia" w:hAnsiTheme="majorHAnsi" w:cstheme="majorBidi"/>
      <w:i/>
      <w:iCs/>
      <w:color w:val="720026" w:themeColor="accent1" w:themeShade="BF"/>
    </w:rPr>
  </w:style>
  <w:style w:type="paragraph" w:styleId="Heading5">
    <w:name w:val="heading 5"/>
    <w:basedOn w:val="Normal"/>
    <w:next w:val="Normal"/>
    <w:link w:val="Heading5Char"/>
    <w:uiPriority w:val="9"/>
    <w:semiHidden/>
    <w:qFormat/>
    <w:rsid w:val="008262A0"/>
    <w:pPr>
      <w:keepNext/>
      <w:keepLines/>
      <w:numPr>
        <w:ilvl w:val="4"/>
        <w:numId w:val="5"/>
      </w:numPr>
      <w:spacing w:before="40"/>
      <w:outlineLvl w:val="4"/>
    </w:pPr>
    <w:rPr>
      <w:rFonts w:asciiTheme="majorHAnsi" w:eastAsiaTheme="majorEastAsia" w:hAnsiTheme="majorHAnsi" w:cstheme="majorBidi"/>
      <w:color w:val="720026" w:themeColor="accent1" w:themeShade="BF"/>
    </w:rPr>
  </w:style>
  <w:style w:type="paragraph" w:styleId="Heading6">
    <w:name w:val="heading 6"/>
    <w:basedOn w:val="Normal"/>
    <w:next w:val="Normal"/>
    <w:link w:val="Heading6Char"/>
    <w:uiPriority w:val="9"/>
    <w:semiHidden/>
    <w:qFormat/>
    <w:rsid w:val="008262A0"/>
    <w:pPr>
      <w:keepNext/>
      <w:keepLines/>
      <w:numPr>
        <w:ilvl w:val="5"/>
        <w:numId w:val="5"/>
      </w:numPr>
      <w:spacing w:before="40"/>
      <w:outlineLvl w:val="5"/>
    </w:pPr>
    <w:rPr>
      <w:rFonts w:asciiTheme="majorHAnsi" w:eastAsiaTheme="majorEastAsia" w:hAnsiTheme="majorHAnsi" w:cstheme="majorBidi"/>
      <w:color w:val="4C0019" w:themeColor="accent1" w:themeShade="7F"/>
    </w:rPr>
  </w:style>
  <w:style w:type="paragraph" w:styleId="Heading7">
    <w:name w:val="heading 7"/>
    <w:basedOn w:val="Normal"/>
    <w:next w:val="Normal"/>
    <w:link w:val="Heading7Char"/>
    <w:uiPriority w:val="9"/>
    <w:semiHidden/>
    <w:qFormat/>
    <w:rsid w:val="008262A0"/>
    <w:pPr>
      <w:keepNext/>
      <w:keepLines/>
      <w:numPr>
        <w:ilvl w:val="6"/>
        <w:numId w:val="5"/>
      </w:numPr>
      <w:spacing w:before="40"/>
      <w:outlineLvl w:val="6"/>
    </w:pPr>
    <w:rPr>
      <w:rFonts w:asciiTheme="majorHAnsi" w:eastAsiaTheme="majorEastAsia" w:hAnsiTheme="majorHAnsi" w:cstheme="majorBidi"/>
      <w:i/>
      <w:iCs/>
      <w:color w:val="4C0019" w:themeColor="accent1" w:themeShade="7F"/>
    </w:rPr>
  </w:style>
  <w:style w:type="paragraph" w:styleId="Heading8">
    <w:name w:val="heading 8"/>
    <w:basedOn w:val="Normal"/>
    <w:next w:val="Normal"/>
    <w:link w:val="Heading8Char"/>
    <w:uiPriority w:val="9"/>
    <w:semiHidden/>
    <w:qFormat/>
    <w:rsid w:val="008262A0"/>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8262A0"/>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5DC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DC7"/>
    <w:rPr>
      <w:rFonts w:ascii="Tahoma" w:hAnsi="Tahoma" w:cs="Tahoma"/>
      <w:sz w:val="16"/>
      <w:szCs w:val="16"/>
    </w:rPr>
  </w:style>
  <w:style w:type="paragraph" w:styleId="Header">
    <w:name w:val="header"/>
    <w:basedOn w:val="Normal"/>
    <w:uiPriority w:val="99"/>
    <w:semiHidden/>
    <w:rsid w:val="000144F9"/>
    <w:pPr>
      <w:tabs>
        <w:tab w:val="center" w:pos="4536"/>
        <w:tab w:val="right" w:pos="9072"/>
      </w:tabs>
    </w:pPr>
  </w:style>
  <w:style w:type="paragraph" w:styleId="Footer">
    <w:name w:val="footer"/>
    <w:basedOn w:val="Normal"/>
    <w:uiPriority w:val="99"/>
    <w:semiHidden/>
    <w:rsid w:val="00FF46EC"/>
    <w:pPr>
      <w:tabs>
        <w:tab w:val="center" w:pos="4536"/>
        <w:tab w:val="right" w:pos="9072"/>
      </w:tabs>
      <w:ind w:right="32"/>
      <w:jc w:val="right"/>
    </w:pPr>
    <w:rPr>
      <w:rFonts w:cs="Arial"/>
      <w:sz w:val="15"/>
      <w:szCs w:val="15"/>
      <w:lang w:val="de-DE"/>
    </w:rPr>
  </w:style>
  <w:style w:type="character" w:customStyle="1" w:styleId="Platzhaltertext1">
    <w:name w:val="Platzhaltertext1"/>
    <w:basedOn w:val="DefaultParagraphFont"/>
    <w:uiPriority w:val="99"/>
    <w:semiHidden/>
    <w:rsid w:val="008059C4"/>
    <w:rPr>
      <w:color w:val="808080"/>
    </w:rPr>
  </w:style>
  <w:style w:type="character" w:customStyle="1" w:styleId="Standard8ptZchn">
    <w:name w:val="Standard 8 pt Zchn"/>
    <w:basedOn w:val="DefaultParagraphFont"/>
    <w:link w:val="Standard8pt"/>
    <w:rsid w:val="00686822"/>
    <w:rPr>
      <w:rFonts w:eastAsia="Times New Roman" w:cs="Arial"/>
      <w:sz w:val="16"/>
      <w:szCs w:val="16"/>
      <w:lang w:val="de-AT" w:eastAsia="de-AT"/>
    </w:rPr>
  </w:style>
  <w:style w:type="paragraph" w:customStyle="1" w:styleId="HInweis">
    <w:name w:val="HInweis"/>
    <w:basedOn w:val="Normal"/>
    <w:uiPriority w:val="3"/>
    <w:qFormat/>
    <w:rsid w:val="007910A0"/>
    <w:pPr>
      <w:ind w:right="-89"/>
    </w:pPr>
    <w:rPr>
      <w:sz w:val="18"/>
    </w:rPr>
  </w:style>
  <w:style w:type="table" w:styleId="TableGrid">
    <w:name w:val="Table Grid"/>
    <w:basedOn w:val="TableNormal"/>
    <w:rsid w:val="00E44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36938"/>
    <w:pPr>
      <w:spacing w:after="600" w:line="280" w:lineRule="atLeast"/>
      <w:ind w:right="851"/>
    </w:pPr>
    <w:rPr>
      <w:b/>
      <w:color w:val="990033" w:themeColor="accent1"/>
      <w:sz w:val="36"/>
      <w:szCs w:val="40"/>
      <w:lang w:val="de-DE"/>
    </w:rPr>
  </w:style>
  <w:style w:type="character" w:customStyle="1" w:styleId="TitleChar">
    <w:name w:val="Title Char"/>
    <w:basedOn w:val="DefaultParagraphFont"/>
    <w:link w:val="Title"/>
    <w:uiPriority w:val="10"/>
    <w:rsid w:val="00936938"/>
    <w:rPr>
      <w:b/>
      <w:color w:val="990033" w:themeColor="accent1"/>
      <w:sz w:val="36"/>
      <w:szCs w:val="40"/>
      <w:lang w:val="de-DE"/>
    </w:rPr>
  </w:style>
  <w:style w:type="paragraph" w:styleId="ListBullet">
    <w:name w:val="List Bullet"/>
    <w:basedOn w:val="Normal"/>
    <w:uiPriority w:val="4"/>
    <w:rsid w:val="00CC7E8D"/>
    <w:pPr>
      <w:numPr>
        <w:numId w:val="2"/>
      </w:numPr>
      <w:ind w:right="850"/>
      <w:contextualSpacing/>
    </w:pPr>
  </w:style>
  <w:style w:type="paragraph" w:styleId="ListBullet2">
    <w:name w:val="List Bullet 2"/>
    <w:basedOn w:val="Normal"/>
    <w:uiPriority w:val="4"/>
    <w:qFormat/>
    <w:rsid w:val="00855B13"/>
    <w:pPr>
      <w:numPr>
        <w:ilvl w:val="1"/>
        <w:numId w:val="2"/>
      </w:numPr>
      <w:tabs>
        <w:tab w:val="clear" w:pos="568"/>
        <w:tab w:val="left" w:pos="567"/>
      </w:tabs>
      <w:ind w:right="850"/>
    </w:pPr>
    <w:rPr>
      <w:rFonts w:eastAsiaTheme="minorHAnsi" w:cstheme="minorBidi"/>
      <w:b/>
      <w:szCs w:val="20"/>
      <w:lang w:val="de-DE"/>
    </w:rPr>
  </w:style>
  <w:style w:type="paragraph" w:styleId="ListBullet3">
    <w:name w:val="List Bullet 3"/>
    <w:basedOn w:val="Normal"/>
    <w:uiPriority w:val="4"/>
    <w:qFormat/>
    <w:rsid w:val="00CC7E8D"/>
    <w:pPr>
      <w:numPr>
        <w:ilvl w:val="2"/>
        <w:numId w:val="2"/>
      </w:numPr>
      <w:ind w:right="850"/>
      <w:contextualSpacing/>
    </w:pPr>
    <w:rPr>
      <w:rFonts w:eastAsiaTheme="minorHAnsi" w:cstheme="minorBidi"/>
      <w:szCs w:val="20"/>
    </w:rPr>
  </w:style>
  <w:style w:type="paragraph" w:styleId="ListBullet4">
    <w:name w:val="List Bullet 4"/>
    <w:basedOn w:val="Normal"/>
    <w:uiPriority w:val="4"/>
    <w:semiHidden/>
    <w:rsid w:val="009F05C2"/>
    <w:pPr>
      <w:numPr>
        <w:ilvl w:val="3"/>
        <w:numId w:val="2"/>
      </w:numPr>
      <w:spacing w:before="120" w:line="26" w:lineRule="atLeast"/>
      <w:contextualSpacing/>
    </w:pPr>
    <w:rPr>
      <w:rFonts w:eastAsiaTheme="minorHAnsi" w:cstheme="minorBidi"/>
      <w:sz w:val="20"/>
      <w:szCs w:val="20"/>
    </w:rPr>
  </w:style>
  <w:style w:type="paragraph" w:customStyle="1" w:styleId="Standard8pt">
    <w:name w:val="Standard 8 pt"/>
    <w:basedOn w:val="Normal"/>
    <w:link w:val="Standard8ptZchn"/>
    <w:qFormat/>
    <w:rsid w:val="00686822"/>
    <w:rPr>
      <w:rFonts w:eastAsia="Times New Roman" w:cs="Arial"/>
      <w:sz w:val="16"/>
      <w:szCs w:val="16"/>
      <w:lang w:eastAsia="de-AT"/>
    </w:rPr>
  </w:style>
  <w:style w:type="character" w:styleId="PlaceholderText">
    <w:name w:val="Placeholder Text"/>
    <w:basedOn w:val="DefaultParagraphFont"/>
    <w:uiPriority w:val="99"/>
    <w:semiHidden/>
    <w:rsid w:val="009F05C2"/>
    <w:rPr>
      <w:color w:val="808080"/>
    </w:rPr>
  </w:style>
  <w:style w:type="paragraph" w:styleId="ListParagraph">
    <w:name w:val="List Paragraph"/>
    <w:basedOn w:val="Normal"/>
    <w:uiPriority w:val="34"/>
    <w:qFormat/>
    <w:rsid w:val="009F05C2"/>
    <w:pPr>
      <w:ind w:left="720"/>
      <w:contextualSpacing/>
    </w:pPr>
  </w:style>
  <w:style w:type="numbering" w:customStyle="1" w:styleId="Aufzhlung">
    <w:name w:val="Aufzählung"/>
    <w:basedOn w:val="NoList"/>
    <w:uiPriority w:val="99"/>
    <w:rsid w:val="009F05C2"/>
    <w:pPr>
      <w:numPr>
        <w:numId w:val="1"/>
      </w:numPr>
    </w:pPr>
  </w:style>
  <w:style w:type="paragraph" w:styleId="ListBullet5">
    <w:name w:val="List Bullet 5"/>
    <w:basedOn w:val="Normal"/>
    <w:uiPriority w:val="4"/>
    <w:semiHidden/>
    <w:rsid w:val="009F05C2"/>
    <w:pPr>
      <w:numPr>
        <w:ilvl w:val="4"/>
        <w:numId w:val="2"/>
      </w:numPr>
      <w:spacing w:before="120" w:line="26" w:lineRule="atLeast"/>
      <w:contextualSpacing/>
    </w:pPr>
    <w:rPr>
      <w:rFonts w:eastAsiaTheme="minorHAnsi" w:cstheme="minorBidi"/>
      <w:sz w:val="20"/>
      <w:szCs w:val="20"/>
    </w:rPr>
  </w:style>
  <w:style w:type="character" w:customStyle="1" w:styleId="Heading1Char">
    <w:name w:val="Heading 1 Char"/>
    <w:basedOn w:val="DefaultParagraphFont"/>
    <w:link w:val="Heading1"/>
    <w:uiPriority w:val="9"/>
    <w:rsid w:val="007177F8"/>
    <w:rPr>
      <w:b/>
      <w:color w:val="991239"/>
      <w:sz w:val="28"/>
      <w:szCs w:val="28"/>
      <w:lang w:val="de-DE"/>
    </w:rPr>
  </w:style>
  <w:style w:type="character" w:styleId="Hyperlink">
    <w:name w:val="Hyperlink"/>
    <w:basedOn w:val="DefaultParagraphFont"/>
    <w:uiPriority w:val="99"/>
    <w:unhideWhenUsed/>
    <w:rsid w:val="00CF12F0"/>
    <w:rPr>
      <w:color w:val="auto"/>
      <w:u w:val="single"/>
    </w:rPr>
  </w:style>
  <w:style w:type="character" w:customStyle="1" w:styleId="NichtaufgelsteErwhnung1">
    <w:name w:val="Nicht aufgelöste Erwähnung1"/>
    <w:basedOn w:val="DefaultParagraphFont"/>
    <w:uiPriority w:val="99"/>
    <w:semiHidden/>
    <w:unhideWhenUsed/>
    <w:rsid w:val="00CF12F0"/>
    <w:rPr>
      <w:color w:val="808080"/>
      <w:shd w:val="clear" w:color="auto" w:fill="E6E6E6"/>
    </w:rPr>
  </w:style>
  <w:style w:type="character" w:styleId="CommentReference">
    <w:name w:val="annotation reference"/>
    <w:basedOn w:val="DefaultParagraphFont"/>
    <w:semiHidden/>
    <w:unhideWhenUsed/>
    <w:rsid w:val="00594F31"/>
    <w:rPr>
      <w:sz w:val="16"/>
      <w:szCs w:val="16"/>
    </w:rPr>
  </w:style>
  <w:style w:type="paragraph" w:styleId="CommentText">
    <w:name w:val="annotation text"/>
    <w:basedOn w:val="Normal"/>
    <w:link w:val="CommentTextChar"/>
    <w:unhideWhenUsed/>
    <w:rsid w:val="00594F31"/>
    <w:pPr>
      <w:spacing w:line="240" w:lineRule="auto"/>
    </w:pPr>
    <w:rPr>
      <w:sz w:val="20"/>
      <w:szCs w:val="20"/>
    </w:rPr>
  </w:style>
  <w:style w:type="character" w:customStyle="1" w:styleId="CommentTextChar">
    <w:name w:val="Comment Text Char"/>
    <w:basedOn w:val="DefaultParagraphFont"/>
    <w:link w:val="CommentText"/>
    <w:rsid w:val="00594F31"/>
    <w:rPr>
      <w:sz w:val="20"/>
      <w:szCs w:val="20"/>
      <w:lang w:val="de-AT"/>
    </w:rPr>
  </w:style>
  <w:style w:type="paragraph" w:styleId="CommentSubject">
    <w:name w:val="annotation subject"/>
    <w:basedOn w:val="CommentText"/>
    <w:next w:val="CommentText"/>
    <w:link w:val="CommentSubjectChar"/>
    <w:uiPriority w:val="99"/>
    <w:semiHidden/>
    <w:unhideWhenUsed/>
    <w:rsid w:val="00594F31"/>
    <w:rPr>
      <w:b/>
      <w:bCs/>
    </w:rPr>
  </w:style>
  <w:style w:type="character" w:customStyle="1" w:styleId="CommentSubjectChar">
    <w:name w:val="Comment Subject Char"/>
    <w:basedOn w:val="CommentTextChar"/>
    <w:link w:val="CommentSubject"/>
    <w:uiPriority w:val="99"/>
    <w:semiHidden/>
    <w:rsid w:val="00594F31"/>
    <w:rPr>
      <w:b/>
      <w:bCs/>
      <w:sz w:val="20"/>
      <w:szCs w:val="20"/>
      <w:lang w:val="de-AT"/>
    </w:rPr>
  </w:style>
  <w:style w:type="paragraph" w:customStyle="1" w:styleId="FuzeileFolgeseite">
    <w:name w:val="Fußzeile Folgeseite"/>
    <w:basedOn w:val="Footer"/>
    <w:uiPriority w:val="99"/>
    <w:semiHidden/>
    <w:rsid w:val="007910A0"/>
    <w:pPr>
      <w:spacing w:after="360"/>
      <w:ind w:right="0"/>
    </w:pPr>
    <w:rPr>
      <w:lang w:val="de-AT"/>
    </w:rPr>
  </w:style>
  <w:style w:type="paragraph" w:customStyle="1" w:styleId="Titel2">
    <w:name w:val="Titel 2"/>
    <w:basedOn w:val="Title"/>
    <w:uiPriority w:val="10"/>
    <w:qFormat/>
    <w:rsid w:val="005D3F82"/>
  </w:style>
  <w:style w:type="paragraph" w:styleId="Subtitle">
    <w:name w:val="Subtitle"/>
    <w:basedOn w:val="Normal"/>
    <w:next w:val="Normal"/>
    <w:link w:val="SubtitleChar"/>
    <w:uiPriority w:val="11"/>
    <w:qFormat/>
    <w:rsid w:val="00370FD3"/>
    <w:pPr>
      <w:ind w:right="851"/>
    </w:pPr>
    <w:rPr>
      <w:color w:val="FFFFFF"/>
      <w:sz w:val="28"/>
      <w:szCs w:val="28"/>
      <w:lang w:val="de-DE"/>
    </w:rPr>
  </w:style>
  <w:style w:type="character" w:customStyle="1" w:styleId="SubtitleChar">
    <w:name w:val="Subtitle Char"/>
    <w:basedOn w:val="DefaultParagraphFont"/>
    <w:link w:val="Subtitle"/>
    <w:uiPriority w:val="11"/>
    <w:rsid w:val="00370FD3"/>
    <w:rPr>
      <w:color w:val="FFFFFF"/>
      <w:sz w:val="28"/>
      <w:szCs w:val="28"/>
      <w:lang w:val="de-DE"/>
    </w:rPr>
  </w:style>
  <w:style w:type="paragraph" w:styleId="NoSpacing">
    <w:name w:val="No Spacing"/>
    <w:uiPriority w:val="1"/>
    <w:qFormat/>
    <w:rsid w:val="007910A0"/>
    <w:rPr>
      <w:lang w:val="de-AT"/>
    </w:rPr>
  </w:style>
  <w:style w:type="paragraph" w:customStyle="1" w:styleId="FuzeileS1">
    <w:name w:val="Fußzeile S1"/>
    <w:basedOn w:val="Normal"/>
    <w:uiPriority w:val="99"/>
    <w:semiHidden/>
    <w:qFormat/>
    <w:rsid w:val="00744160"/>
    <w:pPr>
      <w:spacing w:before="1720" w:after="85" w:line="170" w:lineRule="exact"/>
      <w:ind w:right="851"/>
      <w:jc w:val="right"/>
    </w:pPr>
    <w:rPr>
      <w:noProof/>
      <w:sz w:val="15"/>
      <w:szCs w:val="15"/>
    </w:rPr>
  </w:style>
  <w:style w:type="paragraph" w:customStyle="1" w:styleId="FuzeileAdresse">
    <w:name w:val="Fußzeile Adresse"/>
    <w:basedOn w:val="Normal"/>
    <w:uiPriority w:val="99"/>
    <w:semiHidden/>
    <w:qFormat/>
    <w:rsid w:val="00744160"/>
    <w:pPr>
      <w:tabs>
        <w:tab w:val="left" w:pos="1246"/>
        <w:tab w:val="left" w:pos="3052"/>
        <w:tab w:val="right" w:pos="9923"/>
      </w:tabs>
      <w:spacing w:after="85" w:line="170" w:lineRule="exact"/>
    </w:pPr>
    <w:rPr>
      <w:sz w:val="15"/>
      <w:szCs w:val="15"/>
    </w:rPr>
  </w:style>
  <w:style w:type="character" w:styleId="Strong">
    <w:name w:val="Strong"/>
    <w:basedOn w:val="DefaultParagraphFont"/>
    <w:qFormat/>
    <w:rsid w:val="00614D85"/>
    <w:rPr>
      <w:b/>
      <w:bCs/>
    </w:rPr>
  </w:style>
  <w:style w:type="paragraph" w:styleId="FootnoteText">
    <w:name w:val="footnote text"/>
    <w:basedOn w:val="Normal"/>
    <w:link w:val="FootnoteTextChar"/>
    <w:uiPriority w:val="99"/>
    <w:semiHidden/>
    <w:unhideWhenUsed/>
    <w:rsid w:val="00573115"/>
    <w:pPr>
      <w:spacing w:line="240" w:lineRule="auto"/>
    </w:pPr>
    <w:rPr>
      <w:sz w:val="20"/>
      <w:szCs w:val="20"/>
    </w:rPr>
  </w:style>
  <w:style w:type="character" w:customStyle="1" w:styleId="FootnoteTextChar">
    <w:name w:val="Footnote Text Char"/>
    <w:basedOn w:val="DefaultParagraphFont"/>
    <w:link w:val="FootnoteText"/>
    <w:uiPriority w:val="99"/>
    <w:semiHidden/>
    <w:rsid w:val="00573115"/>
    <w:rPr>
      <w:sz w:val="20"/>
      <w:szCs w:val="20"/>
      <w:lang w:val="de-AT"/>
    </w:rPr>
  </w:style>
  <w:style w:type="character" w:styleId="FootnoteReference">
    <w:name w:val="footnote reference"/>
    <w:basedOn w:val="DefaultParagraphFont"/>
    <w:uiPriority w:val="99"/>
    <w:semiHidden/>
    <w:unhideWhenUsed/>
    <w:rsid w:val="00573115"/>
    <w:rPr>
      <w:vertAlign w:val="superscript"/>
    </w:rPr>
  </w:style>
  <w:style w:type="paragraph" w:customStyle="1" w:styleId="Tabelle">
    <w:name w:val="Tabelle"/>
    <w:basedOn w:val="Normal"/>
    <w:qFormat/>
    <w:rsid w:val="002740E6"/>
    <w:pPr>
      <w:keepNext/>
      <w:spacing w:line="240" w:lineRule="atLeast"/>
      <w:jc w:val="center"/>
    </w:pPr>
    <w:rPr>
      <w:rFonts w:ascii="Arial" w:eastAsiaTheme="minorHAnsi" w:hAnsi="Arial" w:cstheme="minorBidi"/>
      <w:sz w:val="18"/>
      <w:szCs w:val="20"/>
      <w:lang w:val="de-DE"/>
    </w:rPr>
  </w:style>
  <w:style w:type="paragraph" w:styleId="BodyText">
    <w:name w:val="Body Text"/>
    <w:basedOn w:val="Normal"/>
    <w:link w:val="BodyTextChar"/>
    <w:rsid w:val="002740E6"/>
    <w:pPr>
      <w:spacing w:after="120"/>
    </w:pPr>
    <w:rPr>
      <w:rFonts w:ascii="Arial" w:eastAsia="Arial" w:hAnsi="Arial" w:cs="Arial"/>
      <w:color w:val="4D4D4D"/>
      <w:sz w:val="19"/>
      <w:szCs w:val="19"/>
    </w:rPr>
  </w:style>
  <w:style w:type="character" w:customStyle="1" w:styleId="BodyTextChar">
    <w:name w:val="Body Text Char"/>
    <w:basedOn w:val="DefaultParagraphFont"/>
    <w:link w:val="BodyText"/>
    <w:rsid w:val="002740E6"/>
    <w:rPr>
      <w:rFonts w:ascii="Arial" w:eastAsia="Arial" w:hAnsi="Arial" w:cs="Arial"/>
      <w:color w:val="4D4D4D"/>
      <w:sz w:val="19"/>
      <w:szCs w:val="19"/>
      <w:lang w:val="de-AT"/>
    </w:rPr>
  </w:style>
  <w:style w:type="character" w:customStyle="1" w:styleId="Heading4Char">
    <w:name w:val="Heading 4 Char"/>
    <w:basedOn w:val="DefaultParagraphFont"/>
    <w:link w:val="Heading4"/>
    <w:uiPriority w:val="9"/>
    <w:semiHidden/>
    <w:rsid w:val="008262A0"/>
    <w:rPr>
      <w:rFonts w:asciiTheme="majorHAnsi" w:eastAsiaTheme="majorEastAsia" w:hAnsiTheme="majorHAnsi" w:cstheme="majorBidi"/>
      <w:i/>
      <w:iCs/>
      <w:color w:val="720026" w:themeColor="accent1" w:themeShade="BF"/>
      <w:lang w:val="de-AT"/>
    </w:rPr>
  </w:style>
  <w:style w:type="character" w:customStyle="1" w:styleId="Heading5Char">
    <w:name w:val="Heading 5 Char"/>
    <w:basedOn w:val="DefaultParagraphFont"/>
    <w:link w:val="Heading5"/>
    <w:uiPriority w:val="9"/>
    <w:semiHidden/>
    <w:rsid w:val="008262A0"/>
    <w:rPr>
      <w:rFonts w:asciiTheme="majorHAnsi" w:eastAsiaTheme="majorEastAsia" w:hAnsiTheme="majorHAnsi" w:cstheme="majorBidi"/>
      <w:color w:val="720026" w:themeColor="accent1" w:themeShade="BF"/>
      <w:lang w:val="de-AT"/>
    </w:rPr>
  </w:style>
  <w:style w:type="character" w:customStyle="1" w:styleId="Heading6Char">
    <w:name w:val="Heading 6 Char"/>
    <w:basedOn w:val="DefaultParagraphFont"/>
    <w:link w:val="Heading6"/>
    <w:uiPriority w:val="9"/>
    <w:semiHidden/>
    <w:rsid w:val="008262A0"/>
    <w:rPr>
      <w:rFonts w:asciiTheme="majorHAnsi" w:eastAsiaTheme="majorEastAsia" w:hAnsiTheme="majorHAnsi" w:cstheme="majorBidi"/>
      <w:color w:val="4C0019" w:themeColor="accent1" w:themeShade="7F"/>
      <w:lang w:val="de-AT"/>
    </w:rPr>
  </w:style>
  <w:style w:type="character" w:customStyle="1" w:styleId="Heading7Char">
    <w:name w:val="Heading 7 Char"/>
    <w:basedOn w:val="DefaultParagraphFont"/>
    <w:link w:val="Heading7"/>
    <w:uiPriority w:val="9"/>
    <w:semiHidden/>
    <w:rsid w:val="008262A0"/>
    <w:rPr>
      <w:rFonts w:asciiTheme="majorHAnsi" w:eastAsiaTheme="majorEastAsia" w:hAnsiTheme="majorHAnsi" w:cstheme="majorBidi"/>
      <w:i/>
      <w:iCs/>
      <w:color w:val="4C0019" w:themeColor="accent1" w:themeShade="7F"/>
      <w:lang w:val="de-AT"/>
    </w:rPr>
  </w:style>
  <w:style w:type="character" w:customStyle="1" w:styleId="Heading8Char">
    <w:name w:val="Heading 8 Char"/>
    <w:basedOn w:val="DefaultParagraphFont"/>
    <w:link w:val="Heading8"/>
    <w:uiPriority w:val="9"/>
    <w:semiHidden/>
    <w:rsid w:val="008262A0"/>
    <w:rPr>
      <w:rFonts w:asciiTheme="majorHAnsi" w:eastAsiaTheme="majorEastAsia" w:hAnsiTheme="majorHAnsi" w:cstheme="majorBidi"/>
      <w:color w:val="272727" w:themeColor="text1" w:themeTint="D8"/>
      <w:sz w:val="21"/>
      <w:szCs w:val="21"/>
      <w:lang w:val="de-AT"/>
    </w:rPr>
  </w:style>
  <w:style w:type="character" w:customStyle="1" w:styleId="Heading9Char">
    <w:name w:val="Heading 9 Char"/>
    <w:basedOn w:val="DefaultParagraphFont"/>
    <w:link w:val="Heading9"/>
    <w:uiPriority w:val="9"/>
    <w:semiHidden/>
    <w:rsid w:val="008262A0"/>
    <w:rPr>
      <w:rFonts w:asciiTheme="majorHAnsi" w:eastAsiaTheme="majorEastAsia" w:hAnsiTheme="majorHAnsi" w:cstheme="majorBidi"/>
      <w:i/>
      <w:iCs/>
      <w:color w:val="272727" w:themeColor="text1" w:themeTint="D8"/>
      <w:sz w:val="21"/>
      <w:szCs w:val="21"/>
      <w:lang w:val="de-AT"/>
    </w:rPr>
  </w:style>
  <w:style w:type="paragraph" w:styleId="Caption">
    <w:name w:val="caption"/>
    <w:basedOn w:val="Normal"/>
    <w:next w:val="Normal"/>
    <w:uiPriority w:val="35"/>
    <w:unhideWhenUsed/>
    <w:qFormat/>
    <w:rsid w:val="00513D18"/>
    <w:pPr>
      <w:spacing w:after="200" w:line="240" w:lineRule="auto"/>
    </w:pPr>
    <w:rPr>
      <w:i/>
      <w:iCs/>
      <w:color w:val="5E5E5E" w:themeColor="text2"/>
      <w:sz w:val="18"/>
      <w:szCs w:val="18"/>
    </w:rPr>
  </w:style>
  <w:style w:type="paragraph" w:styleId="TOCHeading">
    <w:name w:val="TOC Heading"/>
    <w:basedOn w:val="Heading1"/>
    <w:next w:val="Normal"/>
    <w:uiPriority w:val="39"/>
    <w:unhideWhenUsed/>
    <w:qFormat/>
    <w:rsid w:val="00BD2018"/>
    <w:pPr>
      <w:numPr>
        <w:numId w:val="0"/>
      </w:numPr>
      <w:spacing w:before="240" w:after="0" w:line="259" w:lineRule="auto"/>
      <w:ind w:right="0"/>
      <w:outlineLvl w:val="9"/>
    </w:pPr>
    <w:rPr>
      <w:rFonts w:asciiTheme="majorHAnsi" w:eastAsiaTheme="majorEastAsia" w:hAnsiTheme="majorHAnsi" w:cstheme="majorBidi"/>
      <w:b w:val="0"/>
      <w:color w:val="720026" w:themeColor="accent1" w:themeShade="BF"/>
      <w:sz w:val="32"/>
      <w:szCs w:val="32"/>
      <w:lang w:val="de-AT" w:eastAsia="de-AT"/>
    </w:rPr>
  </w:style>
  <w:style w:type="paragraph" w:styleId="TOC1">
    <w:name w:val="toc 1"/>
    <w:basedOn w:val="Normal"/>
    <w:next w:val="Normal"/>
    <w:autoRedefine/>
    <w:uiPriority w:val="39"/>
    <w:unhideWhenUsed/>
    <w:rsid w:val="00BD2018"/>
    <w:pPr>
      <w:spacing w:after="100"/>
    </w:pPr>
  </w:style>
  <w:style w:type="paragraph" w:styleId="TOC2">
    <w:name w:val="toc 2"/>
    <w:basedOn w:val="Normal"/>
    <w:next w:val="Normal"/>
    <w:autoRedefine/>
    <w:uiPriority w:val="39"/>
    <w:unhideWhenUsed/>
    <w:rsid w:val="00750DF8"/>
    <w:pPr>
      <w:tabs>
        <w:tab w:val="left" w:pos="880"/>
        <w:tab w:val="right" w:leader="dot" w:pos="9911"/>
      </w:tabs>
      <w:spacing w:after="100"/>
      <w:ind w:left="220"/>
    </w:pPr>
  </w:style>
  <w:style w:type="character" w:styleId="FollowedHyperlink">
    <w:name w:val="FollowedHyperlink"/>
    <w:basedOn w:val="DefaultParagraphFont"/>
    <w:uiPriority w:val="99"/>
    <w:semiHidden/>
    <w:unhideWhenUsed/>
    <w:rsid w:val="003B7832"/>
    <w:rPr>
      <w:color w:val="366F79" w:themeColor="followedHyperlink"/>
      <w:u w:val="single"/>
    </w:rPr>
  </w:style>
  <w:style w:type="paragraph" w:styleId="Revision">
    <w:name w:val="Revision"/>
    <w:hidden/>
    <w:uiPriority w:val="99"/>
    <w:semiHidden/>
    <w:rsid w:val="009B1428"/>
    <w:pPr>
      <w:spacing w:line="240" w:lineRule="auto"/>
    </w:pPr>
    <w:rPr>
      <w:lang w:val="de-AT"/>
    </w:rPr>
  </w:style>
  <w:style w:type="character" w:customStyle="1" w:styleId="cf01">
    <w:name w:val="cf01"/>
    <w:basedOn w:val="DefaultParagraphFont"/>
    <w:rsid w:val="0001497F"/>
    <w:rPr>
      <w:rFonts w:ascii="Segoe UI" w:hAnsi="Segoe UI" w:cs="Segoe UI" w:hint="default"/>
      <w:sz w:val="18"/>
      <w:szCs w:val="18"/>
    </w:rPr>
  </w:style>
  <w:style w:type="character" w:customStyle="1" w:styleId="Heading2Char">
    <w:name w:val="Heading 2 Char"/>
    <w:basedOn w:val="DefaultParagraphFont"/>
    <w:link w:val="Heading2"/>
    <w:uiPriority w:val="9"/>
    <w:rsid w:val="007D159E"/>
    <w:rPr>
      <w:rFonts w:cs="Arial"/>
      <w:bCs/>
      <w:iCs/>
      <w:color w:val="991239"/>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5176">
      <w:bodyDiv w:val="1"/>
      <w:marLeft w:val="0"/>
      <w:marRight w:val="0"/>
      <w:marTop w:val="0"/>
      <w:marBottom w:val="0"/>
      <w:divBdr>
        <w:top w:val="none" w:sz="0" w:space="0" w:color="auto"/>
        <w:left w:val="none" w:sz="0" w:space="0" w:color="auto"/>
        <w:bottom w:val="none" w:sz="0" w:space="0" w:color="auto"/>
        <w:right w:val="none" w:sz="0" w:space="0" w:color="auto"/>
      </w:divBdr>
    </w:div>
    <w:div w:id="201134861">
      <w:bodyDiv w:val="1"/>
      <w:marLeft w:val="0"/>
      <w:marRight w:val="0"/>
      <w:marTop w:val="0"/>
      <w:marBottom w:val="0"/>
      <w:divBdr>
        <w:top w:val="none" w:sz="0" w:space="0" w:color="auto"/>
        <w:left w:val="none" w:sz="0" w:space="0" w:color="auto"/>
        <w:bottom w:val="none" w:sz="0" w:space="0" w:color="auto"/>
        <w:right w:val="none" w:sz="0" w:space="0" w:color="auto"/>
      </w:divBdr>
    </w:div>
    <w:div w:id="288517494">
      <w:bodyDiv w:val="1"/>
      <w:marLeft w:val="0"/>
      <w:marRight w:val="0"/>
      <w:marTop w:val="0"/>
      <w:marBottom w:val="0"/>
      <w:divBdr>
        <w:top w:val="none" w:sz="0" w:space="0" w:color="auto"/>
        <w:left w:val="none" w:sz="0" w:space="0" w:color="auto"/>
        <w:bottom w:val="none" w:sz="0" w:space="0" w:color="auto"/>
        <w:right w:val="none" w:sz="0" w:space="0" w:color="auto"/>
      </w:divBdr>
    </w:div>
    <w:div w:id="314266474">
      <w:bodyDiv w:val="1"/>
      <w:marLeft w:val="0"/>
      <w:marRight w:val="0"/>
      <w:marTop w:val="0"/>
      <w:marBottom w:val="0"/>
      <w:divBdr>
        <w:top w:val="none" w:sz="0" w:space="0" w:color="auto"/>
        <w:left w:val="none" w:sz="0" w:space="0" w:color="auto"/>
        <w:bottom w:val="none" w:sz="0" w:space="0" w:color="auto"/>
        <w:right w:val="none" w:sz="0" w:space="0" w:color="auto"/>
      </w:divBdr>
    </w:div>
    <w:div w:id="468399737">
      <w:bodyDiv w:val="1"/>
      <w:marLeft w:val="0"/>
      <w:marRight w:val="0"/>
      <w:marTop w:val="0"/>
      <w:marBottom w:val="0"/>
      <w:divBdr>
        <w:top w:val="none" w:sz="0" w:space="0" w:color="auto"/>
        <w:left w:val="none" w:sz="0" w:space="0" w:color="auto"/>
        <w:bottom w:val="none" w:sz="0" w:space="0" w:color="auto"/>
        <w:right w:val="none" w:sz="0" w:space="0" w:color="auto"/>
      </w:divBdr>
    </w:div>
    <w:div w:id="551117526">
      <w:bodyDiv w:val="1"/>
      <w:marLeft w:val="0"/>
      <w:marRight w:val="0"/>
      <w:marTop w:val="0"/>
      <w:marBottom w:val="0"/>
      <w:divBdr>
        <w:top w:val="none" w:sz="0" w:space="0" w:color="auto"/>
        <w:left w:val="none" w:sz="0" w:space="0" w:color="auto"/>
        <w:bottom w:val="none" w:sz="0" w:space="0" w:color="auto"/>
        <w:right w:val="none" w:sz="0" w:space="0" w:color="auto"/>
      </w:divBdr>
      <w:divsChild>
        <w:div w:id="1208952001">
          <w:marLeft w:val="0"/>
          <w:marRight w:val="0"/>
          <w:marTop w:val="0"/>
          <w:marBottom w:val="0"/>
          <w:divBdr>
            <w:top w:val="none" w:sz="0" w:space="0" w:color="auto"/>
            <w:left w:val="none" w:sz="0" w:space="0" w:color="auto"/>
            <w:bottom w:val="none" w:sz="0" w:space="0" w:color="auto"/>
            <w:right w:val="none" w:sz="0" w:space="0" w:color="auto"/>
          </w:divBdr>
          <w:divsChild>
            <w:div w:id="643436337">
              <w:marLeft w:val="0"/>
              <w:marRight w:val="0"/>
              <w:marTop w:val="0"/>
              <w:marBottom w:val="0"/>
              <w:divBdr>
                <w:top w:val="none" w:sz="0" w:space="0" w:color="auto"/>
                <w:left w:val="none" w:sz="0" w:space="0" w:color="auto"/>
                <w:bottom w:val="none" w:sz="0" w:space="0" w:color="auto"/>
                <w:right w:val="none" w:sz="0" w:space="0" w:color="auto"/>
              </w:divBdr>
            </w:div>
          </w:divsChild>
        </w:div>
        <w:div w:id="957177283">
          <w:marLeft w:val="0"/>
          <w:marRight w:val="0"/>
          <w:marTop w:val="0"/>
          <w:marBottom w:val="0"/>
          <w:divBdr>
            <w:top w:val="none" w:sz="0" w:space="0" w:color="auto"/>
            <w:left w:val="none" w:sz="0" w:space="0" w:color="auto"/>
            <w:bottom w:val="none" w:sz="0" w:space="0" w:color="auto"/>
            <w:right w:val="none" w:sz="0" w:space="0" w:color="auto"/>
          </w:divBdr>
          <w:divsChild>
            <w:div w:id="20672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81340">
      <w:bodyDiv w:val="1"/>
      <w:marLeft w:val="0"/>
      <w:marRight w:val="0"/>
      <w:marTop w:val="0"/>
      <w:marBottom w:val="0"/>
      <w:divBdr>
        <w:top w:val="none" w:sz="0" w:space="0" w:color="auto"/>
        <w:left w:val="none" w:sz="0" w:space="0" w:color="auto"/>
        <w:bottom w:val="none" w:sz="0" w:space="0" w:color="auto"/>
        <w:right w:val="none" w:sz="0" w:space="0" w:color="auto"/>
      </w:divBdr>
    </w:div>
    <w:div w:id="775097732">
      <w:bodyDiv w:val="1"/>
      <w:marLeft w:val="0"/>
      <w:marRight w:val="0"/>
      <w:marTop w:val="0"/>
      <w:marBottom w:val="0"/>
      <w:divBdr>
        <w:top w:val="none" w:sz="0" w:space="0" w:color="auto"/>
        <w:left w:val="none" w:sz="0" w:space="0" w:color="auto"/>
        <w:bottom w:val="none" w:sz="0" w:space="0" w:color="auto"/>
        <w:right w:val="none" w:sz="0" w:space="0" w:color="auto"/>
      </w:divBdr>
    </w:div>
    <w:div w:id="1225799754">
      <w:bodyDiv w:val="1"/>
      <w:marLeft w:val="0"/>
      <w:marRight w:val="0"/>
      <w:marTop w:val="0"/>
      <w:marBottom w:val="0"/>
      <w:divBdr>
        <w:top w:val="none" w:sz="0" w:space="0" w:color="auto"/>
        <w:left w:val="none" w:sz="0" w:space="0" w:color="auto"/>
        <w:bottom w:val="none" w:sz="0" w:space="0" w:color="auto"/>
        <w:right w:val="none" w:sz="0" w:space="0" w:color="auto"/>
      </w:divBdr>
    </w:div>
    <w:div w:id="1233933310">
      <w:bodyDiv w:val="1"/>
      <w:marLeft w:val="0"/>
      <w:marRight w:val="0"/>
      <w:marTop w:val="0"/>
      <w:marBottom w:val="0"/>
      <w:divBdr>
        <w:top w:val="none" w:sz="0" w:space="0" w:color="auto"/>
        <w:left w:val="none" w:sz="0" w:space="0" w:color="auto"/>
        <w:bottom w:val="none" w:sz="0" w:space="0" w:color="auto"/>
        <w:right w:val="none" w:sz="0" w:space="0" w:color="auto"/>
      </w:divBdr>
    </w:div>
    <w:div w:id="1391998538">
      <w:bodyDiv w:val="1"/>
      <w:marLeft w:val="0"/>
      <w:marRight w:val="0"/>
      <w:marTop w:val="0"/>
      <w:marBottom w:val="0"/>
      <w:divBdr>
        <w:top w:val="none" w:sz="0" w:space="0" w:color="auto"/>
        <w:left w:val="none" w:sz="0" w:space="0" w:color="auto"/>
        <w:bottom w:val="none" w:sz="0" w:space="0" w:color="auto"/>
        <w:right w:val="none" w:sz="0" w:space="0" w:color="auto"/>
      </w:divBdr>
    </w:div>
    <w:div w:id="1440221032">
      <w:bodyDiv w:val="1"/>
      <w:marLeft w:val="0"/>
      <w:marRight w:val="0"/>
      <w:marTop w:val="0"/>
      <w:marBottom w:val="0"/>
      <w:divBdr>
        <w:top w:val="none" w:sz="0" w:space="0" w:color="auto"/>
        <w:left w:val="none" w:sz="0" w:space="0" w:color="auto"/>
        <w:bottom w:val="none" w:sz="0" w:space="0" w:color="auto"/>
        <w:right w:val="none" w:sz="0" w:space="0" w:color="auto"/>
      </w:divBdr>
    </w:div>
    <w:div w:id="1651054359">
      <w:bodyDiv w:val="1"/>
      <w:marLeft w:val="0"/>
      <w:marRight w:val="0"/>
      <w:marTop w:val="0"/>
      <w:marBottom w:val="0"/>
      <w:divBdr>
        <w:top w:val="none" w:sz="0" w:space="0" w:color="auto"/>
        <w:left w:val="none" w:sz="0" w:space="0" w:color="auto"/>
        <w:bottom w:val="none" w:sz="0" w:space="0" w:color="auto"/>
        <w:right w:val="none" w:sz="0" w:space="0" w:color="auto"/>
      </w:divBdr>
    </w:div>
    <w:div w:id="1675918423">
      <w:bodyDiv w:val="1"/>
      <w:marLeft w:val="0"/>
      <w:marRight w:val="0"/>
      <w:marTop w:val="0"/>
      <w:marBottom w:val="0"/>
      <w:divBdr>
        <w:top w:val="none" w:sz="0" w:space="0" w:color="auto"/>
        <w:left w:val="none" w:sz="0" w:space="0" w:color="auto"/>
        <w:bottom w:val="none" w:sz="0" w:space="0" w:color="auto"/>
        <w:right w:val="none" w:sz="0" w:space="0" w:color="auto"/>
      </w:divBdr>
    </w:div>
    <w:div w:id="189388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E">
  <a:themeElements>
    <a:clrScheme name="Österreichs Energie">
      <a:dk1>
        <a:srgbClr val="000000"/>
      </a:dk1>
      <a:lt1>
        <a:sysClr val="window" lastClr="FFFFFF"/>
      </a:lt1>
      <a:dk2>
        <a:srgbClr val="5E5E5E"/>
      </a:dk2>
      <a:lt2>
        <a:srgbClr val="A0A0A4"/>
      </a:lt2>
      <a:accent1>
        <a:srgbClr val="990033"/>
      </a:accent1>
      <a:accent2>
        <a:srgbClr val="CC3333"/>
      </a:accent2>
      <a:accent3>
        <a:srgbClr val="366F79"/>
      </a:accent3>
      <a:accent4>
        <a:srgbClr val="A4BCB5"/>
      </a:accent4>
      <a:accent5>
        <a:srgbClr val="4F6E3E"/>
      </a:accent5>
      <a:accent6>
        <a:srgbClr val="A0BA6A"/>
      </a:accent6>
      <a:hlink>
        <a:srgbClr val="366F79"/>
      </a:hlink>
      <a:folHlink>
        <a:srgbClr val="366F79"/>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ubtile Körper">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tIns="46800" rIns="0" rtlCol="0">
        <a:spAutoFit/>
      </a:bodyPr>
      <a:lstStyle>
        <a:defPPr>
          <a:defRPr sz="1400" dirty="0" err="1" smtClean="0"/>
        </a:defPPr>
      </a:lstStyle>
    </a:txDef>
  </a:objectDefaults>
  <a:extraClrSchemeLst/>
  <a:extLst>
    <a:ext uri="{05A4C25C-085E-4340-85A3-A5531E510DB2}">
      <thm15:themeFamily xmlns:thm15="http://schemas.microsoft.com/office/thememl/2012/main" name="OE" id="{B6323AFC-CA01-48CF-B623-CE2FE14772BD}" vid="{62E0E68D-ECAD-4AA4-80B2-7C53A998323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393D09B3-FF14-43F6-88B5-61FA8A178D9D}">
  <ds:schemaRefs>
    <ds:schemaRef ds:uri="http://schemas.openxmlformats.org/officeDocument/2006/bibliography"/>
  </ds:schemaRefs>
</ds:datastoreItem>
</file>

<file path=customXml/itemProps2.xml><?xml version="1.0" encoding="utf-8"?>
<ds:datastoreItem xmlns:ds="http://schemas.openxmlformats.org/officeDocument/2006/customXml" ds:itemID="{BAE7682C-14C2-44F7-853C-F31718DA34AD}"/>
</file>

<file path=customXml/itemProps3.xml><?xml version="1.0" encoding="utf-8"?>
<ds:datastoreItem xmlns:ds="http://schemas.openxmlformats.org/officeDocument/2006/customXml" ds:itemID="{BF6C43F9-205F-4031-950F-13BED3C2296A}"/>
</file>

<file path=customXml/itemProps4.xml><?xml version="1.0" encoding="utf-8"?>
<ds:datastoreItem xmlns:ds="http://schemas.openxmlformats.org/officeDocument/2006/customXml" ds:itemID="{6951AE10-16BD-43BB-9E8B-66D450E4C234}"/>
</file>

<file path=docProps/app.xml><?xml version="1.0" encoding="utf-8"?>
<Properties xmlns="http://schemas.openxmlformats.org/officeDocument/2006/extended-properties" xmlns:vt="http://schemas.openxmlformats.org/officeDocument/2006/docPropsVTypes">
  <Template>Normal</Template>
  <TotalTime>0</TotalTime>
  <Pages>5</Pages>
  <Words>1732</Words>
  <Characters>9876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2023-09-22T09:39:00Z</dcterms:created>
  <dcterms:modified xsi:type="dcterms:W3CDTF">2023-09-22T09:39:00Z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