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162BE" w14:textId="77777777" w:rsidR="00C27FF9" w:rsidRDefault="00C27FF9"/>
    <w:p w14:paraId="49B45606" w14:textId="77777777" w:rsidR="00BB3C41" w:rsidRDefault="00BB3C41"/>
    <w:p w14:paraId="2781E1E5" w14:textId="77777777" w:rsidR="00BB3C41" w:rsidRDefault="00BB3C41"/>
    <w:p w14:paraId="3D316B8F" w14:textId="77777777" w:rsidR="00BB3C41" w:rsidRDefault="00BB3C41"/>
    <w:p w14:paraId="6BB27102" w14:textId="6918CF42" w:rsidR="00BB3C41" w:rsidRPr="00DD549F" w:rsidRDefault="00BB3C41">
      <w:pPr>
        <w:rPr>
          <w:b/>
          <w:bCs/>
          <w:sz w:val="24"/>
          <w:szCs w:val="24"/>
          <w:lang w:val="en-GB"/>
        </w:rPr>
      </w:pPr>
      <w:r w:rsidRPr="00DD549F">
        <w:rPr>
          <w:b/>
          <w:bCs/>
          <w:sz w:val="24"/>
          <w:szCs w:val="24"/>
          <w:lang w:val="en-GB"/>
        </w:rPr>
        <w:t>Statnett´s comments to the revision of the grid connection codes</w:t>
      </w:r>
    </w:p>
    <w:p w14:paraId="0A352331" w14:textId="77777777" w:rsidR="00BB3C41" w:rsidRDefault="00BB3C41">
      <w:pPr>
        <w:rPr>
          <w:lang w:val="en-GB"/>
        </w:rPr>
      </w:pPr>
    </w:p>
    <w:p w14:paraId="495F8F22" w14:textId="6F969EC1" w:rsidR="00BB3C41" w:rsidRPr="00BB3C41" w:rsidRDefault="00BB3C41">
      <w:pPr>
        <w:rPr>
          <w:b/>
          <w:bCs/>
          <w:lang w:val="en-GB"/>
        </w:rPr>
      </w:pPr>
      <w:r w:rsidRPr="00BB3C41">
        <w:rPr>
          <w:b/>
          <w:bCs/>
          <w:lang w:val="en-GB"/>
        </w:rPr>
        <w:t>Background</w:t>
      </w:r>
    </w:p>
    <w:p w14:paraId="6105049F" w14:textId="77DADD7F" w:rsidR="00BB3C41" w:rsidRDefault="00BB3C41">
      <w:pPr>
        <w:rPr>
          <w:lang w:val="en-GB"/>
        </w:rPr>
      </w:pPr>
      <w:r>
        <w:rPr>
          <w:lang w:val="en-GB"/>
        </w:rPr>
        <w:t xml:space="preserve">The current grid connection codes </w:t>
      </w:r>
      <w:r w:rsidR="0024043E">
        <w:rPr>
          <w:lang w:val="en-GB"/>
        </w:rPr>
        <w:t xml:space="preserve">were </w:t>
      </w:r>
      <w:r>
        <w:rPr>
          <w:lang w:val="en-GB"/>
        </w:rPr>
        <w:t>never incorporated in</w:t>
      </w:r>
      <w:r w:rsidR="006337B2">
        <w:rPr>
          <w:lang w:val="en-GB"/>
        </w:rPr>
        <w:t>to</w:t>
      </w:r>
      <w:r>
        <w:rPr>
          <w:lang w:val="en-GB"/>
        </w:rPr>
        <w:t xml:space="preserve"> the EEA Agreement. </w:t>
      </w:r>
      <w:r w:rsidR="006E6C34">
        <w:rPr>
          <w:lang w:val="en-GB"/>
        </w:rPr>
        <w:t xml:space="preserve">The main reason </w:t>
      </w:r>
      <w:r w:rsidR="00786658">
        <w:rPr>
          <w:lang w:val="en-GB"/>
        </w:rPr>
        <w:t xml:space="preserve">is </w:t>
      </w:r>
      <w:r w:rsidR="00D677C9">
        <w:rPr>
          <w:lang w:val="en-GB"/>
        </w:rPr>
        <w:t xml:space="preserve">uncertainty as </w:t>
      </w:r>
      <w:r w:rsidR="00DC7E4F">
        <w:rPr>
          <w:lang w:val="en-GB"/>
        </w:rPr>
        <w:t>to</w:t>
      </w:r>
      <w:r w:rsidR="00581D12">
        <w:rPr>
          <w:lang w:val="en-GB"/>
        </w:rPr>
        <w:t xml:space="preserve"> the legal nature of the codes. </w:t>
      </w:r>
      <w:r w:rsidR="00BE7B33">
        <w:rPr>
          <w:lang w:val="en-GB"/>
        </w:rPr>
        <w:t>Do they set out</w:t>
      </w:r>
      <w:r w:rsidR="00581D12">
        <w:rPr>
          <w:lang w:val="en-GB"/>
        </w:rPr>
        <w:t xml:space="preserve"> minimum requirements, or </w:t>
      </w:r>
      <w:r w:rsidR="0091049C">
        <w:rPr>
          <w:lang w:val="en-GB"/>
        </w:rPr>
        <w:t xml:space="preserve">is the intention to fully harmonise the </w:t>
      </w:r>
      <w:r w:rsidR="00BE7B33">
        <w:rPr>
          <w:lang w:val="en-GB"/>
        </w:rPr>
        <w:t>requirements?</w:t>
      </w:r>
      <w:r w:rsidR="005E669B">
        <w:rPr>
          <w:lang w:val="en-GB"/>
        </w:rPr>
        <w:t xml:space="preserve"> </w:t>
      </w:r>
    </w:p>
    <w:p w14:paraId="19F275A9" w14:textId="626EE7AC" w:rsidR="00A60703" w:rsidRDefault="00757165">
      <w:pPr>
        <w:rPr>
          <w:lang w:val="en-GB"/>
        </w:rPr>
      </w:pPr>
      <w:r>
        <w:rPr>
          <w:lang w:val="en-GB"/>
        </w:rPr>
        <w:t>The grid topology in Norway makes it necessary to impose additional requirements</w:t>
      </w:r>
      <w:r w:rsidR="001B53A3">
        <w:rPr>
          <w:lang w:val="en-GB"/>
        </w:rPr>
        <w:t xml:space="preserve">, </w:t>
      </w:r>
      <w:r w:rsidR="001D42E8">
        <w:rPr>
          <w:lang w:val="en-GB"/>
        </w:rPr>
        <w:t>and we need to clarify whether this would be allowed or not.</w:t>
      </w:r>
      <w:r w:rsidR="002468B6">
        <w:rPr>
          <w:lang w:val="en-GB"/>
        </w:rPr>
        <w:t xml:space="preserve"> This is further elaborated below.</w:t>
      </w:r>
    </w:p>
    <w:p w14:paraId="469E31DC" w14:textId="5A5AFABB" w:rsidR="00A55B39" w:rsidRDefault="00A55B39">
      <w:pPr>
        <w:rPr>
          <w:lang w:val="en-GB"/>
        </w:rPr>
      </w:pPr>
      <w:r>
        <w:rPr>
          <w:lang w:val="en-GB"/>
        </w:rPr>
        <w:t>T</w:t>
      </w:r>
      <w:r w:rsidR="00EB7ECB">
        <w:rPr>
          <w:lang w:val="en-GB"/>
        </w:rPr>
        <w:t xml:space="preserve">he rules on </w:t>
      </w:r>
      <w:r w:rsidR="00E029E3">
        <w:rPr>
          <w:lang w:val="en-GB"/>
        </w:rPr>
        <w:t>application to existing systems/</w:t>
      </w:r>
      <w:r w:rsidR="00924B8A">
        <w:rPr>
          <w:lang w:val="en-GB"/>
        </w:rPr>
        <w:t>facilities/</w:t>
      </w:r>
      <w:r w:rsidR="00E029E3">
        <w:rPr>
          <w:lang w:val="en-GB"/>
        </w:rPr>
        <w:t xml:space="preserve">modules </w:t>
      </w:r>
      <w:r w:rsidR="00A87421">
        <w:rPr>
          <w:lang w:val="en-GB"/>
        </w:rPr>
        <w:t xml:space="preserve">(hereafter: systems) </w:t>
      </w:r>
      <w:r w:rsidR="00015845">
        <w:rPr>
          <w:lang w:val="en-GB"/>
        </w:rPr>
        <w:t>have been improved in the draft codes</w:t>
      </w:r>
      <w:r>
        <w:rPr>
          <w:lang w:val="en-GB"/>
        </w:rPr>
        <w:t>, but</w:t>
      </w:r>
      <w:r w:rsidR="00711820">
        <w:rPr>
          <w:lang w:val="en-GB"/>
        </w:rPr>
        <w:t xml:space="preserve"> they</w:t>
      </w:r>
      <w:r>
        <w:rPr>
          <w:lang w:val="en-GB"/>
        </w:rPr>
        <w:t xml:space="preserve"> </w:t>
      </w:r>
      <w:r w:rsidR="00C63E98">
        <w:rPr>
          <w:lang w:val="en-GB"/>
        </w:rPr>
        <w:t xml:space="preserve">are still not sufficiently </w:t>
      </w:r>
      <w:r w:rsidR="000A1641">
        <w:rPr>
          <w:lang w:val="en-GB"/>
        </w:rPr>
        <w:t xml:space="preserve">clear. </w:t>
      </w:r>
      <w:r w:rsidR="0076682D">
        <w:rPr>
          <w:lang w:val="en-GB"/>
        </w:rPr>
        <w:t>The need for a clear legal basis may differ in the various Member States</w:t>
      </w:r>
      <w:r w:rsidR="008C6738">
        <w:rPr>
          <w:lang w:val="en-GB"/>
        </w:rPr>
        <w:t xml:space="preserve">. </w:t>
      </w:r>
      <w:r w:rsidR="00711820">
        <w:rPr>
          <w:lang w:val="en-GB"/>
        </w:rPr>
        <w:t xml:space="preserve">According to our assessment, they are </w:t>
      </w:r>
      <w:r w:rsidR="00C30C95">
        <w:rPr>
          <w:lang w:val="en-GB"/>
        </w:rPr>
        <w:t>not sufficient</w:t>
      </w:r>
      <w:r w:rsidR="001A4D9F">
        <w:rPr>
          <w:lang w:val="en-GB"/>
        </w:rPr>
        <w:t xml:space="preserve">ly clear </w:t>
      </w:r>
      <w:proofErr w:type="gramStart"/>
      <w:r w:rsidR="00E27E08">
        <w:rPr>
          <w:lang w:val="en-GB"/>
        </w:rPr>
        <w:t xml:space="preserve">in order </w:t>
      </w:r>
      <w:r w:rsidR="00910B8B">
        <w:rPr>
          <w:lang w:val="en-GB"/>
        </w:rPr>
        <w:t>for</w:t>
      </w:r>
      <w:proofErr w:type="gramEnd"/>
      <w:r w:rsidR="00910B8B">
        <w:rPr>
          <w:lang w:val="en-GB"/>
        </w:rPr>
        <w:t xml:space="preserve"> </w:t>
      </w:r>
      <w:r w:rsidR="00824674">
        <w:rPr>
          <w:lang w:val="en-GB"/>
        </w:rPr>
        <w:t xml:space="preserve">Statnett/NRA </w:t>
      </w:r>
      <w:r w:rsidR="00E27E08">
        <w:rPr>
          <w:lang w:val="en-GB"/>
        </w:rPr>
        <w:t xml:space="preserve">to impose </w:t>
      </w:r>
      <w:r w:rsidR="00DB51A5">
        <w:rPr>
          <w:lang w:val="en-GB"/>
        </w:rPr>
        <w:t xml:space="preserve">necessary </w:t>
      </w:r>
      <w:r w:rsidR="00E27E08">
        <w:rPr>
          <w:lang w:val="en-GB"/>
        </w:rPr>
        <w:t>requirements on owners of the systems</w:t>
      </w:r>
      <w:r w:rsidR="00AD6A6B">
        <w:rPr>
          <w:lang w:val="en-GB"/>
        </w:rPr>
        <w:t xml:space="preserve"> in Norway</w:t>
      </w:r>
      <w:r w:rsidR="00E27E08">
        <w:rPr>
          <w:lang w:val="en-GB"/>
        </w:rPr>
        <w:t>.</w:t>
      </w:r>
    </w:p>
    <w:p w14:paraId="052E8632" w14:textId="7D30D5E3" w:rsidR="00CB718D" w:rsidRPr="00C7368E" w:rsidRDefault="0025045C">
      <w:pPr>
        <w:rPr>
          <w:lang w:val="en-GB"/>
        </w:rPr>
      </w:pPr>
      <w:r w:rsidRPr="00C7368E">
        <w:rPr>
          <w:lang w:val="en-GB"/>
        </w:rPr>
        <w:t xml:space="preserve">Based on this we would like to provide our input to the draft revised </w:t>
      </w:r>
      <w:r w:rsidR="00C7368E" w:rsidRPr="00C7368E">
        <w:rPr>
          <w:lang w:val="en-GB"/>
        </w:rPr>
        <w:t>network code on HVDC systems.</w:t>
      </w:r>
      <w:r w:rsidR="00D7279E">
        <w:rPr>
          <w:lang w:val="en-GB"/>
        </w:rPr>
        <w:t xml:space="preserve"> </w:t>
      </w:r>
      <w:r w:rsidR="003B2558">
        <w:rPr>
          <w:lang w:val="en-GB"/>
        </w:rPr>
        <w:t>Our comments concern all the three grid connection codes.</w:t>
      </w:r>
    </w:p>
    <w:p w14:paraId="71F13F1C" w14:textId="6B35C4AB" w:rsidR="00BB3C41" w:rsidRPr="00BB3C41" w:rsidRDefault="00BB3C41">
      <w:pPr>
        <w:rPr>
          <w:b/>
          <w:bCs/>
          <w:lang w:val="en-GB"/>
        </w:rPr>
      </w:pPr>
      <w:r w:rsidRPr="00BB3C41">
        <w:rPr>
          <w:b/>
          <w:bCs/>
          <w:lang w:val="en-GB"/>
        </w:rPr>
        <w:t>Minimum requirements or harmonised requirements</w:t>
      </w:r>
    </w:p>
    <w:p w14:paraId="295E803F" w14:textId="6A6213B3" w:rsidR="00BD00A6" w:rsidRDefault="008E5C2C">
      <w:pPr>
        <w:rPr>
          <w:lang w:val="en-GB"/>
        </w:rPr>
      </w:pPr>
      <w:r>
        <w:rPr>
          <w:lang w:val="en-GB"/>
        </w:rPr>
        <w:t>T</w:t>
      </w:r>
      <w:r w:rsidR="00BD00A6">
        <w:rPr>
          <w:lang w:val="en-GB"/>
        </w:rPr>
        <w:t xml:space="preserve">o </w:t>
      </w:r>
      <w:r w:rsidR="002A546E">
        <w:rPr>
          <w:lang w:val="en-GB"/>
        </w:rPr>
        <w:t xml:space="preserve">what extent </w:t>
      </w:r>
      <w:r w:rsidR="00131353">
        <w:rPr>
          <w:lang w:val="en-GB"/>
        </w:rPr>
        <w:t xml:space="preserve">may </w:t>
      </w:r>
      <w:r>
        <w:rPr>
          <w:lang w:val="en-GB"/>
        </w:rPr>
        <w:t>Member State</w:t>
      </w:r>
      <w:r w:rsidR="0012628D">
        <w:rPr>
          <w:lang w:val="en-GB"/>
        </w:rPr>
        <w:t>s</w:t>
      </w:r>
      <w:r>
        <w:rPr>
          <w:lang w:val="en-GB"/>
        </w:rPr>
        <w:t xml:space="preserve"> have additional national requirements</w:t>
      </w:r>
      <w:r w:rsidR="00BD00A6">
        <w:rPr>
          <w:lang w:val="en-GB"/>
        </w:rPr>
        <w:t>?</w:t>
      </w:r>
    </w:p>
    <w:p w14:paraId="696A3687" w14:textId="77777777" w:rsidR="000B338A" w:rsidRDefault="000B338A" w:rsidP="000B338A">
      <w:pPr>
        <w:rPr>
          <w:lang w:val="en-GB"/>
        </w:rPr>
      </w:pPr>
      <w:r>
        <w:rPr>
          <w:lang w:val="en-GB"/>
        </w:rPr>
        <w:t>A</w:t>
      </w:r>
      <w:r w:rsidRPr="00C5668C">
        <w:rPr>
          <w:lang w:val="en-GB"/>
        </w:rPr>
        <w:t>rticle 58 (2) of the electricity regulation</w:t>
      </w:r>
      <w:r>
        <w:rPr>
          <w:lang w:val="en-GB"/>
        </w:rPr>
        <w:t xml:space="preserve"> states clearly that the network codes "</w:t>
      </w:r>
      <w:r w:rsidRPr="00C5668C">
        <w:rPr>
          <w:lang w:val="en-GB"/>
        </w:rPr>
        <w:t>provide the minimum degree of harmonisation</w:t>
      </w:r>
      <w:r>
        <w:rPr>
          <w:lang w:val="en-GB"/>
        </w:rPr>
        <w:t xml:space="preserve"> required </w:t>
      </w:r>
      <w:r w:rsidRPr="00FB725D">
        <w:rPr>
          <w:lang w:val="en-GB"/>
        </w:rPr>
        <w:t>to achieve the aims of this Regulation</w:t>
      </w:r>
      <w:r>
        <w:rPr>
          <w:lang w:val="en-GB"/>
        </w:rPr>
        <w:t>".</w:t>
      </w:r>
    </w:p>
    <w:p w14:paraId="48FADB7D" w14:textId="77E53593" w:rsidR="00BC4E46" w:rsidRDefault="00393625">
      <w:pPr>
        <w:rPr>
          <w:lang w:val="en-GB"/>
        </w:rPr>
      </w:pPr>
      <w:r>
        <w:rPr>
          <w:lang w:val="en-GB"/>
        </w:rPr>
        <w:t xml:space="preserve">As far as we understand, the main purpose of the </w:t>
      </w:r>
      <w:r w:rsidR="008B5F3F">
        <w:rPr>
          <w:lang w:val="en-GB"/>
        </w:rPr>
        <w:t xml:space="preserve">grid connection codes is to ensure that weaknesses in the power system of one </w:t>
      </w:r>
      <w:r w:rsidR="004D38E2">
        <w:rPr>
          <w:lang w:val="en-GB"/>
        </w:rPr>
        <w:t>M</w:t>
      </w:r>
      <w:r w:rsidR="008B5F3F">
        <w:rPr>
          <w:lang w:val="en-GB"/>
        </w:rPr>
        <w:t xml:space="preserve">ember </w:t>
      </w:r>
      <w:r w:rsidR="004D38E2">
        <w:rPr>
          <w:lang w:val="en-GB"/>
        </w:rPr>
        <w:t>S</w:t>
      </w:r>
      <w:r w:rsidR="008B5F3F">
        <w:rPr>
          <w:lang w:val="en-GB"/>
        </w:rPr>
        <w:t xml:space="preserve">tates should not cause problems for </w:t>
      </w:r>
      <w:r w:rsidR="004D38E2">
        <w:rPr>
          <w:lang w:val="en-GB"/>
        </w:rPr>
        <w:t>power systems in other Member States.</w:t>
      </w:r>
      <w:r w:rsidR="00BC4E46">
        <w:rPr>
          <w:lang w:val="en-GB"/>
        </w:rPr>
        <w:t xml:space="preserve"> </w:t>
      </w:r>
      <w:proofErr w:type="gramStart"/>
      <w:r w:rsidR="004B662C">
        <w:rPr>
          <w:lang w:val="en-GB"/>
        </w:rPr>
        <w:t>With this in mind</w:t>
      </w:r>
      <w:r w:rsidR="00820962">
        <w:rPr>
          <w:lang w:val="en-GB"/>
        </w:rPr>
        <w:t>, the</w:t>
      </w:r>
      <w:proofErr w:type="gramEnd"/>
      <w:r w:rsidR="00820962">
        <w:rPr>
          <w:lang w:val="en-GB"/>
        </w:rPr>
        <w:t xml:space="preserve"> grid connection codes should be regarded as minimum requirements.</w:t>
      </w:r>
    </w:p>
    <w:p w14:paraId="5E845D4E" w14:textId="41CA79B9" w:rsidR="00D52FA5" w:rsidRDefault="00EF572C">
      <w:pPr>
        <w:rPr>
          <w:lang w:val="en-GB"/>
        </w:rPr>
      </w:pPr>
      <w:r>
        <w:rPr>
          <w:lang w:val="en-GB"/>
        </w:rPr>
        <w:t xml:space="preserve">Acer has created some confusion as regards this topic in its monitoring reports. </w:t>
      </w:r>
      <w:r w:rsidR="00EF19EC">
        <w:rPr>
          <w:lang w:val="en-GB"/>
        </w:rPr>
        <w:t xml:space="preserve">Our NRA has been in contact with the Commission on this, but the answer from the Commission was not </w:t>
      </w:r>
      <w:r w:rsidR="00F54596">
        <w:rPr>
          <w:lang w:val="en-GB"/>
        </w:rPr>
        <w:t xml:space="preserve">very </w:t>
      </w:r>
      <w:r w:rsidR="00EF19EC">
        <w:rPr>
          <w:lang w:val="en-GB"/>
        </w:rPr>
        <w:t>clear.</w:t>
      </w:r>
      <w:r w:rsidR="00F54596">
        <w:rPr>
          <w:lang w:val="en-GB"/>
        </w:rPr>
        <w:t xml:space="preserve"> </w:t>
      </w:r>
      <w:r w:rsidR="00E42290">
        <w:rPr>
          <w:lang w:val="en-GB"/>
        </w:rPr>
        <w:t xml:space="preserve">We suggest therefore to </w:t>
      </w:r>
      <w:r w:rsidR="00C301EB">
        <w:rPr>
          <w:lang w:val="en-GB"/>
        </w:rPr>
        <w:t>clarify this in the whereas clauses</w:t>
      </w:r>
      <w:r w:rsidR="005D2954">
        <w:rPr>
          <w:lang w:val="en-GB"/>
        </w:rPr>
        <w:t>.</w:t>
      </w:r>
    </w:p>
    <w:p w14:paraId="6B0A0759" w14:textId="15CB4E73" w:rsidR="00995DCB" w:rsidRDefault="00D26EB8">
      <w:pPr>
        <w:rPr>
          <w:lang w:val="en-GB"/>
        </w:rPr>
      </w:pPr>
      <w:r>
        <w:rPr>
          <w:lang w:val="en-GB"/>
        </w:rPr>
        <w:t>For the record, w</w:t>
      </w:r>
      <w:r w:rsidR="00DF0970">
        <w:rPr>
          <w:lang w:val="en-GB"/>
        </w:rPr>
        <w:t>e agree that n</w:t>
      </w:r>
      <w:r w:rsidR="004A15A9">
        <w:rPr>
          <w:lang w:val="en-GB"/>
        </w:rPr>
        <w:t>ational legislation cannot be in contradiction to the codes</w:t>
      </w:r>
      <w:r w:rsidR="00DB4C91">
        <w:rPr>
          <w:lang w:val="en-GB"/>
        </w:rPr>
        <w:t xml:space="preserve">. </w:t>
      </w:r>
      <w:r>
        <w:rPr>
          <w:lang w:val="en-GB"/>
        </w:rPr>
        <w:t xml:space="preserve">If a minimum and </w:t>
      </w:r>
      <w:r w:rsidR="00055C35">
        <w:rPr>
          <w:lang w:val="en-GB"/>
        </w:rPr>
        <w:t xml:space="preserve">a </w:t>
      </w:r>
      <w:r>
        <w:rPr>
          <w:lang w:val="en-GB"/>
        </w:rPr>
        <w:t xml:space="preserve">maximum value is defined in the codes, national regulations cannot go </w:t>
      </w:r>
      <w:r w:rsidR="00E16223">
        <w:rPr>
          <w:lang w:val="en-GB"/>
        </w:rPr>
        <w:t xml:space="preserve">outside these values. On the other hand, </w:t>
      </w:r>
      <w:r w:rsidR="00DB4C91">
        <w:rPr>
          <w:lang w:val="en-GB"/>
        </w:rPr>
        <w:t>in some cases, the codes expressly allow for certain specifications to be decided on a national basis</w:t>
      </w:r>
      <w:r w:rsidR="00590208">
        <w:rPr>
          <w:lang w:val="en-GB"/>
        </w:rPr>
        <w:t xml:space="preserve"> - in these cases there </w:t>
      </w:r>
      <w:r w:rsidR="00F67ADD">
        <w:rPr>
          <w:lang w:val="en-GB"/>
        </w:rPr>
        <w:t>are</w:t>
      </w:r>
      <w:r w:rsidR="00590208">
        <w:rPr>
          <w:lang w:val="en-GB"/>
        </w:rPr>
        <w:t xml:space="preserve"> no uncertaint</w:t>
      </w:r>
      <w:r w:rsidR="00F67ADD">
        <w:rPr>
          <w:lang w:val="en-GB"/>
        </w:rPr>
        <w:t>y</w:t>
      </w:r>
      <w:r w:rsidR="00590208">
        <w:rPr>
          <w:lang w:val="en-GB"/>
        </w:rPr>
        <w:t>.</w:t>
      </w:r>
      <w:r w:rsidR="00E16223">
        <w:rPr>
          <w:lang w:val="en-GB"/>
        </w:rPr>
        <w:t xml:space="preserve"> </w:t>
      </w:r>
      <w:r w:rsidR="00733167">
        <w:rPr>
          <w:lang w:val="en-GB"/>
        </w:rPr>
        <w:t>Our question on additional national requirements does not concern these two situations.</w:t>
      </w:r>
    </w:p>
    <w:p w14:paraId="7BDACE59" w14:textId="007F9305" w:rsidR="00BB3C41" w:rsidRDefault="00D55F5B">
      <w:pPr>
        <w:rPr>
          <w:b/>
          <w:bCs/>
          <w:lang w:val="en-GB"/>
        </w:rPr>
      </w:pPr>
      <w:r>
        <w:rPr>
          <w:b/>
          <w:bCs/>
          <w:lang w:val="en-GB"/>
        </w:rPr>
        <w:t>In what cases should re</w:t>
      </w:r>
      <w:r w:rsidR="00BB3C41">
        <w:rPr>
          <w:b/>
          <w:bCs/>
          <w:lang w:val="en-GB"/>
        </w:rPr>
        <w:t xml:space="preserve">quirements </w:t>
      </w:r>
      <w:r>
        <w:rPr>
          <w:b/>
          <w:bCs/>
          <w:lang w:val="en-GB"/>
        </w:rPr>
        <w:t xml:space="preserve">apply to </w:t>
      </w:r>
      <w:r w:rsidR="00BB3C41">
        <w:rPr>
          <w:b/>
          <w:bCs/>
          <w:lang w:val="en-GB"/>
        </w:rPr>
        <w:t>e</w:t>
      </w:r>
      <w:r w:rsidR="00BB3C41" w:rsidRPr="00BB3C41">
        <w:rPr>
          <w:b/>
          <w:bCs/>
          <w:lang w:val="en-GB"/>
        </w:rPr>
        <w:t>xisting systems</w:t>
      </w:r>
    </w:p>
    <w:p w14:paraId="25FFE765" w14:textId="2073F551" w:rsidR="001D2016" w:rsidRDefault="00E30AC5">
      <w:pPr>
        <w:rPr>
          <w:lang w:val="en-GB"/>
        </w:rPr>
      </w:pPr>
      <w:r>
        <w:rPr>
          <w:lang w:val="en-GB"/>
        </w:rPr>
        <w:lastRenderedPageBreak/>
        <w:t xml:space="preserve">As a starting point, the requirements only apply to new systems. </w:t>
      </w:r>
      <w:r w:rsidR="001D2016">
        <w:rPr>
          <w:lang w:val="en-GB"/>
        </w:rPr>
        <w:t xml:space="preserve">According to the </w:t>
      </w:r>
      <w:r w:rsidR="002153F8">
        <w:rPr>
          <w:lang w:val="en-GB"/>
        </w:rPr>
        <w:t xml:space="preserve">three </w:t>
      </w:r>
      <w:r w:rsidR="001D2016">
        <w:rPr>
          <w:lang w:val="en-GB"/>
        </w:rPr>
        <w:t>regulation</w:t>
      </w:r>
      <w:r w:rsidR="0077172B">
        <w:rPr>
          <w:lang w:val="en-GB"/>
        </w:rPr>
        <w:t>s</w:t>
      </w:r>
      <w:r w:rsidR="00EA1873">
        <w:rPr>
          <w:lang w:val="en-GB"/>
        </w:rPr>
        <w:t xml:space="preserve">, </w:t>
      </w:r>
      <w:r w:rsidR="00AB3AA6">
        <w:rPr>
          <w:lang w:val="en-GB"/>
        </w:rPr>
        <w:t xml:space="preserve">however, some or </w:t>
      </w:r>
      <w:proofErr w:type="gramStart"/>
      <w:r w:rsidR="00AB3AA6">
        <w:rPr>
          <w:lang w:val="en-GB"/>
        </w:rPr>
        <w:t>all of</w:t>
      </w:r>
      <w:proofErr w:type="gramEnd"/>
      <w:r w:rsidR="00AB3AA6">
        <w:rPr>
          <w:lang w:val="en-GB"/>
        </w:rPr>
        <w:t xml:space="preserve"> the requirements may apply to existing systems in </w:t>
      </w:r>
      <w:r w:rsidR="0071032C">
        <w:rPr>
          <w:lang w:val="en-GB"/>
        </w:rPr>
        <w:t>two</w:t>
      </w:r>
      <w:r w:rsidR="001D2016">
        <w:rPr>
          <w:lang w:val="en-GB"/>
        </w:rPr>
        <w:t xml:space="preserve"> situations: </w:t>
      </w:r>
      <w:r w:rsidR="00496CEF">
        <w:rPr>
          <w:lang w:val="en-GB"/>
        </w:rPr>
        <w:t xml:space="preserve">when systems are being </w:t>
      </w:r>
      <w:r w:rsidR="001D2016">
        <w:rPr>
          <w:lang w:val="en-GB"/>
        </w:rPr>
        <w:t>modernis</w:t>
      </w:r>
      <w:r w:rsidR="0071032C">
        <w:rPr>
          <w:lang w:val="en-GB"/>
        </w:rPr>
        <w:t>ed</w:t>
      </w:r>
      <w:r w:rsidR="001D2016">
        <w:rPr>
          <w:lang w:val="en-GB"/>
        </w:rPr>
        <w:t xml:space="preserve"> or </w:t>
      </w:r>
      <w:r w:rsidR="00496CEF">
        <w:rPr>
          <w:lang w:val="en-GB"/>
        </w:rPr>
        <w:t xml:space="preserve">when there is a </w:t>
      </w:r>
      <w:r w:rsidR="001D2016">
        <w:rPr>
          <w:lang w:val="en-GB"/>
        </w:rPr>
        <w:t>change of circumstances</w:t>
      </w:r>
      <w:r w:rsidR="00496CEF">
        <w:rPr>
          <w:lang w:val="en-GB"/>
        </w:rPr>
        <w:t>.</w:t>
      </w:r>
    </w:p>
    <w:p w14:paraId="47FE10A1" w14:textId="36266C9B" w:rsidR="00496CEF" w:rsidRDefault="00E60291">
      <w:pPr>
        <w:rPr>
          <w:lang w:val="en-GB"/>
        </w:rPr>
      </w:pPr>
      <w:r>
        <w:rPr>
          <w:lang w:val="en-GB"/>
        </w:rPr>
        <w:t>I order to keep the costs as lo</w:t>
      </w:r>
      <w:r w:rsidR="00F7221A">
        <w:rPr>
          <w:lang w:val="en-GB"/>
        </w:rPr>
        <w:t xml:space="preserve">w as possible, the preferred option is to only impose requirements on new components being </w:t>
      </w:r>
      <w:r w:rsidR="00302CA3">
        <w:rPr>
          <w:lang w:val="en-GB"/>
        </w:rPr>
        <w:t xml:space="preserve">installed in the system. </w:t>
      </w:r>
    </w:p>
    <w:p w14:paraId="44E7B7B0" w14:textId="6C932022" w:rsidR="00302CA3" w:rsidRDefault="00302CA3">
      <w:pPr>
        <w:rPr>
          <w:lang w:val="en-GB"/>
        </w:rPr>
      </w:pPr>
      <w:r>
        <w:rPr>
          <w:lang w:val="en-GB"/>
        </w:rPr>
        <w:t xml:space="preserve">There are several problems with the proposed wording. </w:t>
      </w:r>
      <w:r w:rsidR="001D0C50">
        <w:rPr>
          <w:lang w:val="en-GB"/>
        </w:rPr>
        <w:t xml:space="preserve">The main problem is that the text doesn´t provide a clear legal basis for imposing the requirements. </w:t>
      </w:r>
      <w:r w:rsidR="00CD4379">
        <w:rPr>
          <w:lang w:val="en-GB"/>
        </w:rPr>
        <w:t xml:space="preserve">In the </w:t>
      </w:r>
      <w:r w:rsidR="00A04A8F">
        <w:rPr>
          <w:lang w:val="en-GB"/>
        </w:rPr>
        <w:t xml:space="preserve">draft </w:t>
      </w:r>
      <w:r w:rsidR="00CD4379">
        <w:rPr>
          <w:lang w:val="en-GB"/>
        </w:rPr>
        <w:t xml:space="preserve">proposal it is stated that </w:t>
      </w:r>
      <w:r w:rsidR="00BE76FF">
        <w:rPr>
          <w:lang w:val="en-GB"/>
        </w:rPr>
        <w:t xml:space="preserve">a change of components/assets may </w:t>
      </w:r>
      <w:r w:rsidR="00B363C5">
        <w:rPr>
          <w:lang w:val="en-GB"/>
        </w:rPr>
        <w:t>be defined as a significant alteration</w:t>
      </w:r>
      <w:r w:rsidR="003C069C">
        <w:rPr>
          <w:lang w:val="en-GB"/>
        </w:rPr>
        <w:t xml:space="preserve">, and thus some or </w:t>
      </w:r>
      <w:proofErr w:type="gramStart"/>
      <w:r w:rsidR="003C069C">
        <w:rPr>
          <w:lang w:val="en-GB"/>
        </w:rPr>
        <w:t>all of</w:t>
      </w:r>
      <w:proofErr w:type="gramEnd"/>
      <w:r w:rsidR="003C069C">
        <w:rPr>
          <w:lang w:val="en-GB"/>
        </w:rPr>
        <w:t xml:space="preserve"> the requirements may apply</w:t>
      </w:r>
      <w:r w:rsidR="002F47BA">
        <w:rPr>
          <w:lang w:val="en-GB"/>
        </w:rPr>
        <w:t xml:space="preserve">. However, </w:t>
      </w:r>
      <w:r w:rsidR="00CE2324">
        <w:rPr>
          <w:lang w:val="en-GB"/>
        </w:rPr>
        <w:t xml:space="preserve">this does not apply to </w:t>
      </w:r>
      <w:r w:rsidR="00A938DA">
        <w:rPr>
          <w:lang w:val="en-GB"/>
        </w:rPr>
        <w:t>"</w:t>
      </w:r>
      <w:r w:rsidR="00CE2324">
        <w:rPr>
          <w:lang w:val="en-GB"/>
        </w:rPr>
        <w:t>maintenance</w:t>
      </w:r>
      <w:r w:rsidR="00A938DA">
        <w:rPr>
          <w:lang w:val="en-GB"/>
        </w:rPr>
        <w:t xml:space="preserve"> and</w:t>
      </w:r>
      <w:r w:rsidR="00CE2324">
        <w:rPr>
          <w:lang w:val="en-GB"/>
        </w:rPr>
        <w:t xml:space="preserve"> </w:t>
      </w:r>
      <w:r w:rsidR="001B5C44">
        <w:rPr>
          <w:lang w:val="en-GB"/>
        </w:rPr>
        <w:t xml:space="preserve">repair </w:t>
      </w:r>
      <w:r w:rsidR="00A938DA">
        <w:rPr>
          <w:lang w:val="en-GB"/>
        </w:rPr>
        <w:t xml:space="preserve">activities </w:t>
      </w:r>
      <w:r w:rsidR="001B5C44">
        <w:rPr>
          <w:lang w:val="en-GB"/>
        </w:rPr>
        <w:t>and spare parts</w:t>
      </w:r>
      <w:r w:rsidR="00A938DA">
        <w:rPr>
          <w:lang w:val="en-GB"/>
        </w:rPr>
        <w:t>"</w:t>
      </w:r>
      <w:r w:rsidR="001B5C44">
        <w:rPr>
          <w:lang w:val="en-GB"/>
        </w:rPr>
        <w:t>.</w:t>
      </w:r>
      <w:r w:rsidR="000327A2">
        <w:rPr>
          <w:lang w:val="en-GB"/>
        </w:rPr>
        <w:t xml:space="preserve"> </w:t>
      </w:r>
      <w:r w:rsidR="001B5C44">
        <w:rPr>
          <w:lang w:val="en-GB"/>
        </w:rPr>
        <w:t xml:space="preserve"> </w:t>
      </w:r>
      <w:r w:rsidR="00A976A0">
        <w:rPr>
          <w:lang w:val="en-GB"/>
        </w:rPr>
        <w:t xml:space="preserve">We can´t see </w:t>
      </w:r>
      <w:r w:rsidR="00C1672E">
        <w:rPr>
          <w:lang w:val="en-GB"/>
        </w:rPr>
        <w:t>h</w:t>
      </w:r>
      <w:r w:rsidR="00D62484">
        <w:rPr>
          <w:lang w:val="en-GB"/>
        </w:rPr>
        <w:t xml:space="preserve">ow one </w:t>
      </w:r>
      <w:r w:rsidR="00C1672E">
        <w:rPr>
          <w:lang w:val="en-GB"/>
        </w:rPr>
        <w:t xml:space="preserve">would distinguish legally between </w:t>
      </w:r>
      <w:r w:rsidR="00627E3C">
        <w:rPr>
          <w:lang w:val="en-GB"/>
        </w:rPr>
        <w:t xml:space="preserve">a change of component </w:t>
      </w:r>
      <w:r w:rsidR="00C1672E">
        <w:rPr>
          <w:lang w:val="en-GB"/>
        </w:rPr>
        <w:t xml:space="preserve">on the one hand and </w:t>
      </w:r>
      <w:r w:rsidR="00627E3C">
        <w:rPr>
          <w:lang w:val="en-GB"/>
        </w:rPr>
        <w:t xml:space="preserve">maintenance or </w:t>
      </w:r>
      <w:r w:rsidR="00DF6AE3">
        <w:rPr>
          <w:lang w:val="en-GB"/>
        </w:rPr>
        <w:t xml:space="preserve">the insertion of </w:t>
      </w:r>
      <w:r w:rsidR="00627E3C">
        <w:rPr>
          <w:lang w:val="en-GB"/>
        </w:rPr>
        <w:t>a spare part</w:t>
      </w:r>
      <w:r w:rsidR="00CB01DC">
        <w:rPr>
          <w:lang w:val="en-GB"/>
        </w:rPr>
        <w:t xml:space="preserve"> on the other hand.</w:t>
      </w:r>
      <w:r w:rsidR="005F413C">
        <w:rPr>
          <w:lang w:val="en-GB"/>
        </w:rPr>
        <w:t xml:space="preserve"> </w:t>
      </w:r>
      <w:r w:rsidR="00627E3C">
        <w:rPr>
          <w:lang w:val="en-GB"/>
        </w:rPr>
        <w:t xml:space="preserve"> </w:t>
      </w:r>
    </w:p>
    <w:p w14:paraId="4EA296FD" w14:textId="087EEFD8" w:rsidR="00977A7C" w:rsidRDefault="00977A7C">
      <w:pPr>
        <w:rPr>
          <w:lang w:val="en-GB"/>
        </w:rPr>
      </w:pPr>
      <w:r>
        <w:rPr>
          <w:lang w:val="en-GB"/>
        </w:rPr>
        <w:t>The other situations that can be defined as significant alteration</w:t>
      </w:r>
      <w:r w:rsidR="007C0167">
        <w:rPr>
          <w:lang w:val="en-GB"/>
        </w:rPr>
        <w:t xml:space="preserve"> concern a defined increase in output. This creates </w:t>
      </w:r>
      <w:r w:rsidR="007074CB">
        <w:rPr>
          <w:lang w:val="en-GB"/>
        </w:rPr>
        <w:t>incentives not to upgrade the systems.</w:t>
      </w:r>
      <w:r w:rsidR="00B75610">
        <w:rPr>
          <w:lang w:val="en-GB"/>
        </w:rPr>
        <w:t xml:space="preserve"> </w:t>
      </w:r>
      <w:proofErr w:type="gramStart"/>
      <w:r w:rsidR="0090479E">
        <w:rPr>
          <w:lang w:val="en-GB"/>
        </w:rPr>
        <w:t>As long as</w:t>
      </w:r>
      <w:proofErr w:type="gramEnd"/>
      <w:r w:rsidR="0090479E">
        <w:rPr>
          <w:lang w:val="en-GB"/>
        </w:rPr>
        <w:t xml:space="preserve"> the systems are modernised in a way that does not increase output,</w:t>
      </w:r>
      <w:r w:rsidR="00C30FCA">
        <w:rPr>
          <w:lang w:val="en-GB"/>
        </w:rPr>
        <w:t xml:space="preserve"> the requirements will not apply to the system. </w:t>
      </w:r>
      <w:r w:rsidR="00A0078C">
        <w:rPr>
          <w:lang w:val="en-GB"/>
        </w:rPr>
        <w:t xml:space="preserve">We can´t see any </w:t>
      </w:r>
      <w:r w:rsidR="004E0EFA">
        <w:rPr>
          <w:lang w:val="en-GB"/>
        </w:rPr>
        <w:t xml:space="preserve">good </w:t>
      </w:r>
      <w:r w:rsidR="00A0078C">
        <w:rPr>
          <w:lang w:val="en-GB"/>
        </w:rPr>
        <w:t xml:space="preserve">reasons for this </w:t>
      </w:r>
      <w:r w:rsidR="004E0EFA">
        <w:rPr>
          <w:lang w:val="en-GB"/>
        </w:rPr>
        <w:t>proposal.</w:t>
      </w:r>
      <w:r w:rsidR="007074CB">
        <w:rPr>
          <w:lang w:val="en-GB"/>
        </w:rPr>
        <w:t xml:space="preserve"> </w:t>
      </w:r>
    </w:p>
    <w:p w14:paraId="38C4C062" w14:textId="2F2B5B09" w:rsidR="008B19AA" w:rsidRDefault="008B19AA">
      <w:pPr>
        <w:rPr>
          <w:lang w:val="en-GB"/>
        </w:rPr>
      </w:pPr>
      <w:r>
        <w:rPr>
          <w:lang w:val="en-GB"/>
        </w:rPr>
        <w:t xml:space="preserve">The third problem is that the </w:t>
      </w:r>
      <w:r w:rsidR="00B01F35">
        <w:rPr>
          <w:lang w:val="en-GB"/>
        </w:rPr>
        <w:t xml:space="preserve">revised </w:t>
      </w:r>
      <w:r>
        <w:rPr>
          <w:lang w:val="en-GB"/>
        </w:rPr>
        <w:t xml:space="preserve">text still refers to </w:t>
      </w:r>
      <w:r w:rsidR="00474CE2">
        <w:rPr>
          <w:lang w:val="en-GB"/>
        </w:rPr>
        <w:t xml:space="preserve">the connection agreement. Statnett is not able to use connection agreements to impose requirements since only </w:t>
      </w:r>
      <w:r w:rsidR="00EE1836">
        <w:rPr>
          <w:lang w:val="en-GB"/>
        </w:rPr>
        <w:t xml:space="preserve">some of the relevant </w:t>
      </w:r>
      <w:r w:rsidR="00F453F1">
        <w:rPr>
          <w:lang w:val="en-GB"/>
        </w:rPr>
        <w:t>systems are directly connected to the transmission grid.</w:t>
      </w:r>
    </w:p>
    <w:p w14:paraId="76C00128" w14:textId="2E2E606F" w:rsidR="007A75BD" w:rsidRDefault="00626AD5">
      <w:pPr>
        <w:rPr>
          <w:lang w:val="en-GB"/>
        </w:rPr>
      </w:pPr>
      <w:r>
        <w:rPr>
          <w:lang w:val="en-GB"/>
        </w:rPr>
        <w:t xml:space="preserve">The fourth problem </w:t>
      </w:r>
      <w:r w:rsidR="00CB1464">
        <w:rPr>
          <w:lang w:val="en-GB"/>
        </w:rPr>
        <w:t>concern the procedure</w:t>
      </w:r>
      <w:r w:rsidR="00776513">
        <w:rPr>
          <w:lang w:val="en-GB"/>
        </w:rPr>
        <w:t xml:space="preserve"> in which the Member State shall take a decision in all cases </w:t>
      </w:r>
      <w:r w:rsidR="00640918">
        <w:rPr>
          <w:lang w:val="en-GB"/>
        </w:rPr>
        <w:t xml:space="preserve">where requirements are imposed on existing systems. </w:t>
      </w:r>
      <w:r w:rsidR="00741517">
        <w:rPr>
          <w:lang w:val="en-GB"/>
        </w:rPr>
        <w:t>This seems to be overly bureaucratic.</w:t>
      </w:r>
    </w:p>
    <w:p w14:paraId="47F01737" w14:textId="66F31069" w:rsidR="00D55F5B" w:rsidRPr="001D2016" w:rsidRDefault="00D55F5B">
      <w:pPr>
        <w:rPr>
          <w:u w:val="single"/>
          <w:lang w:val="en-GB"/>
        </w:rPr>
      </w:pPr>
      <w:r w:rsidRPr="001D2016">
        <w:rPr>
          <w:u w:val="single"/>
          <w:lang w:val="en-GB"/>
        </w:rPr>
        <w:t>Change of circumstances</w:t>
      </w:r>
    </w:p>
    <w:p w14:paraId="14369224" w14:textId="73F022E8" w:rsidR="00D55F5B" w:rsidRPr="00ED62A7" w:rsidRDefault="00DE1789">
      <w:pPr>
        <w:rPr>
          <w:lang w:val="en-GB"/>
        </w:rPr>
      </w:pPr>
      <w:r>
        <w:rPr>
          <w:lang w:val="en-GB"/>
        </w:rPr>
        <w:t xml:space="preserve">This procedure is </w:t>
      </w:r>
      <w:r w:rsidR="00775090">
        <w:rPr>
          <w:lang w:val="en-GB"/>
        </w:rPr>
        <w:t>v</w:t>
      </w:r>
      <w:r w:rsidR="00D55F5B">
        <w:rPr>
          <w:lang w:val="en-GB"/>
        </w:rPr>
        <w:t>ery costly</w:t>
      </w:r>
      <w:r w:rsidR="00775090">
        <w:rPr>
          <w:lang w:val="en-GB"/>
        </w:rPr>
        <w:t xml:space="preserve"> for the system owners and </w:t>
      </w:r>
      <w:r w:rsidR="00D55F5B">
        <w:rPr>
          <w:lang w:val="en-GB"/>
        </w:rPr>
        <w:t xml:space="preserve">should be avoided. </w:t>
      </w:r>
      <w:r w:rsidR="00CD51EF">
        <w:rPr>
          <w:lang w:val="en-GB"/>
        </w:rPr>
        <w:t>The procedure</w:t>
      </w:r>
      <w:r w:rsidR="00E37DA5">
        <w:rPr>
          <w:lang w:val="en-GB"/>
        </w:rPr>
        <w:t xml:space="preserve"> in the grid connection codes</w:t>
      </w:r>
      <w:r w:rsidR="00B54FA0">
        <w:rPr>
          <w:lang w:val="en-GB"/>
        </w:rPr>
        <w:t xml:space="preserve"> includes a cost benefit analysis and a public hearing</w:t>
      </w:r>
      <w:r w:rsidR="00230B08">
        <w:rPr>
          <w:lang w:val="en-GB"/>
        </w:rPr>
        <w:t>. This is</w:t>
      </w:r>
      <w:r w:rsidR="00CD51EF">
        <w:rPr>
          <w:lang w:val="en-GB"/>
        </w:rPr>
        <w:t xml:space="preserve"> </w:t>
      </w:r>
      <w:proofErr w:type="gramStart"/>
      <w:r w:rsidR="00CD51EF">
        <w:rPr>
          <w:lang w:val="en-GB"/>
        </w:rPr>
        <w:t>similar to</w:t>
      </w:r>
      <w:proofErr w:type="gramEnd"/>
      <w:r w:rsidR="00CD51EF">
        <w:rPr>
          <w:lang w:val="en-GB"/>
        </w:rPr>
        <w:t xml:space="preserve"> the procedure for adopting new regulations.</w:t>
      </w:r>
      <w:r w:rsidR="00CC74DD">
        <w:rPr>
          <w:lang w:val="en-GB"/>
        </w:rPr>
        <w:t xml:space="preserve"> </w:t>
      </w:r>
      <w:r w:rsidR="00230B08">
        <w:rPr>
          <w:lang w:val="en-GB"/>
        </w:rPr>
        <w:t xml:space="preserve">Instead of specifying this </w:t>
      </w:r>
      <w:r w:rsidR="00F6605A">
        <w:rPr>
          <w:lang w:val="en-GB"/>
        </w:rPr>
        <w:t>procedure in the grid connection codes, i</w:t>
      </w:r>
      <w:r w:rsidR="00CC74DD">
        <w:rPr>
          <w:lang w:val="en-GB"/>
        </w:rPr>
        <w:t xml:space="preserve">t would be better to simply state that Member States may by national legislation impose requirements on </w:t>
      </w:r>
      <w:r w:rsidR="00E37DA5">
        <w:rPr>
          <w:lang w:val="en-GB"/>
        </w:rPr>
        <w:t>existing systems.</w:t>
      </w:r>
    </w:p>
    <w:p w14:paraId="0A25955E" w14:textId="049C800D" w:rsidR="001D2016" w:rsidRPr="001D2016" w:rsidRDefault="00420E13">
      <w:pPr>
        <w:rPr>
          <w:u w:val="single"/>
          <w:lang w:val="en-GB"/>
        </w:rPr>
      </w:pPr>
      <w:r>
        <w:rPr>
          <w:u w:val="single"/>
          <w:lang w:val="en-GB"/>
        </w:rPr>
        <w:t>Possible solutions</w:t>
      </w:r>
    </w:p>
    <w:p w14:paraId="3879D7AD" w14:textId="7040B6B2" w:rsidR="002A5DAD" w:rsidRDefault="00E226C1" w:rsidP="002B4407">
      <w:pPr>
        <w:rPr>
          <w:lang w:val="en-GB"/>
        </w:rPr>
      </w:pPr>
      <w:r>
        <w:rPr>
          <w:lang w:val="en-GB"/>
        </w:rPr>
        <w:t>Our preferred suggestion is to l</w:t>
      </w:r>
      <w:r w:rsidR="002B4407" w:rsidRPr="001D2016">
        <w:rPr>
          <w:lang w:val="en-GB"/>
        </w:rPr>
        <w:t xml:space="preserve">eave it up to the </w:t>
      </w:r>
      <w:r w:rsidR="00E44320">
        <w:rPr>
          <w:lang w:val="en-GB"/>
        </w:rPr>
        <w:t>M</w:t>
      </w:r>
      <w:r w:rsidR="002B4407" w:rsidRPr="001D2016">
        <w:rPr>
          <w:lang w:val="en-GB"/>
        </w:rPr>
        <w:t xml:space="preserve">ember </w:t>
      </w:r>
      <w:r w:rsidR="00E44320">
        <w:rPr>
          <w:lang w:val="en-GB"/>
        </w:rPr>
        <w:t>S</w:t>
      </w:r>
      <w:r w:rsidR="002B4407" w:rsidRPr="001D2016">
        <w:rPr>
          <w:lang w:val="en-GB"/>
        </w:rPr>
        <w:t>tates</w:t>
      </w:r>
      <w:r>
        <w:rPr>
          <w:lang w:val="en-GB"/>
        </w:rPr>
        <w:t xml:space="preserve"> to </w:t>
      </w:r>
      <w:r w:rsidR="00F141A6">
        <w:rPr>
          <w:lang w:val="en-GB"/>
        </w:rPr>
        <w:t xml:space="preserve">decide when </w:t>
      </w:r>
      <w:r>
        <w:rPr>
          <w:lang w:val="en-GB"/>
        </w:rPr>
        <w:t xml:space="preserve">the requirements should apply to existing systems. </w:t>
      </w:r>
      <w:r w:rsidR="009F49CF">
        <w:rPr>
          <w:lang w:val="en-GB"/>
        </w:rPr>
        <w:t xml:space="preserve">According to </w:t>
      </w:r>
      <w:r w:rsidR="005B1D4A">
        <w:rPr>
          <w:lang w:val="en-GB"/>
        </w:rPr>
        <w:t>article 5</w:t>
      </w:r>
      <w:r w:rsidR="00E402FE">
        <w:rPr>
          <w:lang w:val="en-GB"/>
        </w:rPr>
        <w:t>,</w:t>
      </w:r>
      <w:r w:rsidR="005B1D4A">
        <w:rPr>
          <w:lang w:val="en-GB"/>
        </w:rPr>
        <w:t xml:space="preserve"> Member States shal</w:t>
      </w:r>
      <w:r w:rsidR="00F141A6">
        <w:rPr>
          <w:lang w:val="en-GB"/>
        </w:rPr>
        <w:t>l</w:t>
      </w:r>
      <w:r w:rsidR="005B1D4A">
        <w:rPr>
          <w:lang w:val="en-GB"/>
        </w:rPr>
        <w:t xml:space="preserve"> apply the principle of proportionality</w:t>
      </w:r>
      <w:r w:rsidR="00A759D1">
        <w:rPr>
          <w:lang w:val="en-GB"/>
        </w:rPr>
        <w:t xml:space="preserve">. </w:t>
      </w:r>
      <w:r w:rsidR="00E402FE">
        <w:rPr>
          <w:lang w:val="en-GB"/>
        </w:rPr>
        <w:t xml:space="preserve">System owners will </w:t>
      </w:r>
      <w:r w:rsidR="000F3263">
        <w:rPr>
          <w:lang w:val="en-GB"/>
        </w:rPr>
        <w:t xml:space="preserve">therefore </w:t>
      </w:r>
      <w:r w:rsidR="00E402FE">
        <w:rPr>
          <w:lang w:val="en-GB"/>
        </w:rPr>
        <w:t xml:space="preserve">have </w:t>
      </w:r>
      <w:r w:rsidR="002B0512">
        <w:rPr>
          <w:lang w:val="en-GB"/>
        </w:rPr>
        <w:t xml:space="preserve">some protection </w:t>
      </w:r>
      <w:r w:rsidR="007536EB">
        <w:rPr>
          <w:lang w:val="en-GB"/>
        </w:rPr>
        <w:t>in</w:t>
      </w:r>
      <w:r w:rsidR="002B0512">
        <w:rPr>
          <w:lang w:val="en-GB"/>
        </w:rPr>
        <w:t xml:space="preserve"> the grid connection codes.</w:t>
      </w:r>
      <w:r w:rsidR="000F3263">
        <w:rPr>
          <w:lang w:val="en-GB"/>
        </w:rPr>
        <w:t xml:space="preserve"> </w:t>
      </w:r>
      <w:r w:rsidR="002324C7">
        <w:rPr>
          <w:lang w:val="en-GB"/>
        </w:rPr>
        <w:t xml:space="preserve">We believe all Member States also have </w:t>
      </w:r>
      <w:r w:rsidR="007032D4">
        <w:rPr>
          <w:lang w:val="en-GB"/>
        </w:rPr>
        <w:t xml:space="preserve">requirements </w:t>
      </w:r>
      <w:r w:rsidR="002324C7">
        <w:rPr>
          <w:lang w:val="en-GB"/>
        </w:rPr>
        <w:t xml:space="preserve">in their national legislation </w:t>
      </w:r>
      <w:r w:rsidR="00595CF4">
        <w:rPr>
          <w:lang w:val="en-GB"/>
        </w:rPr>
        <w:t xml:space="preserve">concerning proportionality, cost benefit analysis and public hearing. </w:t>
      </w:r>
      <w:r w:rsidR="00AA7854">
        <w:rPr>
          <w:lang w:val="en-GB"/>
        </w:rPr>
        <w:t xml:space="preserve">We can´t really see the need to harmonise </w:t>
      </w:r>
      <w:r w:rsidR="006A6AAB">
        <w:rPr>
          <w:lang w:val="en-GB"/>
        </w:rPr>
        <w:t xml:space="preserve">on a European level </w:t>
      </w:r>
      <w:r w:rsidR="00AA7854">
        <w:rPr>
          <w:lang w:val="en-GB"/>
        </w:rPr>
        <w:t xml:space="preserve">the </w:t>
      </w:r>
      <w:r w:rsidR="00763A0F">
        <w:rPr>
          <w:lang w:val="en-GB"/>
        </w:rPr>
        <w:t xml:space="preserve">conditions and procedures for imposing </w:t>
      </w:r>
      <w:r w:rsidR="00AA7854">
        <w:rPr>
          <w:lang w:val="en-GB"/>
        </w:rPr>
        <w:t>requirements</w:t>
      </w:r>
      <w:r w:rsidR="00763A0F">
        <w:rPr>
          <w:lang w:val="en-GB"/>
        </w:rPr>
        <w:t xml:space="preserve"> on existing systems.</w:t>
      </w:r>
    </w:p>
    <w:p w14:paraId="3CF79A4C" w14:textId="5FF0CF94" w:rsidR="00A717BE" w:rsidRDefault="00875EDA" w:rsidP="002B4407">
      <w:pPr>
        <w:rPr>
          <w:lang w:val="en-GB"/>
        </w:rPr>
      </w:pPr>
      <w:r>
        <w:rPr>
          <w:lang w:val="en-GB"/>
        </w:rPr>
        <w:t xml:space="preserve">If this nevertheless should continue to be regulated, the article </w:t>
      </w:r>
      <w:r w:rsidR="00D14DEB">
        <w:rPr>
          <w:lang w:val="en-GB"/>
        </w:rPr>
        <w:t xml:space="preserve">needs to be improved. </w:t>
      </w:r>
    </w:p>
    <w:p w14:paraId="4C9D155E" w14:textId="7DD04ADF" w:rsidR="00A14C9A" w:rsidRPr="001D2016" w:rsidRDefault="00CF4FDE">
      <w:pPr>
        <w:rPr>
          <w:lang w:val="en-GB"/>
        </w:rPr>
      </w:pPr>
      <w:r>
        <w:rPr>
          <w:lang w:val="en-GB"/>
        </w:rPr>
        <w:t xml:space="preserve">If the </w:t>
      </w:r>
      <w:r w:rsidR="00354037">
        <w:rPr>
          <w:lang w:val="en-GB"/>
        </w:rPr>
        <w:t xml:space="preserve">article on </w:t>
      </w:r>
      <w:r w:rsidR="00914DDF">
        <w:rPr>
          <w:lang w:val="en-GB"/>
        </w:rPr>
        <w:t xml:space="preserve">application to </w:t>
      </w:r>
      <w:r w:rsidR="00354037">
        <w:rPr>
          <w:lang w:val="en-GB"/>
        </w:rPr>
        <w:t xml:space="preserve">existing system </w:t>
      </w:r>
      <w:r>
        <w:rPr>
          <w:lang w:val="en-GB"/>
        </w:rPr>
        <w:t xml:space="preserve">is to be regarded </w:t>
      </w:r>
      <w:r w:rsidR="00354037">
        <w:rPr>
          <w:lang w:val="en-GB"/>
        </w:rPr>
        <w:t xml:space="preserve">as </w:t>
      </w:r>
      <w:r w:rsidR="00914DDF">
        <w:rPr>
          <w:lang w:val="en-GB"/>
        </w:rPr>
        <w:t>a minimum requirement</w:t>
      </w:r>
      <w:r>
        <w:rPr>
          <w:lang w:val="en-GB"/>
        </w:rPr>
        <w:t xml:space="preserve">, we would be able to </w:t>
      </w:r>
      <w:r w:rsidR="00A5538C">
        <w:rPr>
          <w:lang w:val="en-GB"/>
        </w:rPr>
        <w:t>ensure a sufficient legal basis by adding national regulation.</w:t>
      </w:r>
      <w:r w:rsidR="002549DD">
        <w:rPr>
          <w:lang w:val="en-GB"/>
        </w:rPr>
        <w:t xml:space="preserve"> </w:t>
      </w:r>
      <w:r w:rsidR="008F5A2D">
        <w:rPr>
          <w:lang w:val="en-GB"/>
        </w:rPr>
        <w:t>However, i</w:t>
      </w:r>
      <w:r w:rsidR="002549DD">
        <w:rPr>
          <w:lang w:val="en-GB"/>
        </w:rPr>
        <w:t xml:space="preserve">f the article </w:t>
      </w:r>
      <w:r w:rsidR="00662731">
        <w:rPr>
          <w:lang w:val="en-GB"/>
        </w:rPr>
        <w:t xml:space="preserve">is to be regarded as an </w:t>
      </w:r>
      <w:r w:rsidR="00335DB2">
        <w:rPr>
          <w:lang w:val="en-GB"/>
        </w:rPr>
        <w:t>exhaustive</w:t>
      </w:r>
      <w:r w:rsidR="00662731">
        <w:rPr>
          <w:lang w:val="en-GB"/>
        </w:rPr>
        <w:t xml:space="preserve"> regulation on existing systems, it would not </w:t>
      </w:r>
      <w:r w:rsidR="00BB498A">
        <w:rPr>
          <w:lang w:val="en-GB"/>
        </w:rPr>
        <w:t xml:space="preserve">work as intended </w:t>
      </w:r>
      <w:r w:rsidR="0001445C">
        <w:rPr>
          <w:lang w:val="en-GB"/>
        </w:rPr>
        <w:t xml:space="preserve">in Norway. </w:t>
      </w:r>
      <w:r w:rsidR="00FE1049">
        <w:rPr>
          <w:lang w:val="en-GB"/>
        </w:rPr>
        <w:t>According to our constitution there needs to be a clear legal basis for imposing obligation</w:t>
      </w:r>
      <w:r w:rsidR="00E2117A">
        <w:rPr>
          <w:lang w:val="en-GB"/>
        </w:rPr>
        <w:t>s</w:t>
      </w:r>
      <w:r w:rsidR="00FE1049">
        <w:rPr>
          <w:lang w:val="en-GB"/>
        </w:rPr>
        <w:t xml:space="preserve"> on private </w:t>
      </w:r>
      <w:r w:rsidR="00D54F00">
        <w:rPr>
          <w:lang w:val="en-GB"/>
        </w:rPr>
        <w:t>entities and persons.</w:t>
      </w:r>
      <w:r w:rsidR="001D2016">
        <w:rPr>
          <w:lang w:val="en-GB"/>
        </w:rPr>
        <w:t xml:space="preserve"> </w:t>
      </w:r>
    </w:p>
    <w:p w14:paraId="51596AA0" w14:textId="1A5DEC50" w:rsidR="00ED62A7" w:rsidRDefault="00ED62A7">
      <w:pPr>
        <w:rPr>
          <w:b/>
          <w:bCs/>
          <w:lang w:val="en-GB"/>
        </w:rPr>
      </w:pPr>
      <w:r>
        <w:rPr>
          <w:b/>
          <w:bCs/>
          <w:lang w:val="en-GB"/>
        </w:rPr>
        <w:lastRenderedPageBreak/>
        <w:t>Reference to agreements and contracts</w:t>
      </w:r>
    </w:p>
    <w:p w14:paraId="7C4C1834" w14:textId="57061942" w:rsidR="00ED62A7" w:rsidRDefault="00B74653">
      <w:pPr>
        <w:rPr>
          <w:b/>
          <w:bCs/>
          <w:lang w:val="en-GB"/>
        </w:rPr>
      </w:pPr>
      <w:r>
        <w:rPr>
          <w:lang w:val="en-GB"/>
        </w:rPr>
        <w:t xml:space="preserve">As mentioned </w:t>
      </w:r>
      <w:r w:rsidR="008978CC">
        <w:rPr>
          <w:lang w:val="en-GB"/>
        </w:rPr>
        <w:t xml:space="preserve">above, </w:t>
      </w:r>
      <w:r w:rsidR="00ED62A7" w:rsidRPr="00ED62A7">
        <w:rPr>
          <w:lang w:val="en-GB"/>
        </w:rPr>
        <w:t xml:space="preserve">Statnett </w:t>
      </w:r>
      <w:r>
        <w:rPr>
          <w:lang w:val="en-GB"/>
        </w:rPr>
        <w:t xml:space="preserve">does not impose requirements by connection agreements. If </w:t>
      </w:r>
      <w:r w:rsidR="009D0C04">
        <w:rPr>
          <w:lang w:val="en-GB"/>
        </w:rPr>
        <w:t xml:space="preserve">the grid connection codes where to apply for Norway, we do not know how to handle articles that refer to the </w:t>
      </w:r>
      <w:r w:rsidR="000E64DA">
        <w:rPr>
          <w:lang w:val="en-GB"/>
        </w:rPr>
        <w:t xml:space="preserve">connection agreements. For the draft HVDC code this concerns article 4 </w:t>
      </w:r>
      <w:r w:rsidR="008978CC">
        <w:rPr>
          <w:lang w:val="en-GB"/>
        </w:rPr>
        <w:t>and</w:t>
      </w:r>
      <w:r w:rsidR="000E64DA">
        <w:rPr>
          <w:lang w:val="en-GB"/>
        </w:rPr>
        <w:t xml:space="preserve"> article 84</w:t>
      </w:r>
      <w:r w:rsidR="008978CC">
        <w:rPr>
          <w:lang w:val="en-GB"/>
        </w:rPr>
        <w:t xml:space="preserve">. </w:t>
      </w:r>
    </w:p>
    <w:p w14:paraId="2BCE8512" w14:textId="400D5261" w:rsidR="00D55F5B" w:rsidRDefault="00420E13">
      <w:pPr>
        <w:rPr>
          <w:b/>
          <w:bCs/>
          <w:lang w:val="en-GB"/>
        </w:rPr>
      </w:pPr>
      <w:r>
        <w:rPr>
          <w:b/>
          <w:bCs/>
          <w:lang w:val="en-GB"/>
        </w:rPr>
        <w:t>Conclusions</w:t>
      </w:r>
    </w:p>
    <w:p w14:paraId="51415A9F" w14:textId="5C3BDBE1" w:rsidR="00420E13" w:rsidRPr="009F280E" w:rsidRDefault="00B12C35">
      <w:pPr>
        <w:rPr>
          <w:lang w:val="en-GB"/>
        </w:rPr>
      </w:pPr>
      <w:r>
        <w:rPr>
          <w:lang w:val="en-GB"/>
        </w:rPr>
        <w:t>It should be clarified</w:t>
      </w:r>
      <w:r w:rsidR="00420E13" w:rsidRPr="009F280E">
        <w:rPr>
          <w:lang w:val="en-GB"/>
        </w:rPr>
        <w:t xml:space="preserve"> that the </w:t>
      </w:r>
      <w:r w:rsidR="00AD3270">
        <w:rPr>
          <w:lang w:val="en-GB"/>
        </w:rPr>
        <w:t xml:space="preserve">requirements in the </w:t>
      </w:r>
      <w:r w:rsidR="009F280E" w:rsidRPr="009F280E">
        <w:rPr>
          <w:lang w:val="en-GB"/>
        </w:rPr>
        <w:t>grid connection codes are to be regarded as minimum requirements.</w:t>
      </w:r>
    </w:p>
    <w:p w14:paraId="3F6C424E" w14:textId="440AE215" w:rsidR="00D55F5B" w:rsidRDefault="00B12C35" w:rsidP="00876DEA">
      <w:pPr>
        <w:rPr>
          <w:lang w:val="en-GB"/>
        </w:rPr>
      </w:pPr>
      <w:r>
        <w:rPr>
          <w:lang w:val="en-GB"/>
        </w:rPr>
        <w:t xml:space="preserve">It should be left to Member States to </w:t>
      </w:r>
      <w:r w:rsidR="00876DEA">
        <w:rPr>
          <w:lang w:val="en-GB"/>
        </w:rPr>
        <w:t>regulate existing systems, or to add national legislation on existing systems. Alternatively</w:t>
      </w:r>
      <w:r w:rsidR="00F336E9">
        <w:rPr>
          <w:lang w:val="en-GB"/>
        </w:rPr>
        <w:t>,</w:t>
      </w:r>
      <w:r w:rsidR="00876DEA">
        <w:rPr>
          <w:lang w:val="en-GB"/>
        </w:rPr>
        <w:t xml:space="preserve"> the article needs to be improved. </w:t>
      </w:r>
    </w:p>
    <w:p w14:paraId="6513AC68" w14:textId="6CCBC504" w:rsidR="00F336E9" w:rsidRDefault="00F336E9" w:rsidP="00876DEA">
      <w:pPr>
        <w:rPr>
          <w:lang w:val="en-GB"/>
        </w:rPr>
      </w:pPr>
      <w:r>
        <w:rPr>
          <w:lang w:val="en-GB"/>
        </w:rPr>
        <w:t>References to the connection agreements should be avoided.</w:t>
      </w:r>
    </w:p>
    <w:p w14:paraId="5997AFC9" w14:textId="77777777" w:rsidR="00BB3C41" w:rsidRDefault="00BB3C41">
      <w:pPr>
        <w:rPr>
          <w:lang w:val="en-GB"/>
        </w:rPr>
      </w:pPr>
    </w:p>
    <w:p w14:paraId="26776C1A" w14:textId="77777777" w:rsidR="00BB3C41" w:rsidRDefault="00BB3C41">
      <w:pPr>
        <w:rPr>
          <w:lang w:val="en-GB"/>
        </w:rPr>
      </w:pPr>
    </w:p>
    <w:p w14:paraId="08E7D280" w14:textId="77777777" w:rsidR="00BB3C41" w:rsidRDefault="00BB3C41">
      <w:pPr>
        <w:rPr>
          <w:lang w:val="en-GB"/>
        </w:rPr>
      </w:pPr>
    </w:p>
    <w:p w14:paraId="3D1A3FE2" w14:textId="77777777" w:rsidR="00BB3C41" w:rsidRPr="00BB3C41" w:rsidRDefault="00BB3C41">
      <w:pPr>
        <w:rPr>
          <w:lang w:val="en-GB"/>
        </w:rPr>
      </w:pPr>
    </w:p>
    <w:sectPr w:rsidR="00BB3C41" w:rsidRPr="00BB3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D66DAF"/>
    <w:multiLevelType w:val="hybridMultilevel"/>
    <w:tmpl w:val="6FA81B70"/>
    <w:lvl w:ilvl="0" w:tplc="8F088A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501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C41"/>
    <w:rsid w:val="00001256"/>
    <w:rsid w:val="0000173D"/>
    <w:rsid w:val="00010967"/>
    <w:rsid w:val="0001445C"/>
    <w:rsid w:val="00015845"/>
    <w:rsid w:val="000260E2"/>
    <w:rsid w:val="000327A2"/>
    <w:rsid w:val="00051B95"/>
    <w:rsid w:val="00055C35"/>
    <w:rsid w:val="000716D0"/>
    <w:rsid w:val="0008330F"/>
    <w:rsid w:val="000A1641"/>
    <w:rsid w:val="000A71D2"/>
    <w:rsid w:val="000B338A"/>
    <w:rsid w:val="000B49FB"/>
    <w:rsid w:val="000B736B"/>
    <w:rsid w:val="000E64DA"/>
    <w:rsid w:val="000F3263"/>
    <w:rsid w:val="00107755"/>
    <w:rsid w:val="0012628D"/>
    <w:rsid w:val="0012692F"/>
    <w:rsid w:val="00131353"/>
    <w:rsid w:val="00164E6C"/>
    <w:rsid w:val="001653AB"/>
    <w:rsid w:val="001817C9"/>
    <w:rsid w:val="00195FB8"/>
    <w:rsid w:val="001A4D9F"/>
    <w:rsid w:val="001B53A3"/>
    <w:rsid w:val="001B5C44"/>
    <w:rsid w:val="001C43A3"/>
    <w:rsid w:val="001D0C50"/>
    <w:rsid w:val="001D2016"/>
    <w:rsid w:val="001D42E8"/>
    <w:rsid w:val="002153F8"/>
    <w:rsid w:val="00230B08"/>
    <w:rsid w:val="002313EF"/>
    <w:rsid w:val="002324C7"/>
    <w:rsid w:val="0024043E"/>
    <w:rsid w:val="002468B6"/>
    <w:rsid w:val="0025045C"/>
    <w:rsid w:val="002549DD"/>
    <w:rsid w:val="00260DFD"/>
    <w:rsid w:val="00280514"/>
    <w:rsid w:val="00294406"/>
    <w:rsid w:val="002A546E"/>
    <w:rsid w:val="002A5DAD"/>
    <w:rsid w:val="002A7C67"/>
    <w:rsid w:val="002B0512"/>
    <w:rsid w:val="002B084F"/>
    <w:rsid w:val="002B4407"/>
    <w:rsid w:val="002F47BA"/>
    <w:rsid w:val="00300E2B"/>
    <w:rsid w:val="00302CA3"/>
    <w:rsid w:val="0033169B"/>
    <w:rsid w:val="00335DB2"/>
    <w:rsid w:val="00354037"/>
    <w:rsid w:val="00362614"/>
    <w:rsid w:val="003904CF"/>
    <w:rsid w:val="00393625"/>
    <w:rsid w:val="003A5CB5"/>
    <w:rsid w:val="003B2558"/>
    <w:rsid w:val="003C069C"/>
    <w:rsid w:val="003D055F"/>
    <w:rsid w:val="003E1D9B"/>
    <w:rsid w:val="003F5FD8"/>
    <w:rsid w:val="00420E13"/>
    <w:rsid w:val="004330EB"/>
    <w:rsid w:val="00474CE2"/>
    <w:rsid w:val="00496CEF"/>
    <w:rsid w:val="004A15A9"/>
    <w:rsid w:val="004A45AB"/>
    <w:rsid w:val="004B401D"/>
    <w:rsid w:val="004B662C"/>
    <w:rsid w:val="004C147D"/>
    <w:rsid w:val="004C30C2"/>
    <w:rsid w:val="004D38E2"/>
    <w:rsid w:val="004E0EFA"/>
    <w:rsid w:val="00504E16"/>
    <w:rsid w:val="00535DBA"/>
    <w:rsid w:val="00562B6E"/>
    <w:rsid w:val="005657A9"/>
    <w:rsid w:val="00565BEE"/>
    <w:rsid w:val="00581D12"/>
    <w:rsid w:val="00590208"/>
    <w:rsid w:val="00590321"/>
    <w:rsid w:val="00595CF4"/>
    <w:rsid w:val="005A1480"/>
    <w:rsid w:val="005B1D4A"/>
    <w:rsid w:val="005D2954"/>
    <w:rsid w:val="005E669B"/>
    <w:rsid w:val="005F413C"/>
    <w:rsid w:val="00606D44"/>
    <w:rsid w:val="00626AD5"/>
    <w:rsid w:val="00627E3C"/>
    <w:rsid w:val="0063150B"/>
    <w:rsid w:val="006337B2"/>
    <w:rsid w:val="00640918"/>
    <w:rsid w:val="00662731"/>
    <w:rsid w:val="006847EA"/>
    <w:rsid w:val="00692BAF"/>
    <w:rsid w:val="006A674B"/>
    <w:rsid w:val="006A6AAB"/>
    <w:rsid w:val="006C526E"/>
    <w:rsid w:val="006E6C34"/>
    <w:rsid w:val="007032D4"/>
    <w:rsid w:val="007074CB"/>
    <w:rsid w:val="0071032C"/>
    <w:rsid w:val="00711820"/>
    <w:rsid w:val="00717CF4"/>
    <w:rsid w:val="00722D28"/>
    <w:rsid w:val="00731156"/>
    <w:rsid w:val="00731694"/>
    <w:rsid w:val="00733167"/>
    <w:rsid w:val="00741517"/>
    <w:rsid w:val="00751C13"/>
    <w:rsid w:val="00751CC8"/>
    <w:rsid w:val="007536EB"/>
    <w:rsid w:val="00757165"/>
    <w:rsid w:val="00763A0F"/>
    <w:rsid w:val="0076682D"/>
    <w:rsid w:val="0077172B"/>
    <w:rsid w:val="00775090"/>
    <w:rsid w:val="00776513"/>
    <w:rsid w:val="00786658"/>
    <w:rsid w:val="007A75BD"/>
    <w:rsid w:val="007C0167"/>
    <w:rsid w:val="007C0A23"/>
    <w:rsid w:val="007D2672"/>
    <w:rsid w:val="00816CD4"/>
    <w:rsid w:val="008207B5"/>
    <w:rsid w:val="00820962"/>
    <w:rsid w:val="00824674"/>
    <w:rsid w:val="008336C7"/>
    <w:rsid w:val="0085020E"/>
    <w:rsid w:val="00863D49"/>
    <w:rsid w:val="00875EDA"/>
    <w:rsid w:val="00876DEA"/>
    <w:rsid w:val="008978CC"/>
    <w:rsid w:val="008B19AA"/>
    <w:rsid w:val="008B3885"/>
    <w:rsid w:val="008B5F3F"/>
    <w:rsid w:val="008C6738"/>
    <w:rsid w:val="008C785E"/>
    <w:rsid w:val="008E5C2C"/>
    <w:rsid w:val="008F5A2D"/>
    <w:rsid w:val="0090479E"/>
    <w:rsid w:val="0091049C"/>
    <w:rsid w:val="00910B8B"/>
    <w:rsid w:val="00914DDF"/>
    <w:rsid w:val="00924B8A"/>
    <w:rsid w:val="00977A7C"/>
    <w:rsid w:val="0098051E"/>
    <w:rsid w:val="0099145B"/>
    <w:rsid w:val="00995DCB"/>
    <w:rsid w:val="009A0B9F"/>
    <w:rsid w:val="009C009F"/>
    <w:rsid w:val="009D0C04"/>
    <w:rsid w:val="009E6AF6"/>
    <w:rsid w:val="009F280E"/>
    <w:rsid w:val="009F49CF"/>
    <w:rsid w:val="00A0078C"/>
    <w:rsid w:val="00A04A8F"/>
    <w:rsid w:val="00A14C9A"/>
    <w:rsid w:val="00A44489"/>
    <w:rsid w:val="00A5538C"/>
    <w:rsid w:val="00A55B39"/>
    <w:rsid w:val="00A57580"/>
    <w:rsid w:val="00A60703"/>
    <w:rsid w:val="00A717BE"/>
    <w:rsid w:val="00A759D1"/>
    <w:rsid w:val="00A87421"/>
    <w:rsid w:val="00A938DA"/>
    <w:rsid w:val="00A976A0"/>
    <w:rsid w:val="00AA7854"/>
    <w:rsid w:val="00AB3AA6"/>
    <w:rsid w:val="00AC1B4E"/>
    <w:rsid w:val="00AD3270"/>
    <w:rsid w:val="00AD3E51"/>
    <w:rsid w:val="00AD6A6B"/>
    <w:rsid w:val="00AF53A6"/>
    <w:rsid w:val="00B01F35"/>
    <w:rsid w:val="00B03405"/>
    <w:rsid w:val="00B12C35"/>
    <w:rsid w:val="00B202F7"/>
    <w:rsid w:val="00B33BCE"/>
    <w:rsid w:val="00B363C5"/>
    <w:rsid w:val="00B50CE7"/>
    <w:rsid w:val="00B54FA0"/>
    <w:rsid w:val="00B74653"/>
    <w:rsid w:val="00B75610"/>
    <w:rsid w:val="00B82AED"/>
    <w:rsid w:val="00BB3C41"/>
    <w:rsid w:val="00BB498A"/>
    <w:rsid w:val="00BC4E46"/>
    <w:rsid w:val="00BD00A6"/>
    <w:rsid w:val="00BE76FF"/>
    <w:rsid w:val="00BE7B33"/>
    <w:rsid w:val="00BF3940"/>
    <w:rsid w:val="00C1672E"/>
    <w:rsid w:val="00C25D38"/>
    <w:rsid w:val="00C27FF9"/>
    <w:rsid w:val="00C301EB"/>
    <w:rsid w:val="00C30C95"/>
    <w:rsid w:val="00C30FCA"/>
    <w:rsid w:val="00C36AB1"/>
    <w:rsid w:val="00C5668C"/>
    <w:rsid w:val="00C63E98"/>
    <w:rsid w:val="00C7368E"/>
    <w:rsid w:val="00C81655"/>
    <w:rsid w:val="00CB01DC"/>
    <w:rsid w:val="00CB1464"/>
    <w:rsid w:val="00CB370C"/>
    <w:rsid w:val="00CB718D"/>
    <w:rsid w:val="00CC3D5A"/>
    <w:rsid w:val="00CC74DD"/>
    <w:rsid w:val="00CD4379"/>
    <w:rsid w:val="00CD51EF"/>
    <w:rsid w:val="00CE2324"/>
    <w:rsid w:val="00CE4BBE"/>
    <w:rsid w:val="00CF4FDE"/>
    <w:rsid w:val="00D14DEB"/>
    <w:rsid w:val="00D26EB8"/>
    <w:rsid w:val="00D4475A"/>
    <w:rsid w:val="00D52FA5"/>
    <w:rsid w:val="00D54F00"/>
    <w:rsid w:val="00D55F5B"/>
    <w:rsid w:val="00D62484"/>
    <w:rsid w:val="00D677C9"/>
    <w:rsid w:val="00D7279E"/>
    <w:rsid w:val="00D77696"/>
    <w:rsid w:val="00DA2512"/>
    <w:rsid w:val="00DB4C91"/>
    <w:rsid w:val="00DB51A5"/>
    <w:rsid w:val="00DC7E4F"/>
    <w:rsid w:val="00DD549F"/>
    <w:rsid w:val="00DE1789"/>
    <w:rsid w:val="00DF0970"/>
    <w:rsid w:val="00DF6AE3"/>
    <w:rsid w:val="00E029E3"/>
    <w:rsid w:val="00E16223"/>
    <w:rsid w:val="00E20165"/>
    <w:rsid w:val="00E2117A"/>
    <w:rsid w:val="00E226C1"/>
    <w:rsid w:val="00E27E08"/>
    <w:rsid w:val="00E30AC5"/>
    <w:rsid w:val="00E37DA5"/>
    <w:rsid w:val="00E402FE"/>
    <w:rsid w:val="00E42290"/>
    <w:rsid w:val="00E44320"/>
    <w:rsid w:val="00E53A25"/>
    <w:rsid w:val="00E60291"/>
    <w:rsid w:val="00E653FB"/>
    <w:rsid w:val="00E7350D"/>
    <w:rsid w:val="00E80FE5"/>
    <w:rsid w:val="00E97808"/>
    <w:rsid w:val="00EA1873"/>
    <w:rsid w:val="00EB22E9"/>
    <w:rsid w:val="00EB7ECB"/>
    <w:rsid w:val="00ED62A7"/>
    <w:rsid w:val="00EE1836"/>
    <w:rsid w:val="00EF19EC"/>
    <w:rsid w:val="00EF572C"/>
    <w:rsid w:val="00F11368"/>
    <w:rsid w:val="00F130B1"/>
    <w:rsid w:val="00F141A6"/>
    <w:rsid w:val="00F2776E"/>
    <w:rsid w:val="00F30D86"/>
    <w:rsid w:val="00F336E9"/>
    <w:rsid w:val="00F3417C"/>
    <w:rsid w:val="00F453F1"/>
    <w:rsid w:val="00F54596"/>
    <w:rsid w:val="00F6605A"/>
    <w:rsid w:val="00F67315"/>
    <w:rsid w:val="00F67ADD"/>
    <w:rsid w:val="00F7221A"/>
    <w:rsid w:val="00FB725D"/>
    <w:rsid w:val="00FE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CE4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b-N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3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3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3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3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3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3C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3C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3C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3C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3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3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3C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3C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3C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3C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3C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3C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3C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3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3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3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3C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3C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3C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3C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3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3C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3C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9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98CC67B1-1E8B-414D-864C-BE285D69B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f7179-4526-4e31-84f3-1e5086ece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D86DA0-7B60-443E-A6B3-514067F8C4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AFB3E-3E73-43AA-8C5E-3C67F2455947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a5ff7179-4526-4e31-84f3-1e5086ece008"/>
    <ds:schemaRef ds:uri="http://purl.org/dc/terms/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2024-09-10T12:10:00Z</dcterms:created>
  <dcterms:modified xsi:type="dcterms:W3CDTF">2024-09-10T12:10:00Z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