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702A" w14:textId="0885DE8A" w:rsidR="007F74C4" w:rsidRDefault="00106FD9" w:rsidP="009F7AD4">
      <w:pPr>
        <w:jc w:val="center"/>
        <w:rPr>
          <w:rFonts w:ascii="Arial" w:hAnsi="Arial" w:cs="Arial"/>
          <w:b/>
          <w:sz w:val="24"/>
          <w:szCs w:val="24"/>
        </w:rPr>
      </w:pPr>
      <w:r w:rsidRPr="00DA0794">
        <w:rPr>
          <w:rFonts w:ascii="Arial" w:hAnsi="Arial" w:cs="Arial"/>
          <w:b/>
          <w:sz w:val="24"/>
          <w:szCs w:val="24"/>
        </w:rPr>
        <w:t xml:space="preserve">ANNEX </w:t>
      </w:r>
      <w:r w:rsidR="00021D9D">
        <w:rPr>
          <w:rFonts w:ascii="Arial" w:hAnsi="Arial" w:cs="Arial"/>
          <w:b/>
          <w:sz w:val="24"/>
          <w:szCs w:val="24"/>
        </w:rPr>
        <w:t>I</w:t>
      </w:r>
      <w:r w:rsidRPr="00DA0794">
        <w:rPr>
          <w:rFonts w:ascii="Arial" w:hAnsi="Arial" w:cs="Arial"/>
          <w:b/>
          <w:sz w:val="24"/>
          <w:szCs w:val="24"/>
        </w:rPr>
        <w:t xml:space="preserve">X – </w:t>
      </w:r>
      <w:r w:rsidR="008700A8" w:rsidRPr="00DA0794">
        <w:rPr>
          <w:rFonts w:ascii="Arial" w:hAnsi="Arial" w:cs="Arial"/>
          <w:b/>
          <w:sz w:val="24"/>
          <w:szCs w:val="24"/>
        </w:rPr>
        <w:t>List of</w:t>
      </w:r>
      <w:r w:rsidR="007F74C4" w:rsidRPr="00DA0794">
        <w:rPr>
          <w:rFonts w:ascii="Arial" w:hAnsi="Arial" w:cs="Arial"/>
          <w:b/>
          <w:sz w:val="24"/>
          <w:szCs w:val="24"/>
        </w:rPr>
        <w:t xml:space="preserve"> LNG facilities </w:t>
      </w:r>
      <w:r w:rsidR="001353E4" w:rsidRPr="00DA0794">
        <w:rPr>
          <w:rFonts w:ascii="Arial" w:hAnsi="Arial" w:cs="Arial"/>
          <w:b/>
          <w:sz w:val="24"/>
          <w:szCs w:val="24"/>
        </w:rPr>
        <w:t>subject to</w:t>
      </w:r>
      <w:r w:rsidR="002B7DE2" w:rsidRPr="00DA0794">
        <w:rPr>
          <w:rFonts w:ascii="Arial" w:hAnsi="Arial" w:cs="Arial"/>
          <w:b/>
          <w:sz w:val="24"/>
          <w:szCs w:val="24"/>
        </w:rPr>
        <w:t xml:space="preserve"> reporting according to Article</w:t>
      </w:r>
      <w:r w:rsidR="009F7AD4" w:rsidRPr="00DA0794">
        <w:rPr>
          <w:rFonts w:ascii="Arial" w:hAnsi="Arial" w:cs="Arial"/>
          <w:b/>
          <w:sz w:val="24"/>
          <w:szCs w:val="24"/>
        </w:rPr>
        <w:t xml:space="preserve"> 9(3) and </w:t>
      </w:r>
      <w:r w:rsidR="001353E4" w:rsidRPr="00DA0794">
        <w:rPr>
          <w:rFonts w:ascii="Arial" w:hAnsi="Arial" w:cs="Arial"/>
          <w:b/>
          <w:sz w:val="24"/>
          <w:szCs w:val="24"/>
        </w:rPr>
        <w:t xml:space="preserve">(5) of </w:t>
      </w:r>
      <w:r w:rsidR="002D2D3B" w:rsidRPr="00DA0794">
        <w:rPr>
          <w:rFonts w:ascii="Arial" w:hAnsi="Arial" w:cs="Arial"/>
          <w:b/>
          <w:sz w:val="24"/>
          <w:szCs w:val="24"/>
        </w:rPr>
        <w:t xml:space="preserve">the </w:t>
      </w:r>
      <w:r w:rsidR="0011342B" w:rsidRPr="00DA0794">
        <w:rPr>
          <w:rFonts w:ascii="Arial" w:hAnsi="Arial" w:cs="Arial"/>
          <w:b/>
          <w:sz w:val="24"/>
          <w:szCs w:val="24"/>
        </w:rPr>
        <w:t xml:space="preserve">REMIT </w:t>
      </w:r>
      <w:r w:rsidR="002D2D3B" w:rsidRPr="00DA0794">
        <w:rPr>
          <w:rFonts w:ascii="Arial" w:hAnsi="Arial" w:cs="Arial"/>
          <w:b/>
          <w:sz w:val="24"/>
          <w:szCs w:val="24"/>
        </w:rPr>
        <w:t xml:space="preserve">Implementing </w:t>
      </w:r>
      <w:r w:rsidR="008326E5" w:rsidRPr="00DA0794">
        <w:rPr>
          <w:rFonts w:ascii="Arial" w:hAnsi="Arial" w:cs="Arial"/>
          <w:b/>
          <w:sz w:val="24"/>
          <w:szCs w:val="24"/>
        </w:rPr>
        <w:t xml:space="preserve">Regulation </w:t>
      </w:r>
    </w:p>
    <w:p w14:paraId="4826510B" w14:textId="1BEAF94B" w:rsidR="00DA0794" w:rsidRDefault="00DA0794" w:rsidP="009F7AD4">
      <w:pPr>
        <w:jc w:val="center"/>
        <w:rPr>
          <w:rFonts w:ascii="Arial" w:hAnsi="Arial" w:cs="Arial"/>
          <w:b/>
          <w:sz w:val="24"/>
          <w:szCs w:val="24"/>
        </w:rPr>
      </w:pPr>
    </w:p>
    <w:p w14:paraId="29D999B8" w14:textId="20FAE7B5" w:rsidR="00DA0794" w:rsidRDefault="00DA0794" w:rsidP="00DA079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DA0794" w14:paraId="30357DD1" w14:textId="77777777" w:rsidTr="00DA0794">
        <w:tc>
          <w:tcPr>
            <w:tcW w:w="6091" w:type="dxa"/>
            <w:shd w:val="clear" w:color="auto" w:fill="1F4E79" w:themeFill="accent1" w:themeFillShade="80"/>
          </w:tcPr>
          <w:p w14:paraId="1B94FABB" w14:textId="3CDBE2A3" w:rsidR="00DA0794" w:rsidRDefault="00DA0794" w:rsidP="00DA07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Version</w:t>
            </w:r>
          </w:p>
        </w:tc>
        <w:tc>
          <w:tcPr>
            <w:tcW w:w="2925" w:type="dxa"/>
            <w:shd w:val="clear" w:color="auto" w:fill="1F4E79" w:themeFill="accent1" w:themeFillShade="80"/>
          </w:tcPr>
          <w:p w14:paraId="3D63941A" w14:textId="027C8766" w:rsidR="00DA0794" w:rsidRDefault="00DA0794" w:rsidP="00DA07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Effective date </w:t>
            </w:r>
          </w:p>
        </w:tc>
      </w:tr>
      <w:tr w:rsidR="00DA0794" w14:paraId="4631F539" w14:textId="77777777" w:rsidTr="00DA0794">
        <w:tc>
          <w:tcPr>
            <w:tcW w:w="6091" w:type="dxa"/>
          </w:tcPr>
          <w:p w14:paraId="0F2882A3" w14:textId="60C53498" w:rsidR="00DA0794" w:rsidRPr="00DA0794" w:rsidRDefault="00DA0794" w:rsidP="00DA07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DA0794">
              <w:rPr>
                <w:rFonts w:ascii="Arial" w:hAnsi="Arial" w:cs="Arial"/>
                <w:bCs/>
                <w:color w:val="000000" w:themeColor="text1"/>
              </w:rPr>
              <w:t xml:space="preserve">Annex </w:t>
            </w:r>
            <w:r w:rsidR="00021D9D">
              <w:rPr>
                <w:rFonts w:ascii="Arial" w:hAnsi="Arial" w:cs="Arial"/>
                <w:bCs/>
                <w:color w:val="000000" w:themeColor="text1"/>
              </w:rPr>
              <w:t>I</w:t>
            </w:r>
            <w:r w:rsidRPr="00DA0794">
              <w:rPr>
                <w:rFonts w:ascii="Arial" w:hAnsi="Arial" w:cs="Arial"/>
                <w:bCs/>
                <w:color w:val="000000" w:themeColor="text1"/>
              </w:rPr>
              <w:t>X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Version 1.0</w:t>
            </w:r>
          </w:p>
        </w:tc>
        <w:tc>
          <w:tcPr>
            <w:tcW w:w="2925" w:type="dxa"/>
          </w:tcPr>
          <w:p w14:paraId="2028542D" w14:textId="31348E33" w:rsidR="00DA0794" w:rsidRPr="00DA0794" w:rsidRDefault="00B50A27" w:rsidP="00DA07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12</w:t>
            </w:r>
            <w:r w:rsidR="00DA0794" w:rsidRPr="00DA0794">
              <w:rPr>
                <w:rFonts w:ascii="Arial" w:hAnsi="Arial" w:cs="Arial"/>
                <w:bCs/>
                <w:color w:val="000000" w:themeColor="text1"/>
              </w:rPr>
              <w:t xml:space="preserve"> July 2018</w:t>
            </w:r>
          </w:p>
        </w:tc>
      </w:tr>
      <w:tr w:rsidR="0066381E" w14:paraId="5F0DD4D4" w14:textId="77777777" w:rsidTr="00DA0794">
        <w:tc>
          <w:tcPr>
            <w:tcW w:w="6091" w:type="dxa"/>
          </w:tcPr>
          <w:p w14:paraId="0F76100E" w14:textId="054E3B79" w:rsidR="0066381E" w:rsidRPr="00DA0794" w:rsidRDefault="0066381E" w:rsidP="00DA07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Annex IX Version 1.1</w:t>
            </w:r>
          </w:p>
        </w:tc>
        <w:tc>
          <w:tcPr>
            <w:tcW w:w="2925" w:type="dxa"/>
          </w:tcPr>
          <w:p w14:paraId="3F529AEA" w14:textId="0CD82F2C" w:rsidR="0066381E" w:rsidRPr="00F302C6" w:rsidRDefault="00F302C6" w:rsidP="00DA07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F302C6">
              <w:rPr>
                <w:rFonts w:ascii="Arial" w:hAnsi="Arial" w:cs="Arial"/>
                <w:bCs/>
                <w:color w:val="000000" w:themeColor="text1"/>
              </w:rPr>
              <w:t>5 September</w:t>
            </w:r>
            <w:r w:rsidR="0066381E" w:rsidRPr="00F302C6">
              <w:rPr>
                <w:rFonts w:ascii="Arial" w:hAnsi="Arial" w:cs="Arial"/>
                <w:bCs/>
                <w:color w:val="000000" w:themeColor="text1"/>
              </w:rPr>
              <w:t xml:space="preserve"> 2022</w:t>
            </w:r>
          </w:p>
        </w:tc>
      </w:tr>
      <w:tr w:rsidR="00F033D5" w14:paraId="42FA5557" w14:textId="77777777" w:rsidTr="00DA0794">
        <w:tc>
          <w:tcPr>
            <w:tcW w:w="6091" w:type="dxa"/>
          </w:tcPr>
          <w:p w14:paraId="1EDB9B83" w14:textId="365104B3" w:rsidR="00F033D5" w:rsidRDefault="00F033D5" w:rsidP="00DA07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Annex IX Version 1.2</w:t>
            </w:r>
          </w:p>
        </w:tc>
        <w:tc>
          <w:tcPr>
            <w:tcW w:w="2925" w:type="dxa"/>
          </w:tcPr>
          <w:p w14:paraId="69E9A20A" w14:textId="4CDC7FAB" w:rsidR="00F033D5" w:rsidRPr="00F302C6" w:rsidRDefault="006F0B1A" w:rsidP="00DA07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6F0B1A">
              <w:rPr>
                <w:rFonts w:ascii="Arial" w:hAnsi="Arial" w:cs="Arial"/>
                <w:bCs/>
                <w:color w:val="000000" w:themeColor="text1"/>
              </w:rPr>
              <w:t>23</w:t>
            </w:r>
            <w:r w:rsidR="00F033D5" w:rsidRPr="006F0B1A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B46516" w:rsidRPr="006F0B1A">
              <w:rPr>
                <w:rFonts w:ascii="Arial" w:hAnsi="Arial" w:cs="Arial"/>
                <w:bCs/>
                <w:color w:val="000000" w:themeColor="text1"/>
              </w:rPr>
              <w:t>April</w:t>
            </w:r>
            <w:r w:rsidR="00F033D5" w:rsidRPr="006F0B1A">
              <w:rPr>
                <w:rFonts w:ascii="Arial" w:hAnsi="Arial" w:cs="Arial"/>
                <w:bCs/>
                <w:color w:val="000000" w:themeColor="text1"/>
              </w:rPr>
              <w:t xml:space="preserve"> 2026</w:t>
            </w:r>
          </w:p>
        </w:tc>
      </w:tr>
    </w:tbl>
    <w:p w14:paraId="57D70743" w14:textId="77777777" w:rsidR="00DA0794" w:rsidRDefault="00DA0794" w:rsidP="00DA07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Version Eff</w:t>
      </w:r>
    </w:p>
    <w:p w14:paraId="757999E0" w14:textId="77777777" w:rsidR="00DA0794" w:rsidRPr="00DA0794" w:rsidRDefault="00DA0794" w:rsidP="009F7AD4">
      <w:pPr>
        <w:jc w:val="center"/>
        <w:rPr>
          <w:rFonts w:ascii="Arial" w:hAnsi="Arial" w:cs="Arial"/>
          <w:b/>
          <w:sz w:val="24"/>
          <w:szCs w:val="24"/>
        </w:rPr>
      </w:pPr>
    </w:p>
    <w:p w14:paraId="1CAB884C" w14:textId="6F6DB70F" w:rsidR="009C75E3" w:rsidRPr="00DA0794" w:rsidRDefault="008700A8" w:rsidP="009C75E3">
      <w:pPr>
        <w:pStyle w:val="Heading1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DA0794">
        <w:rPr>
          <w:rFonts w:ascii="Arial" w:eastAsiaTheme="minorHAnsi" w:hAnsi="Arial" w:cs="Arial"/>
          <w:b/>
          <w:color w:val="auto"/>
          <w:sz w:val="22"/>
          <w:szCs w:val="22"/>
        </w:rPr>
        <w:t>Introduction</w:t>
      </w:r>
    </w:p>
    <w:p w14:paraId="7B9884C7" w14:textId="07168BD9" w:rsidR="009C75E3" w:rsidRPr="00DA0794" w:rsidRDefault="009C75E3" w:rsidP="00A842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2B502FC" w14:textId="06064223" w:rsidR="00AC05F0" w:rsidRPr="00DA0794" w:rsidRDefault="00DE1EFA" w:rsidP="00A842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A0794">
        <w:rPr>
          <w:rFonts w:ascii="Arial" w:hAnsi="Arial" w:cs="Arial"/>
        </w:rPr>
        <w:t>T</w:t>
      </w:r>
      <w:r w:rsidR="00AC05F0" w:rsidRPr="00DA0794">
        <w:rPr>
          <w:rFonts w:ascii="Arial" w:hAnsi="Arial" w:cs="Arial"/>
        </w:rPr>
        <w:t xml:space="preserve">he Agency has conducted </w:t>
      </w:r>
      <w:r w:rsidR="00E50750" w:rsidRPr="00DA0794">
        <w:rPr>
          <w:rFonts w:ascii="Arial" w:hAnsi="Arial" w:cs="Arial"/>
        </w:rPr>
        <w:t xml:space="preserve">quality analyses on </w:t>
      </w:r>
      <w:r w:rsidR="00AC05F0" w:rsidRPr="00DA0794">
        <w:rPr>
          <w:rFonts w:ascii="Arial" w:hAnsi="Arial" w:cs="Arial"/>
        </w:rPr>
        <w:t xml:space="preserve">the </w:t>
      </w:r>
      <w:r w:rsidR="00E50750" w:rsidRPr="00DA0794">
        <w:rPr>
          <w:rFonts w:ascii="Arial" w:hAnsi="Arial" w:cs="Arial"/>
        </w:rPr>
        <w:t xml:space="preserve">LNG REMIT </w:t>
      </w:r>
      <w:r w:rsidR="00AC05F0" w:rsidRPr="00DA0794">
        <w:rPr>
          <w:rFonts w:ascii="Arial" w:hAnsi="Arial" w:cs="Arial"/>
        </w:rPr>
        <w:t>data reported in accordance with Article 9(3)</w:t>
      </w:r>
      <w:r w:rsidRPr="00DA0794">
        <w:rPr>
          <w:rFonts w:ascii="Arial" w:hAnsi="Arial" w:cs="Arial"/>
        </w:rPr>
        <w:t xml:space="preserve"> and 9(5) of</w:t>
      </w:r>
      <w:r w:rsidR="00AC05F0" w:rsidRPr="00DA0794">
        <w:rPr>
          <w:rFonts w:ascii="Arial" w:hAnsi="Arial" w:cs="Arial"/>
        </w:rPr>
        <w:t xml:space="preserve"> </w:t>
      </w:r>
      <w:r w:rsidRPr="00DA0794">
        <w:rPr>
          <w:rFonts w:ascii="Arial" w:hAnsi="Arial" w:cs="Arial"/>
        </w:rPr>
        <w:t>IMPLEMENTING REGULATION (EU) No 1348/2014.</w:t>
      </w:r>
      <w:r w:rsidR="009F40C9" w:rsidRPr="00DA0794">
        <w:rPr>
          <w:rFonts w:ascii="Arial" w:hAnsi="Arial" w:cs="Arial"/>
        </w:rPr>
        <w:t xml:space="preserve"> </w:t>
      </w:r>
      <w:r w:rsidR="00AC05F0" w:rsidRPr="00DA0794">
        <w:rPr>
          <w:rFonts w:ascii="Arial" w:hAnsi="Arial" w:cs="Arial"/>
        </w:rPr>
        <w:t>The</w:t>
      </w:r>
      <w:r w:rsidR="009F40C9" w:rsidRPr="00DA0794">
        <w:rPr>
          <w:rFonts w:ascii="Arial" w:hAnsi="Arial" w:cs="Arial"/>
        </w:rPr>
        <w:t xml:space="preserve"> </w:t>
      </w:r>
      <w:r w:rsidR="00E50750" w:rsidRPr="00DA0794">
        <w:rPr>
          <w:rFonts w:ascii="Arial" w:hAnsi="Arial" w:cs="Arial"/>
        </w:rPr>
        <w:t xml:space="preserve">findings </w:t>
      </w:r>
      <w:r w:rsidR="003F1561" w:rsidRPr="00DA0794">
        <w:rPr>
          <w:rFonts w:ascii="Arial" w:hAnsi="Arial" w:cs="Arial"/>
        </w:rPr>
        <w:t xml:space="preserve">of </w:t>
      </w:r>
      <w:r w:rsidR="00AC05F0" w:rsidRPr="00DA0794">
        <w:rPr>
          <w:rFonts w:ascii="Arial" w:hAnsi="Arial" w:cs="Arial"/>
        </w:rPr>
        <w:t xml:space="preserve">the </w:t>
      </w:r>
      <w:r w:rsidR="00616CF6" w:rsidRPr="00DA0794">
        <w:rPr>
          <w:rFonts w:ascii="Arial" w:hAnsi="Arial" w:cs="Arial"/>
        </w:rPr>
        <w:t>analysis have</w:t>
      </w:r>
      <w:r w:rsidR="008700A8" w:rsidRPr="00DA0794">
        <w:rPr>
          <w:rFonts w:ascii="Arial" w:hAnsi="Arial" w:cs="Arial"/>
        </w:rPr>
        <w:t xml:space="preserve"> demonstrated that </w:t>
      </w:r>
      <w:proofErr w:type="gramStart"/>
      <w:r w:rsidR="008700A8" w:rsidRPr="00DA0794">
        <w:rPr>
          <w:rFonts w:ascii="Arial" w:hAnsi="Arial" w:cs="Arial"/>
        </w:rPr>
        <w:t>a number of</w:t>
      </w:r>
      <w:proofErr w:type="gramEnd"/>
      <w:r w:rsidR="008700A8" w:rsidRPr="00DA0794">
        <w:rPr>
          <w:rFonts w:ascii="Arial" w:hAnsi="Arial" w:cs="Arial"/>
        </w:rPr>
        <w:t xml:space="preserve"> existing </w:t>
      </w:r>
      <w:r w:rsidR="00E50750" w:rsidRPr="00DA0794">
        <w:rPr>
          <w:rFonts w:ascii="Arial" w:hAnsi="Arial" w:cs="Arial"/>
        </w:rPr>
        <w:t>LNG facilities</w:t>
      </w:r>
      <w:r w:rsidR="008700A8" w:rsidRPr="00DA0794">
        <w:rPr>
          <w:rFonts w:ascii="Arial" w:hAnsi="Arial" w:cs="Arial"/>
        </w:rPr>
        <w:t xml:space="preserve"> in the EU d</w:t>
      </w:r>
      <w:r w:rsidR="00AC05F0" w:rsidRPr="00DA0794">
        <w:rPr>
          <w:rFonts w:ascii="Arial" w:hAnsi="Arial" w:cs="Arial"/>
        </w:rPr>
        <w:t>o not report</w:t>
      </w:r>
      <w:r w:rsidR="009C75E3" w:rsidRPr="00DA0794">
        <w:rPr>
          <w:rFonts w:ascii="Arial" w:hAnsi="Arial" w:cs="Arial"/>
        </w:rPr>
        <w:t xml:space="preserve"> LNG</w:t>
      </w:r>
      <w:r w:rsidR="00AC05F0" w:rsidRPr="00DA0794">
        <w:rPr>
          <w:rFonts w:ascii="Arial" w:hAnsi="Arial" w:cs="Arial"/>
        </w:rPr>
        <w:t xml:space="preserve"> data to </w:t>
      </w:r>
      <w:r w:rsidR="00E50750" w:rsidRPr="00DA0794">
        <w:rPr>
          <w:rFonts w:ascii="Arial" w:hAnsi="Arial" w:cs="Arial"/>
        </w:rPr>
        <w:t>the Agency</w:t>
      </w:r>
      <w:r w:rsidR="007D1BFB" w:rsidRPr="00DA0794">
        <w:rPr>
          <w:rFonts w:ascii="Arial" w:hAnsi="Arial" w:cs="Arial"/>
        </w:rPr>
        <w:t>.</w:t>
      </w:r>
      <w:r w:rsidR="009C75E3" w:rsidRPr="00DA0794">
        <w:rPr>
          <w:rFonts w:ascii="Arial" w:hAnsi="Arial" w:cs="Arial"/>
        </w:rPr>
        <w:t xml:space="preserve"> </w:t>
      </w:r>
    </w:p>
    <w:p w14:paraId="6264A9B6" w14:textId="77777777" w:rsidR="00DE1EFA" w:rsidRPr="00DA0794" w:rsidRDefault="00DE1EFA" w:rsidP="00A842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AA89161" w14:textId="65399A29" w:rsidR="008700A8" w:rsidRPr="00DA0794" w:rsidRDefault="008700A8" w:rsidP="00F302C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A0794">
        <w:rPr>
          <w:rFonts w:ascii="Arial" w:hAnsi="Arial" w:cs="Arial"/>
        </w:rPr>
        <w:t>The Agency’s assumption is that the issue might be rooted in the understanding of the definition of LNG facility and LNG system operator under Directive 2009/73/EC (‘the Gas Directive’)</w:t>
      </w:r>
      <w:r w:rsidRPr="00DA0794">
        <w:rPr>
          <w:rStyle w:val="FootnoteReference"/>
          <w:rFonts w:ascii="Arial" w:hAnsi="Arial" w:cs="Arial"/>
        </w:rPr>
        <w:footnoteReference w:id="2"/>
      </w:r>
      <w:r w:rsidRPr="00DA0794">
        <w:rPr>
          <w:rFonts w:ascii="Arial" w:hAnsi="Arial" w:cs="Arial"/>
        </w:rPr>
        <w:t xml:space="preserve"> and therefore provides its </w:t>
      </w:r>
      <w:r w:rsidR="00CC7D14" w:rsidRPr="00DA0794">
        <w:rPr>
          <w:rFonts w:ascii="Arial" w:hAnsi="Arial" w:cs="Arial"/>
        </w:rPr>
        <w:t xml:space="preserve">List </w:t>
      </w:r>
      <w:r w:rsidRPr="00DA0794">
        <w:rPr>
          <w:rFonts w:ascii="Arial" w:hAnsi="Arial" w:cs="Arial"/>
        </w:rPr>
        <w:t>of LNG facilities</w:t>
      </w:r>
      <w:r w:rsidR="00CC7D14" w:rsidRPr="00DA0794">
        <w:rPr>
          <w:rFonts w:ascii="Arial" w:hAnsi="Arial" w:cs="Arial"/>
        </w:rPr>
        <w:t xml:space="preserve"> and their operators that in the Agency’s view fulfil the definitions stated in the Gas Directive.</w:t>
      </w:r>
    </w:p>
    <w:p w14:paraId="275EDFA7" w14:textId="7A58CA0C" w:rsidR="009C75E3" w:rsidRPr="00DA0794" w:rsidRDefault="008700A8" w:rsidP="009C75E3">
      <w:pPr>
        <w:pStyle w:val="Heading1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DA0794">
        <w:rPr>
          <w:rFonts w:ascii="Arial" w:eastAsiaTheme="minorHAnsi" w:hAnsi="Arial" w:cs="Arial"/>
          <w:b/>
          <w:color w:val="auto"/>
          <w:sz w:val="22"/>
          <w:szCs w:val="22"/>
        </w:rPr>
        <w:t>Related legislation</w:t>
      </w:r>
    </w:p>
    <w:p w14:paraId="7DB6E095" w14:textId="77777777" w:rsidR="009C75E3" w:rsidRPr="00DA0794" w:rsidRDefault="009C75E3" w:rsidP="009C75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</w:p>
    <w:p w14:paraId="0CC9B759" w14:textId="171AD8CE" w:rsidR="00E50750" w:rsidRPr="00DA0794" w:rsidRDefault="00FB39AA" w:rsidP="008700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A0794">
        <w:rPr>
          <w:rFonts w:ascii="Arial" w:hAnsi="Arial" w:cs="Arial"/>
        </w:rPr>
        <w:t xml:space="preserve">Within </w:t>
      </w:r>
      <w:r w:rsidR="00B95158" w:rsidRPr="00DA0794">
        <w:rPr>
          <w:rFonts w:ascii="Arial" w:hAnsi="Arial" w:cs="Arial"/>
        </w:rPr>
        <w:t xml:space="preserve">Article 9 (3) of </w:t>
      </w:r>
      <w:r w:rsidRPr="00DA0794">
        <w:rPr>
          <w:rFonts w:ascii="Arial" w:hAnsi="Arial" w:cs="Arial"/>
        </w:rPr>
        <w:t>IMPLEMENTING REGULATION (EU) No 1348/2014 it is stated that</w:t>
      </w:r>
      <w:r w:rsidR="008700A8" w:rsidRPr="00DA0794">
        <w:rPr>
          <w:rFonts w:ascii="Arial" w:hAnsi="Arial" w:cs="Arial"/>
        </w:rPr>
        <w:t xml:space="preserve"> </w:t>
      </w:r>
      <w:r w:rsidRPr="00DA0794">
        <w:rPr>
          <w:rFonts w:ascii="Arial" w:hAnsi="Arial" w:cs="Arial"/>
        </w:rPr>
        <w:t>LNG system operators as defined in Article 2(12) of Directive 2009/73/EC shall report to the Agency and, at their request, to national regulatory authorities for each LNG facility</w:t>
      </w:r>
      <w:r w:rsidR="00E50750" w:rsidRPr="00DA0794">
        <w:rPr>
          <w:rFonts w:ascii="Arial" w:hAnsi="Arial" w:cs="Arial"/>
        </w:rPr>
        <w:t xml:space="preserve"> they operate all REMIT relevant </w:t>
      </w:r>
      <w:r w:rsidRPr="00DA0794">
        <w:rPr>
          <w:rFonts w:ascii="Arial" w:hAnsi="Arial" w:cs="Arial"/>
        </w:rPr>
        <w:t>information</w:t>
      </w:r>
      <w:r w:rsidR="00E50750" w:rsidRPr="00DA0794">
        <w:rPr>
          <w:rFonts w:ascii="Arial" w:hAnsi="Arial" w:cs="Arial"/>
        </w:rPr>
        <w:t>.</w:t>
      </w:r>
    </w:p>
    <w:p w14:paraId="2C169C27" w14:textId="77777777" w:rsidR="008700A8" w:rsidRPr="00DA0794" w:rsidRDefault="008700A8" w:rsidP="008700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18B8A21" w14:textId="50F7EBF8" w:rsidR="001353E4" w:rsidRPr="00DA0794" w:rsidRDefault="001353E4" w:rsidP="008700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A0794">
        <w:rPr>
          <w:rFonts w:ascii="Arial" w:hAnsi="Arial" w:cs="Arial"/>
        </w:rPr>
        <w:t xml:space="preserve">Within </w:t>
      </w:r>
      <w:r w:rsidR="00B95158" w:rsidRPr="00DA0794">
        <w:rPr>
          <w:rFonts w:ascii="Arial" w:hAnsi="Arial" w:cs="Arial"/>
        </w:rPr>
        <w:t xml:space="preserve">Article 9 (5) of </w:t>
      </w:r>
      <w:r w:rsidRPr="00DA0794">
        <w:rPr>
          <w:rFonts w:ascii="Arial" w:hAnsi="Arial" w:cs="Arial"/>
        </w:rPr>
        <w:t xml:space="preserve">IMPLEMENTING REGULATION (EU) No 1348/2014 it is stated that  </w:t>
      </w:r>
      <w:r w:rsidR="00DE1EFA" w:rsidRPr="00DA0794">
        <w:rPr>
          <w:rFonts w:ascii="Arial" w:hAnsi="Arial" w:cs="Arial"/>
        </w:rPr>
        <w:t>m</w:t>
      </w:r>
      <w:r w:rsidRPr="00DA0794">
        <w:rPr>
          <w:rFonts w:ascii="Arial" w:hAnsi="Arial" w:cs="Arial"/>
        </w:rPr>
        <w:t>arket participants or LNG System Operators on their behalf shall report to the Agency and, at their request, to national regulatory authorities for each LNG facility the following information: (a) in relation to unloading and reloading of cargos: (i) date of unloading or reloading, (ii) volumes unloaded or reloaded per ship, (iii) the name of the terminal customer, (iv) name and size of the ship using the facility.</w:t>
      </w:r>
    </w:p>
    <w:p w14:paraId="513EE1B0" w14:textId="77777777" w:rsidR="007F74C4" w:rsidRPr="00DA0794" w:rsidRDefault="007F74C4" w:rsidP="009C75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1F5ADF" w14:textId="77777777" w:rsidR="00E50750" w:rsidRPr="00DA0794" w:rsidRDefault="00E50750" w:rsidP="008700A8">
      <w:pPr>
        <w:jc w:val="both"/>
        <w:rPr>
          <w:rFonts w:ascii="Arial" w:hAnsi="Arial" w:cs="Arial"/>
        </w:rPr>
      </w:pPr>
      <w:r w:rsidRPr="00DA0794">
        <w:rPr>
          <w:rFonts w:ascii="Arial" w:hAnsi="Arial" w:cs="Arial"/>
        </w:rPr>
        <w:t>Article 2(11) of Directive 2009/73/EC defines LNG Facility as:</w:t>
      </w:r>
    </w:p>
    <w:p w14:paraId="62EDE577" w14:textId="77777777" w:rsidR="00FB39AA" w:rsidRPr="00DA0794" w:rsidRDefault="00FB39AA">
      <w:pPr>
        <w:ind w:left="360"/>
        <w:jc w:val="both"/>
        <w:rPr>
          <w:rFonts w:ascii="Arial" w:hAnsi="Arial" w:cs="Arial"/>
        </w:rPr>
      </w:pPr>
      <w:r w:rsidRPr="00DA0794">
        <w:rPr>
          <w:rFonts w:ascii="Arial" w:hAnsi="Arial" w:cs="Arial"/>
        </w:rPr>
        <w:t>(11)</w:t>
      </w:r>
      <w:r w:rsidR="0011342B" w:rsidRPr="00DA0794">
        <w:rPr>
          <w:rFonts w:ascii="Arial" w:hAnsi="Arial" w:cs="Arial"/>
        </w:rPr>
        <w:t xml:space="preserve"> </w:t>
      </w:r>
      <w:r w:rsidRPr="00DA0794">
        <w:rPr>
          <w:rFonts w:ascii="Arial" w:hAnsi="Arial" w:cs="Arial"/>
        </w:rPr>
        <w:t xml:space="preserve">‘LNG facility’ means a terminal which is used for the liquefaction of natural gas or the importation, offloading, and re-gasification of LNG, and includes ancillary services and temporary storage necessary for the re-gasification process and subsequent delivery to the transmission system, but does not include any part of LNG terminals used for storage; </w:t>
      </w:r>
    </w:p>
    <w:p w14:paraId="5B88F8DF" w14:textId="77777777" w:rsidR="002F2C5E" w:rsidRDefault="002F2C5E" w:rsidP="008700A8">
      <w:pPr>
        <w:jc w:val="both"/>
        <w:rPr>
          <w:rFonts w:ascii="Arial" w:hAnsi="Arial" w:cs="Arial"/>
        </w:rPr>
      </w:pPr>
      <w:r w:rsidRPr="00DA0794">
        <w:rPr>
          <w:rFonts w:ascii="Arial" w:hAnsi="Arial" w:cs="Arial"/>
        </w:rPr>
        <w:t>Article 2(12) of Directive 2009/73/EC defines LNG system operator as:</w:t>
      </w:r>
    </w:p>
    <w:p w14:paraId="509D62D8" w14:textId="77777777" w:rsidR="00582B5E" w:rsidRPr="00DA0794" w:rsidRDefault="00582B5E" w:rsidP="008700A8">
      <w:pPr>
        <w:jc w:val="both"/>
        <w:rPr>
          <w:rFonts w:ascii="Arial" w:hAnsi="Arial" w:cs="Arial"/>
          <w:color w:val="030404"/>
          <w:u w:val="single"/>
        </w:rPr>
      </w:pPr>
    </w:p>
    <w:p w14:paraId="30C05968" w14:textId="77777777" w:rsidR="002F2C5E" w:rsidRDefault="002F2C5E" w:rsidP="006A618F">
      <w:pPr>
        <w:ind w:left="360"/>
        <w:jc w:val="both"/>
        <w:rPr>
          <w:rFonts w:ascii="Arial" w:hAnsi="Arial" w:cs="Arial"/>
        </w:rPr>
      </w:pPr>
      <w:r w:rsidRPr="00DA0794">
        <w:rPr>
          <w:rFonts w:ascii="Arial" w:hAnsi="Arial" w:cs="Arial"/>
        </w:rPr>
        <w:t xml:space="preserve">(12) ‘LNG system operator’ means a natural or legal person who carries out the function of liquefaction of natural gas, </w:t>
      </w:r>
      <w:r w:rsidRPr="00DA0794">
        <w:rPr>
          <w:rFonts w:ascii="Arial" w:hAnsi="Arial" w:cs="Arial"/>
          <w:u w:val="single"/>
        </w:rPr>
        <w:t>or</w:t>
      </w:r>
      <w:r w:rsidRPr="00DA0794">
        <w:rPr>
          <w:rFonts w:ascii="Arial" w:hAnsi="Arial" w:cs="Arial"/>
        </w:rPr>
        <w:t xml:space="preserve"> the importation, offloading, and re-gasification of LNG </w:t>
      </w:r>
      <w:r w:rsidRPr="00DA0794">
        <w:rPr>
          <w:rFonts w:ascii="Arial" w:hAnsi="Arial" w:cs="Arial"/>
          <w:u w:val="single"/>
        </w:rPr>
        <w:t>and</w:t>
      </w:r>
      <w:r w:rsidRPr="00DA0794">
        <w:rPr>
          <w:rFonts w:ascii="Arial" w:hAnsi="Arial" w:cs="Arial"/>
        </w:rPr>
        <w:t xml:space="preserve"> is responsible for operating </w:t>
      </w:r>
      <w:proofErr w:type="gramStart"/>
      <w:r w:rsidRPr="00DA0794">
        <w:rPr>
          <w:rFonts w:ascii="Arial" w:hAnsi="Arial" w:cs="Arial"/>
        </w:rPr>
        <w:t>a</w:t>
      </w:r>
      <w:proofErr w:type="gramEnd"/>
      <w:r w:rsidRPr="00DA0794">
        <w:rPr>
          <w:rFonts w:ascii="Arial" w:hAnsi="Arial" w:cs="Arial"/>
        </w:rPr>
        <w:t xml:space="preserve"> LNG facility; </w:t>
      </w:r>
    </w:p>
    <w:p w14:paraId="3AC35ED3" w14:textId="77777777" w:rsidR="007024AA" w:rsidRPr="00DA0794" w:rsidRDefault="007024AA" w:rsidP="006A618F">
      <w:pPr>
        <w:ind w:left="360"/>
        <w:jc w:val="both"/>
        <w:rPr>
          <w:rFonts w:ascii="Arial" w:hAnsi="Arial" w:cs="Arial"/>
        </w:rPr>
      </w:pPr>
    </w:p>
    <w:p w14:paraId="5E32AED1" w14:textId="560874EA" w:rsidR="003512B7" w:rsidRPr="00F51F67" w:rsidRDefault="000E5FBB" w:rsidP="006A618F">
      <w:pPr>
        <w:pStyle w:val="Heading1"/>
        <w:jc w:val="both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F51F67">
        <w:rPr>
          <w:rFonts w:ascii="Arial" w:eastAsiaTheme="minorHAnsi" w:hAnsi="Arial" w:cs="Arial"/>
          <w:b/>
          <w:color w:val="auto"/>
          <w:sz w:val="22"/>
          <w:szCs w:val="22"/>
        </w:rPr>
        <w:t xml:space="preserve">List of LNG facilities </w:t>
      </w:r>
      <w:r w:rsidR="004F084C" w:rsidRPr="00F51F67">
        <w:rPr>
          <w:rFonts w:ascii="Arial" w:eastAsiaTheme="minorHAnsi" w:hAnsi="Arial" w:cs="Arial"/>
          <w:b/>
          <w:color w:val="auto"/>
          <w:sz w:val="22"/>
          <w:szCs w:val="22"/>
        </w:rPr>
        <w:t>and operator</w:t>
      </w:r>
      <w:r w:rsidR="0066381E">
        <w:rPr>
          <w:rFonts w:ascii="Arial" w:eastAsiaTheme="minorHAnsi" w:hAnsi="Arial" w:cs="Arial"/>
          <w:b/>
          <w:color w:val="auto"/>
          <w:sz w:val="22"/>
          <w:szCs w:val="22"/>
        </w:rPr>
        <w:t>s</w:t>
      </w:r>
      <w:r w:rsidR="004F084C" w:rsidRPr="00F51F67">
        <w:rPr>
          <w:rFonts w:ascii="Arial" w:eastAsiaTheme="minorHAnsi" w:hAnsi="Arial" w:cs="Arial"/>
          <w:b/>
          <w:color w:val="auto"/>
          <w:sz w:val="22"/>
          <w:szCs w:val="22"/>
        </w:rPr>
        <w:t xml:space="preserve"> subject </w:t>
      </w:r>
      <w:r w:rsidR="001C737E" w:rsidRPr="00F51F67">
        <w:rPr>
          <w:rFonts w:ascii="Arial" w:eastAsiaTheme="minorHAnsi" w:hAnsi="Arial" w:cs="Arial"/>
          <w:b/>
          <w:color w:val="auto"/>
          <w:sz w:val="22"/>
          <w:szCs w:val="22"/>
        </w:rPr>
        <w:t>to reporting</w:t>
      </w:r>
      <w:r w:rsidR="004F084C" w:rsidRPr="00F51F67">
        <w:rPr>
          <w:rFonts w:ascii="Arial" w:eastAsiaTheme="minorHAnsi" w:hAnsi="Arial" w:cs="Arial"/>
          <w:b/>
          <w:color w:val="auto"/>
          <w:sz w:val="22"/>
          <w:szCs w:val="22"/>
        </w:rPr>
        <w:t xml:space="preserve"> </w:t>
      </w:r>
      <w:r w:rsidRPr="00F51F67">
        <w:rPr>
          <w:rFonts w:ascii="Arial" w:eastAsiaTheme="minorHAnsi" w:hAnsi="Arial" w:cs="Arial"/>
          <w:b/>
          <w:color w:val="auto"/>
          <w:sz w:val="22"/>
          <w:szCs w:val="22"/>
        </w:rPr>
        <w:t>according to Article 9(3) and 9(5) of the REMIT Implementing Regulation (EU) No 1348/2014</w:t>
      </w:r>
      <w:r w:rsidR="00F51F67" w:rsidRPr="00F51F67">
        <w:rPr>
          <w:rFonts w:ascii="Arial" w:eastAsiaTheme="minorHAnsi" w:hAnsi="Arial" w:cs="Arial"/>
          <w:b/>
          <w:color w:val="auto"/>
          <w:sz w:val="22"/>
          <w:szCs w:val="22"/>
        </w:rPr>
        <w:t>.</w:t>
      </w:r>
    </w:p>
    <w:p w14:paraId="3821299A" w14:textId="77777777" w:rsidR="00F51F67" w:rsidRPr="00F51F67" w:rsidRDefault="00F51F67" w:rsidP="00F51F67"/>
    <w:p w14:paraId="2B199A58" w14:textId="0DEDA329" w:rsidR="004F084C" w:rsidRPr="00DA0794" w:rsidRDefault="004F084C" w:rsidP="006A618F">
      <w:pPr>
        <w:jc w:val="both"/>
        <w:rPr>
          <w:rFonts w:ascii="Arial" w:hAnsi="Arial" w:cs="Arial"/>
        </w:rPr>
      </w:pPr>
      <w:r w:rsidRPr="00DA0794">
        <w:rPr>
          <w:rFonts w:ascii="Arial" w:hAnsi="Arial" w:cs="Arial"/>
        </w:rPr>
        <w:t xml:space="preserve">In the Agency’s view the currently existing LNG facilities and operators that fulfil the definitions according to Article 2(11) and (12) </w:t>
      </w:r>
      <w:r w:rsidR="001C737E" w:rsidRPr="00DA0794">
        <w:rPr>
          <w:rFonts w:ascii="Arial" w:hAnsi="Arial" w:cs="Arial"/>
        </w:rPr>
        <w:t>of Directive</w:t>
      </w:r>
      <w:r w:rsidRPr="00DA0794">
        <w:rPr>
          <w:rFonts w:ascii="Arial" w:hAnsi="Arial" w:cs="Arial"/>
        </w:rPr>
        <w:t xml:space="preserve"> 2009/73/EC are th</w:t>
      </w:r>
      <w:r w:rsidR="003E67C4" w:rsidRPr="00DA0794">
        <w:rPr>
          <w:rFonts w:ascii="Arial" w:hAnsi="Arial" w:cs="Arial"/>
        </w:rPr>
        <w:t xml:space="preserve">ose </w:t>
      </w:r>
      <w:r w:rsidR="00BB07C5">
        <w:rPr>
          <w:rFonts w:ascii="Arial" w:hAnsi="Arial" w:cs="Arial"/>
        </w:rPr>
        <w:t>provided in the L</w:t>
      </w:r>
      <w:r w:rsidR="003E67C4" w:rsidRPr="00DA0794">
        <w:rPr>
          <w:rFonts w:ascii="Arial" w:hAnsi="Arial" w:cs="Arial"/>
        </w:rPr>
        <w:t>ist</w:t>
      </w:r>
      <w:r w:rsidR="00BB07C5">
        <w:rPr>
          <w:rFonts w:ascii="Arial" w:hAnsi="Arial" w:cs="Arial"/>
        </w:rPr>
        <w:t>.</w:t>
      </w:r>
      <w:r w:rsidR="003E67C4" w:rsidRPr="00DA0794">
        <w:rPr>
          <w:rFonts w:ascii="Arial" w:hAnsi="Arial" w:cs="Arial"/>
        </w:rPr>
        <w:t xml:space="preserve"> LNG data about the listed facilities </w:t>
      </w:r>
      <w:r w:rsidRPr="00DA0794">
        <w:rPr>
          <w:rFonts w:ascii="Arial" w:hAnsi="Arial" w:cs="Arial"/>
        </w:rPr>
        <w:t xml:space="preserve">shall </w:t>
      </w:r>
      <w:r w:rsidR="003E67C4" w:rsidRPr="00DA0794">
        <w:rPr>
          <w:rFonts w:ascii="Arial" w:hAnsi="Arial" w:cs="Arial"/>
        </w:rPr>
        <w:t xml:space="preserve">be </w:t>
      </w:r>
      <w:r w:rsidRPr="00DA0794">
        <w:rPr>
          <w:rFonts w:ascii="Arial" w:hAnsi="Arial" w:cs="Arial"/>
        </w:rPr>
        <w:t>report</w:t>
      </w:r>
      <w:r w:rsidR="003E67C4" w:rsidRPr="00DA0794">
        <w:rPr>
          <w:rFonts w:ascii="Arial" w:hAnsi="Arial" w:cs="Arial"/>
        </w:rPr>
        <w:t>ed</w:t>
      </w:r>
      <w:r w:rsidRPr="00DA0794">
        <w:rPr>
          <w:rFonts w:ascii="Arial" w:hAnsi="Arial" w:cs="Arial"/>
        </w:rPr>
        <w:t xml:space="preserve"> according to Article 9(3) and 9(5) of the REMIT Implementing Regulation (EU) No 1348/2014</w:t>
      </w:r>
      <w:r w:rsidR="00B46FC1">
        <w:rPr>
          <w:rFonts w:ascii="Arial" w:hAnsi="Arial" w:cs="Arial"/>
        </w:rPr>
        <w:t>.</w:t>
      </w:r>
    </w:p>
    <w:p w14:paraId="35EDF311" w14:textId="20F2C723" w:rsidR="00A84259" w:rsidRPr="00DA0794" w:rsidRDefault="00BB07C5" w:rsidP="009A42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List is available </w:t>
      </w:r>
      <w:r w:rsidR="009A4213" w:rsidRPr="009A4213">
        <w:rPr>
          <w:rFonts w:ascii="Arial" w:hAnsi="Arial" w:cs="Arial"/>
        </w:rPr>
        <w:t>in the REMIT Docume</w:t>
      </w:r>
      <w:r w:rsidR="009A4213">
        <w:rPr>
          <w:rFonts w:ascii="Arial" w:hAnsi="Arial" w:cs="Arial"/>
        </w:rPr>
        <w:t>nts section of the ACER website.</w:t>
      </w:r>
    </w:p>
    <w:p w14:paraId="666F21A3" w14:textId="386BA552" w:rsidR="00A84259" w:rsidRPr="006A618F" w:rsidRDefault="004F084C" w:rsidP="006A618F">
      <w:pPr>
        <w:pStyle w:val="Heading1"/>
        <w:jc w:val="both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6A618F">
        <w:rPr>
          <w:rFonts w:ascii="Arial" w:eastAsiaTheme="minorHAnsi" w:hAnsi="Arial" w:cs="Arial"/>
          <w:b/>
          <w:color w:val="auto"/>
          <w:sz w:val="22"/>
          <w:szCs w:val="22"/>
        </w:rPr>
        <w:t>Actions to be taken</w:t>
      </w:r>
      <w:r w:rsidR="007343A0" w:rsidRPr="006A618F">
        <w:rPr>
          <w:rFonts w:ascii="Arial" w:eastAsiaTheme="minorHAnsi" w:hAnsi="Arial" w:cs="Arial"/>
          <w:b/>
          <w:color w:val="auto"/>
          <w:sz w:val="22"/>
          <w:szCs w:val="22"/>
        </w:rPr>
        <w:t xml:space="preserve"> by LNG Operators, </w:t>
      </w:r>
      <w:r w:rsidR="001C737E" w:rsidRPr="006A618F">
        <w:rPr>
          <w:rFonts w:ascii="Arial" w:eastAsiaTheme="minorHAnsi" w:hAnsi="Arial" w:cs="Arial"/>
          <w:b/>
          <w:color w:val="auto"/>
          <w:sz w:val="22"/>
          <w:szCs w:val="22"/>
        </w:rPr>
        <w:t>Market Participants</w:t>
      </w:r>
      <w:r w:rsidR="007343A0" w:rsidRPr="006A618F">
        <w:rPr>
          <w:rFonts w:ascii="Arial" w:eastAsiaTheme="minorHAnsi" w:hAnsi="Arial" w:cs="Arial"/>
          <w:b/>
          <w:color w:val="auto"/>
          <w:sz w:val="22"/>
          <w:szCs w:val="22"/>
        </w:rPr>
        <w:t xml:space="preserve"> and RRMs</w:t>
      </w:r>
      <w:r w:rsidRPr="006A618F">
        <w:rPr>
          <w:rFonts w:ascii="Arial" w:eastAsiaTheme="minorHAnsi" w:hAnsi="Arial" w:cs="Arial"/>
          <w:b/>
          <w:color w:val="auto"/>
          <w:sz w:val="22"/>
          <w:szCs w:val="22"/>
        </w:rPr>
        <w:t>:</w:t>
      </w:r>
    </w:p>
    <w:p w14:paraId="78EE880B" w14:textId="77777777" w:rsidR="004F084C" w:rsidRPr="00DA0794" w:rsidRDefault="004F084C" w:rsidP="006A618F">
      <w:pPr>
        <w:jc w:val="both"/>
        <w:rPr>
          <w:rFonts w:ascii="Arial" w:hAnsi="Arial" w:cs="Arial"/>
        </w:rPr>
      </w:pPr>
    </w:p>
    <w:p w14:paraId="7BF323F8" w14:textId="3D7FBF59" w:rsidR="000978E5" w:rsidRPr="00DA0794" w:rsidRDefault="000978E5" w:rsidP="006A618F">
      <w:pPr>
        <w:jc w:val="both"/>
        <w:rPr>
          <w:rFonts w:ascii="Arial" w:hAnsi="Arial" w:cs="Arial"/>
        </w:rPr>
      </w:pPr>
      <w:r w:rsidRPr="00DA0794">
        <w:rPr>
          <w:rFonts w:ascii="Arial" w:hAnsi="Arial" w:cs="Arial"/>
        </w:rPr>
        <w:t>LNG Operators</w:t>
      </w:r>
      <w:r w:rsidR="006A618F">
        <w:rPr>
          <w:rFonts w:ascii="Arial" w:hAnsi="Arial" w:cs="Arial"/>
        </w:rPr>
        <w:t>,</w:t>
      </w:r>
      <w:r w:rsidRPr="00DA0794">
        <w:rPr>
          <w:rFonts w:ascii="Arial" w:hAnsi="Arial" w:cs="Arial"/>
        </w:rPr>
        <w:t xml:space="preserve"> Market Participants</w:t>
      </w:r>
      <w:r w:rsidR="006A618F">
        <w:rPr>
          <w:rFonts w:ascii="Arial" w:hAnsi="Arial" w:cs="Arial"/>
        </w:rPr>
        <w:t xml:space="preserve"> and RRMs</w:t>
      </w:r>
      <w:r w:rsidRPr="00DA0794">
        <w:rPr>
          <w:rFonts w:ascii="Arial" w:hAnsi="Arial" w:cs="Arial"/>
        </w:rPr>
        <w:t xml:space="preserve"> shall use only the listed codes when reporting data according to Articles 9(3) and (5) of the REMIT Implementing Regulation. The Agency may prepare a set of validation rules that would require to use only the listed EIC codes when reporting LNG data.</w:t>
      </w:r>
    </w:p>
    <w:p w14:paraId="6EA0FF4D" w14:textId="69CD6EA3" w:rsidR="00836C23" w:rsidRPr="00DA0794" w:rsidRDefault="001C737E" w:rsidP="006A618F">
      <w:pPr>
        <w:jc w:val="both"/>
        <w:rPr>
          <w:rFonts w:ascii="Arial" w:hAnsi="Arial" w:cs="Arial"/>
        </w:rPr>
      </w:pPr>
      <w:r w:rsidRPr="00DA0794">
        <w:rPr>
          <w:rFonts w:ascii="Arial" w:hAnsi="Arial" w:cs="Arial"/>
        </w:rPr>
        <w:t>Each facility should have its own EIC W and EIC Z code</w:t>
      </w:r>
      <w:r w:rsidR="00836C23" w:rsidRPr="00DA0794">
        <w:rPr>
          <w:rFonts w:ascii="Arial" w:hAnsi="Arial" w:cs="Arial"/>
        </w:rPr>
        <w:t>*</w:t>
      </w:r>
      <w:r w:rsidRPr="00DA0794">
        <w:rPr>
          <w:rFonts w:ascii="Arial" w:hAnsi="Arial" w:cs="Arial"/>
        </w:rPr>
        <w:t xml:space="preserve">. </w:t>
      </w:r>
      <w:r w:rsidR="004F084C" w:rsidRPr="00DA0794">
        <w:rPr>
          <w:rFonts w:ascii="Arial" w:hAnsi="Arial" w:cs="Arial"/>
        </w:rPr>
        <w:t>Listed LNG Operators shall</w:t>
      </w:r>
      <w:r w:rsidR="00024147" w:rsidRPr="00DA0794">
        <w:rPr>
          <w:rFonts w:ascii="Arial" w:hAnsi="Arial" w:cs="Arial"/>
        </w:rPr>
        <w:t xml:space="preserve"> provide</w:t>
      </w:r>
      <w:r w:rsidR="004F084C" w:rsidRPr="00DA0794">
        <w:rPr>
          <w:rFonts w:ascii="Arial" w:hAnsi="Arial" w:cs="Arial"/>
        </w:rPr>
        <w:t xml:space="preserve"> the Agency</w:t>
      </w:r>
      <w:r w:rsidR="00024147" w:rsidRPr="00DA0794">
        <w:rPr>
          <w:rFonts w:ascii="Arial" w:hAnsi="Arial" w:cs="Arial"/>
        </w:rPr>
        <w:t xml:space="preserve"> with the </w:t>
      </w:r>
      <w:r w:rsidR="004F084C" w:rsidRPr="00DA0794">
        <w:rPr>
          <w:rFonts w:ascii="Arial" w:hAnsi="Arial" w:cs="Arial"/>
        </w:rPr>
        <w:t xml:space="preserve">EIC Z and/or EIC W </w:t>
      </w:r>
      <w:r w:rsidR="00024147" w:rsidRPr="00DA0794">
        <w:rPr>
          <w:rFonts w:ascii="Arial" w:hAnsi="Arial" w:cs="Arial"/>
        </w:rPr>
        <w:t>which are</w:t>
      </w:r>
      <w:r w:rsidR="004F084C" w:rsidRPr="00DA0794">
        <w:rPr>
          <w:rFonts w:ascii="Arial" w:hAnsi="Arial" w:cs="Arial"/>
        </w:rPr>
        <w:t xml:space="preserve"> missing</w:t>
      </w:r>
      <w:r w:rsidRPr="00DA0794">
        <w:rPr>
          <w:rFonts w:ascii="Arial" w:hAnsi="Arial" w:cs="Arial"/>
        </w:rPr>
        <w:t xml:space="preserve"> </w:t>
      </w:r>
      <w:r w:rsidR="00024147" w:rsidRPr="00DA0794">
        <w:rPr>
          <w:rFonts w:ascii="Arial" w:hAnsi="Arial" w:cs="Arial"/>
        </w:rPr>
        <w:t>from</w:t>
      </w:r>
      <w:r w:rsidRPr="00DA0794">
        <w:rPr>
          <w:rFonts w:ascii="Arial" w:hAnsi="Arial" w:cs="Arial"/>
        </w:rPr>
        <w:t xml:space="preserve"> the </w:t>
      </w:r>
      <w:r w:rsidR="007343A0" w:rsidRPr="00DA0794">
        <w:rPr>
          <w:rFonts w:ascii="Arial" w:hAnsi="Arial" w:cs="Arial"/>
        </w:rPr>
        <w:t>L</w:t>
      </w:r>
      <w:r w:rsidRPr="00DA0794">
        <w:rPr>
          <w:rFonts w:ascii="Arial" w:hAnsi="Arial" w:cs="Arial"/>
        </w:rPr>
        <w:t>ist</w:t>
      </w:r>
      <w:r w:rsidR="004F084C" w:rsidRPr="00DA0794">
        <w:rPr>
          <w:rFonts w:ascii="Arial" w:hAnsi="Arial" w:cs="Arial"/>
        </w:rPr>
        <w:t xml:space="preserve">. </w:t>
      </w:r>
    </w:p>
    <w:p w14:paraId="66F3181C" w14:textId="3E78639F" w:rsidR="000978E5" w:rsidRPr="00DA0794" w:rsidRDefault="004F084C" w:rsidP="006A618F">
      <w:pPr>
        <w:jc w:val="both"/>
        <w:rPr>
          <w:rFonts w:ascii="Arial" w:hAnsi="Arial" w:cs="Arial"/>
        </w:rPr>
      </w:pPr>
      <w:r w:rsidRPr="00DA0794">
        <w:rPr>
          <w:rFonts w:ascii="Arial" w:hAnsi="Arial" w:cs="Arial"/>
        </w:rPr>
        <w:t xml:space="preserve">Should you be aware of any </w:t>
      </w:r>
      <w:r w:rsidR="00836C23" w:rsidRPr="00DA0794">
        <w:rPr>
          <w:rFonts w:ascii="Arial" w:hAnsi="Arial" w:cs="Arial"/>
        </w:rPr>
        <w:t>errors</w:t>
      </w:r>
      <w:r w:rsidRPr="00DA0794">
        <w:rPr>
          <w:rFonts w:ascii="Arial" w:hAnsi="Arial" w:cs="Arial"/>
        </w:rPr>
        <w:t xml:space="preserve"> or additional LNG facilities and Oper</w:t>
      </w:r>
      <w:r w:rsidR="001C737E" w:rsidRPr="00DA0794">
        <w:rPr>
          <w:rFonts w:ascii="Arial" w:hAnsi="Arial" w:cs="Arial"/>
        </w:rPr>
        <w:t>ators fulfilling the definitions according to t</w:t>
      </w:r>
      <w:r w:rsidRPr="00DA0794">
        <w:rPr>
          <w:rFonts w:ascii="Arial" w:hAnsi="Arial" w:cs="Arial"/>
        </w:rPr>
        <w:t xml:space="preserve">he Gas Directive please </w:t>
      </w:r>
      <w:r w:rsidR="00836C23" w:rsidRPr="00DA0794">
        <w:rPr>
          <w:rFonts w:ascii="Arial" w:hAnsi="Arial" w:cs="Arial"/>
        </w:rPr>
        <w:t>inform the Agency.</w:t>
      </w:r>
      <w:r w:rsidR="006A618F">
        <w:rPr>
          <w:rFonts w:ascii="Arial" w:hAnsi="Arial" w:cs="Arial"/>
        </w:rPr>
        <w:t xml:space="preserve"> </w:t>
      </w:r>
      <w:r w:rsidR="00024147" w:rsidRPr="00DA0794">
        <w:rPr>
          <w:rFonts w:ascii="Arial" w:hAnsi="Arial" w:cs="Arial"/>
        </w:rPr>
        <w:t>F</w:t>
      </w:r>
      <w:r w:rsidR="00836C23" w:rsidRPr="00DA0794">
        <w:rPr>
          <w:rFonts w:ascii="Arial" w:hAnsi="Arial" w:cs="Arial"/>
        </w:rPr>
        <w:t>eedback shall be provided vi</w:t>
      </w:r>
      <w:r w:rsidR="000D190C">
        <w:rPr>
          <w:rFonts w:ascii="Arial" w:hAnsi="Arial" w:cs="Arial"/>
        </w:rPr>
        <w:t xml:space="preserve">a </w:t>
      </w:r>
      <w:hyperlink r:id="rId11" w:history="1">
        <w:r w:rsidR="000D190C" w:rsidRPr="00CB368F">
          <w:rPr>
            <w:rStyle w:val="Hyperlink"/>
            <w:rFonts w:ascii="Arial" w:hAnsi="Arial" w:cs="Arial"/>
          </w:rPr>
          <w:t>transaction.reporting@acer.europa.eu</w:t>
        </w:r>
      </w:hyperlink>
      <w:r w:rsidR="000D190C">
        <w:rPr>
          <w:rFonts w:ascii="Arial" w:hAnsi="Arial" w:cs="Arial"/>
        </w:rPr>
        <w:t>.</w:t>
      </w:r>
    </w:p>
    <w:p w14:paraId="24C53D6D" w14:textId="009A16C3" w:rsidR="00836C23" w:rsidRPr="00DA0794" w:rsidRDefault="00836C23" w:rsidP="006A618F">
      <w:pPr>
        <w:jc w:val="both"/>
        <w:rPr>
          <w:rFonts w:ascii="Arial" w:hAnsi="Arial" w:cs="Arial"/>
          <w:lang w:eastAsia="fr-FR"/>
        </w:rPr>
      </w:pPr>
      <w:r w:rsidRPr="00DA0794">
        <w:rPr>
          <w:rFonts w:ascii="Arial" w:hAnsi="Arial" w:cs="Arial"/>
          <w:lang w:eastAsia="fr-FR"/>
        </w:rPr>
        <w:t xml:space="preserve">*EIC Z codes shall be used only in </w:t>
      </w:r>
      <w:proofErr w:type="spellStart"/>
      <w:r w:rsidRPr="00DA0794">
        <w:rPr>
          <w:rFonts w:ascii="Arial" w:hAnsi="Arial" w:cs="Arial"/>
          <w:lang w:eastAsia="fr-FR"/>
        </w:rPr>
        <w:t>lngUnavailabilityReport</w:t>
      </w:r>
      <w:proofErr w:type="spellEnd"/>
      <w:r w:rsidRPr="00DA0794">
        <w:rPr>
          <w:rFonts w:ascii="Arial" w:hAnsi="Arial" w:cs="Arial"/>
          <w:lang w:eastAsia="fr-FR"/>
        </w:rPr>
        <w:t xml:space="preserve"> when reporting unavailability of a connection point and not the facility. </w:t>
      </w:r>
    </w:p>
    <w:p w14:paraId="2C77AD9D" w14:textId="77777777" w:rsidR="00CC7D14" w:rsidRPr="00DA0794" w:rsidRDefault="00CC7D14" w:rsidP="006A618F">
      <w:pPr>
        <w:jc w:val="both"/>
        <w:rPr>
          <w:rFonts w:ascii="Arial" w:hAnsi="Arial" w:cs="Arial"/>
        </w:rPr>
      </w:pPr>
    </w:p>
    <w:sectPr w:rsidR="00CC7D14" w:rsidRPr="00DA079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1B15" w14:textId="77777777" w:rsidR="007002BD" w:rsidRDefault="007002BD" w:rsidP="002D2D3B">
      <w:pPr>
        <w:spacing w:after="0" w:line="240" w:lineRule="auto"/>
      </w:pPr>
      <w:r>
        <w:separator/>
      </w:r>
    </w:p>
  </w:endnote>
  <w:endnote w:type="continuationSeparator" w:id="0">
    <w:p w14:paraId="62F292C4" w14:textId="77777777" w:rsidR="007002BD" w:rsidRDefault="007002BD" w:rsidP="002D2D3B">
      <w:pPr>
        <w:spacing w:after="0" w:line="240" w:lineRule="auto"/>
      </w:pPr>
      <w:r>
        <w:continuationSeparator/>
      </w:r>
    </w:p>
  </w:endnote>
  <w:endnote w:type="continuationNotice" w:id="1">
    <w:p w14:paraId="76277FFA" w14:textId="77777777" w:rsidR="007002BD" w:rsidRDefault="007002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063047"/>
      <w:docPartObj>
        <w:docPartGallery w:val="Page Numbers (Bottom of Page)"/>
        <w:docPartUnique/>
      </w:docPartObj>
    </w:sdtPr>
    <w:sdtEndPr>
      <w:rPr>
        <w:noProof/>
        <w:color w:val="000000" w:themeColor="text1"/>
      </w:rPr>
    </w:sdtEndPr>
    <w:sdtContent>
      <w:p w14:paraId="55CC40AC" w14:textId="690F9A80" w:rsidR="00582B5E" w:rsidRPr="00582B5E" w:rsidRDefault="00582B5E" w:rsidP="00582B5E">
        <w:pPr>
          <w:pStyle w:val="Footer"/>
          <w:jc w:val="center"/>
          <w:rPr>
            <w:color w:val="000000" w:themeColor="text1"/>
          </w:rPr>
        </w:pPr>
        <w:r w:rsidRPr="00582B5E">
          <w:rPr>
            <w:color w:val="000000" w:themeColor="text1"/>
          </w:rPr>
          <w:fldChar w:fldCharType="begin"/>
        </w:r>
        <w:r w:rsidRPr="00582B5E">
          <w:rPr>
            <w:color w:val="000000" w:themeColor="text1"/>
          </w:rPr>
          <w:instrText xml:space="preserve"> PAGE   \* MERGEFORMAT </w:instrText>
        </w:r>
        <w:r w:rsidRPr="00582B5E">
          <w:rPr>
            <w:color w:val="000000" w:themeColor="text1"/>
          </w:rPr>
          <w:fldChar w:fldCharType="separate"/>
        </w:r>
        <w:r w:rsidR="00D84ADE">
          <w:rPr>
            <w:noProof/>
            <w:color w:val="000000" w:themeColor="text1"/>
          </w:rPr>
          <w:t>1</w:t>
        </w:r>
        <w:r w:rsidRPr="00582B5E">
          <w:rPr>
            <w:noProof/>
            <w:color w:val="000000" w:themeColor="text1"/>
          </w:rPr>
          <w:fldChar w:fldCharType="end"/>
        </w:r>
      </w:p>
    </w:sdtContent>
  </w:sdt>
  <w:p w14:paraId="2F283167" w14:textId="77777777" w:rsidR="00582B5E" w:rsidRDefault="00582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F8947" w14:textId="77777777" w:rsidR="007002BD" w:rsidRDefault="007002BD" w:rsidP="002D2D3B">
      <w:pPr>
        <w:spacing w:after="0" w:line="240" w:lineRule="auto"/>
      </w:pPr>
      <w:r>
        <w:separator/>
      </w:r>
    </w:p>
  </w:footnote>
  <w:footnote w:type="continuationSeparator" w:id="0">
    <w:p w14:paraId="5150A0AD" w14:textId="77777777" w:rsidR="007002BD" w:rsidRDefault="007002BD" w:rsidP="002D2D3B">
      <w:pPr>
        <w:spacing w:after="0" w:line="240" w:lineRule="auto"/>
      </w:pPr>
      <w:r>
        <w:continuationSeparator/>
      </w:r>
    </w:p>
  </w:footnote>
  <w:footnote w:type="continuationNotice" w:id="1">
    <w:p w14:paraId="77F200E6" w14:textId="77777777" w:rsidR="007002BD" w:rsidRDefault="007002BD">
      <w:pPr>
        <w:spacing w:after="0" w:line="240" w:lineRule="auto"/>
      </w:pPr>
    </w:p>
  </w:footnote>
  <w:footnote w:id="2">
    <w:p w14:paraId="3FDE0A3C" w14:textId="6AD63768" w:rsidR="00186FB1" w:rsidRDefault="00186FB1" w:rsidP="008700A8">
      <w:pPr>
        <w:pStyle w:val="FootnoteText"/>
      </w:pPr>
      <w:r>
        <w:rPr>
          <w:rStyle w:val="FootnoteReference"/>
        </w:rPr>
        <w:footnoteRef/>
      </w:r>
      <w:r>
        <w:t xml:space="preserve"> DIRECTIVE 2009/73/EC OF THE EUROPEAN PARLIAMENT AND OF THE COUNCIL of </w:t>
      </w:r>
      <w:r w:rsidR="00F033D5">
        <w:t>13 July</w:t>
      </w:r>
      <w:r>
        <w:t xml:space="preserve"> 2009 concerning common rules for the internal market in natural gas and repealing Directive 2003/55/EC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6352" w14:textId="0CB5BF2F" w:rsidR="00DA0794" w:rsidRDefault="0066381E">
    <w:pPr>
      <w:pStyle w:val="Header"/>
    </w:pPr>
    <w:r>
      <w:rPr>
        <w:noProof/>
        <w:lang w:eastAsia="en-GB"/>
      </w:rPr>
      <w:drawing>
        <wp:inline distT="0" distB="0" distL="0" distR="0" wp14:anchorId="582ED692" wp14:editId="17EA70F0">
          <wp:extent cx="1644650" cy="535940"/>
          <wp:effectExtent l="0" t="0" r="0" b="0"/>
          <wp:docPr id="4" name="Picture 4" descr="C:\Users\cebelul\AppData\Local\Microsoft\Windows\INetCache\Content.Outlook\CTEUO2M5\ACER_logo_RGB_hq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cebelul\AppData\Local\Microsoft\Windows\INetCache\Content.Outlook\CTEUO2M5\ACER_logo_RGB_hq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ADD855" w14:textId="77777777" w:rsidR="00841B97" w:rsidRDefault="00841B97">
    <w:pPr>
      <w:pStyle w:val="Header"/>
    </w:pPr>
  </w:p>
  <w:p w14:paraId="17CFD046" w14:textId="6513CC2C" w:rsidR="00841B97" w:rsidRDefault="00841B97">
    <w:pPr>
      <w:pStyle w:val="Header"/>
    </w:pPr>
    <w:r w:rsidRPr="00841B97">
      <w:rPr>
        <w:b/>
        <w:noProof/>
        <w:color w:val="1F4E79" w:themeColor="accent1" w:themeShade="80"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8CA08E" wp14:editId="7045E0E3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53100" cy="12700"/>
              <wp:effectExtent l="0" t="0" r="1905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1270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30E5A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5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" strokecolor="#1f4d78 [1604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E9A"/>
    <w:multiLevelType w:val="multilevel"/>
    <w:tmpl w:val="C1C2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70BAC"/>
    <w:multiLevelType w:val="hybridMultilevel"/>
    <w:tmpl w:val="CA383F5C"/>
    <w:lvl w:ilvl="0" w:tplc="9B707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47F9A"/>
    <w:multiLevelType w:val="multilevel"/>
    <w:tmpl w:val="33AE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02A87"/>
    <w:multiLevelType w:val="multilevel"/>
    <w:tmpl w:val="57E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677B7"/>
    <w:multiLevelType w:val="hybridMultilevel"/>
    <w:tmpl w:val="F13C42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2034A"/>
    <w:multiLevelType w:val="multilevel"/>
    <w:tmpl w:val="AFF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EB622C"/>
    <w:multiLevelType w:val="hybridMultilevel"/>
    <w:tmpl w:val="DE5C29F0"/>
    <w:lvl w:ilvl="0" w:tplc="55AABD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525B5"/>
    <w:multiLevelType w:val="multilevel"/>
    <w:tmpl w:val="7612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696B5E"/>
    <w:multiLevelType w:val="multilevel"/>
    <w:tmpl w:val="A702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822051">
    <w:abstractNumId w:val="6"/>
  </w:num>
  <w:num w:numId="2" w16cid:durableId="2013794508">
    <w:abstractNumId w:val="4"/>
  </w:num>
  <w:num w:numId="3" w16cid:durableId="634990051">
    <w:abstractNumId w:val="0"/>
  </w:num>
  <w:num w:numId="4" w16cid:durableId="1459370933">
    <w:abstractNumId w:val="8"/>
  </w:num>
  <w:num w:numId="5" w16cid:durableId="1405563309">
    <w:abstractNumId w:val="7"/>
  </w:num>
  <w:num w:numId="6" w16cid:durableId="1448617687">
    <w:abstractNumId w:val="5"/>
  </w:num>
  <w:num w:numId="7" w16cid:durableId="1202403680">
    <w:abstractNumId w:val="2"/>
  </w:num>
  <w:num w:numId="8" w16cid:durableId="1126459">
    <w:abstractNumId w:val="1"/>
  </w:num>
  <w:num w:numId="9" w16cid:durableId="659892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9AA"/>
    <w:rsid w:val="00013FF8"/>
    <w:rsid w:val="00021D9D"/>
    <w:rsid w:val="00024147"/>
    <w:rsid w:val="00024473"/>
    <w:rsid w:val="000533BA"/>
    <w:rsid w:val="000702AC"/>
    <w:rsid w:val="00087C94"/>
    <w:rsid w:val="000978E5"/>
    <w:rsid w:val="000A09B5"/>
    <w:rsid w:val="000D190C"/>
    <w:rsid w:val="000D748D"/>
    <w:rsid w:val="000E5FBB"/>
    <w:rsid w:val="00106FD9"/>
    <w:rsid w:val="0011342B"/>
    <w:rsid w:val="001353E4"/>
    <w:rsid w:val="00172078"/>
    <w:rsid w:val="00186FB1"/>
    <w:rsid w:val="00190047"/>
    <w:rsid w:val="001C737E"/>
    <w:rsid w:val="001D46D6"/>
    <w:rsid w:val="00244BA7"/>
    <w:rsid w:val="0029006D"/>
    <w:rsid w:val="002B399C"/>
    <w:rsid w:val="002B7DE2"/>
    <w:rsid w:val="002C059A"/>
    <w:rsid w:val="002D2D3B"/>
    <w:rsid w:val="002F2C5E"/>
    <w:rsid w:val="003512B7"/>
    <w:rsid w:val="00370092"/>
    <w:rsid w:val="003A3D59"/>
    <w:rsid w:val="003E67C4"/>
    <w:rsid w:val="003F061B"/>
    <w:rsid w:val="003F1561"/>
    <w:rsid w:val="004071B3"/>
    <w:rsid w:val="004210A0"/>
    <w:rsid w:val="004402A3"/>
    <w:rsid w:val="004437E8"/>
    <w:rsid w:val="00457C17"/>
    <w:rsid w:val="004618D0"/>
    <w:rsid w:val="00462B76"/>
    <w:rsid w:val="004F084C"/>
    <w:rsid w:val="005324D7"/>
    <w:rsid w:val="00582B5E"/>
    <w:rsid w:val="005C2960"/>
    <w:rsid w:val="005F0AFA"/>
    <w:rsid w:val="00616CF6"/>
    <w:rsid w:val="006209F3"/>
    <w:rsid w:val="00623094"/>
    <w:rsid w:val="00626309"/>
    <w:rsid w:val="00653938"/>
    <w:rsid w:val="0066381E"/>
    <w:rsid w:val="006A618F"/>
    <w:rsid w:val="006E73F9"/>
    <w:rsid w:val="006F0B1A"/>
    <w:rsid w:val="007002BD"/>
    <w:rsid w:val="007024AA"/>
    <w:rsid w:val="00721580"/>
    <w:rsid w:val="0072685B"/>
    <w:rsid w:val="007343A0"/>
    <w:rsid w:val="00780D79"/>
    <w:rsid w:val="0079005D"/>
    <w:rsid w:val="0079675B"/>
    <w:rsid w:val="007B441B"/>
    <w:rsid w:val="007D000C"/>
    <w:rsid w:val="007D1BFB"/>
    <w:rsid w:val="007E3BCC"/>
    <w:rsid w:val="007E4018"/>
    <w:rsid w:val="007E45FE"/>
    <w:rsid w:val="007F74C4"/>
    <w:rsid w:val="0080025B"/>
    <w:rsid w:val="00815863"/>
    <w:rsid w:val="00821DDD"/>
    <w:rsid w:val="008326E5"/>
    <w:rsid w:val="00836C23"/>
    <w:rsid w:val="00841B97"/>
    <w:rsid w:val="0084432F"/>
    <w:rsid w:val="008700A8"/>
    <w:rsid w:val="00871ABE"/>
    <w:rsid w:val="00886FA2"/>
    <w:rsid w:val="00895BBD"/>
    <w:rsid w:val="00903DD8"/>
    <w:rsid w:val="00912710"/>
    <w:rsid w:val="00930E80"/>
    <w:rsid w:val="0093493B"/>
    <w:rsid w:val="009A4213"/>
    <w:rsid w:val="009C75E3"/>
    <w:rsid w:val="009E4075"/>
    <w:rsid w:val="009F40C9"/>
    <w:rsid w:val="009F7AD4"/>
    <w:rsid w:val="00A04EBC"/>
    <w:rsid w:val="00A41932"/>
    <w:rsid w:val="00A45E52"/>
    <w:rsid w:val="00A72595"/>
    <w:rsid w:val="00A84259"/>
    <w:rsid w:val="00A9211E"/>
    <w:rsid w:val="00A92E20"/>
    <w:rsid w:val="00AC05F0"/>
    <w:rsid w:val="00B04294"/>
    <w:rsid w:val="00B1129B"/>
    <w:rsid w:val="00B24C95"/>
    <w:rsid w:val="00B46516"/>
    <w:rsid w:val="00B46FC1"/>
    <w:rsid w:val="00B50A27"/>
    <w:rsid w:val="00B5508A"/>
    <w:rsid w:val="00B95158"/>
    <w:rsid w:val="00BB07C5"/>
    <w:rsid w:val="00BE22B5"/>
    <w:rsid w:val="00C21C1B"/>
    <w:rsid w:val="00C77047"/>
    <w:rsid w:val="00CB72CD"/>
    <w:rsid w:val="00CC7D14"/>
    <w:rsid w:val="00CE482D"/>
    <w:rsid w:val="00D12A7D"/>
    <w:rsid w:val="00D1345A"/>
    <w:rsid w:val="00D84ADE"/>
    <w:rsid w:val="00DA0794"/>
    <w:rsid w:val="00DC1CB7"/>
    <w:rsid w:val="00DE1EFA"/>
    <w:rsid w:val="00E27A9C"/>
    <w:rsid w:val="00E40478"/>
    <w:rsid w:val="00E50750"/>
    <w:rsid w:val="00EE4CD7"/>
    <w:rsid w:val="00EF20C6"/>
    <w:rsid w:val="00F033D5"/>
    <w:rsid w:val="00F10905"/>
    <w:rsid w:val="00F110B6"/>
    <w:rsid w:val="00F13B7F"/>
    <w:rsid w:val="00F302C6"/>
    <w:rsid w:val="00F51F67"/>
    <w:rsid w:val="00F70968"/>
    <w:rsid w:val="00F87662"/>
    <w:rsid w:val="00FB39AA"/>
    <w:rsid w:val="00FD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5FB91"/>
  <w15:chartTrackingRefBased/>
  <w15:docId w15:val="{2AF247D1-5717-41BA-803C-E60844A5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5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20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9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C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209F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20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9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2D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2D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D2D3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09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C75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326E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70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7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A9C"/>
  </w:style>
  <w:style w:type="paragraph" w:styleId="Footer">
    <w:name w:val="footer"/>
    <w:basedOn w:val="Normal"/>
    <w:link w:val="FooterChar"/>
    <w:uiPriority w:val="99"/>
    <w:unhideWhenUsed/>
    <w:rsid w:val="00E27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A9C"/>
  </w:style>
  <w:style w:type="character" w:styleId="FollowedHyperlink">
    <w:name w:val="FollowedHyperlink"/>
    <w:basedOn w:val="DefaultParagraphFont"/>
    <w:uiPriority w:val="99"/>
    <w:semiHidden/>
    <w:unhideWhenUsed/>
    <w:rsid w:val="006A618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033D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4193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6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6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5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5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nsaction.reporting@acer.europa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052F549998C40B7C562D37AFEB233" ma:contentTypeVersion="3" ma:contentTypeDescription="Create a new document." ma:contentTypeScope="" ma:versionID="f6995823fe04b18c1728abe373aa0ee4">
  <xsd:schema xmlns:xsd="http://www.w3.org/2001/XMLSchema" xmlns:xs="http://www.w3.org/2001/XMLSchema" xmlns:p="http://schemas.microsoft.com/office/2006/metadata/properties" xmlns:ns3="16f01f91-0c0b-41aa-b93f-b15f437605c6" targetNamespace="http://schemas.microsoft.com/office/2006/metadata/properties" ma:root="true" ma:fieldsID="5053b3875c441b59f512e45fce0a3890" ns3:_="">
    <xsd:import namespace="16f01f91-0c0b-41aa-b93f-b15f437605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1f91-0c0b-41aa-b93f-b15f437605c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49569-6FFF-4286-9949-A95C3F4B9A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56BE76-9CAE-462A-A270-769AE64D2A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76B29E-02B7-48B2-9434-BCE4D42E33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4EE452-4795-4D57-BE28-CDB085A92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01f91-0c0b-41aa-b93f-b15f43760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JERČINOVIĆ (ACER)</dc:creator>
  <cp:keywords/>
  <dc:description/>
  <cp:lastModifiedBy>Katja ZABUKOVEC (ACER)</cp:lastModifiedBy>
  <cp:revision>2</cp:revision>
  <dcterms:created xsi:type="dcterms:W3CDTF">2026-04-24T12:57:00Z</dcterms:created>
  <dcterms:modified xsi:type="dcterms:W3CDTF">2026-04-24T12:57:00Z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0x010100609052F549998C40B7C562D37AFEB233</vt:lpwstr>
  </property>
  <property fmtid="{D5CDD505-2E9C-101B-9397-08002B2CF9AE}" pid="3" name="_dlc_DocIdItemGuid">
    <vt:lpwstr>4eb435b7-72e5-4d1c-8280-37b1056bb096</vt:lpwstr>
  </property>
</Properties>
</file>