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91DDF" w14:textId="77777777" w:rsidR="00CC7D38" w:rsidRPr="00EA3C0C" w:rsidRDefault="00F646F4" w:rsidP="004918F6">
      <w:pPr>
        <w:spacing w:before="240" w:after="240"/>
        <w:jc w:val="center"/>
        <w:rPr>
          <w:rFonts w:ascii="Arial" w:hAnsi="Arial" w:cs="Arial"/>
          <w:b/>
          <w:i/>
          <w:sz w:val="40"/>
          <w:szCs w:val="40"/>
          <w:lang w:val="en-US"/>
        </w:rPr>
      </w:pPr>
      <w:r w:rsidRPr="00F646F4">
        <w:rPr>
          <w:noProof/>
          <w:lang w:val="es-ES" w:eastAsia="es-ES"/>
        </w:rPr>
        <w:drawing>
          <wp:inline distT="0" distB="0" distL="0" distR="0" wp14:anchorId="05641B10" wp14:editId="6C6EDEB2">
            <wp:extent cx="5759450" cy="84576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45768"/>
                    </a:xfrm>
                    <a:prstGeom prst="rect">
                      <a:avLst/>
                    </a:prstGeom>
                    <a:noFill/>
                    <a:ln>
                      <a:noFill/>
                    </a:ln>
                  </pic:spPr>
                </pic:pic>
              </a:graphicData>
            </a:graphic>
          </wp:inline>
        </w:drawing>
      </w:r>
    </w:p>
    <w:p w14:paraId="44EBF8E6" w14:textId="77777777" w:rsidR="00CC7D38" w:rsidRDefault="00CC7D38" w:rsidP="00CC7D38">
      <w:pPr>
        <w:spacing w:before="240" w:after="240"/>
        <w:jc w:val="both"/>
        <w:rPr>
          <w:rFonts w:ascii="Arial" w:hAnsi="Arial" w:cs="Arial"/>
          <w:b/>
          <w:i/>
          <w:color w:val="003366"/>
          <w:sz w:val="40"/>
          <w:szCs w:val="40"/>
          <w:lang w:val="en-US"/>
        </w:rPr>
      </w:pPr>
    </w:p>
    <w:p w14:paraId="2BB85B9C" w14:textId="77777777" w:rsidR="00CC7D38" w:rsidRDefault="00CC7D38" w:rsidP="00CC7D38">
      <w:pPr>
        <w:spacing w:before="240" w:after="240"/>
        <w:jc w:val="both"/>
        <w:rPr>
          <w:rFonts w:ascii="Arial" w:hAnsi="Arial" w:cs="Arial"/>
          <w:b/>
          <w:i/>
          <w:color w:val="003366"/>
          <w:sz w:val="40"/>
          <w:szCs w:val="40"/>
          <w:lang w:val="en-US"/>
        </w:rPr>
      </w:pPr>
    </w:p>
    <w:p w14:paraId="5A9F3128" w14:textId="77777777" w:rsidR="00CC7D38" w:rsidRDefault="00CC7D38" w:rsidP="00CC7D38">
      <w:pPr>
        <w:spacing w:before="240" w:after="240"/>
        <w:jc w:val="both"/>
        <w:rPr>
          <w:rFonts w:ascii="Arial" w:hAnsi="Arial" w:cs="Arial"/>
          <w:b/>
          <w:i/>
          <w:color w:val="003366"/>
          <w:sz w:val="40"/>
          <w:szCs w:val="40"/>
          <w:lang w:val="en-US"/>
        </w:rPr>
      </w:pPr>
    </w:p>
    <w:p w14:paraId="282DC24B" w14:textId="4076ED99" w:rsidR="004918F6" w:rsidRPr="00CC7D38" w:rsidRDefault="00063A3D" w:rsidP="004918F6">
      <w:pPr>
        <w:spacing w:before="240" w:after="240"/>
        <w:jc w:val="center"/>
        <w:rPr>
          <w:rFonts w:ascii="Arial" w:hAnsi="Arial" w:cs="Arial"/>
          <w:b/>
          <w:color w:val="003366"/>
          <w:sz w:val="56"/>
          <w:szCs w:val="56"/>
          <w:lang w:val="en-GB"/>
        </w:rPr>
      </w:pPr>
      <w:r>
        <w:rPr>
          <w:rFonts w:ascii="Arial" w:hAnsi="Arial" w:cs="Arial"/>
          <w:b/>
          <w:color w:val="003366"/>
          <w:sz w:val="56"/>
          <w:szCs w:val="56"/>
          <w:lang w:val="en-GB"/>
        </w:rPr>
        <w:t>O</w:t>
      </w:r>
      <w:r w:rsidR="004918F6">
        <w:rPr>
          <w:rFonts w:ascii="Arial" w:hAnsi="Arial" w:cs="Arial"/>
          <w:b/>
          <w:color w:val="003366"/>
          <w:sz w:val="56"/>
          <w:szCs w:val="56"/>
          <w:lang w:val="en-GB"/>
        </w:rPr>
        <w:t>versubscription and buy-back scheme</w:t>
      </w:r>
    </w:p>
    <w:p w14:paraId="7E838D43" w14:textId="77777777" w:rsidR="00CC7D38" w:rsidRDefault="00F26492" w:rsidP="00CC7D38">
      <w:pPr>
        <w:spacing w:before="240" w:after="240"/>
        <w:jc w:val="center"/>
        <w:rPr>
          <w:rFonts w:ascii="Arial" w:hAnsi="Arial" w:cs="Arial"/>
          <w:b/>
          <w:color w:val="003366"/>
          <w:sz w:val="48"/>
          <w:szCs w:val="48"/>
          <w:lang w:val="en-US"/>
        </w:rPr>
      </w:pPr>
      <w:r>
        <w:rPr>
          <w:rFonts w:ascii="Arial" w:hAnsi="Arial" w:cs="Arial"/>
          <w:b/>
          <w:noProof/>
          <w:color w:val="008000"/>
          <w:sz w:val="48"/>
          <w:szCs w:val="48"/>
          <w:lang w:val="es-ES" w:eastAsia="es-ES"/>
        </w:rPr>
        <mc:AlternateContent>
          <mc:Choice Requires="wps">
            <w:drawing>
              <wp:anchor distT="4294967295" distB="4294967295" distL="114300" distR="114300" simplePos="0" relativeHeight="251659264" behindDoc="0" locked="0" layoutInCell="1" allowOverlap="1" wp14:anchorId="7462411B" wp14:editId="78689F1E">
                <wp:simplePos x="0" y="0"/>
                <wp:positionH relativeFrom="column">
                  <wp:posOffset>200025</wp:posOffset>
                </wp:positionH>
                <wp:positionV relativeFrom="paragraph">
                  <wp:posOffset>234949</wp:posOffset>
                </wp:positionV>
                <wp:extent cx="5372100" cy="0"/>
                <wp:effectExtent l="0" t="19050" r="0" b="1905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4E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23F4" id="Conector recto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5pt" to="43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" strokecolor="#004e55" strokeweight="2.25pt"/>
            </w:pict>
          </mc:Fallback>
        </mc:AlternateContent>
      </w:r>
    </w:p>
    <w:p w14:paraId="17CF3143" w14:textId="77777777" w:rsidR="00CC7D38" w:rsidRPr="00CC7D38" w:rsidRDefault="004918F6" w:rsidP="00CC7D38">
      <w:pPr>
        <w:spacing w:before="240" w:after="240"/>
        <w:jc w:val="center"/>
        <w:rPr>
          <w:rFonts w:ascii="Arial" w:hAnsi="Arial" w:cs="Arial"/>
          <w:b/>
          <w:color w:val="339966"/>
          <w:sz w:val="56"/>
          <w:szCs w:val="56"/>
          <w:lang w:val="en-GB"/>
        </w:rPr>
      </w:pPr>
      <w:r>
        <w:rPr>
          <w:rFonts w:ascii="Arial" w:hAnsi="Arial" w:cs="Arial"/>
          <w:b/>
          <w:color w:val="339966"/>
          <w:sz w:val="56"/>
          <w:szCs w:val="56"/>
          <w:lang w:val="en-GB"/>
        </w:rPr>
        <w:t>Implementation of Annex I of Regulation 715/2009</w:t>
      </w:r>
    </w:p>
    <w:p w14:paraId="02A19CCD" w14:textId="77777777" w:rsidR="00CC7D38" w:rsidRPr="00EA3C0C" w:rsidRDefault="00CC7D38" w:rsidP="00CC7D38">
      <w:pPr>
        <w:spacing w:before="240" w:after="240"/>
        <w:jc w:val="both"/>
        <w:rPr>
          <w:rFonts w:ascii="Arial" w:hAnsi="Arial" w:cs="Arial"/>
          <w:lang w:val="en-US"/>
        </w:rPr>
      </w:pPr>
    </w:p>
    <w:p w14:paraId="0D092690" w14:textId="77777777" w:rsidR="00CC7D38" w:rsidRDefault="00CC7D38" w:rsidP="00CC7D38">
      <w:pPr>
        <w:spacing w:before="240" w:after="240"/>
        <w:jc w:val="both"/>
        <w:rPr>
          <w:rFonts w:ascii="Arial" w:hAnsi="Arial" w:cs="Arial"/>
          <w:lang w:val="en-US"/>
        </w:rPr>
      </w:pPr>
    </w:p>
    <w:p w14:paraId="33191DBC" w14:textId="77777777" w:rsidR="00CC7D38" w:rsidRDefault="00CC7D38" w:rsidP="00CC7D38">
      <w:pPr>
        <w:spacing w:before="240" w:after="240"/>
        <w:jc w:val="both"/>
        <w:rPr>
          <w:rFonts w:ascii="Arial" w:hAnsi="Arial" w:cs="Arial"/>
          <w:lang w:val="en-US"/>
        </w:rPr>
      </w:pPr>
    </w:p>
    <w:p w14:paraId="65968156" w14:textId="77777777" w:rsidR="00CC7D38" w:rsidRDefault="00CC7D38" w:rsidP="00CC7D38">
      <w:pPr>
        <w:spacing w:before="240" w:after="240"/>
        <w:jc w:val="both"/>
        <w:rPr>
          <w:rFonts w:ascii="Arial" w:hAnsi="Arial" w:cs="Arial"/>
          <w:lang w:val="en-US"/>
        </w:rPr>
      </w:pPr>
    </w:p>
    <w:p w14:paraId="59ECBF35" w14:textId="77777777" w:rsidR="00CC7D38" w:rsidRDefault="00CC7D38" w:rsidP="00CC7D38">
      <w:pPr>
        <w:spacing w:before="240" w:after="240"/>
        <w:jc w:val="both"/>
        <w:rPr>
          <w:rFonts w:ascii="Arial" w:hAnsi="Arial" w:cs="Arial"/>
          <w:lang w:val="en-US"/>
        </w:rPr>
      </w:pPr>
    </w:p>
    <w:p w14:paraId="6A703941" w14:textId="77777777" w:rsidR="00CC7D38" w:rsidRDefault="00CC7D38" w:rsidP="00CC7D38">
      <w:pPr>
        <w:spacing w:before="240" w:after="240"/>
        <w:jc w:val="both"/>
        <w:rPr>
          <w:rFonts w:ascii="Arial" w:hAnsi="Arial" w:cs="Arial"/>
          <w:lang w:val="en-US"/>
        </w:rPr>
      </w:pPr>
    </w:p>
    <w:p w14:paraId="6E516D1E" w14:textId="77777777" w:rsidR="00CC7D38" w:rsidRDefault="00CC7D38" w:rsidP="00CC7D38">
      <w:pPr>
        <w:spacing w:before="240" w:after="240"/>
        <w:jc w:val="both"/>
        <w:rPr>
          <w:rFonts w:ascii="Arial" w:hAnsi="Arial" w:cs="Arial"/>
          <w:lang w:val="en-US"/>
        </w:rPr>
      </w:pPr>
    </w:p>
    <w:p w14:paraId="44D4176D" w14:textId="77777777" w:rsidR="00CC7D38" w:rsidRDefault="00CC7D38" w:rsidP="00CC7D38">
      <w:pPr>
        <w:spacing w:before="240" w:after="240"/>
        <w:jc w:val="both"/>
        <w:rPr>
          <w:rFonts w:ascii="Arial" w:hAnsi="Arial" w:cs="Arial"/>
          <w:lang w:val="en-US"/>
        </w:rPr>
      </w:pPr>
    </w:p>
    <w:p w14:paraId="1793906F" w14:textId="5D63E2E0" w:rsidR="00CC7D38" w:rsidRPr="00CC7D38" w:rsidRDefault="00063A3D" w:rsidP="00CC7D38">
      <w:pPr>
        <w:pStyle w:val="Normalpersonal"/>
        <w:spacing w:before="0"/>
        <w:jc w:val="center"/>
        <w:rPr>
          <w:rFonts w:ascii="Arial" w:hAnsi="Arial" w:cs="Arial"/>
          <w:color w:val="004E55"/>
          <w:sz w:val="28"/>
          <w:lang w:val="en-GB"/>
        </w:rPr>
      </w:pPr>
      <w:r>
        <w:rPr>
          <w:rFonts w:ascii="Arial" w:hAnsi="Arial" w:cs="Arial"/>
          <w:color w:val="004E55"/>
          <w:sz w:val="28"/>
          <w:lang w:val="en-GB"/>
        </w:rPr>
        <w:t>April</w:t>
      </w:r>
      <w:r w:rsidR="001A15F1">
        <w:rPr>
          <w:rFonts w:ascii="Arial" w:hAnsi="Arial" w:cs="Arial"/>
          <w:color w:val="004E55"/>
          <w:sz w:val="28"/>
          <w:lang w:val="en-GB"/>
        </w:rPr>
        <w:t xml:space="preserve"> </w:t>
      </w:r>
      <w:r w:rsidR="00E13583">
        <w:rPr>
          <w:rFonts w:ascii="Arial" w:hAnsi="Arial" w:cs="Arial"/>
          <w:color w:val="004E55"/>
          <w:sz w:val="28"/>
          <w:lang w:val="en-GB"/>
        </w:rPr>
        <w:t>201</w:t>
      </w:r>
      <w:r w:rsidR="001A15F1">
        <w:rPr>
          <w:rFonts w:ascii="Arial" w:hAnsi="Arial" w:cs="Arial"/>
          <w:color w:val="004E55"/>
          <w:sz w:val="28"/>
          <w:lang w:val="en-GB"/>
        </w:rPr>
        <w:t>6</w:t>
      </w:r>
    </w:p>
    <w:p w14:paraId="1318B204" w14:textId="77777777" w:rsidR="005D6F92" w:rsidRDefault="005D6F92">
      <w:pPr>
        <w:pStyle w:val="Textoindependiente3"/>
        <w:pageBreakBefore/>
        <w:jc w:val="center"/>
        <w:rPr>
          <w:rFonts w:ascii="Arial" w:hAnsi="Arial" w:cs="Arial"/>
          <w:smallCaps/>
          <w:sz w:val="40"/>
          <w:szCs w:val="40"/>
        </w:rPr>
      </w:pPr>
      <w:r>
        <w:rPr>
          <w:rFonts w:ascii="Arial" w:hAnsi="Arial" w:cs="Arial"/>
          <w:b/>
          <w:smallCaps/>
          <w:sz w:val="32"/>
          <w:szCs w:val="32"/>
        </w:rPr>
        <w:lastRenderedPageBreak/>
        <w:t>INDEX</w:t>
      </w:r>
    </w:p>
    <w:p w14:paraId="35720611" w14:textId="77777777" w:rsidR="00FC448D" w:rsidRDefault="00407FB6">
      <w:pPr>
        <w:pStyle w:val="TDC1"/>
        <w:tabs>
          <w:tab w:val="left" w:pos="397"/>
          <w:tab w:val="right" w:leader="dot" w:pos="9061"/>
        </w:tabs>
        <w:rPr>
          <w:rFonts w:asciiTheme="minorHAnsi" w:eastAsiaTheme="minorEastAsia" w:hAnsiTheme="minorHAnsi" w:cstheme="minorBidi"/>
          <w:b w:val="0"/>
          <w:noProof/>
          <w:sz w:val="22"/>
          <w:szCs w:val="22"/>
          <w:lang w:val="es-ES" w:eastAsia="es-ES"/>
        </w:rPr>
      </w:pPr>
      <w:r w:rsidRPr="00C77DED">
        <w:rPr>
          <w:smallCaps/>
          <w:sz w:val="20"/>
          <w:szCs w:val="20"/>
        </w:rPr>
        <w:fldChar w:fldCharType="begin"/>
      </w:r>
      <w:r w:rsidR="005D6F92" w:rsidRPr="00C77DED">
        <w:rPr>
          <w:smallCaps/>
          <w:sz w:val="20"/>
          <w:szCs w:val="20"/>
        </w:rPr>
        <w:instrText xml:space="preserve"> TOC \o "1-2" \h \z \u </w:instrText>
      </w:r>
      <w:r w:rsidRPr="00C77DED">
        <w:rPr>
          <w:smallCaps/>
          <w:sz w:val="20"/>
          <w:szCs w:val="20"/>
        </w:rPr>
        <w:fldChar w:fldCharType="separate"/>
      </w:r>
      <w:hyperlink w:anchor="_Toc423419721" w:history="1">
        <w:r w:rsidR="00FC448D" w:rsidRPr="00977CEC">
          <w:rPr>
            <w:rStyle w:val="Hipervnculo"/>
            <w:noProof/>
            <w:lang w:eastAsia="es-ES"/>
          </w:rPr>
          <w:t>1</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Introduction</w:t>
        </w:r>
        <w:r w:rsidR="00FC448D">
          <w:rPr>
            <w:noProof/>
            <w:webHidden/>
          </w:rPr>
          <w:tab/>
        </w:r>
        <w:r w:rsidR="00FC448D">
          <w:rPr>
            <w:noProof/>
            <w:webHidden/>
          </w:rPr>
          <w:fldChar w:fldCharType="begin"/>
        </w:r>
        <w:r w:rsidR="00FC448D">
          <w:rPr>
            <w:noProof/>
            <w:webHidden/>
          </w:rPr>
          <w:instrText xml:space="preserve"> PAGEREF _Toc423419721 \h </w:instrText>
        </w:r>
        <w:r w:rsidR="00FC448D">
          <w:rPr>
            <w:noProof/>
            <w:webHidden/>
          </w:rPr>
        </w:r>
        <w:r w:rsidR="00FC448D">
          <w:rPr>
            <w:noProof/>
            <w:webHidden/>
          </w:rPr>
          <w:fldChar w:fldCharType="separate"/>
        </w:r>
        <w:r w:rsidR="0065360F">
          <w:rPr>
            <w:noProof/>
            <w:webHidden/>
          </w:rPr>
          <w:t>3</w:t>
        </w:r>
        <w:r w:rsidR="00FC448D">
          <w:rPr>
            <w:noProof/>
            <w:webHidden/>
          </w:rPr>
          <w:fldChar w:fldCharType="end"/>
        </w:r>
      </w:hyperlink>
    </w:p>
    <w:p w14:paraId="725F8002"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22" w:history="1">
        <w:r w:rsidR="00FC448D" w:rsidRPr="00977CEC">
          <w:rPr>
            <w:rStyle w:val="Hipervnculo"/>
            <w:noProof/>
            <w:lang w:eastAsia="es-ES"/>
          </w:rPr>
          <w:t>2</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Additional capacity</w:t>
        </w:r>
        <w:r w:rsidR="00FC448D">
          <w:rPr>
            <w:noProof/>
            <w:webHidden/>
          </w:rPr>
          <w:tab/>
        </w:r>
        <w:r w:rsidR="00FC448D">
          <w:rPr>
            <w:noProof/>
            <w:webHidden/>
          </w:rPr>
          <w:fldChar w:fldCharType="begin"/>
        </w:r>
        <w:r w:rsidR="00FC448D">
          <w:rPr>
            <w:noProof/>
            <w:webHidden/>
          </w:rPr>
          <w:instrText xml:space="preserve"> PAGEREF _Toc423419722 \h </w:instrText>
        </w:r>
        <w:r w:rsidR="00FC448D">
          <w:rPr>
            <w:noProof/>
            <w:webHidden/>
          </w:rPr>
        </w:r>
        <w:r w:rsidR="00FC448D">
          <w:rPr>
            <w:noProof/>
            <w:webHidden/>
          </w:rPr>
          <w:fldChar w:fldCharType="separate"/>
        </w:r>
        <w:r w:rsidR="0065360F">
          <w:rPr>
            <w:noProof/>
            <w:webHidden/>
          </w:rPr>
          <w:t>4</w:t>
        </w:r>
        <w:r w:rsidR="00FC448D">
          <w:rPr>
            <w:noProof/>
            <w:webHidden/>
          </w:rPr>
          <w:fldChar w:fldCharType="end"/>
        </w:r>
      </w:hyperlink>
    </w:p>
    <w:p w14:paraId="54BEB1A7"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3" w:history="1">
        <w:r w:rsidR="00FC448D" w:rsidRPr="00977CEC">
          <w:rPr>
            <w:rStyle w:val="Hipervnculo"/>
            <w:rFonts w:cs="Arial"/>
            <w:noProof/>
            <w:lang w:eastAsia="es-ES"/>
          </w:rPr>
          <w:t>2.1</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Main Principles</w:t>
        </w:r>
        <w:r w:rsidR="00FC448D">
          <w:rPr>
            <w:noProof/>
            <w:webHidden/>
          </w:rPr>
          <w:tab/>
        </w:r>
        <w:r w:rsidR="00FC448D">
          <w:rPr>
            <w:noProof/>
            <w:webHidden/>
          </w:rPr>
          <w:fldChar w:fldCharType="begin"/>
        </w:r>
        <w:r w:rsidR="00FC448D">
          <w:rPr>
            <w:noProof/>
            <w:webHidden/>
          </w:rPr>
          <w:instrText xml:space="preserve"> PAGEREF _Toc423419723 \h </w:instrText>
        </w:r>
        <w:r w:rsidR="00FC448D">
          <w:rPr>
            <w:noProof/>
            <w:webHidden/>
          </w:rPr>
        </w:r>
        <w:r w:rsidR="00FC448D">
          <w:rPr>
            <w:noProof/>
            <w:webHidden/>
          </w:rPr>
          <w:fldChar w:fldCharType="separate"/>
        </w:r>
        <w:r w:rsidR="0065360F">
          <w:rPr>
            <w:noProof/>
            <w:webHidden/>
          </w:rPr>
          <w:t>4</w:t>
        </w:r>
        <w:r w:rsidR="00FC448D">
          <w:rPr>
            <w:noProof/>
            <w:webHidden/>
          </w:rPr>
          <w:fldChar w:fldCharType="end"/>
        </w:r>
      </w:hyperlink>
    </w:p>
    <w:p w14:paraId="32B24749"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4" w:history="1">
        <w:r w:rsidR="00FC448D" w:rsidRPr="00977CEC">
          <w:rPr>
            <w:rStyle w:val="Hipervnculo"/>
            <w:rFonts w:cs="Arial"/>
            <w:noProof/>
            <w:lang w:eastAsia="es-ES"/>
          </w:rPr>
          <w:t>2.2</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Calculation of additional capacity Methodology</w:t>
        </w:r>
        <w:r w:rsidR="00FC448D">
          <w:rPr>
            <w:noProof/>
            <w:webHidden/>
          </w:rPr>
          <w:tab/>
        </w:r>
        <w:r w:rsidR="00FC448D">
          <w:rPr>
            <w:noProof/>
            <w:webHidden/>
          </w:rPr>
          <w:fldChar w:fldCharType="begin"/>
        </w:r>
        <w:r w:rsidR="00FC448D">
          <w:rPr>
            <w:noProof/>
            <w:webHidden/>
          </w:rPr>
          <w:instrText xml:space="preserve"> PAGEREF _Toc423419724 \h </w:instrText>
        </w:r>
        <w:r w:rsidR="00FC448D">
          <w:rPr>
            <w:noProof/>
            <w:webHidden/>
          </w:rPr>
        </w:r>
        <w:r w:rsidR="00FC448D">
          <w:rPr>
            <w:noProof/>
            <w:webHidden/>
          </w:rPr>
          <w:fldChar w:fldCharType="separate"/>
        </w:r>
        <w:r w:rsidR="0065360F">
          <w:rPr>
            <w:noProof/>
            <w:webHidden/>
          </w:rPr>
          <w:t>5</w:t>
        </w:r>
        <w:r w:rsidR="00FC448D">
          <w:rPr>
            <w:noProof/>
            <w:webHidden/>
          </w:rPr>
          <w:fldChar w:fldCharType="end"/>
        </w:r>
      </w:hyperlink>
    </w:p>
    <w:p w14:paraId="7C657968"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5" w:history="1">
        <w:r w:rsidR="00FC448D" w:rsidRPr="00977CEC">
          <w:rPr>
            <w:rStyle w:val="Hipervnculo"/>
            <w:rFonts w:cs="Arial"/>
            <w:noProof/>
            <w:lang w:eastAsia="es-ES"/>
          </w:rPr>
          <w:t>2.3</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Update of the Calculation of additional capacity Methodology</w:t>
        </w:r>
        <w:r w:rsidR="00FC448D">
          <w:rPr>
            <w:noProof/>
            <w:webHidden/>
          </w:rPr>
          <w:tab/>
        </w:r>
        <w:r w:rsidR="00FC448D">
          <w:rPr>
            <w:noProof/>
            <w:webHidden/>
          </w:rPr>
          <w:fldChar w:fldCharType="begin"/>
        </w:r>
        <w:r w:rsidR="00FC448D">
          <w:rPr>
            <w:noProof/>
            <w:webHidden/>
          </w:rPr>
          <w:instrText xml:space="preserve"> PAGEREF _Toc423419725 \h </w:instrText>
        </w:r>
        <w:r w:rsidR="00FC448D">
          <w:rPr>
            <w:noProof/>
            <w:webHidden/>
          </w:rPr>
        </w:r>
        <w:r w:rsidR="00FC448D">
          <w:rPr>
            <w:noProof/>
            <w:webHidden/>
          </w:rPr>
          <w:fldChar w:fldCharType="separate"/>
        </w:r>
        <w:r w:rsidR="0065360F">
          <w:rPr>
            <w:noProof/>
            <w:webHidden/>
          </w:rPr>
          <w:t>7</w:t>
        </w:r>
        <w:r w:rsidR="00FC448D">
          <w:rPr>
            <w:noProof/>
            <w:webHidden/>
          </w:rPr>
          <w:fldChar w:fldCharType="end"/>
        </w:r>
      </w:hyperlink>
    </w:p>
    <w:p w14:paraId="5BEF8C55"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6" w:history="1">
        <w:r w:rsidR="00FC448D" w:rsidRPr="00977CEC">
          <w:rPr>
            <w:rStyle w:val="Hipervnculo"/>
            <w:rFonts w:cs="Arial"/>
            <w:noProof/>
            <w:lang w:eastAsia="es-ES"/>
          </w:rPr>
          <w:t>2.4</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lang w:eastAsia="es-ES"/>
          </w:rPr>
          <w:t>Offer of additional capacity</w:t>
        </w:r>
        <w:r w:rsidR="00FC448D">
          <w:rPr>
            <w:noProof/>
            <w:webHidden/>
          </w:rPr>
          <w:tab/>
        </w:r>
        <w:r w:rsidR="00FC448D">
          <w:rPr>
            <w:noProof/>
            <w:webHidden/>
          </w:rPr>
          <w:fldChar w:fldCharType="begin"/>
        </w:r>
        <w:r w:rsidR="00FC448D">
          <w:rPr>
            <w:noProof/>
            <w:webHidden/>
          </w:rPr>
          <w:instrText xml:space="preserve"> PAGEREF _Toc423419726 \h </w:instrText>
        </w:r>
        <w:r w:rsidR="00FC448D">
          <w:rPr>
            <w:noProof/>
            <w:webHidden/>
          </w:rPr>
        </w:r>
        <w:r w:rsidR="00FC448D">
          <w:rPr>
            <w:noProof/>
            <w:webHidden/>
          </w:rPr>
          <w:fldChar w:fldCharType="separate"/>
        </w:r>
        <w:r w:rsidR="0065360F">
          <w:rPr>
            <w:noProof/>
            <w:webHidden/>
          </w:rPr>
          <w:t>7</w:t>
        </w:r>
        <w:r w:rsidR="00FC448D">
          <w:rPr>
            <w:noProof/>
            <w:webHidden/>
          </w:rPr>
          <w:fldChar w:fldCharType="end"/>
        </w:r>
      </w:hyperlink>
    </w:p>
    <w:p w14:paraId="0FE774F8"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27" w:history="1">
        <w:r w:rsidR="00FC448D" w:rsidRPr="00977CEC">
          <w:rPr>
            <w:rStyle w:val="Hipervnculo"/>
            <w:noProof/>
            <w:lang w:eastAsia="es-ES"/>
          </w:rPr>
          <w:t>3</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Buy-back procedure</w:t>
        </w:r>
        <w:r w:rsidR="00FC448D">
          <w:rPr>
            <w:noProof/>
            <w:webHidden/>
          </w:rPr>
          <w:tab/>
        </w:r>
        <w:r w:rsidR="00FC448D">
          <w:rPr>
            <w:noProof/>
            <w:webHidden/>
          </w:rPr>
          <w:fldChar w:fldCharType="begin"/>
        </w:r>
        <w:r w:rsidR="00FC448D">
          <w:rPr>
            <w:noProof/>
            <w:webHidden/>
          </w:rPr>
          <w:instrText xml:space="preserve"> PAGEREF _Toc423419727 \h </w:instrText>
        </w:r>
        <w:r w:rsidR="00FC448D">
          <w:rPr>
            <w:noProof/>
            <w:webHidden/>
          </w:rPr>
        </w:r>
        <w:r w:rsidR="00FC448D">
          <w:rPr>
            <w:noProof/>
            <w:webHidden/>
          </w:rPr>
          <w:fldChar w:fldCharType="separate"/>
        </w:r>
        <w:r w:rsidR="0065360F">
          <w:rPr>
            <w:noProof/>
            <w:webHidden/>
          </w:rPr>
          <w:t>10</w:t>
        </w:r>
        <w:r w:rsidR="00FC448D">
          <w:rPr>
            <w:noProof/>
            <w:webHidden/>
          </w:rPr>
          <w:fldChar w:fldCharType="end"/>
        </w:r>
      </w:hyperlink>
    </w:p>
    <w:p w14:paraId="3D7F0AA3"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8" w:history="1">
        <w:r w:rsidR="00FC448D" w:rsidRPr="00977CEC">
          <w:rPr>
            <w:rStyle w:val="Hipervnculo"/>
            <w:rFonts w:cs="Arial"/>
            <w:noProof/>
          </w:rPr>
          <w:t>3.1</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Main principles</w:t>
        </w:r>
        <w:r w:rsidR="00FC448D">
          <w:rPr>
            <w:noProof/>
            <w:webHidden/>
          </w:rPr>
          <w:tab/>
        </w:r>
        <w:r w:rsidR="00FC448D">
          <w:rPr>
            <w:noProof/>
            <w:webHidden/>
          </w:rPr>
          <w:fldChar w:fldCharType="begin"/>
        </w:r>
        <w:r w:rsidR="00FC448D">
          <w:rPr>
            <w:noProof/>
            <w:webHidden/>
          </w:rPr>
          <w:instrText xml:space="preserve"> PAGEREF _Toc423419728 \h </w:instrText>
        </w:r>
        <w:r w:rsidR="00FC448D">
          <w:rPr>
            <w:noProof/>
            <w:webHidden/>
          </w:rPr>
        </w:r>
        <w:r w:rsidR="00FC448D">
          <w:rPr>
            <w:noProof/>
            <w:webHidden/>
          </w:rPr>
          <w:fldChar w:fldCharType="separate"/>
        </w:r>
        <w:r w:rsidR="0065360F">
          <w:rPr>
            <w:noProof/>
            <w:webHidden/>
          </w:rPr>
          <w:t>10</w:t>
        </w:r>
        <w:r w:rsidR="00FC448D">
          <w:rPr>
            <w:noProof/>
            <w:webHidden/>
          </w:rPr>
          <w:fldChar w:fldCharType="end"/>
        </w:r>
      </w:hyperlink>
    </w:p>
    <w:p w14:paraId="4DC7E010"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29" w:history="1">
        <w:r w:rsidR="00FC448D" w:rsidRPr="00977CEC">
          <w:rPr>
            <w:rStyle w:val="Hipervnculo"/>
            <w:rFonts w:cs="Arial"/>
            <w:noProof/>
          </w:rPr>
          <w:t>3.2</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Trigger of the buy-back procedure</w:t>
        </w:r>
        <w:r w:rsidR="00FC448D">
          <w:rPr>
            <w:noProof/>
            <w:webHidden/>
          </w:rPr>
          <w:tab/>
        </w:r>
        <w:r w:rsidR="00FC448D">
          <w:rPr>
            <w:noProof/>
            <w:webHidden/>
          </w:rPr>
          <w:fldChar w:fldCharType="begin"/>
        </w:r>
        <w:r w:rsidR="00FC448D">
          <w:rPr>
            <w:noProof/>
            <w:webHidden/>
          </w:rPr>
          <w:instrText xml:space="preserve"> PAGEREF _Toc423419729 \h </w:instrText>
        </w:r>
        <w:r w:rsidR="00FC448D">
          <w:rPr>
            <w:noProof/>
            <w:webHidden/>
          </w:rPr>
        </w:r>
        <w:r w:rsidR="00FC448D">
          <w:rPr>
            <w:noProof/>
            <w:webHidden/>
          </w:rPr>
          <w:fldChar w:fldCharType="separate"/>
        </w:r>
        <w:r w:rsidR="0065360F">
          <w:rPr>
            <w:noProof/>
            <w:webHidden/>
          </w:rPr>
          <w:t>10</w:t>
        </w:r>
        <w:r w:rsidR="00FC448D">
          <w:rPr>
            <w:noProof/>
            <w:webHidden/>
          </w:rPr>
          <w:fldChar w:fldCharType="end"/>
        </w:r>
      </w:hyperlink>
    </w:p>
    <w:p w14:paraId="07EB9F48"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0" w:history="1">
        <w:r w:rsidR="00FC448D" w:rsidRPr="00977CEC">
          <w:rPr>
            <w:rStyle w:val="Hipervnculo"/>
            <w:rFonts w:cs="Arial"/>
            <w:noProof/>
          </w:rPr>
          <w:t>3.3</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Technical and commercial measures</w:t>
        </w:r>
        <w:r w:rsidR="00FC448D">
          <w:rPr>
            <w:noProof/>
            <w:webHidden/>
          </w:rPr>
          <w:tab/>
        </w:r>
        <w:r w:rsidR="00FC448D">
          <w:rPr>
            <w:noProof/>
            <w:webHidden/>
          </w:rPr>
          <w:fldChar w:fldCharType="begin"/>
        </w:r>
        <w:r w:rsidR="00FC448D">
          <w:rPr>
            <w:noProof/>
            <w:webHidden/>
          </w:rPr>
          <w:instrText xml:space="preserve"> PAGEREF _Toc423419730 \h </w:instrText>
        </w:r>
        <w:r w:rsidR="00FC448D">
          <w:rPr>
            <w:noProof/>
            <w:webHidden/>
          </w:rPr>
        </w:r>
        <w:r w:rsidR="00FC448D">
          <w:rPr>
            <w:noProof/>
            <w:webHidden/>
          </w:rPr>
          <w:fldChar w:fldCharType="separate"/>
        </w:r>
        <w:r w:rsidR="0065360F">
          <w:rPr>
            <w:noProof/>
            <w:webHidden/>
          </w:rPr>
          <w:t>11</w:t>
        </w:r>
        <w:r w:rsidR="00FC448D">
          <w:rPr>
            <w:noProof/>
            <w:webHidden/>
          </w:rPr>
          <w:fldChar w:fldCharType="end"/>
        </w:r>
      </w:hyperlink>
    </w:p>
    <w:p w14:paraId="754A3BFC"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1" w:history="1">
        <w:r w:rsidR="00FC448D" w:rsidRPr="00977CEC">
          <w:rPr>
            <w:rStyle w:val="Hipervnculo"/>
            <w:rFonts w:cs="Arial"/>
            <w:noProof/>
          </w:rPr>
          <w:t>3.4</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Market-based procedure</w:t>
        </w:r>
        <w:r w:rsidR="00FC448D">
          <w:rPr>
            <w:noProof/>
            <w:webHidden/>
          </w:rPr>
          <w:tab/>
        </w:r>
        <w:r w:rsidR="00FC448D">
          <w:rPr>
            <w:noProof/>
            <w:webHidden/>
          </w:rPr>
          <w:fldChar w:fldCharType="begin"/>
        </w:r>
        <w:r w:rsidR="00FC448D">
          <w:rPr>
            <w:noProof/>
            <w:webHidden/>
          </w:rPr>
          <w:instrText xml:space="preserve"> PAGEREF _Toc423419731 \h </w:instrText>
        </w:r>
        <w:r w:rsidR="00FC448D">
          <w:rPr>
            <w:noProof/>
            <w:webHidden/>
          </w:rPr>
        </w:r>
        <w:r w:rsidR="00FC448D">
          <w:rPr>
            <w:noProof/>
            <w:webHidden/>
          </w:rPr>
          <w:fldChar w:fldCharType="separate"/>
        </w:r>
        <w:r w:rsidR="0065360F">
          <w:rPr>
            <w:noProof/>
            <w:webHidden/>
          </w:rPr>
          <w:t>12</w:t>
        </w:r>
        <w:r w:rsidR="00FC448D">
          <w:rPr>
            <w:noProof/>
            <w:webHidden/>
          </w:rPr>
          <w:fldChar w:fldCharType="end"/>
        </w:r>
      </w:hyperlink>
    </w:p>
    <w:p w14:paraId="3BEC208B"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32" w:history="1">
        <w:r w:rsidR="00FC448D" w:rsidRPr="00977CEC">
          <w:rPr>
            <w:rStyle w:val="Hipervnculo"/>
            <w:noProof/>
            <w:lang w:eastAsia="es-ES"/>
          </w:rPr>
          <w:t>4</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Pricing</w:t>
        </w:r>
        <w:r w:rsidR="00FC448D">
          <w:rPr>
            <w:noProof/>
            <w:webHidden/>
          </w:rPr>
          <w:tab/>
        </w:r>
        <w:r w:rsidR="00FC448D">
          <w:rPr>
            <w:noProof/>
            <w:webHidden/>
          </w:rPr>
          <w:fldChar w:fldCharType="begin"/>
        </w:r>
        <w:r w:rsidR="00FC448D">
          <w:rPr>
            <w:noProof/>
            <w:webHidden/>
          </w:rPr>
          <w:instrText xml:space="preserve"> PAGEREF _Toc423419732 \h </w:instrText>
        </w:r>
        <w:r w:rsidR="00FC448D">
          <w:rPr>
            <w:noProof/>
            <w:webHidden/>
          </w:rPr>
        </w:r>
        <w:r w:rsidR="00FC448D">
          <w:rPr>
            <w:noProof/>
            <w:webHidden/>
          </w:rPr>
          <w:fldChar w:fldCharType="separate"/>
        </w:r>
        <w:r w:rsidR="0065360F">
          <w:rPr>
            <w:noProof/>
            <w:webHidden/>
          </w:rPr>
          <w:t>15</w:t>
        </w:r>
        <w:r w:rsidR="00FC448D">
          <w:rPr>
            <w:noProof/>
            <w:webHidden/>
          </w:rPr>
          <w:fldChar w:fldCharType="end"/>
        </w:r>
      </w:hyperlink>
    </w:p>
    <w:p w14:paraId="6CA940D8"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3" w:history="1">
        <w:r w:rsidR="00FC448D" w:rsidRPr="00977CEC">
          <w:rPr>
            <w:rStyle w:val="Hipervnculo"/>
            <w:rFonts w:cs="Arial"/>
            <w:noProof/>
          </w:rPr>
          <w:t>4.1</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Maximum price TSOs are allowed to pay</w:t>
        </w:r>
        <w:r w:rsidR="00FC448D">
          <w:rPr>
            <w:noProof/>
            <w:webHidden/>
          </w:rPr>
          <w:tab/>
        </w:r>
        <w:r w:rsidR="00FC448D">
          <w:rPr>
            <w:noProof/>
            <w:webHidden/>
          </w:rPr>
          <w:fldChar w:fldCharType="begin"/>
        </w:r>
        <w:r w:rsidR="00FC448D">
          <w:rPr>
            <w:noProof/>
            <w:webHidden/>
          </w:rPr>
          <w:instrText xml:space="preserve"> PAGEREF _Toc423419733 \h </w:instrText>
        </w:r>
        <w:r w:rsidR="00FC448D">
          <w:rPr>
            <w:noProof/>
            <w:webHidden/>
          </w:rPr>
        </w:r>
        <w:r w:rsidR="00FC448D">
          <w:rPr>
            <w:noProof/>
            <w:webHidden/>
          </w:rPr>
          <w:fldChar w:fldCharType="separate"/>
        </w:r>
        <w:r w:rsidR="0065360F">
          <w:rPr>
            <w:noProof/>
            <w:webHidden/>
          </w:rPr>
          <w:t>15</w:t>
        </w:r>
        <w:r w:rsidR="00FC448D">
          <w:rPr>
            <w:noProof/>
            <w:webHidden/>
          </w:rPr>
          <w:fldChar w:fldCharType="end"/>
        </w:r>
      </w:hyperlink>
    </w:p>
    <w:p w14:paraId="3429A232"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4" w:history="1">
        <w:r w:rsidR="00FC448D" w:rsidRPr="00977CEC">
          <w:rPr>
            <w:rStyle w:val="Hipervnculo"/>
            <w:rFonts w:cs="Arial"/>
            <w:noProof/>
          </w:rPr>
          <w:t>4.2</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Clearing price</w:t>
        </w:r>
        <w:r w:rsidR="00FC448D">
          <w:rPr>
            <w:noProof/>
            <w:webHidden/>
          </w:rPr>
          <w:tab/>
        </w:r>
        <w:r w:rsidR="00FC448D">
          <w:rPr>
            <w:noProof/>
            <w:webHidden/>
          </w:rPr>
          <w:fldChar w:fldCharType="begin"/>
        </w:r>
        <w:r w:rsidR="00FC448D">
          <w:rPr>
            <w:noProof/>
            <w:webHidden/>
          </w:rPr>
          <w:instrText xml:space="preserve"> PAGEREF _Toc423419734 \h </w:instrText>
        </w:r>
        <w:r w:rsidR="00FC448D">
          <w:rPr>
            <w:noProof/>
            <w:webHidden/>
          </w:rPr>
        </w:r>
        <w:r w:rsidR="00FC448D">
          <w:rPr>
            <w:noProof/>
            <w:webHidden/>
          </w:rPr>
          <w:fldChar w:fldCharType="separate"/>
        </w:r>
        <w:r w:rsidR="0065360F">
          <w:rPr>
            <w:noProof/>
            <w:webHidden/>
          </w:rPr>
          <w:t>16</w:t>
        </w:r>
        <w:r w:rsidR="00FC448D">
          <w:rPr>
            <w:noProof/>
            <w:webHidden/>
          </w:rPr>
          <w:fldChar w:fldCharType="end"/>
        </w:r>
      </w:hyperlink>
    </w:p>
    <w:p w14:paraId="3C40183A"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5" w:history="1">
        <w:r w:rsidR="00FC448D" w:rsidRPr="00977CEC">
          <w:rPr>
            <w:rStyle w:val="Hipervnculo"/>
            <w:rFonts w:cs="Arial"/>
            <w:noProof/>
          </w:rPr>
          <w:t>4.3</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Invoicing of capacity</w:t>
        </w:r>
        <w:r w:rsidR="00FC448D">
          <w:rPr>
            <w:noProof/>
            <w:webHidden/>
          </w:rPr>
          <w:tab/>
        </w:r>
        <w:r w:rsidR="00FC448D">
          <w:rPr>
            <w:noProof/>
            <w:webHidden/>
          </w:rPr>
          <w:fldChar w:fldCharType="begin"/>
        </w:r>
        <w:r w:rsidR="00FC448D">
          <w:rPr>
            <w:noProof/>
            <w:webHidden/>
          </w:rPr>
          <w:instrText xml:space="preserve"> PAGEREF _Toc423419735 \h </w:instrText>
        </w:r>
        <w:r w:rsidR="00FC448D">
          <w:rPr>
            <w:noProof/>
            <w:webHidden/>
          </w:rPr>
        </w:r>
        <w:r w:rsidR="00FC448D">
          <w:rPr>
            <w:noProof/>
            <w:webHidden/>
          </w:rPr>
          <w:fldChar w:fldCharType="separate"/>
        </w:r>
        <w:r w:rsidR="0065360F">
          <w:rPr>
            <w:noProof/>
            <w:webHidden/>
          </w:rPr>
          <w:t>16</w:t>
        </w:r>
        <w:r w:rsidR="00FC448D">
          <w:rPr>
            <w:noProof/>
            <w:webHidden/>
          </w:rPr>
          <w:fldChar w:fldCharType="end"/>
        </w:r>
      </w:hyperlink>
    </w:p>
    <w:p w14:paraId="01EE4E87" w14:textId="77777777" w:rsidR="00FC448D" w:rsidRDefault="00D839BC">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423419736" w:history="1">
        <w:r w:rsidR="00FC448D" w:rsidRPr="00977CEC">
          <w:rPr>
            <w:rStyle w:val="Hipervnculo"/>
            <w:rFonts w:cs="Arial"/>
            <w:noProof/>
          </w:rPr>
          <w:t>4.4</w:t>
        </w:r>
        <w:r w:rsidR="00FC448D">
          <w:rPr>
            <w:rFonts w:asciiTheme="minorHAnsi" w:eastAsiaTheme="minorEastAsia" w:hAnsiTheme="minorHAnsi" w:cstheme="minorBidi"/>
            <w:bCs w:val="0"/>
            <w:noProof/>
            <w:sz w:val="22"/>
            <w:szCs w:val="22"/>
            <w:lang w:val="es-ES" w:eastAsia="es-ES"/>
          </w:rPr>
          <w:tab/>
        </w:r>
        <w:r w:rsidR="00FC448D" w:rsidRPr="00977CEC">
          <w:rPr>
            <w:rStyle w:val="Hipervnculo"/>
            <w:noProof/>
          </w:rPr>
          <w:t>Split of costs</w:t>
        </w:r>
        <w:r w:rsidR="00FC448D">
          <w:rPr>
            <w:noProof/>
            <w:webHidden/>
          </w:rPr>
          <w:tab/>
        </w:r>
        <w:r w:rsidR="00FC448D">
          <w:rPr>
            <w:noProof/>
            <w:webHidden/>
          </w:rPr>
          <w:fldChar w:fldCharType="begin"/>
        </w:r>
        <w:r w:rsidR="00FC448D">
          <w:rPr>
            <w:noProof/>
            <w:webHidden/>
          </w:rPr>
          <w:instrText xml:space="preserve"> PAGEREF _Toc423419736 \h </w:instrText>
        </w:r>
        <w:r w:rsidR="00FC448D">
          <w:rPr>
            <w:noProof/>
            <w:webHidden/>
          </w:rPr>
        </w:r>
        <w:r w:rsidR="00FC448D">
          <w:rPr>
            <w:noProof/>
            <w:webHidden/>
          </w:rPr>
          <w:fldChar w:fldCharType="separate"/>
        </w:r>
        <w:r w:rsidR="0065360F">
          <w:rPr>
            <w:noProof/>
            <w:webHidden/>
          </w:rPr>
          <w:t>16</w:t>
        </w:r>
        <w:r w:rsidR="00FC448D">
          <w:rPr>
            <w:noProof/>
            <w:webHidden/>
          </w:rPr>
          <w:fldChar w:fldCharType="end"/>
        </w:r>
      </w:hyperlink>
    </w:p>
    <w:p w14:paraId="2E474246" w14:textId="77777777" w:rsidR="00FC448D" w:rsidRDefault="00D839BC">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423419737" w:history="1">
        <w:r w:rsidR="00FC448D" w:rsidRPr="00977CEC">
          <w:rPr>
            <w:rStyle w:val="Hipervnculo"/>
            <w:noProof/>
            <w:lang w:eastAsia="es-ES"/>
          </w:rPr>
          <w:t>5</w:t>
        </w:r>
        <w:r w:rsidR="00FC448D">
          <w:rPr>
            <w:rFonts w:asciiTheme="minorHAnsi" w:eastAsiaTheme="minorEastAsia" w:hAnsiTheme="minorHAnsi" w:cstheme="minorBidi"/>
            <w:b w:val="0"/>
            <w:noProof/>
            <w:sz w:val="22"/>
            <w:szCs w:val="22"/>
            <w:lang w:val="es-ES" w:eastAsia="es-ES"/>
          </w:rPr>
          <w:tab/>
        </w:r>
        <w:r w:rsidR="00FC448D" w:rsidRPr="00977CEC">
          <w:rPr>
            <w:rStyle w:val="Hipervnculo"/>
            <w:noProof/>
            <w:lang w:eastAsia="es-ES"/>
          </w:rPr>
          <w:t>Timeline</w:t>
        </w:r>
        <w:r w:rsidR="00FC448D">
          <w:rPr>
            <w:noProof/>
            <w:webHidden/>
          </w:rPr>
          <w:tab/>
        </w:r>
        <w:r w:rsidR="00FC448D">
          <w:rPr>
            <w:noProof/>
            <w:webHidden/>
          </w:rPr>
          <w:fldChar w:fldCharType="begin"/>
        </w:r>
        <w:r w:rsidR="00FC448D">
          <w:rPr>
            <w:noProof/>
            <w:webHidden/>
          </w:rPr>
          <w:instrText xml:space="preserve"> PAGEREF _Toc423419737 \h </w:instrText>
        </w:r>
        <w:r w:rsidR="00FC448D">
          <w:rPr>
            <w:noProof/>
            <w:webHidden/>
          </w:rPr>
        </w:r>
        <w:r w:rsidR="00FC448D">
          <w:rPr>
            <w:noProof/>
            <w:webHidden/>
          </w:rPr>
          <w:fldChar w:fldCharType="separate"/>
        </w:r>
        <w:r w:rsidR="0065360F">
          <w:rPr>
            <w:noProof/>
            <w:webHidden/>
          </w:rPr>
          <w:t>18</w:t>
        </w:r>
        <w:r w:rsidR="00FC448D">
          <w:rPr>
            <w:noProof/>
            <w:webHidden/>
          </w:rPr>
          <w:fldChar w:fldCharType="end"/>
        </w:r>
      </w:hyperlink>
    </w:p>
    <w:p w14:paraId="7EC637DE" w14:textId="77777777" w:rsidR="005D6F92" w:rsidRDefault="00407FB6" w:rsidP="0060006E">
      <w:pPr>
        <w:pStyle w:val="EstiloTtulo1Arial14ptSubrayado"/>
        <w:ind w:left="431" w:hanging="431"/>
        <w:rPr>
          <w:lang w:eastAsia="es-ES"/>
        </w:rPr>
      </w:pPr>
      <w:r w:rsidRPr="00C77DED">
        <w:rPr>
          <w:smallCaps/>
          <w:sz w:val="20"/>
          <w:szCs w:val="20"/>
        </w:rPr>
        <w:lastRenderedPageBreak/>
        <w:fldChar w:fldCharType="end"/>
      </w:r>
      <w:bookmarkStart w:id="0" w:name="_Toc223439017"/>
      <w:bookmarkStart w:id="1" w:name="_Toc223439308"/>
      <w:bookmarkStart w:id="2" w:name="_Toc223439424"/>
      <w:bookmarkStart w:id="3" w:name="_Toc223439520"/>
      <w:bookmarkStart w:id="4" w:name="_Ref224019136"/>
      <w:bookmarkStart w:id="5" w:name="_Ref224019144"/>
      <w:bookmarkStart w:id="6" w:name="_Ref224019147"/>
      <w:bookmarkStart w:id="7" w:name="_Toc423419721"/>
      <w:bookmarkStart w:id="8" w:name="OLE_LINK1"/>
      <w:bookmarkStart w:id="9" w:name="OLE_LINK2"/>
      <w:r w:rsidR="005D6F92">
        <w:rPr>
          <w:lang w:eastAsia="es-ES"/>
        </w:rPr>
        <w:t>Introduction</w:t>
      </w:r>
      <w:bookmarkEnd w:id="0"/>
      <w:bookmarkEnd w:id="1"/>
      <w:bookmarkEnd w:id="2"/>
      <w:bookmarkEnd w:id="3"/>
      <w:bookmarkEnd w:id="4"/>
      <w:bookmarkEnd w:id="5"/>
      <w:bookmarkEnd w:id="6"/>
      <w:bookmarkEnd w:id="7"/>
    </w:p>
    <w:bookmarkEnd w:id="8"/>
    <w:bookmarkEnd w:id="9"/>
    <w:p w14:paraId="155A3896" w14:textId="77777777" w:rsidR="0082087A" w:rsidRDefault="005130BB" w:rsidP="005130BB">
      <w:pPr>
        <w:spacing w:before="240" w:after="240"/>
        <w:jc w:val="both"/>
        <w:rPr>
          <w:rFonts w:ascii="Arial" w:hAnsi="Arial" w:cs="Arial"/>
          <w:sz w:val="22"/>
          <w:szCs w:val="22"/>
          <w:lang w:val="en-GB"/>
        </w:rPr>
      </w:pPr>
      <w:r>
        <w:rPr>
          <w:rFonts w:ascii="Arial" w:hAnsi="Arial" w:cs="Arial"/>
          <w:sz w:val="22"/>
          <w:szCs w:val="22"/>
          <w:lang w:val="en-GB"/>
        </w:rPr>
        <w:t xml:space="preserve">The </w:t>
      </w:r>
      <w:hyperlink r:id="rId9" w:history="1">
        <w:r w:rsidRPr="00665069">
          <w:rPr>
            <w:rStyle w:val="Hipervnculo"/>
            <w:rFonts w:cs="Arial"/>
            <w:sz w:val="22"/>
            <w:szCs w:val="22"/>
            <w:lang w:val="en-GB"/>
          </w:rPr>
          <w:t>Regulation (EC) 715/2009</w:t>
        </w:r>
      </w:hyperlink>
      <w:r>
        <w:rPr>
          <w:rFonts w:ascii="Arial" w:hAnsi="Arial" w:cs="Arial"/>
          <w:sz w:val="22"/>
          <w:szCs w:val="22"/>
          <w:lang w:val="en-GB"/>
        </w:rPr>
        <w:t xml:space="preserve"> of</w:t>
      </w:r>
      <w:r w:rsidRPr="005130BB">
        <w:rPr>
          <w:rFonts w:ascii="Arial" w:hAnsi="Arial" w:cs="Arial"/>
          <w:sz w:val="22"/>
          <w:szCs w:val="22"/>
          <w:lang w:val="en-GB"/>
        </w:rPr>
        <w:t xml:space="preserve"> </w:t>
      </w:r>
      <w:r>
        <w:rPr>
          <w:rFonts w:ascii="Arial" w:hAnsi="Arial" w:cs="Arial"/>
          <w:sz w:val="22"/>
          <w:szCs w:val="22"/>
          <w:lang w:val="en-GB"/>
        </w:rPr>
        <w:t>the European Parliament and the Council of 13 </w:t>
      </w:r>
      <w:r w:rsidRPr="005130BB">
        <w:rPr>
          <w:rFonts w:ascii="Arial" w:hAnsi="Arial" w:cs="Arial"/>
          <w:sz w:val="22"/>
          <w:szCs w:val="22"/>
          <w:lang w:val="en-GB"/>
        </w:rPr>
        <w:t>July 2009</w:t>
      </w:r>
      <w:r>
        <w:rPr>
          <w:rFonts w:ascii="Arial" w:hAnsi="Arial" w:cs="Arial"/>
          <w:sz w:val="22"/>
          <w:szCs w:val="22"/>
          <w:lang w:val="en-GB"/>
        </w:rPr>
        <w:t xml:space="preserve"> </w:t>
      </w:r>
      <w:r w:rsidRPr="005130BB">
        <w:rPr>
          <w:rFonts w:ascii="Arial" w:hAnsi="Arial" w:cs="Arial"/>
          <w:sz w:val="22"/>
          <w:szCs w:val="22"/>
          <w:lang w:val="en-GB"/>
        </w:rPr>
        <w:t>on conditions for access to the natural gas transmission networks</w:t>
      </w:r>
      <w:r w:rsidR="006170EB">
        <w:rPr>
          <w:rFonts w:ascii="Arial" w:hAnsi="Arial" w:cs="Arial"/>
          <w:sz w:val="22"/>
          <w:szCs w:val="22"/>
          <w:lang w:val="en-GB"/>
        </w:rPr>
        <w:t xml:space="preserve"> </w:t>
      </w:r>
      <w:r>
        <w:rPr>
          <w:rFonts w:ascii="Arial" w:hAnsi="Arial" w:cs="Arial"/>
          <w:sz w:val="22"/>
          <w:szCs w:val="22"/>
          <w:lang w:val="en-GB"/>
        </w:rPr>
        <w:t>regulated the main principles to allocate the capacity and to handle the different congestion situations, among others. Thus, in the Annex 1 of the aforementioned Regulation, the general principles to manage the contr</w:t>
      </w:r>
      <w:r w:rsidR="00257359">
        <w:rPr>
          <w:rFonts w:ascii="Arial" w:hAnsi="Arial" w:cs="Arial"/>
          <w:sz w:val="22"/>
          <w:szCs w:val="22"/>
          <w:lang w:val="en-GB"/>
        </w:rPr>
        <w:t>actual congestion are assessed by developing 4 different</w:t>
      </w:r>
      <w:r w:rsidR="0031788B">
        <w:rPr>
          <w:rFonts w:ascii="Arial" w:hAnsi="Arial" w:cs="Arial"/>
          <w:sz w:val="22"/>
          <w:szCs w:val="22"/>
          <w:lang w:val="en-GB"/>
        </w:rPr>
        <w:t xml:space="preserve"> procedures to be implemented at</w:t>
      </w:r>
      <w:r w:rsidR="00257359">
        <w:rPr>
          <w:rFonts w:ascii="Arial" w:hAnsi="Arial" w:cs="Arial"/>
          <w:sz w:val="22"/>
          <w:szCs w:val="22"/>
          <w:lang w:val="en-GB"/>
        </w:rPr>
        <w:t xml:space="preserve"> the IPs shared between adjacent entry-exit systems. The four procedures are, as follows: Oversubscription and </w:t>
      </w:r>
      <w:r w:rsidR="006170EB">
        <w:rPr>
          <w:rFonts w:ascii="Arial" w:hAnsi="Arial" w:cs="Arial"/>
          <w:sz w:val="22"/>
          <w:szCs w:val="22"/>
          <w:lang w:val="en-GB"/>
        </w:rPr>
        <w:t>B</w:t>
      </w:r>
      <w:r w:rsidR="00257359">
        <w:rPr>
          <w:rFonts w:ascii="Arial" w:hAnsi="Arial" w:cs="Arial"/>
          <w:sz w:val="22"/>
          <w:szCs w:val="22"/>
          <w:lang w:val="en-GB"/>
        </w:rPr>
        <w:t>uyback</w:t>
      </w:r>
      <w:r w:rsidR="006170EB">
        <w:rPr>
          <w:rFonts w:ascii="Arial" w:hAnsi="Arial" w:cs="Arial"/>
          <w:sz w:val="22"/>
          <w:szCs w:val="22"/>
          <w:lang w:val="en-GB"/>
        </w:rPr>
        <w:t>, F</w:t>
      </w:r>
      <w:r w:rsidR="00257359">
        <w:rPr>
          <w:rFonts w:ascii="Arial" w:hAnsi="Arial" w:cs="Arial"/>
          <w:sz w:val="22"/>
          <w:szCs w:val="22"/>
          <w:lang w:val="en-GB"/>
        </w:rPr>
        <w:t>ir</w:t>
      </w:r>
      <w:r w:rsidR="006170EB">
        <w:rPr>
          <w:rFonts w:ascii="Arial" w:hAnsi="Arial" w:cs="Arial"/>
          <w:sz w:val="22"/>
          <w:szCs w:val="22"/>
          <w:lang w:val="en-GB"/>
        </w:rPr>
        <w:t>m day ahead use it or lose it, S</w:t>
      </w:r>
      <w:r w:rsidR="00257359">
        <w:rPr>
          <w:rFonts w:ascii="Arial" w:hAnsi="Arial" w:cs="Arial"/>
          <w:sz w:val="22"/>
          <w:szCs w:val="22"/>
          <w:lang w:val="en-GB"/>
        </w:rPr>
        <w:t xml:space="preserve">urrender of contracted </w:t>
      </w:r>
      <w:r w:rsidR="006170EB">
        <w:rPr>
          <w:rFonts w:ascii="Arial" w:hAnsi="Arial" w:cs="Arial"/>
          <w:sz w:val="22"/>
          <w:szCs w:val="22"/>
          <w:lang w:val="en-GB"/>
        </w:rPr>
        <w:t>capacity and L</w:t>
      </w:r>
      <w:r w:rsidR="00257359">
        <w:rPr>
          <w:rFonts w:ascii="Arial" w:hAnsi="Arial" w:cs="Arial"/>
          <w:sz w:val="22"/>
          <w:szCs w:val="22"/>
          <w:lang w:val="en-GB"/>
        </w:rPr>
        <w:t>ong term use it or lose it mechanism.</w:t>
      </w:r>
    </w:p>
    <w:p w14:paraId="41398C90" w14:textId="77777777" w:rsidR="00665069" w:rsidRDefault="0031788B" w:rsidP="009A6DAA">
      <w:pPr>
        <w:spacing w:before="240" w:after="240"/>
        <w:jc w:val="both"/>
        <w:rPr>
          <w:rFonts w:ascii="Arial" w:hAnsi="Arial" w:cs="Arial"/>
          <w:sz w:val="22"/>
          <w:szCs w:val="22"/>
          <w:lang w:val="en-GB"/>
        </w:rPr>
      </w:pPr>
      <w:r>
        <w:rPr>
          <w:rFonts w:ascii="Arial" w:hAnsi="Arial" w:cs="Arial"/>
          <w:sz w:val="22"/>
          <w:szCs w:val="22"/>
          <w:lang w:val="en-GB"/>
        </w:rPr>
        <w:t>The South Gas Regional Initiative (SGRI) coordinated by the Agency for the Cooperation of Energy R</w:t>
      </w:r>
      <w:r w:rsidRPr="0031788B">
        <w:rPr>
          <w:rFonts w:ascii="Arial" w:hAnsi="Arial" w:cs="Arial"/>
          <w:sz w:val="22"/>
          <w:szCs w:val="22"/>
          <w:lang w:val="en-GB"/>
        </w:rPr>
        <w:t>egulators</w:t>
      </w:r>
      <w:r>
        <w:rPr>
          <w:rFonts w:ascii="Arial" w:hAnsi="Arial" w:cs="Arial"/>
          <w:sz w:val="22"/>
          <w:szCs w:val="22"/>
          <w:lang w:val="en-GB"/>
        </w:rPr>
        <w:t xml:space="preserve"> (ACER)</w:t>
      </w:r>
      <w:r w:rsidR="009A6DAA">
        <w:rPr>
          <w:rFonts w:ascii="Arial" w:hAnsi="Arial" w:cs="Arial"/>
          <w:sz w:val="22"/>
          <w:szCs w:val="22"/>
          <w:lang w:val="en-GB"/>
        </w:rPr>
        <w:t xml:space="preserve"> has the main goal of developing a natural gas regional market. With</w:t>
      </w:r>
      <w:r w:rsidR="00665069">
        <w:rPr>
          <w:rFonts w:ascii="Arial" w:hAnsi="Arial" w:cs="Arial"/>
          <w:sz w:val="22"/>
          <w:szCs w:val="22"/>
          <w:lang w:val="en-GB"/>
        </w:rPr>
        <w:t>in this context Enagás</w:t>
      </w:r>
      <w:r w:rsidR="00F646F4">
        <w:rPr>
          <w:rFonts w:ascii="Arial" w:hAnsi="Arial" w:cs="Arial"/>
          <w:sz w:val="22"/>
          <w:szCs w:val="22"/>
          <w:lang w:val="en-GB"/>
        </w:rPr>
        <w:t xml:space="preserve">, </w:t>
      </w:r>
      <w:r w:rsidR="0019015C">
        <w:rPr>
          <w:rFonts w:ascii="Arial" w:hAnsi="Arial" w:cs="Arial"/>
          <w:sz w:val="22"/>
          <w:szCs w:val="22"/>
          <w:lang w:val="en-GB"/>
        </w:rPr>
        <w:t>REN</w:t>
      </w:r>
      <w:r w:rsidR="00F646F4">
        <w:rPr>
          <w:rFonts w:ascii="Arial" w:hAnsi="Arial" w:cs="Arial"/>
          <w:sz w:val="22"/>
          <w:szCs w:val="22"/>
          <w:lang w:val="en-GB"/>
        </w:rPr>
        <w:t xml:space="preserve"> and TIGF</w:t>
      </w:r>
      <w:r w:rsidR="00665069">
        <w:rPr>
          <w:rFonts w:ascii="Arial" w:hAnsi="Arial" w:cs="Arial"/>
          <w:sz w:val="22"/>
          <w:szCs w:val="22"/>
          <w:lang w:val="en-GB"/>
        </w:rPr>
        <w:t xml:space="preserve"> have been asked to establish a joint and coordinated oversubscription and buy-back scheme.</w:t>
      </w:r>
    </w:p>
    <w:p w14:paraId="57D24162" w14:textId="77777777" w:rsidR="00F646F4" w:rsidRDefault="00F646F4" w:rsidP="007832B8">
      <w:pPr>
        <w:spacing w:before="240" w:after="240"/>
        <w:jc w:val="both"/>
        <w:rPr>
          <w:rFonts w:ascii="Arial" w:hAnsi="Arial" w:cs="Arial"/>
          <w:sz w:val="22"/>
          <w:szCs w:val="22"/>
          <w:lang w:val="en-GB"/>
        </w:rPr>
      </w:pPr>
      <w:r>
        <w:rPr>
          <w:rFonts w:ascii="Arial" w:hAnsi="Arial" w:cs="Arial"/>
          <w:sz w:val="22"/>
          <w:szCs w:val="22"/>
          <w:lang w:val="en-GB"/>
        </w:rPr>
        <w:t>The French Regulator (Commission de Régulation de l'É</w:t>
      </w:r>
      <w:r w:rsidRPr="005223B6">
        <w:rPr>
          <w:rFonts w:ascii="Arial" w:hAnsi="Arial" w:cs="Arial"/>
          <w:sz w:val="22"/>
          <w:szCs w:val="22"/>
          <w:lang w:val="en-GB"/>
        </w:rPr>
        <w:t>nergie</w:t>
      </w:r>
      <w:r>
        <w:rPr>
          <w:rFonts w:ascii="Arial" w:hAnsi="Arial" w:cs="Arial"/>
          <w:sz w:val="22"/>
          <w:szCs w:val="22"/>
          <w:lang w:val="en-GB"/>
        </w:rPr>
        <w:t xml:space="preserve"> - CRE) has already issued a </w:t>
      </w:r>
      <w:hyperlink r:id="rId10" w:history="1">
        <w:r w:rsidRPr="00665069">
          <w:rPr>
            <w:rStyle w:val="Hipervnculo"/>
            <w:rFonts w:cs="Arial"/>
            <w:sz w:val="22"/>
            <w:szCs w:val="22"/>
            <w:lang w:val="en-GB"/>
          </w:rPr>
          <w:t>Deliberation</w:t>
        </w:r>
      </w:hyperlink>
      <w:r>
        <w:rPr>
          <w:rFonts w:ascii="Arial" w:hAnsi="Arial" w:cs="Arial"/>
          <w:sz w:val="22"/>
          <w:szCs w:val="22"/>
          <w:lang w:val="en-GB"/>
        </w:rPr>
        <w:t xml:space="preserve"> with the high level principles of the OSBB</w:t>
      </w:r>
    </w:p>
    <w:p w14:paraId="38233AF9" w14:textId="77777777" w:rsidR="007832B8" w:rsidRPr="000119B2" w:rsidRDefault="0019015C" w:rsidP="007832B8">
      <w:pPr>
        <w:spacing w:before="240" w:after="240"/>
        <w:jc w:val="both"/>
        <w:rPr>
          <w:rFonts w:ascii="Arial" w:hAnsi="Arial" w:cs="Arial"/>
          <w:sz w:val="22"/>
          <w:szCs w:val="22"/>
          <w:lang w:val="en-GB"/>
        </w:rPr>
      </w:pPr>
      <w:r w:rsidRPr="007832B8">
        <w:rPr>
          <w:rFonts w:ascii="Arial" w:hAnsi="Arial" w:cs="Arial"/>
          <w:sz w:val="22"/>
          <w:szCs w:val="22"/>
          <w:lang w:val="en-GB"/>
        </w:rPr>
        <w:t xml:space="preserve">The Portuguese Regulator (Entidade </w:t>
      </w:r>
      <w:r w:rsidR="007832B8">
        <w:rPr>
          <w:rFonts w:ascii="Arial" w:hAnsi="Arial" w:cs="Arial"/>
          <w:sz w:val="22"/>
          <w:szCs w:val="22"/>
          <w:lang w:val="en-GB"/>
        </w:rPr>
        <w:t>R</w:t>
      </w:r>
      <w:r w:rsidRPr="007832B8">
        <w:rPr>
          <w:rFonts w:ascii="Arial" w:hAnsi="Arial" w:cs="Arial"/>
          <w:sz w:val="22"/>
          <w:szCs w:val="22"/>
          <w:lang w:val="en-GB"/>
        </w:rPr>
        <w:t xml:space="preserve">eguladora dos </w:t>
      </w:r>
      <w:r w:rsidR="007832B8">
        <w:rPr>
          <w:rFonts w:ascii="Arial" w:hAnsi="Arial" w:cs="Arial"/>
          <w:sz w:val="22"/>
          <w:szCs w:val="22"/>
          <w:lang w:val="en-GB"/>
        </w:rPr>
        <w:t>S</w:t>
      </w:r>
      <w:r w:rsidRPr="007832B8">
        <w:rPr>
          <w:rFonts w:ascii="Arial" w:hAnsi="Arial" w:cs="Arial"/>
          <w:sz w:val="22"/>
          <w:szCs w:val="22"/>
          <w:lang w:val="en-GB"/>
        </w:rPr>
        <w:t xml:space="preserve">erviços </w:t>
      </w:r>
      <w:r w:rsidR="007832B8">
        <w:rPr>
          <w:rFonts w:ascii="Arial" w:hAnsi="Arial" w:cs="Arial"/>
          <w:sz w:val="22"/>
          <w:szCs w:val="22"/>
          <w:lang w:val="en-GB"/>
        </w:rPr>
        <w:t>E</w:t>
      </w:r>
      <w:r w:rsidRPr="007832B8">
        <w:rPr>
          <w:rFonts w:ascii="Arial" w:hAnsi="Arial" w:cs="Arial"/>
          <w:sz w:val="22"/>
          <w:szCs w:val="22"/>
          <w:lang w:val="en-GB"/>
        </w:rPr>
        <w:t>nergéticos</w:t>
      </w:r>
      <w:r w:rsidR="007832B8">
        <w:rPr>
          <w:rFonts w:ascii="Arial" w:hAnsi="Arial" w:cs="Arial"/>
          <w:sz w:val="22"/>
          <w:szCs w:val="22"/>
          <w:lang w:val="en-GB"/>
        </w:rPr>
        <w:t xml:space="preserve"> </w:t>
      </w:r>
      <w:r w:rsidRPr="007832B8">
        <w:rPr>
          <w:rFonts w:ascii="Arial" w:hAnsi="Arial" w:cs="Arial"/>
          <w:sz w:val="22"/>
          <w:szCs w:val="22"/>
          <w:lang w:val="en-GB"/>
        </w:rPr>
        <w:t xml:space="preserve">- ERSE) </w:t>
      </w:r>
      <w:r w:rsidR="007832B8" w:rsidRPr="000119B2">
        <w:rPr>
          <w:rFonts w:ascii="Arial" w:hAnsi="Arial" w:cs="Arial"/>
          <w:sz w:val="22"/>
          <w:szCs w:val="22"/>
          <w:lang w:val="en-GB"/>
        </w:rPr>
        <w:t xml:space="preserve">has published the basic principles of the OSBB mechanism in the </w:t>
      </w:r>
      <w:r w:rsidR="007832B8">
        <w:rPr>
          <w:rFonts w:ascii="Arial" w:hAnsi="Arial" w:cs="Arial"/>
          <w:sz w:val="22"/>
          <w:szCs w:val="22"/>
          <w:lang w:val="en-GB"/>
        </w:rPr>
        <w:t>“</w:t>
      </w:r>
      <w:r w:rsidR="007832B8" w:rsidRPr="000119B2">
        <w:rPr>
          <w:rFonts w:ascii="Arial" w:hAnsi="Arial" w:cs="Arial"/>
          <w:i/>
          <w:sz w:val="22"/>
          <w:szCs w:val="22"/>
          <w:lang w:val="en-GB"/>
        </w:rPr>
        <w:t>Manual de Procedimentos do Acesso às Infraestruturas</w:t>
      </w:r>
      <w:r w:rsidR="007832B8" w:rsidRPr="000119B2">
        <w:rPr>
          <w:rFonts w:ascii="Arial" w:hAnsi="Arial" w:cs="Arial"/>
          <w:sz w:val="22"/>
          <w:szCs w:val="22"/>
          <w:lang w:val="en-GB"/>
        </w:rPr>
        <w:t>”, which is part</w:t>
      </w:r>
      <w:r w:rsidR="007832B8">
        <w:rPr>
          <w:rFonts w:ascii="Arial" w:hAnsi="Arial" w:cs="Arial"/>
          <w:sz w:val="22"/>
          <w:szCs w:val="22"/>
          <w:lang w:val="en-GB"/>
        </w:rPr>
        <w:t xml:space="preserve"> </w:t>
      </w:r>
      <w:r w:rsidR="007832B8" w:rsidRPr="000119B2">
        <w:rPr>
          <w:rFonts w:ascii="Arial" w:hAnsi="Arial" w:cs="Arial"/>
          <w:sz w:val="22"/>
          <w:szCs w:val="22"/>
          <w:lang w:val="en-GB"/>
        </w:rPr>
        <w:t xml:space="preserve">of the Portuguese Regulatory Framework for </w:t>
      </w:r>
      <w:r w:rsidR="007832B8">
        <w:rPr>
          <w:rFonts w:ascii="Arial" w:hAnsi="Arial" w:cs="Arial"/>
          <w:sz w:val="22"/>
          <w:szCs w:val="22"/>
          <w:lang w:val="en-GB"/>
        </w:rPr>
        <w:t xml:space="preserve">the </w:t>
      </w:r>
      <w:r w:rsidR="007832B8" w:rsidRPr="000119B2">
        <w:rPr>
          <w:rFonts w:ascii="Arial" w:hAnsi="Arial" w:cs="Arial"/>
          <w:sz w:val="22"/>
          <w:szCs w:val="22"/>
          <w:lang w:val="en-GB"/>
        </w:rPr>
        <w:t>Gas</w:t>
      </w:r>
      <w:r w:rsidR="007832B8">
        <w:rPr>
          <w:rFonts w:ascii="Arial" w:hAnsi="Arial" w:cs="Arial"/>
          <w:sz w:val="22"/>
          <w:szCs w:val="22"/>
          <w:lang w:val="en-GB"/>
        </w:rPr>
        <w:t xml:space="preserve"> Sector.</w:t>
      </w:r>
    </w:p>
    <w:p w14:paraId="3A9A2B4A" w14:textId="77777777" w:rsidR="00665069" w:rsidRDefault="00665069" w:rsidP="00665069">
      <w:pPr>
        <w:spacing w:before="240" w:after="240"/>
        <w:jc w:val="both"/>
        <w:rPr>
          <w:rFonts w:ascii="Arial" w:hAnsi="Arial" w:cs="Arial"/>
          <w:sz w:val="22"/>
          <w:szCs w:val="22"/>
          <w:lang w:val="en-GB"/>
        </w:rPr>
      </w:pPr>
      <w:r>
        <w:rPr>
          <w:rFonts w:ascii="Arial" w:hAnsi="Arial" w:cs="Arial"/>
          <w:sz w:val="22"/>
          <w:szCs w:val="22"/>
          <w:lang w:val="en-GB"/>
        </w:rPr>
        <w:t xml:space="preserve">The Spanish Regulator (Comisión Nacional de </w:t>
      </w:r>
      <w:r w:rsidR="006E67B4">
        <w:rPr>
          <w:rFonts w:ascii="Arial" w:hAnsi="Arial" w:cs="Arial"/>
          <w:sz w:val="22"/>
          <w:szCs w:val="22"/>
          <w:lang w:val="en-GB"/>
        </w:rPr>
        <w:t xml:space="preserve">los </w:t>
      </w:r>
      <w:r>
        <w:rPr>
          <w:rFonts w:ascii="Arial" w:hAnsi="Arial" w:cs="Arial"/>
          <w:sz w:val="22"/>
          <w:szCs w:val="22"/>
          <w:lang w:val="en-GB"/>
        </w:rPr>
        <w:t xml:space="preserve">Mercados </w:t>
      </w:r>
      <w:r w:rsidR="006E67B4">
        <w:rPr>
          <w:rFonts w:ascii="Arial" w:hAnsi="Arial" w:cs="Arial"/>
          <w:sz w:val="22"/>
          <w:szCs w:val="22"/>
          <w:lang w:val="en-GB"/>
        </w:rPr>
        <w:t>y L</w:t>
      </w:r>
      <w:r>
        <w:rPr>
          <w:rFonts w:ascii="Arial" w:hAnsi="Arial" w:cs="Arial"/>
          <w:sz w:val="22"/>
          <w:szCs w:val="22"/>
          <w:lang w:val="en-GB"/>
        </w:rPr>
        <w:t xml:space="preserve">a Competencia – CNMC) has also published a </w:t>
      </w:r>
      <w:hyperlink r:id="rId11" w:history="1">
        <w:r w:rsidRPr="00665069">
          <w:rPr>
            <w:rStyle w:val="Hipervnculo"/>
            <w:rFonts w:cs="Arial"/>
            <w:sz w:val="22"/>
            <w:szCs w:val="22"/>
            <w:lang w:val="en-GB"/>
          </w:rPr>
          <w:t>Circular</w:t>
        </w:r>
      </w:hyperlink>
      <w:r>
        <w:rPr>
          <w:rFonts w:ascii="Arial" w:hAnsi="Arial" w:cs="Arial"/>
          <w:sz w:val="22"/>
          <w:szCs w:val="22"/>
          <w:lang w:val="en-GB"/>
        </w:rPr>
        <w:t xml:space="preserve"> with the basics of the OSBB. </w:t>
      </w:r>
    </w:p>
    <w:p w14:paraId="477B7EA3" w14:textId="77777777" w:rsidR="006170EB" w:rsidRDefault="00173491" w:rsidP="00173491">
      <w:pPr>
        <w:spacing w:before="240" w:after="240"/>
        <w:jc w:val="both"/>
        <w:rPr>
          <w:rFonts w:ascii="Arial" w:hAnsi="Arial" w:cs="Arial"/>
          <w:sz w:val="22"/>
          <w:szCs w:val="22"/>
          <w:lang w:val="en-GB"/>
        </w:rPr>
      </w:pPr>
      <w:r>
        <w:rPr>
          <w:rFonts w:ascii="Arial" w:hAnsi="Arial" w:cs="Arial"/>
          <w:sz w:val="22"/>
          <w:szCs w:val="22"/>
          <w:lang w:val="en-GB"/>
        </w:rPr>
        <w:t>W</w:t>
      </w:r>
      <w:r w:rsidRPr="00173491">
        <w:rPr>
          <w:rFonts w:ascii="Arial" w:hAnsi="Arial" w:cs="Arial"/>
          <w:sz w:val="22"/>
          <w:szCs w:val="22"/>
          <w:lang w:val="en-GB"/>
        </w:rPr>
        <w:t>ithout prejudice to the rules</w:t>
      </w:r>
      <w:r>
        <w:rPr>
          <w:rFonts w:ascii="Arial" w:hAnsi="Arial" w:cs="Arial"/>
          <w:sz w:val="22"/>
          <w:szCs w:val="22"/>
          <w:lang w:val="en-GB"/>
        </w:rPr>
        <w:t xml:space="preserve"> which have been already established on</w:t>
      </w:r>
      <w:r w:rsidRPr="00173491">
        <w:rPr>
          <w:rFonts w:ascii="Arial" w:hAnsi="Arial" w:cs="Arial"/>
          <w:sz w:val="22"/>
          <w:szCs w:val="22"/>
          <w:lang w:val="en-GB"/>
        </w:rPr>
        <w:t xml:space="preserve"> the Regulation (EC) 715/2009 and </w:t>
      </w:r>
      <w:r>
        <w:rPr>
          <w:rFonts w:ascii="Arial" w:hAnsi="Arial" w:cs="Arial"/>
          <w:sz w:val="22"/>
          <w:szCs w:val="22"/>
          <w:lang w:val="en-GB"/>
        </w:rPr>
        <w:t xml:space="preserve">on the </w:t>
      </w:r>
      <w:r w:rsidRPr="00173491">
        <w:rPr>
          <w:rFonts w:ascii="Arial" w:hAnsi="Arial" w:cs="Arial"/>
          <w:sz w:val="22"/>
          <w:szCs w:val="22"/>
          <w:lang w:val="en-GB"/>
        </w:rPr>
        <w:t>Notice</w:t>
      </w:r>
      <w:r>
        <w:rPr>
          <w:rFonts w:ascii="Arial" w:hAnsi="Arial" w:cs="Arial"/>
          <w:sz w:val="22"/>
          <w:szCs w:val="22"/>
          <w:lang w:val="en-GB"/>
        </w:rPr>
        <w:t>s</w:t>
      </w:r>
      <w:r w:rsidRPr="00173491">
        <w:rPr>
          <w:rFonts w:ascii="Arial" w:hAnsi="Arial" w:cs="Arial"/>
          <w:sz w:val="22"/>
          <w:szCs w:val="22"/>
          <w:lang w:val="en-GB"/>
        </w:rPr>
        <w:t xml:space="preserve"> of the </w:t>
      </w:r>
      <w:r w:rsidR="00F646F4">
        <w:rPr>
          <w:rFonts w:ascii="Arial" w:hAnsi="Arial" w:cs="Arial"/>
          <w:sz w:val="22"/>
          <w:szCs w:val="22"/>
          <w:lang w:val="en-GB"/>
        </w:rPr>
        <w:t xml:space="preserve">CRE, </w:t>
      </w:r>
      <w:r w:rsidR="0019015C">
        <w:rPr>
          <w:rFonts w:ascii="Arial" w:hAnsi="Arial" w:cs="Arial"/>
          <w:sz w:val="22"/>
          <w:szCs w:val="22"/>
          <w:lang w:val="en-GB"/>
        </w:rPr>
        <w:t>ERSE</w:t>
      </w:r>
      <w:r w:rsidRPr="00173491">
        <w:rPr>
          <w:rFonts w:ascii="Arial" w:hAnsi="Arial" w:cs="Arial"/>
          <w:sz w:val="22"/>
          <w:szCs w:val="22"/>
          <w:lang w:val="en-GB"/>
        </w:rPr>
        <w:t xml:space="preserve"> and CNMC</w:t>
      </w:r>
      <w:r>
        <w:rPr>
          <w:rFonts w:ascii="Arial" w:hAnsi="Arial" w:cs="Arial"/>
          <w:sz w:val="22"/>
          <w:szCs w:val="22"/>
          <w:lang w:val="en-GB"/>
        </w:rPr>
        <w:t>, Enagas</w:t>
      </w:r>
      <w:r w:rsidR="00F646F4">
        <w:rPr>
          <w:rFonts w:ascii="Arial" w:hAnsi="Arial" w:cs="Arial"/>
          <w:sz w:val="22"/>
          <w:szCs w:val="22"/>
          <w:lang w:val="en-GB"/>
        </w:rPr>
        <w:t>,</w:t>
      </w:r>
      <w:r>
        <w:rPr>
          <w:rFonts w:ascii="Arial" w:hAnsi="Arial" w:cs="Arial"/>
          <w:sz w:val="22"/>
          <w:szCs w:val="22"/>
          <w:lang w:val="en-GB"/>
        </w:rPr>
        <w:t xml:space="preserve"> </w:t>
      </w:r>
      <w:r w:rsidR="0019015C">
        <w:rPr>
          <w:rFonts w:ascii="Arial" w:hAnsi="Arial" w:cs="Arial"/>
          <w:sz w:val="22"/>
          <w:szCs w:val="22"/>
          <w:lang w:val="en-GB"/>
        </w:rPr>
        <w:t>REN</w:t>
      </w:r>
      <w:r w:rsidR="00F646F4">
        <w:rPr>
          <w:rFonts w:ascii="Arial" w:hAnsi="Arial" w:cs="Arial"/>
          <w:sz w:val="22"/>
          <w:szCs w:val="22"/>
          <w:lang w:val="en-GB"/>
        </w:rPr>
        <w:t xml:space="preserve"> and TIGF</w:t>
      </w:r>
      <w:r>
        <w:rPr>
          <w:rFonts w:ascii="Arial" w:hAnsi="Arial" w:cs="Arial"/>
          <w:sz w:val="22"/>
          <w:szCs w:val="22"/>
          <w:lang w:val="en-GB"/>
        </w:rPr>
        <w:t xml:space="preserve"> </w:t>
      </w:r>
      <w:r w:rsidR="006C40A5">
        <w:rPr>
          <w:rFonts w:ascii="Arial" w:hAnsi="Arial" w:cs="Arial"/>
          <w:sz w:val="22"/>
          <w:szCs w:val="22"/>
          <w:lang w:val="en-GB"/>
        </w:rPr>
        <w:t>have jointly assessed the Oversubscription and Buy Back procedure</w:t>
      </w:r>
      <w:r>
        <w:rPr>
          <w:rFonts w:ascii="Arial" w:hAnsi="Arial" w:cs="Arial"/>
          <w:sz w:val="22"/>
          <w:szCs w:val="22"/>
          <w:lang w:val="en-GB"/>
        </w:rPr>
        <w:t xml:space="preserve"> by the creation of this document</w:t>
      </w:r>
      <w:r w:rsidR="006C40A5">
        <w:rPr>
          <w:rFonts w:ascii="Arial" w:hAnsi="Arial" w:cs="Arial"/>
          <w:sz w:val="22"/>
          <w:szCs w:val="22"/>
          <w:lang w:val="en-GB"/>
        </w:rPr>
        <w:t xml:space="preserve">. </w:t>
      </w:r>
      <w:r>
        <w:rPr>
          <w:rFonts w:ascii="Arial" w:hAnsi="Arial" w:cs="Arial"/>
          <w:sz w:val="22"/>
          <w:szCs w:val="22"/>
          <w:lang w:val="en-GB"/>
        </w:rPr>
        <w:t xml:space="preserve"> </w:t>
      </w:r>
    </w:p>
    <w:p w14:paraId="67B61B5D" w14:textId="77777777" w:rsidR="006C40A5" w:rsidRDefault="00173491" w:rsidP="009A6DAA">
      <w:pPr>
        <w:spacing w:before="240" w:after="240"/>
        <w:jc w:val="both"/>
        <w:rPr>
          <w:rFonts w:ascii="Arial" w:hAnsi="Arial" w:cs="Arial"/>
          <w:sz w:val="22"/>
          <w:szCs w:val="22"/>
          <w:lang w:val="en-GB"/>
        </w:rPr>
      </w:pPr>
      <w:r>
        <w:rPr>
          <w:rFonts w:ascii="Arial" w:hAnsi="Arial" w:cs="Arial"/>
          <w:sz w:val="22"/>
          <w:szCs w:val="22"/>
          <w:lang w:val="en-GB"/>
        </w:rPr>
        <w:t xml:space="preserve">The aim of the document is to describe in detail the </w:t>
      </w:r>
      <w:r w:rsidR="00665069">
        <w:rPr>
          <w:rFonts w:ascii="Arial" w:hAnsi="Arial" w:cs="Arial"/>
          <w:sz w:val="22"/>
          <w:szCs w:val="22"/>
          <w:lang w:val="en-GB"/>
        </w:rPr>
        <w:t>OSBB</w:t>
      </w:r>
      <w:r>
        <w:rPr>
          <w:rFonts w:ascii="Arial" w:hAnsi="Arial" w:cs="Arial"/>
          <w:sz w:val="22"/>
          <w:szCs w:val="22"/>
          <w:lang w:val="en-GB"/>
        </w:rPr>
        <w:t xml:space="preserve"> at cross-border capacity </w:t>
      </w:r>
      <w:r w:rsidRPr="00173491">
        <w:rPr>
          <w:rFonts w:ascii="Arial" w:hAnsi="Arial" w:cs="Arial"/>
          <w:sz w:val="22"/>
          <w:szCs w:val="22"/>
          <w:lang w:val="en-GB"/>
        </w:rPr>
        <w:t xml:space="preserve">between </w:t>
      </w:r>
      <w:r w:rsidR="0019015C">
        <w:rPr>
          <w:rFonts w:ascii="Arial" w:hAnsi="Arial" w:cs="Arial"/>
          <w:sz w:val="22"/>
          <w:szCs w:val="22"/>
          <w:lang w:val="en-GB"/>
        </w:rPr>
        <w:t>Portugal</w:t>
      </w:r>
      <w:r w:rsidRPr="00173491">
        <w:rPr>
          <w:rFonts w:ascii="Arial" w:hAnsi="Arial" w:cs="Arial"/>
          <w:sz w:val="22"/>
          <w:szCs w:val="22"/>
          <w:lang w:val="en-GB"/>
        </w:rPr>
        <w:t xml:space="preserve"> and Spain</w:t>
      </w:r>
      <w:r w:rsidR="00665069">
        <w:rPr>
          <w:rFonts w:ascii="Arial" w:hAnsi="Arial" w:cs="Arial"/>
          <w:sz w:val="22"/>
          <w:szCs w:val="22"/>
          <w:lang w:val="en-GB"/>
        </w:rPr>
        <w:t xml:space="preserve"> (VIP </w:t>
      </w:r>
      <w:r w:rsidR="0019015C">
        <w:rPr>
          <w:rFonts w:ascii="Arial" w:hAnsi="Arial" w:cs="Arial"/>
          <w:sz w:val="22"/>
          <w:szCs w:val="22"/>
          <w:lang w:val="en-GB"/>
        </w:rPr>
        <w:t>Ibérico</w:t>
      </w:r>
      <w:r w:rsidR="00665069">
        <w:rPr>
          <w:rFonts w:ascii="Arial" w:hAnsi="Arial" w:cs="Arial"/>
          <w:sz w:val="22"/>
          <w:szCs w:val="22"/>
          <w:lang w:val="en-GB"/>
        </w:rPr>
        <w:t>)</w:t>
      </w:r>
      <w:r w:rsidR="00F646F4">
        <w:rPr>
          <w:rFonts w:ascii="Arial" w:hAnsi="Arial" w:cs="Arial"/>
          <w:sz w:val="22"/>
          <w:szCs w:val="22"/>
          <w:lang w:val="en-GB"/>
        </w:rPr>
        <w:t xml:space="preserve"> and France and Spain (VIP Pirineos)</w:t>
      </w:r>
      <w:r w:rsidRPr="00173491">
        <w:rPr>
          <w:rFonts w:ascii="Arial" w:hAnsi="Arial" w:cs="Arial"/>
          <w:sz w:val="22"/>
          <w:szCs w:val="22"/>
          <w:lang w:val="en-GB"/>
        </w:rPr>
        <w:t xml:space="preserve">, to ensure a coordinated and consistent implementation of </w:t>
      </w:r>
      <w:r>
        <w:rPr>
          <w:rFonts w:ascii="Arial" w:hAnsi="Arial" w:cs="Arial"/>
          <w:sz w:val="22"/>
          <w:szCs w:val="22"/>
          <w:lang w:val="en-GB"/>
        </w:rPr>
        <w:t>the referred procedure.</w:t>
      </w:r>
      <w:r w:rsidR="006170EB">
        <w:rPr>
          <w:rFonts w:ascii="Arial" w:hAnsi="Arial" w:cs="Arial"/>
          <w:sz w:val="22"/>
          <w:szCs w:val="22"/>
          <w:lang w:val="en-GB"/>
        </w:rPr>
        <w:t xml:space="preserve"> </w:t>
      </w:r>
      <w:r w:rsidR="005C60E5">
        <w:rPr>
          <w:rFonts w:ascii="Arial" w:hAnsi="Arial" w:cs="Arial"/>
          <w:sz w:val="22"/>
          <w:szCs w:val="22"/>
          <w:lang w:val="en-GB"/>
        </w:rPr>
        <w:t>T</w:t>
      </w:r>
      <w:r w:rsidR="006C40A5">
        <w:rPr>
          <w:rFonts w:ascii="Arial" w:hAnsi="Arial" w:cs="Arial"/>
          <w:sz w:val="22"/>
          <w:szCs w:val="22"/>
          <w:lang w:val="en-GB"/>
        </w:rPr>
        <w:t xml:space="preserve">he practical application of </w:t>
      </w:r>
      <w:r>
        <w:rPr>
          <w:rFonts w:ascii="Arial" w:hAnsi="Arial" w:cs="Arial"/>
          <w:sz w:val="22"/>
          <w:szCs w:val="22"/>
          <w:lang w:val="en-GB"/>
        </w:rPr>
        <w:t>the OSBB</w:t>
      </w:r>
      <w:r w:rsidR="006C40A5">
        <w:rPr>
          <w:rFonts w:ascii="Arial" w:hAnsi="Arial" w:cs="Arial"/>
          <w:sz w:val="22"/>
          <w:szCs w:val="22"/>
          <w:lang w:val="en-GB"/>
        </w:rPr>
        <w:t xml:space="preserve"> procedure will follow the rules </w:t>
      </w:r>
      <w:r>
        <w:rPr>
          <w:rFonts w:ascii="Arial" w:hAnsi="Arial" w:cs="Arial"/>
          <w:sz w:val="22"/>
          <w:szCs w:val="22"/>
          <w:lang w:val="en-GB"/>
        </w:rPr>
        <w:t xml:space="preserve">here stablished. </w:t>
      </w:r>
    </w:p>
    <w:p w14:paraId="5044AB0E" w14:textId="77777777" w:rsidR="005223B6" w:rsidRDefault="005223B6" w:rsidP="009A6DAA">
      <w:pPr>
        <w:spacing w:before="240" w:after="240"/>
        <w:jc w:val="both"/>
        <w:rPr>
          <w:rFonts w:ascii="Arial" w:hAnsi="Arial" w:cs="Arial"/>
          <w:sz w:val="22"/>
          <w:szCs w:val="22"/>
          <w:lang w:val="en-GB"/>
        </w:rPr>
      </w:pPr>
    </w:p>
    <w:p w14:paraId="756323FB" w14:textId="77777777" w:rsidR="005223B6" w:rsidRDefault="005223B6" w:rsidP="009A6DAA">
      <w:pPr>
        <w:spacing w:before="240" w:after="240"/>
        <w:jc w:val="both"/>
        <w:rPr>
          <w:rFonts w:ascii="Arial" w:hAnsi="Arial" w:cs="Arial"/>
          <w:sz w:val="22"/>
          <w:szCs w:val="22"/>
          <w:lang w:val="en-GB"/>
        </w:rPr>
      </w:pPr>
    </w:p>
    <w:p w14:paraId="77684399" w14:textId="77777777" w:rsidR="00451A0F" w:rsidRDefault="005C60E5" w:rsidP="00451A0F">
      <w:pPr>
        <w:pStyle w:val="EstiloTtulo1Arial14ptSubrayado"/>
        <w:ind w:left="431" w:hanging="431"/>
        <w:rPr>
          <w:lang w:eastAsia="es-ES"/>
        </w:rPr>
      </w:pPr>
      <w:bookmarkStart w:id="10" w:name="_Toc423419722"/>
      <w:r>
        <w:rPr>
          <w:lang w:eastAsia="es-ES"/>
        </w:rPr>
        <w:lastRenderedPageBreak/>
        <w:t>A</w:t>
      </w:r>
      <w:r w:rsidR="00451A0F">
        <w:rPr>
          <w:lang w:eastAsia="es-ES"/>
        </w:rPr>
        <w:t>dditional capacity</w:t>
      </w:r>
      <w:bookmarkEnd w:id="10"/>
    </w:p>
    <w:p w14:paraId="75F648AD" w14:textId="77777777" w:rsidR="00BB5A7C" w:rsidRDefault="00BB5A7C" w:rsidP="00BB5A7C">
      <w:pPr>
        <w:pStyle w:val="EstiloTtulo2Arial13ptAntes12ptoDespus12pto"/>
        <w:rPr>
          <w:lang w:eastAsia="es-ES"/>
        </w:rPr>
      </w:pPr>
      <w:bookmarkStart w:id="11" w:name="_Toc422319180"/>
      <w:bookmarkStart w:id="12" w:name="_Toc423419723"/>
      <w:r>
        <w:rPr>
          <w:lang w:eastAsia="es-ES"/>
        </w:rPr>
        <w:t>Main Principles</w:t>
      </w:r>
      <w:bookmarkEnd w:id="11"/>
      <w:bookmarkEnd w:id="12"/>
    </w:p>
    <w:p w14:paraId="044F1E0C" w14:textId="77777777" w:rsidR="00BB5A7C" w:rsidRPr="00B10F91" w:rsidRDefault="00BB5A7C" w:rsidP="00264E67">
      <w:pPr>
        <w:spacing w:before="240" w:after="240"/>
        <w:jc w:val="both"/>
        <w:rPr>
          <w:rFonts w:ascii="Arial" w:hAnsi="Arial" w:cs="Arial"/>
          <w:sz w:val="22"/>
          <w:szCs w:val="22"/>
          <w:lang w:val="en-GB"/>
        </w:rPr>
      </w:pPr>
      <w:r w:rsidRPr="00B10F91">
        <w:rPr>
          <w:rFonts w:ascii="Arial" w:hAnsi="Arial" w:cs="Arial"/>
          <w:sz w:val="22"/>
          <w:szCs w:val="22"/>
          <w:lang w:val="en-GB"/>
        </w:rPr>
        <w:t xml:space="preserve">The methodology for the calculation of additional capacity to be offered </w:t>
      </w:r>
      <w:r>
        <w:rPr>
          <w:rFonts w:ascii="Arial" w:hAnsi="Arial" w:cs="Arial"/>
          <w:sz w:val="22"/>
          <w:szCs w:val="22"/>
          <w:lang w:val="en-GB"/>
        </w:rPr>
        <w:t xml:space="preserve">proposed in this document </w:t>
      </w:r>
      <w:r w:rsidRPr="00B10F91">
        <w:rPr>
          <w:rFonts w:ascii="Arial" w:hAnsi="Arial" w:cs="Arial"/>
          <w:sz w:val="22"/>
          <w:szCs w:val="22"/>
          <w:lang w:val="en-GB"/>
        </w:rPr>
        <w:t xml:space="preserve">will be applied </w:t>
      </w:r>
      <w:r w:rsidRPr="000A7A70">
        <w:rPr>
          <w:rFonts w:ascii="Arial" w:hAnsi="Arial" w:cs="Arial"/>
          <w:sz w:val="22"/>
          <w:szCs w:val="22"/>
          <w:lang w:val="en-GB"/>
        </w:rPr>
        <w:t>to the VIP Pirineos, between Spain and France</w:t>
      </w:r>
      <w:r>
        <w:rPr>
          <w:rFonts w:ascii="Arial" w:hAnsi="Arial" w:cs="Arial"/>
          <w:sz w:val="22"/>
          <w:szCs w:val="22"/>
          <w:lang w:val="en-GB"/>
        </w:rPr>
        <w:t xml:space="preserve"> </w:t>
      </w:r>
      <w:r w:rsidR="00F5792B">
        <w:rPr>
          <w:rFonts w:ascii="Arial" w:hAnsi="Arial" w:cs="Arial"/>
          <w:sz w:val="22"/>
          <w:szCs w:val="22"/>
          <w:lang w:val="en-GB"/>
        </w:rPr>
        <w:t xml:space="preserve">and VIP Iberico between Portugal and Spain, </w:t>
      </w:r>
      <w:r>
        <w:rPr>
          <w:rFonts w:ascii="Arial" w:hAnsi="Arial" w:cs="Arial"/>
          <w:sz w:val="22"/>
          <w:szCs w:val="22"/>
          <w:lang w:val="en-GB"/>
        </w:rPr>
        <w:t>and</w:t>
      </w:r>
      <w:r w:rsidRPr="000A7A70">
        <w:rPr>
          <w:rFonts w:ascii="Arial" w:hAnsi="Arial" w:cs="Arial"/>
          <w:sz w:val="22"/>
          <w:szCs w:val="22"/>
          <w:lang w:val="en-GB"/>
        </w:rPr>
        <w:t xml:space="preserve"> will be the same in both directions.</w:t>
      </w:r>
    </w:p>
    <w:p w14:paraId="6A4055F3" w14:textId="77777777" w:rsidR="00BB5A7C" w:rsidRPr="001A15F1" w:rsidRDefault="00BB5A7C" w:rsidP="00264E67">
      <w:pPr>
        <w:spacing w:before="240" w:after="240"/>
        <w:jc w:val="both"/>
        <w:rPr>
          <w:rFonts w:ascii="Arial" w:hAnsi="Arial" w:cs="Arial"/>
          <w:sz w:val="22"/>
          <w:szCs w:val="22"/>
          <w:lang w:val="en-AU"/>
        </w:rPr>
      </w:pPr>
      <w:r w:rsidRPr="00B10F91">
        <w:rPr>
          <w:rFonts w:ascii="Arial" w:hAnsi="Arial" w:cs="Arial"/>
          <w:sz w:val="22"/>
          <w:szCs w:val="22"/>
          <w:lang w:val="en-GB"/>
        </w:rPr>
        <w:t>The additional capacity resulting from the implementation of this methodology will be offered on a daily basis</w:t>
      </w:r>
      <w:r>
        <w:rPr>
          <w:rFonts w:ascii="Arial" w:hAnsi="Arial" w:cs="Arial"/>
          <w:sz w:val="22"/>
          <w:szCs w:val="22"/>
          <w:lang w:val="en-GB"/>
        </w:rPr>
        <w:t>, that is, the calculation resulting from applying this methodology will be developed on one day (D-1) to offer the capacity of the following day D, accordingly to the definition of the gas day.</w:t>
      </w:r>
    </w:p>
    <w:p w14:paraId="412E2FD5" w14:textId="77777777" w:rsidR="00BB5A7C" w:rsidRPr="001A15F1" w:rsidRDefault="00BB5A7C" w:rsidP="00264E67">
      <w:pPr>
        <w:spacing w:before="240" w:after="240"/>
        <w:jc w:val="both"/>
        <w:rPr>
          <w:rFonts w:ascii="Arial" w:hAnsi="Arial" w:cs="Arial"/>
          <w:sz w:val="22"/>
          <w:szCs w:val="22"/>
          <w:lang w:val="en-AU"/>
        </w:rPr>
      </w:pPr>
      <w:r w:rsidRPr="00B10F91">
        <w:rPr>
          <w:rFonts w:ascii="Arial" w:hAnsi="Arial" w:cs="Arial"/>
          <w:sz w:val="22"/>
          <w:szCs w:val="22"/>
          <w:lang w:val="en-GB"/>
        </w:rPr>
        <w:t xml:space="preserve">The calculation and publication of the additional capacity to be </w:t>
      </w:r>
      <w:r>
        <w:rPr>
          <w:rFonts w:ascii="Arial" w:hAnsi="Arial" w:cs="Arial"/>
          <w:sz w:val="22"/>
          <w:szCs w:val="22"/>
          <w:lang w:val="en-GB"/>
        </w:rPr>
        <w:t>offered</w:t>
      </w:r>
      <w:r w:rsidRPr="00B10F91">
        <w:rPr>
          <w:rFonts w:ascii="Arial" w:hAnsi="Arial" w:cs="Arial"/>
          <w:sz w:val="22"/>
          <w:szCs w:val="22"/>
          <w:lang w:val="en-GB"/>
        </w:rPr>
        <w:t xml:space="preserve"> will be carried out after the confirmation of the last nomination. </w:t>
      </w:r>
    </w:p>
    <w:p w14:paraId="23EDCF14" w14:textId="77777777" w:rsidR="00BB5A7C" w:rsidRPr="00B10F91" w:rsidRDefault="00BB5A7C" w:rsidP="00264E67">
      <w:pPr>
        <w:spacing w:before="240" w:after="240"/>
        <w:jc w:val="both"/>
        <w:rPr>
          <w:rFonts w:ascii="Arial" w:hAnsi="Arial" w:cs="Arial"/>
          <w:sz w:val="22"/>
          <w:szCs w:val="22"/>
          <w:lang w:val="es-ES"/>
        </w:rPr>
      </w:pPr>
      <w:r w:rsidRPr="00B10F91">
        <w:rPr>
          <w:rFonts w:ascii="Arial" w:hAnsi="Arial" w:cs="Arial"/>
          <w:sz w:val="22"/>
          <w:szCs w:val="22"/>
          <w:lang w:val="en-GB"/>
        </w:rPr>
        <w:t xml:space="preserve">The objective of the proposed methodology is to make the best forecast of the use of international connections, </w:t>
      </w:r>
      <w:r>
        <w:rPr>
          <w:rFonts w:ascii="Arial" w:hAnsi="Arial" w:cs="Arial"/>
          <w:sz w:val="22"/>
          <w:szCs w:val="22"/>
          <w:lang w:val="en-GB"/>
        </w:rPr>
        <w:t>by studying</w:t>
      </w:r>
      <w:r w:rsidRPr="00B10F91">
        <w:rPr>
          <w:rFonts w:ascii="Arial" w:hAnsi="Arial" w:cs="Arial"/>
          <w:sz w:val="22"/>
          <w:szCs w:val="22"/>
          <w:lang w:val="en-GB"/>
        </w:rPr>
        <w:t xml:space="preserve"> their historic</w:t>
      </w:r>
      <w:r>
        <w:rPr>
          <w:rFonts w:ascii="Arial" w:hAnsi="Arial" w:cs="Arial"/>
          <w:sz w:val="22"/>
          <w:szCs w:val="22"/>
          <w:lang w:val="en-GB"/>
        </w:rPr>
        <w:t>al</w:t>
      </w:r>
      <w:r w:rsidRPr="00B10F91">
        <w:rPr>
          <w:rFonts w:ascii="Arial" w:hAnsi="Arial" w:cs="Arial"/>
          <w:sz w:val="22"/>
          <w:szCs w:val="22"/>
          <w:lang w:val="en-GB"/>
        </w:rPr>
        <w:t xml:space="preserve"> use from both an endogenous and exogenous perspective. The main conclusions of this study are summarised below:</w:t>
      </w:r>
    </w:p>
    <w:p w14:paraId="752DFDCA"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sidRPr="00B10F91">
        <w:rPr>
          <w:rFonts w:ascii="Arial" w:hAnsi="Arial" w:cs="Arial"/>
          <w:sz w:val="22"/>
          <w:szCs w:val="22"/>
          <w:lang w:val="en-GB"/>
        </w:rPr>
        <w:t xml:space="preserve">Regarding the endogenous variables, the relationship between the physical flow through the interconnection and the relative nomination for the same day D </w:t>
      </w:r>
      <w:r>
        <w:rPr>
          <w:rFonts w:ascii="Arial" w:hAnsi="Arial" w:cs="Arial"/>
          <w:sz w:val="22"/>
          <w:szCs w:val="22"/>
          <w:lang w:val="en-GB"/>
        </w:rPr>
        <w:t>changes on</w:t>
      </w:r>
      <w:r w:rsidRPr="00B10F91">
        <w:rPr>
          <w:rFonts w:ascii="Arial" w:hAnsi="Arial" w:cs="Arial"/>
          <w:sz w:val="22"/>
          <w:szCs w:val="22"/>
          <w:lang w:val="en-GB"/>
        </w:rPr>
        <w:t xml:space="preserve"> those days when there are commercial flows in both directions (nomination in both directions) or in those cases where there is a special operation previously agreed between the operators of the interconnection. </w:t>
      </w:r>
      <w:r>
        <w:rPr>
          <w:rFonts w:ascii="Arial" w:hAnsi="Arial" w:cs="Arial"/>
          <w:sz w:val="22"/>
          <w:szCs w:val="22"/>
          <w:lang w:val="en-GB"/>
        </w:rPr>
        <w:t xml:space="preserve">That is why, the </w:t>
      </w:r>
      <w:r w:rsidRPr="00B10F91">
        <w:rPr>
          <w:rFonts w:ascii="Arial" w:hAnsi="Arial" w:cs="Arial"/>
          <w:sz w:val="22"/>
          <w:szCs w:val="22"/>
          <w:lang w:val="en-GB"/>
        </w:rPr>
        <w:t xml:space="preserve">physical flow is </w:t>
      </w:r>
      <w:r>
        <w:rPr>
          <w:rFonts w:ascii="Arial" w:hAnsi="Arial" w:cs="Arial"/>
          <w:sz w:val="22"/>
          <w:szCs w:val="22"/>
          <w:lang w:val="en-GB"/>
        </w:rPr>
        <w:t>not considered as</w:t>
      </w:r>
      <w:r w:rsidRPr="00B10F91">
        <w:rPr>
          <w:rFonts w:ascii="Arial" w:hAnsi="Arial" w:cs="Arial"/>
          <w:sz w:val="22"/>
          <w:szCs w:val="22"/>
          <w:lang w:val="en-GB"/>
        </w:rPr>
        <w:t xml:space="preserve"> an explanatory variable for the use of the interconnection.</w:t>
      </w:r>
    </w:p>
    <w:p w14:paraId="006E3230"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sidRPr="00B10F91">
        <w:rPr>
          <w:rFonts w:ascii="Arial" w:hAnsi="Arial" w:cs="Arial"/>
          <w:sz w:val="22"/>
          <w:szCs w:val="22"/>
          <w:lang w:val="en-GB"/>
        </w:rPr>
        <w:t xml:space="preserve">The study of the exogenous variables </w:t>
      </w:r>
      <w:r>
        <w:rPr>
          <w:rFonts w:ascii="Arial" w:hAnsi="Arial" w:cs="Arial"/>
          <w:sz w:val="22"/>
          <w:szCs w:val="22"/>
          <w:lang w:val="en-GB"/>
        </w:rPr>
        <w:t xml:space="preserve">–such as prices, temperatures, etc.- </w:t>
      </w:r>
      <w:r w:rsidRPr="00B10F91">
        <w:rPr>
          <w:rFonts w:ascii="Arial" w:hAnsi="Arial" w:cs="Arial"/>
          <w:sz w:val="22"/>
          <w:szCs w:val="22"/>
          <w:lang w:val="en-GB"/>
        </w:rPr>
        <w:t>does not provide conclusive results about the use of the interconnections, either because it does not identify a clear direct relationship or due to a lack of more data or variables that would make it possible to obtain significant conclusions.</w:t>
      </w:r>
    </w:p>
    <w:p w14:paraId="1E87FC09"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Pr>
          <w:rFonts w:ascii="Arial" w:hAnsi="Arial" w:cs="Arial"/>
          <w:sz w:val="22"/>
          <w:szCs w:val="22"/>
          <w:lang w:val="en-GB"/>
        </w:rPr>
        <w:t>Due</w:t>
      </w:r>
      <w:r w:rsidRPr="00B10F91">
        <w:rPr>
          <w:rFonts w:ascii="Arial" w:hAnsi="Arial" w:cs="Arial"/>
          <w:sz w:val="22"/>
          <w:szCs w:val="22"/>
          <w:lang w:val="en-GB"/>
        </w:rPr>
        <w:t xml:space="preserve"> the lack of sufficient historic</w:t>
      </w:r>
      <w:r>
        <w:rPr>
          <w:rFonts w:ascii="Arial" w:hAnsi="Arial" w:cs="Arial"/>
          <w:sz w:val="22"/>
          <w:szCs w:val="22"/>
          <w:lang w:val="en-GB"/>
        </w:rPr>
        <w:t>al</w:t>
      </w:r>
      <w:r w:rsidRPr="00B10F91">
        <w:rPr>
          <w:rFonts w:ascii="Arial" w:hAnsi="Arial" w:cs="Arial"/>
          <w:sz w:val="22"/>
          <w:szCs w:val="22"/>
          <w:lang w:val="en-GB"/>
        </w:rPr>
        <w:t xml:space="preserve"> data </w:t>
      </w:r>
      <w:r>
        <w:rPr>
          <w:rFonts w:ascii="Arial" w:hAnsi="Arial" w:cs="Arial"/>
          <w:sz w:val="22"/>
          <w:szCs w:val="22"/>
          <w:lang w:val="en-GB"/>
        </w:rPr>
        <w:t xml:space="preserve">from </w:t>
      </w:r>
      <w:r w:rsidRPr="00B10F91">
        <w:rPr>
          <w:rFonts w:ascii="Arial" w:hAnsi="Arial" w:cs="Arial"/>
          <w:sz w:val="22"/>
          <w:szCs w:val="22"/>
          <w:lang w:val="en-GB"/>
        </w:rPr>
        <w:t>VIP Pirineos</w:t>
      </w:r>
      <w:r>
        <w:rPr>
          <w:rFonts w:ascii="Arial" w:hAnsi="Arial" w:cs="Arial"/>
          <w:sz w:val="22"/>
          <w:szCs w:val="22"/>
          <w:lang w:val="en-GB"/>
        </w:rPr>
        <w:t xml:space="preserve">, </w:t>
      </w:r>
      <w:r w:rsidRPr="00B10F91">
        <w:rPr>
          <w:rFonts w:ascii="Arial" w:hAnsi="Arial" w:cs="Arial"/>
          <w:sz w:val="22"/>
          <w:szCs w:val="22"/>
          <w:lang w:val="en-GB"/>
        </w:rPr>
        <w:t xml:space="preserve">the data analysed </w:t>
      </w:r>
      <w:r>
        <w:rPr>
          <w:rFonts w:ascii="Arial" w:hAnsi="Arial" w:cs="Arial"/>
          <w:sz w:val="22"/>
          <w:szCs w:val="22"/>
          <w:lang w:val="en-GB"/>
        </w:rPr>
        <w:t>are related</w:t>
      </w:r>
      <w:r w:rsidRPr="00B10F91">
        <w:rPr>
          <w:rFonts w:ascii="Arial" w:hAnsi="Arial" w:cs="Arial"/>
          <w:sz w:val="22"/>
          <w:szCs w:val="22"/>
          <w:lang w:val="en-GB"/>
        </w:rPr>
        <w:t xml:space="preserve"> to Larrau</w:t>
      </w:r>
      <w:r>
        <w:rPr>
          <w:rFonts w:ascii="Arial" w:hAnsi="Arial" w:cs="Arial"/>
          <w:sz w:val="22"/>
          <w:szCs w:val="22"/>
          <w:lang w:val="en-GB"/>
        </w:rPr>
        <w:t xml:space="preserve"> Interconnection, but</w:t>
      </w:r>
      <w:r w:rsidRPr="00B10F91">
        <w:rPr>
          <w:rFonts w:ascii="Arial" w:hAnsi="Arial" w:cs="Arial"/>
          <w:sz w:val="22"/>
          <w:szCs w:val="22"/>
          <w:lang w:val="en-GB"/>
        </w:rPr>
        <w:t xml:space="preserve"> </w:t>
      </w:r>
      <w:r>
        <w:rPr>
          <w:rFonts w:ascii="Arial" w:hAnsi="Arial" w:cs="Arial"/>
          <w:sz w:val="22"/>
          <w:szCs w:val="22"/>
          <w:lang w:val="en-GB"/>
        </w:rPr>
        <w:t>they are considered</w:t>
      </w:r>
      <w:r w:rsidRPr="00B10F91">
        <w:rPr>
          <w:rFonts w:ascii="Arial" w:hAnsi="Arial" w:cs="Arial"/>
          <w:sz w:val="22"/>
          <w:szCs w:val="22"/>
          <w:lang w:val="en-GB"/>
        </w:rPr>
        <w:t xml:space="preserve"> extrapolable to the joint VIP Pirineos connection.</w:t>
      </w:r>
    </w:p>
    <w:p w14:paraId="61DC9945" w14:textId="77777777" w:rsidR="00BB5A7C" w:rsidRPr="001A15F1" w:rsidRDefault="00BB5A7C" w:rsidP="00264E67">
      <w:pPr>
        <w:pStyle w:val="Prrafodelista"/>
        <w:numPr>
          <w:ilvl w:val="0"/>
          <w:numId w:val="53"/>
        </w:numPr>
        <w:spacing w:before="240" w:after="240"/>
        <w:ind w:left="1066" w:hanging="357"/>
        <w:contextualSpacing w:val="0"/>
        <w:jc w:val="both"/>
        <w:rPr>
          <w:rFonts w:ascii="Arial" w:hAnsi="Arial" w:cs="Arial"/>
          <w:sz w:val="22"/>
          <w:szCs w:val="22"/>
          <w:lang w:val="en-AU"/>
        </w:rPr>
      </w:pPr>
      <w:r w:rsidRPr="00B10F91">
        <w:rPr>
          <w:rFonts w:ascii="Arial" w:hAnsi="Arial" w:cs="Arial"/>
          <w:sz w:val="22"/>
          <w:szCs w:val="22"/>
          <w:lang w:val="en-GB"/>
        </w:rPr>
        <w:t xml:space="preserve">The study period that gives the most </w:t>
      </w:r>
      <w:r>
        <w:rPr>
          <w:rFonts w:ascii="Arial" w:hAnsi="Arial" w:cs="Arial"/>
          <w:sz w:val="22"/>
          <w:szCs w:val="22"/>
          <w:lang w:val="en-GB"/>
        </w:rPr>
        <w:t>relevant</w:t>
      </w:r>
      <w:r w:rsidRPr="00B10F91">
        <w:rPr>
          <w:rFonts w:ascii="Arial" w:hAnsi="Arial" w:cs="Arial"/>
          <w:sz w:val="22"/>
          <w:szCs w:val="22"/>
          <w:lang w:val="en-GB"/>
        </w:rPr>
        <w:t xml:space="preserve"> conclusions beg</w:t>
      </w:r>
      <w:r>
        <w:rPr>
          <w:rFonts w:ascii="Arial" w:hAnsi="Arial" w:cs="Arial"/>
          <w:sz w:val="22"/>
          <w:szCs w:val="22"/>
          <w:lang w:val="en-GB"/>
        </w:rPr>
        <w:t>ins</w:t>
      </w:r>
      <w:r w:rsidRPr="00B10F91">
        <w:rPr>
          <w:rFonts w:ascii="Arial" w:hAnsi="Arial" w:cs="Arial"/>
          <w:sz w:val="22"/>
          <w:szCs w:val="22"/>
          <w:lang w:val="en-GB"/>
        </w:rPr>
        <w:t xml:space="preserve"> on 1</w:t>
      </w:r>
      <w:r w:rsidRPr="00D46606">
        <w:rPr>
          <w:rFonts w:ascii="Arial" w:hAnsi="Arial" w:cs="Arial"/>
          <w:sz w:val="22"/>
          <w:szCs w:val="22"/>
          <w:vertAlign w:val="superscript"/>
          <w:lang w:val="en-GB"/>
        </w:rPr>
        <w:t>st</w:t>
      </w:r>
      <w:r w:rsidRPr="00B10F91">
        <w:rPr>
          <w:rFonts w:ascii="Arial" w:hAnsi="Arial" w:cs="Arial"/>
          <w:sz w:val="22"/>
          <w:szCs w:val="22"/>
          <w:lang w:val="en-GB"/>
        </w:rPr>
        <w:t xml:space="preserve"> April 2013, the date </w:t>
      </w:r>
      <w:r>
        <w:rPr>
          <w:rFonts w:ascii="Arial" w:hAnsi="Arial" w:cs="Arial"/>
          <w:sz w:val="22"/>
          <w:szCs w:val="22"/>
          <w:lang w:val="en-GB"/>
        </w:rPr>
        <w:t>i</w:t>
      </w:r>
      <w:r w:rsidRPr="00B10F91">
        <w:rPr>
          <w:rFonts w:ascii="Arial" w:hAnsi="Arial" w:cs="Arial"/>
          <w:sz w:val="22"/>
          <w:szCs w:val="22"/>
          <w:lang w:val="en-GB"/>
        </w:rPr>
        <w:t>n wh</w:t>
      </w:r>
      <w:r>
        <w:rPr>
          <w:rFonts w:ascii="Arial" w:hAnsi="Arial" w:cs="Arial"/>
          <w:sz w:val="22"/>
          <w:szCs w:val="22"/>
          <w:lang w:val="en-GB"/>
        </w:rPr>
        <w:t>ich the capacity of Larrau I</w:t>
      </w:r>
      <w:r w:rsidRPr="00B10F91">
        <w:rPr>
          <w:rFonts w:ascii="Arial" w:hAnsi="Arial" w:cs="Arial"/>
          <w:sz w:val="22"/>
          <w:szCs w:val="22"/>
          <w:lang w:val="en-GB"/>
        </w:rPr>
        <w:t>nterconnection increased its nominal capacity in both directions.</w:t>
      </w:r>
    </w:p>
    <w:p w14:paraId="66F0D3A7" w14:textId="77777777" w:rsidR="00BB5A7C" w:rsidRPr="001A15F1" w:rsidRDefault="00BB5A7C" w:rsidP="00264E67">
      <w:pPr>
        <w:keepNext/>
        <w:spacing w:before="240" w:after="240"/>
        <w:jc w:val="both"/>
        <w:rPr>
          <w:rFonts w:ascii="Arial" w:hAnsi="Arial" w:cs="Arial"/>
          <w:sz w:val="22"/>
          <w:szCs w:val="22"/>
          <w:lang w:val="en-AU"/>
        </w:rPr>
      </w:pPr>
      <w:r w:rsidRPr="001A15F1">
        <w:rPr>
          <w:rFonts w:ascii="Arial" w:hAnsi="Arial" w:cs="Arial"/>
          <w:sz w:val="22"/>
          <w:szCs w:val="22"/>
          <w:lang w:val="en-AU"/>
        </w:rPr>
        <w:t xml:space="preserve">When analysing this methodology, there are some considerations that should be taken into account: the small amount of historical sample available and the fact that the actual interconnection functioning  is based on the current system and regulation. Therefore, in view of the uncertainty regarding the behavior of the different variables that define the interconnections under the new regulatory framework established after the implementation of the different Network Codes, and specifically after the implementation of the oversubscription and buy-back mechanism itself, it is necessary to introduce safety margins that might reduce or minimise that mentioned uncertainty. Once the different Network Codes have been </w:t>
      </w:r>
      <w:r w:rsidRPr="001A15F1">
        <w:rPr>
          <w:rFonts w:ascii="Arial" w:hAnsi="Arial" w:cs="Arial"/>
          <w:sz w:val="22"/>
          <w:szCs w:val="22"/>
          <w:lang w:val="en-AU"/>
        </w:rPr>
        <w:lastRenderedPageBreak/>
        <w:t>implemented, a reduction of the safety indexes proposed in this methodology might be reevaluated if appropriate.</w:t>
      </w:r>
    </w:p>
    <w:p w14:paraId="3FF49F42" w14:textId="77777777" w:rsidR="00BB5A7C" w:rsidRDefault="00BB5A7C" w:rsidP="00E9296D">
      <w:pPr>
        <w:pStyle w:val="EstiloTtulo2Arial13ptAntes12ptoDespus12pto"/>
        <w:rPr>
          <w:lang w:eastAsia="es-ES"/>
        </w:rPr>
      </w:pPr>
      <w:bookmarkStart w:id="13" w:name="_Toc422319181"/>
      <w:bookmarkStart w:id="14" w:name="_Toc423419724"/>
      <w:r>
        <w:rPr>
          <w:lang w:eastAsia="es-ES"/>
        </w:rPr>
        <w:t>Calculation of additional capacity Methodology</w:t>
      </w:r>
      <w:bookmarkEnd w:id="13"/>
      <w:bookmarkEnd w:id="14"/>
    </w:p>
    <w:p w14:paraId="268E8EE7" w14:textId="77777777" w:rsidR="00BB5A7C" w:rsidRDefault="00BB5A7C" w:rsidP="00BB5A7C">
      <w:pPr>
        <w:pStyle w:val="EstiloTtulo3ArialCursivaAutomticoAntes12ptoDespu"/>
        <w:numPr>
          <w:ilvl w:val="2"/>
          <w:numId w:val="56"/>
        </w:numPr>
        <w:spacing w:before="360"/>
        <w:jc w:val="both"/>
        <w:rPr>
          <w:lang w:val="en-US" w:eastAsia="es-ES"/>
        </w:rPr>
      </w:pPr>
      <w:r>
        <w:rPr>
          <w:b/>
          <w:lang w:val="en-US" w:eastAsia="es-ES"/>
        </w:rPr>
        <w:t>Choice of the objective variable and the reference variable</w:t>
      </w:r>
    </w:p>
    <w:p w14:paraId="460D0B49"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implicit objective of the calculation method for the additional capacity to be offered developed in this document is to make the best estimation or forecast of the use of an interconnection on a certain day, based on the information available before offering the mentioned additional capacity.</w:t>
      </w:r>
    </w:p>
    <w:p w14:paraId="7D76C16A"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Likewise, the variable that most ideally represents the expected physical flow in the interconnection will be called the </w:t>
      </w:r>
      <w:r>
        <w:rPr>
          <w:b/>
          <w:i/>
          <w:sz w:val="22"/>
          <w:szCs w:val="22"/>
          <w:lang w:val="en-US" w:eastAsia="es-ES"/>
        </w:rPr>
        <w:t>objective variable</w:t>
      </w:r>
      <w:r>
        <w:rPr>
          <w:sz w:val="22"/>
          <w:szCs w:val="22"/>
          <w:lang w:val="en-US" w:eastAsia="es-ES"/>
        </w:rPr>
        <w:t xml:space="preserve">, while the variable that provides the best information available to make the forecast of the objective variable will be called the </w:t>
      </w:r>
      <w:r>
        <w:rPr>
          <w:b/>
          <w:i/>
          <w:sz w:val="22"/>
          <w:szCs w:val="22"/>
          <w:lang w:val="en-US" w:eastAsia="es-ES"/>
        </w:rPr>
        <w:t>reference variable</w:t>
      </w:r>
      <w:r>
        <w:rPr>
          <w:sz w:val="22"/>
          <w:szCs w:val="22"/>
          <w:lang w:val="en-US" w:eastAsia="es-ES"/>
        </w:rPr>
        <w:t>.</w:t>
      </w:r>
    </w:p>
    <w:p w14:paraId="4FE6EDCD"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After several historical analysis, </w:t>
      </w:r>
      <w:r>
        <w:rPr>
          <w:b/>
          <w:sz w:val="22"/>
          <w:szCs w:val="22"/>
          <w:lang w:val="en-US" w:eastAsia="es-ES"/>
        </w:rPr>
        <w:t>the best objective variable is confirmed to be the value of the last confirmed renomination from day D</w:t>
      </w:r>
      <w:r>
        <w:rPr>
          <w:sz w:val="22"/>
          <w:szCs w:val="22"/>
          <w:lang w:val="en-US" w:eastAsia="es-ES"/>
        </w:rPr>
        <w:t>, considering that this value is the one that the operator must guarantee to the shippers and that does not differ from the shared value.</w:t>
      </w:r>
    </w:p>
    <w:p w14:paraId="693DB9B2" w14:textId="77777777" w:rsidR="00BB5A7C" w:rsidRDefault="00BB5A7C" w:rsidP="00BB5A7C">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Again, according to the conclusions provided by the historical analysis of the interconnections, where there is a clear relationship between the nomination on day D-1 for day D and the last confirmed renomination of day D, it can be deduced that </w:t>
      </w:r>
      <w:r>
        <w:rPr>
          <w:b/>
          <w:sz w:val="22"/>
          <w:szCs w:val="22"/>
          <w:lang w:val="en-US" w:eastAsia="es-ES"/>
        </w:rPr>
        <w:t>the reference variable</w:t>
      </w:r>
      <w:r>
        <w:rPr>
          <w:sz w:val="22"/>
          <w:szCs w:val="22"/>
          <w:lang w:val="en-US" w:eastAsia="es-ES"/>
        </w:rPr>
        <w:t xml:space="preserve"> upon which the best forecasts of the objective variable will be based (the last renomination from day D) is the </w:t>
      </w:r>
      <w:r>
        <w:rPr>
          <w:b/>
          <w:sz w:val="22"/>
          <w:szCs w:val="22"/>
          <w:lang w:val="en-US" w:eastAsia="es-ES"/>
        </w:rPr>
        <w:t>nomination on day D-1 for day D</w:t>
      </w:r>
      <w:r>
        <w:rPr>
          <w:sz w:val="22"/>
          <w:szCs w:val="22"/>
          <w:lang w:val="en-US" w:eastAsia="es-ES"/>
        </w:rPr>
        <w:t>.</w:t>
      </w:r>
    </w:p>
    <w:p w14:paraId="0009D4E8" w14:textId="77777777" w:rsidR="00BB5A7C" w:rsidRDefault="00BB5A7C" w:rsidP="00BB5A7C">
      <w:pPr>
        <w:pStyle w:val="EstiloTtulo3ArialCursivaAutomticoAntes12ptoDespu"/>
        <w:numPr>
          <w:ilvl w:val="2"/>
          <w:numId w:val="56"/>
        </w:numPr>
        <w:spacing w:before="360"/>
        <w:jc w:val="both"/>
        <w:rPr>
          <w:b/>
          <w:lang w:eastAsia="es-ES"/>
        </w:rPr>
      </w:pPr>
      <w:r>
        <w:rPr>
          <w:b/>
          <w:lang w:eastAsia="es-ES"/>
        </w:rPr>
        <w:t>Risk level quantification</w:t>
      </w:r>
    </w:p>
    <w:p w14:paraId="143989B2" w14:textId="77777777" w:rsidR="00BB5A7C" w:rsidRDefault="00BB5A7C" w:rsidP="001A2773">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methodology proposed in this document attempts to define an estimation of the risk that this offer of additional capacity represents to the TSOs, given the special importance of the impact that the implementation of the Network Codes will have on the future performance of the interconnections.</w:t>
      </w:r>
    </w:p>
    <w:p w14:paraId="7E643B17" w14:textId="77777777" w:rsidR="00BB5A7C" w:rsidRDefault="00BB5A7C" w:rsidP="00805EE2">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estimation of this risk will be based on the deviation that might occur between the last nomination on (D-1) for D, which is already known at the time the methodology is activated, and the last confirmed renomination of day D, which is the objective variable and is not known at that time.</w:t>
      </w:r>
    </w:p>
    <w:p w14:paraId="663BEF83" w14:textId="77777777" w:rsidR="00BB5A7C" w:rsidRDefault="00BB5A7C" w:rsidP="00805EE2">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 xml:space="preserve">Therefore a Risk Index (RI) is defined based on the maximum historical deviation between the nomination made in day D-1 for day D and its last confirmed renomination on the corresponding day D, produced during the period in which it is agreed to study the historical data. An additional safety factor is also considered in order to manage the risk associated with the uncertainty of the performance of the interconnections after the definitive implementation of the various Network Codes and specifically the implementation of the oversubscription and </w:t>
      </w:r>
      <w:r>
        <w:rPr>
          <w:sz w:val="22"/>
          <w:szCs w:val="22"/>
          <w:lang w:val="en-US" w:eastAsia="es-ES"/>
        </w:rPr>
        <w:lastRenderedPageBreak/>
        <w:t xml:space="preserve">buy-back mechanism of the capacity itself, given that the maximum deviation is based on historical data, related to the current regulatory environment. </w:t>
      </w:r>
    </w:p>
    <w:p w14:paraId="24605CAB" w14:textId="77777777" w:rsidR="00BB5A7C" w:rsidRDefault="00BB5A7C" w:rsidP="00805EE2">
      <w:pPr>
        <w:pStyle w:val="EstiloTtulo3ArialCursivaAutomticoAntes12ptoDespu"/>
        <w:numPr>
          <w:ilvl w:val="0"/>
          <w:numId w:val="0"/>
        </w:numPr>
        <w:tabs>
          <w:tab w:val="left" w:pos="708"/>
        </w:tabs>
        <w:jc w:val="both"/>
        <w:rPr>
          <w:sz w:val="22"/>
          <w:szCs w:val="22"/>
          <w:lang w:val="en-US" w:eastAsia="es-ES"/>
        </w:rPr>
      </w:pPr>
      <w:r>
        <w:rPr>
          <w:sz w:val="22"/>
          <w:szCs w:val="22"/>
          <w:lang w:val="en-US" w:eastAsia="es-ES"/>
        </w:rPr>
        <w:t>The Risk Index is defined as below:</w:t>
      </w:r>
    </w:p>
    <w:p w14:paraId="1FCFCB10" w14:textId="77777777" w:rsidR="00BB5A7C" w:rsidRPr="00BB5A7C" w:rsidRDefault="00BB5A7C" w:rsidP="00805EE2">
      <w:pPr>
        <w:pStyle w:val="EstiloTtulo3ArialCursivaAutomticoAntes12ptoDespu"/>
        <w:numPr>
          <w:ilvl w:val="0"/>
          <w:numId w:val="0"/>
        </w:numPr>
        <w:tabs>
          <w:tab w:val="left" w:pos="708"/>
        </w:tabs>
        <w:jc w:val="both"/>
        <w:rPr>
          <w:szCs w:val="24"/>
          <w:lang w:eastAsia="es-ES"/>
        </w:rPr>
      </w:pPr>
      <m:oMathPara>
        <m:oMath>
          <m:r>
            <w:rPr>
              <w:rFonts w:ascii="Cambria Math" w:hAnsi="Cambria Math"/>
              <w:szCs w:val="24"/>
              <w:lang w:eastAsia="es-ES"/>
            </w:rPr>
            <m:t>RI=</m:t>
          </m:r>
          <m:sSub>
            <m:sSubPr>
              <m:ctrlPr>
                <w:rPr>
                  <w:rFonts w:ascii="Cambria Math" w:hAnsi="Cambria Math"/>
                  <w:i/>
                  <w:szCs w:val="24"/>
                </w:rPr>
              </m:ctrlPr>
            </m:sSubPr>
            <m:e>
              <m:r>
                <w:rPr>
                  <w:rFonts w:ascii="Cambria Math" w:hAnsi="Cambria Math"/>
                  <w:szCs w:val="24"/>
                  <w:lang w:eastAsia="es-ES"/>
                </w:rPr>
                <m:t>M</m:t>
              </m:r>
            </m:e>
            <m:sub>
              <m:r>
                <w:rPr>
                  <w:rFonts w:ascii="Cambria Math" w:hAnsi="Cambria Math"/>
                  <w:szCs w:val="24"/>
                  <w:lang w:eastAsia="es-ES"/>
                </w:rPr>
                <m:t>D</m:t>
              </m:r>
            </m:sub>
          </m:sSub>
          <m:r>
            <w:rPr>
              <w:rFonts w:ascii="Cambria Math" w:hAnsi="Cambria Math"/>
              <w:szCs w:val="24"/>
              <w:lang w:eastAsia="es-ES"/>
            </w:rPr>
            <m:t>×f</m:t>
          </m:r>
        </m:oMath>
      </m:oMathPara>
    </w:p>
    <w:p w14:paraId="01ADEE79" w14:textId="77777777" w:rsidR="00BB5A7C" w:rsidRDefault="00BB5A7C" w:rsidP="00264E67">
      <w:pPr>
        <w:spacing w:before="240" w:after="240"/>
        <w:ind w:firstLine="360"/>
        <w:rPr>
          <w:rFonts w:ascii="Arial" w:hAnsi="Arial" w:cs="Arial"/>
          <w:sz w:val="22"/>
          <w:szCs w:val="22"/>
        </w:rPr>
      </w:pPr>
      <w:r>
        <w:rPr>
          <w:rFonts w:ascii="Arial" w:hAnsi="Arial" w:cs="Arial"/>
          <w:sz w:val="22"/>
          <w:szCs w:val="22"/>
          <w:lang w:val="en-GB"/>
        </w:rPr>
        <w:t xml:space="preserve">Where, </w:t>
      </w:r>
    </w:p>
    <w:p w14:paraId="08A23A47" w14:textId="77777777" w:rsidR="00BB5A7C" w:rsidRDefault="00BB5A7C" w:rsidP="00264E67">
      <w:pPr>
        <w:numPr>
          <w:ilvl w:val="1"/>
          <w:numId w:val="57"/>
        </w:numPr>
        <w:spacing w:before="240" w:after="240"/>
        <w:rPr>
          <w:rFonts w:ascii="Arial" w:hAnsi="Arial" w:cs="Arial"/>
          <w:sz w:val="22"/>
          <w:szCs w:val="22"/>
          <w:lang w:val="en-US"/>
        </w:rPr>
      </w:pPr>
      <w:r>
        <w:rPr>
          <w:rFonts w:ascii="Arial" w:hAnsi="Arial" w:cs="Arial"/>
          <w:b/>
          <w:sz w:val="22"/>
          <w:szCs w:val="22"/>
          <w:lang w:val="en-US"/>
        </w:rPr>
        <w:t>M</w:t>
      </w:r>
      <w:r>
        <w:rPr>
          <w:rFonts w:ascii="Arial" w:hAnsi="Arial" w:cs="Arial"/>
          <w:b/>
          <w:sz w:val="22"/>
          <w:szCs w:val="22"/>
          <w:vertAlign w:val="subscript"/>
          <w:lang w:val="en-US"/>
        </w:rPr>
        <w:t>D</w:t>
      </w:r>
      <w:r>
        <w:rPr>
          <w:rFonts w:ascii="Arial" w:hAnsi="Arial" w:cs="Arial"/>
          <w:sz w:val="22"/>
          <w:szCs w:val="22"/>
          <w:lang w:val="en-US"/>
        </w:rPr>
        <w:t xml:space="preserve"> = </w:t>
      </w:r>
      <w:r>
        <w:rPr>
          <w:rFonts w:ascii="Arial" w:hAnsi="Arial" w:cs="Arial"/>
          <w:sz w:val="22"/>
          <w:szCs w:val="22"/>
          <w:lang w:val="en-GB"/>
        </w:rPr>
        <w:t>the maximum deviation between the last nomination on day D-1 for day D and the last confirmed renomination of day D within the period of analysis that comprises the historical reference base:</w:t>
      </w:r>
    </w:p>
    <w:p w14:paraId="52A2709D" w14:textId="77777777" w:rsidR="00BB5A7C" w:rsidRPr="00BB5A7C" w:rsidRDefault="00D839BC" w:rsidP="00264E67">
      <w:pPr>
        <w:spacing w:before="240" w:after="240"/>
        <w:ind w:left="2126"/>
        <w:rPr>
          <w:rFonts w:ascii="Arial" w:hAnsi="Arial" w:cs="Arial"/>
        </w:rPr>
      </w:pPr>
      <m:oMathPara>
        <m:oMathParaPr>
          <m:jc m:val="center"/>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D</m:t>
              </m:r>
            </m:sub>
          </m:sSub>
          <m:r>
            <w:rPr>
              <w:rFonts w:ascii="Cambria Math" w:hAnsi="Cambria Math" w:cs="Arial"/>
            </w:rPr>
            <m:t>=max</m:t>
          </m:r>
          <m:d>
            <m:dPr>
              <m:begChr m:val="|"/>
              <m:endChr m:val="|"/>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e>
              </m:d>
            </m:e>
          </m:d>
        </m:oMath>
      </m:oMathPara>
    </w:p>
    <w:p w14:paraId="3CC7180F" w14:textId="77777777" w:rsidR="00BB5A7C" w:rsidRDefault="00BB5A7C" w:rsidP="00264E67">
      <w:pPr>
        <w:spacing w:before="240" w:after="240"/>
        <w:ind w:left="2126"/>
        <w:rPr>
          <w:rFonts w:ascii="Arial" w:hAnsi="Arial" w:cs="Arial"/>
          <w:sz w:val="22"/>
          <w:szCs w:val="22"/>
          <w:lang w:val="en-US"/>
        </w:rPr>
      </w:pPr>
      <w:r>
        <w:rPr>
          <w:rFonts w:ascii="Arial" w:hAnsi="Arial" w:cs="Arial"/>
          <w:sz w:val="22"/>
          <w:szCs w:val="22"/>
          <w:lang w:val="en-GB"/>
        </w:rPr>
        <w:t>N</w:t>
      </w:r>
      <w:r>
        <w:rPr>
          <w:rFonts w:ascii="Arial" w:hAnsi="Arial" w:cs="Arial"/>
          <w:sz w:val="22"/>
          <w:szCs w:val="22"/>
          <w:vertAlign w:val="subscript"/>
          <w:lang w:val="en-GB"/>
        </w:rPr>
        <w:t>i</w:t>
      </w:r>
      <w:r>
        <w:rPr>
          <w:rFonts w:ascii="Arial" w:hAnsi="Arial" w:cs="Arial"/>
          <w:sz w:val="22"/>
          <w:szCs w:val="22"/>
          <w:lang w:val="en-GB"/>
        </w:rPr>
        <w:t xml:space="preserve"> </w:t>
      </w:r>
      <w:r>
        <w:rPr>
          <w:rFonts w:ascii="Arial" w:hAnsi="Arial" w:cs="Arial"/>
          <w:sz w:val="22"/>
          <w:szCs w:val="22"/>
        </w:rPr>
        <w:sym w:font="Wingdings" w:char="F0E0"/>
      </w:r>
      <w:r>
        <w:rPr>
          <w:rFonts w:ascii="Arial" w:hAnsi="Arial" w:cs="Arial"/>
          <w:sz w:val="22"/>
          <w:szCs w:val="22"/>
          <w:lang w:val="en-GB"/>
        </w:rPr>
        <w:t xml:space="preserve"> last nomination of each day i</w:t>
      </w:r>
    </w:p>
    <w:p w14:paraId="3CF2CA9F" w14:textId="77777777" w:rsidR="00BB5A7C" w:rsidRDefault="00BB5A7C" w:rsidP="00264E67">
      <w:pPr>
        <w:spacing w:before="240" w:after="240"/>
        <w:ind w:left="2126"/>
        <w:rPr>
          <w:rFonts w:ascii="Arial" w:hAnsi="Arial" w:cs="Arial"/>
          <w:sz w:val="22"/>
          <w:szCs w:val="22"/>
          <w:lang w:val="en-US"/>
        </w:rPr>
      </w:pPr>
      <w:r>
        <w:rPr>
          <w:rFonts w:ascii="Arial" w:hAnsi="Arial" w:cs="Arial"/>
          <w:sz w:val="22"/>
          <w:szCs w:val="22"/>
          <w:lang w:val="en-GB"/>
        </w:rPr>
        <w:t>R</w:t>
      </w:r>
      <w:r>
        <w:rPr>
          <w:rFonts w:ascii="Arial" w:hAnsi="Arial" w:cs="Arial"/>
          <w:sz w:val="22"/>
          <w:szCs w:val="22"/>
          <w:vertAlign w:val="subscript"/>
          <w:lang w:val="en-GB"/>
        </w:rPr>
        <w:t>i</w:t>
      </w:r>
      <w:r>
        <w:rPr>
          <w:rFonts w:ascii="Arial" w:hAnsi="Arial" w:cs="Arial"/>
          <w:sz w:val="22"/>
          <w:szCs w:val="22"/>
          <w:lang w:val="en-GB"/>
        </w:rPr>
        <w:t xml:space="preserve"> </w:t>
      </w:r>
      <w:r>
        <w:rPr>
          <w:rFonts w:ascii="Arial" w:hAnsi="Arial" w:cs="Arial"/>
          <w:sz w:val="22"/>
          <w:szCs w:val="22"/>
        </w:rPr>
        <w:sym w:font="Wingdings" w:char="F0E0"/>
      </w:r>
      <w:r>
        <w:rPr>
          <w:rFonts w:ascii="Arial" w:hAnsi="Arial" w:cs="Arial"/>
          <w:sz w:val="22"/>
          <w:szCs w:val="22"/>
          <w:lang w:val="en-GB"/>
        </w:rPr>
        <w:t xml:space="preserve"> last confirmed renomination of each day i </w:t>
      </w:r>
    </w:p>
    <w:p w14:paraId="49540110" w14:textId="77777777" w:rsidR="00BB5A7C" w:rsidRDefault="00BB5A7C" w:rsidP="00264E67">
      <w:pPr>
        <w:spacing w:before="240" w:after="240"/>
        <w:ind w:left="2124"/>
        <w:rPr>
          <w:rFonts w:ascii="Arial" w:hAnsi="Arial" w:cs="Arial"/>
          <w:sz w:val="22"/>
          <w:szCs w:val="22"/>
          <w:lang w:val="en-US"/>
        </w:rPr>
      </w:pPr>
      <w:r>
        <w:rPr>
          <w:rFonts w:ascii="Arial" w:hAnsi="Arial" w:cs="Arial"/>
          <w:sz w:val="22"/>
          <w:szCs w:val="22"/>
          <w:lang w:val="en-GB"/>
        </w:rPr>
        <w:t xml:space="preserve">i </w:t>
      </w:r>
      <w:r>
        <w:rPr>
          <w:rFonts w:ascii="Arial" w:hAnsi="Arial" w:cs="Arial"/>
          <w:sz w:val="22"/>
          <w:szCs w:val="22"/>
        </w:rPr>
        <w:sym w:font="Wingdings" w:char="F0E0"/>
      </w:r>
      <w:r>
        <w:rPr>
          <w:rFonts w:ascii="Arial" w:hAnsi="Arial" w:cs="Arial"/>
          <w:sz w:val="22"/>
          <w:szCs w:val="22"/>
          <w:lang w:val="en-GB"/>
        </w:rPr>
        <w:t xml:space="preserve"> interval between 1st April 2013 and the last day of the sample</w:t>
      </w:r>
    </w:p>
    <w:p w14:paraId="36B9B1B5" w14:textId="77777777" w:rsidR="00BB5A7C" w:rsidRDefault="00BB5A7C" w:rsidP="00264E67">
      <w:pPr>
        <w:numPr>
          <w:ilvl w:val="1"/>
          <w:numId w:val="57"/>
        </w:numPr>
        <w:spacing w:before="240" w:after="240"/>
        <w:ind w:left="1434" w:hanging="357"/>
        <w:rPr>
          <w:rFonts w:ascii="Arial" w:hAnsi="Arial" w:cs="Arial"/>
          <w:sz w:val="22"/>
          <w:szCs w:val="22"/>
        </w:rPr>
      </w:pPr>
      <w:r>
        <w:rPr>
          <w:rFonts w:ascii="Arial" w:hAnsi="Arial" w:cs="Arial"/>
          <w:b/>
          <w:bCs/>
          <w:sz w:val="22"/>
          <w:szCs w:val="22"/>
          <w:lang w:val="en-GB"/>
        </w:rPr>
        <w:t xml:space="preserve">f </w:t>
      </w:r>
      <w:r>
        <w:rPr>
          <w:rFonts w:ascii="Arial" w:hAnsi="Arial" w:cs="Arial"/>
          <w:sz w:val="22"/>
          <w:szCs w:val="22"/>
          <w:lang w:val="en-GB"/>
        </w:rPr>
        <w:t>= safety factor</w:t>
      </w:r>
    </w:p>
    <w:p w14:paraId="0CE34001" w14:textId="77777777" w:rsidR="00BB5A7C" w:rsidRDefault="00BB5A7C" w:rsidP="00BB5A7C">
      <w:pPr>
        <w:pStyle w:val="EstiloTtulo3ArialCursivaAutomticoAntes12ptoDespu"/>
        <w:numPr>
          <w:ilvl w:val="2"/>
          <w:numId w:val="56"/>
        </w:numPr>
        <w:rPr>
          <w:b/>
          <w:lang w:eastAsia="es-ES"/>
        </w:rPr>
      </w:pPr>
      <w:r>
        <w:rPr>
          <w:b/>
          <w:lang w:eastAsia="es-ES"/>
        </w:rPr>
        <w:t>Trigger Value definition</w:t>
      </w:r>
    </w:p>
    <w:p w14:paraId="051B1246" w14:textId="77777777" w:rsidR="00BB5A7C" w:rsidRDefault="00BB5A7C" w:rsidP="001A2773">
      <w:pPr>
        <w:pStyle w:val="EstiloTtulo3ArialCursivaAutomticoAntes12ptoDespu"/>
        <w:numPr>
          <w:ilvl w:val="0"/>
          <w:numId w:val="0"/>
        </w:numPr>
        <w:tabs>
          <w:tab w:val="left" w:pos="708"/>
        </w:tabs>
        <w:rPr>
          <w:sz w:val="22"/>
          <w:szCs w:val="22"/>
          <w:lang w:val="en-US" w:eastAsia="es-ES"/>
        </w:rPr>
      </w:pPr>
      <w:r>
        <w:rPr>
          <w:sz w:val="22"/>
          <w:szCs w:val="22"/>
          <w:lang w:val="en-US" w:eastAsia="es-ES"/>
        </w:rPr>
        <w:t xml:space="preserve">The calculation of the previously defined risk index RI indicates that there is a value in the last nomination on day D-1 based upon which the supply of additional capacity entails a high risk for the operator of the connection. </w:t>
      </w:r>
    </w:p>
    <w:p w14:paraId="7A98CBD6" w14:textId="77777777" w:rsidR="00BB5A7C" w:rsidRDefault="00BB5A7C" w:rsidP="00805EE2">
      <w:pPr>
        <w:pStyle w:val="EstiloTtulo3ArialCursivaAutomticoAntes12ptoDespu"/>
        <w:numPr>
          <w:ilvl w:val="0"/>
          <w:numId w:val="0"/>
        </w:numPr>
        <w:tabs>
          <w:tab w:val="left" w:pos="708"/>
        </w:tabs>
        <w:rPr>
          <w:sz w:val="22"/>
          <w:szCs w:val="22"/>
          <w:lang w:val="en-US" w:eastAsia="es-ES"/>
        </w:rPr>
      </w:pPr>
      <w:r>
        <w:rPr>
          <w:sz w:val="22"/>
          <w:szCs w:val="22"/>
          <w:lang w:val="en-US" w:eastAsia="es-ES"/>
        </w:rPr>
        <w:t>This nomination value, above which a high risk is detected is called the Trigger Value T</w:t>
      </w:r>
      <w:r>
        <w:rPr>
          <w:sz w:val="22"/>
          <w:szCs w:val="22"/>
          <w:vertAlign w:val="subscript"/>
          <w:lang w:val="en-US" w:eastAsia="es-ES"/>
        </w:rPr>
        <w:t>V</w:t>
      </w:r>
      <w:r>
        <w:rPr>
          <w:sz w:val="22"/>
          <w:szCs w:val="22"/>
          <w:lang w:val="en-US" w:eastAsia="es-ES"/>
        </w:rPr>
        <w:t xml:space="preserve"> , and is defined as follows:</w:t>
      </w:r>
    </w:p>
    <w:p w14:paraId="52D0CABA" w14:textId="77777777" w:rsidR="00BB5A7C" w:rsidRPr="00BB5A7C" w:rsidRDefault="00D839BC" w:rsidP="00805EE2">
      <w:pPr>
        <w:pStyle w:val="EstiloTtulo3ArialCursivaAutomticoAntes12ptoDespu"/>
        <w:numPr>
          <w:ilvl w:val="0"/>
          <w:numId w:val="0"/>
        </w:numPr>
        <w:tabs>
          <w:tab w:val="left" w:pos="708"/>
        </w:tabs>
        <w:jc w:val="center"/>
        <w:rPr>
          <w:szCs w:val="24"/>
          <w:lang w:eastAsia="es-ES"/>
        </w:rPr>
      </w:pPr>
      <m:oMathPara>
        <m:oMath>
          <m:sSub>
            <m:sSubPr>
              <m:ctrlPr>
                <w:rPr>
                  <w:rFonts w:ascii="Cambria Math" w:hAnsi="Cambria Math"/>
                  <w:i/>
                  <w:szCs w:val="24"/>
                </w:rPr>
              </m:ctrlPr>
            </m:sSubPr>
            <m:e>
              <m:r>
                <w:rPr>
                  <w:rFonts w:ascii="Cambria Math" w:hAnsi="Cambria Math"/>
                  <w:szCs w:val="24"/>
                  <w:lang w:eastAsia="es-ES"/>
                </w:rPr>
                <m:t>T</m:t>
              </m:r>
            </m:e>
            <m:sub>
              <m:r>
                <w:rPr>
                  <w:rFonts w:ascii="Cambria Math" w:hAnsi="Cambria Math"/>
                  <w:szCs w:val="24"/>
                  <w:lang w:eastAsia="es-ES"/>
                </w:rPr>
                <m:t>V</m:t>
              </m:r>
            </m:sub>
          </m:sSub>
          <m:r>
            <w:rPr>
              <w:rFonts w:ascii="Cambria Math" w:hAnsi="Cambria Math"/>
              <w:szCs w:val="24"/>
              <w:lang w:eastAsia="es-ES"/>
            </w:rPr>
            <m:t xml:space="preserve">= </m:t>
          </m:r>
          <m:sSub>
            <m:sSubPr>
              <m:ctrlPr>
                <w:rPr>
                  <w:rFonts w:ascii="Cambria Math" w:hAnsi="Cambria Math"/>
                  <w:i/>
                  <w:szCs w:val="24"/>
                </w:rPr>
              </m:ctrlPr>
            </m:sSubPr>
            <m:e>
              <m:r>
                <w:rPr>
                  <w:rFonts w:ascii="Cambria Math" w:hAnsi="Cambria Math"/>
                  <w:szCs w:val="24"/>
                  <w:lang w:eastAsia="es-ES"/>
                </w:rPr>
                <m:t>C</m:t>
              </m:r>
            </m:e>
            <m:sub>
              <m:r>
                <w:rPr>
                  <w:rFonts w:ascii="Cambria Math" w:hAnsi="Cambria Math"/>
                  <w:szCs w:val="24"/>
                  <w:lang w:eastAsia="es-ES"/>
                </w:rPr>
                <m:t>n</m:t>
              </m:r>
            </m:sub>
          </m:sSub>
          <m:r>
            <w:rPr>
              <w:rFonts w:ascii="Cambria Math" w:hAnsi="Cambria Math"/>
              <w:szCs w:val="24"/>
              <w:lang w:eastAsia="es-ES"/>
            </w:rPr>
            <m:t>-RI-OM</m:t>
          </m:r>
        </m:oMath>
      </m:oMathPara>
    </w:p>
    <w:p w14:paraId="2EFE1052" w14:textId="77777777" w:rsidR="00BB5A7C" w:rsidRDefault="00BB5A7C" w:rsidP="00C9662F">
      <w:pPr>
        <w:pStyle w:val="EstiloTtulo3ArialCursivaAutomticoAntes12ptoDespu"/>
        <w:numPr>
          <w:ilvl w:val="0"/>
          <w:numId w:val="0"/>
        </w:numPr>
        <w:tabs>
          <w:tab w:val="left" w:pos="708"/>
        </w:tabs>
        <w:rPr>
          <w:sz w:val="22"/>
          <w:szCs w:val="22"/>
          <w:lang w:val="en-US" w:eastAsia="es-ES"/>
        </w:rPr>
      </w:pPr>
      <w:r>
        <w:rPr>
          <w:sz w:val="22"/>
          <w:szCs w:val="22"/>
          <w:lang w:val="en-US" w:eastAsia="es-ES"/>
        </w:rPr>
        <w:t>where:</w:t>
      </w:r>
    </w:p>
    <w:p w14:paraId="63C4EFF4" w14:textId="77777777" w:rsidR="00BB5A7C" w:rsidRDefault="00BB5A7C" w:rsidP="00264E67">
      <w:pPr>
        <w:pStyle w:val="EstiloTtulo3ArialCursivaAutomticoAntes12ptoDespu"/>
        <w:numPr>
          <w:ilvl w:val="0"/>
          <w:numId w:val="0"/>
        </w:numPr>
        <w:tabs>
          <w:tab w:val="left" w:pos="708"/>
        </w:tabs>
        <w:ind w:left="709"/>
        <w:rPr>
          <w:sz w:val="22"/>
          <w:szCs w:val="22"/>
          <w:lang w:val="en-US" w:eastAsia="es-ES"/>
        </w:rPr>
      </w:pPr>
      <w:r>
        <w:rPr>
          <w:sz w:val="22"/>
          <w:szCs w:val="22"/>
          <w:lang w:val="en-US" w:eastAsia="es-ES"/>
        </w:rPr>
        <w:t xml:space="preserve">Cn </w:t>
      </w:r>
      <w:r>
        <w:rPr>
          <w:sz w:val="22"/>
          <w:szCs w:val="22"/>
          <w:lang w:eastAsia="es-ES"/>
        </w:rPr>
        <w:sym w:font="Wingdings" w:char="F0E0"/>
      </w:r>
      <w:r>
        <w:rPr>
          <w:sz w:val="22"/>
          <w:szCs w:val="22"/>
          <w:lang w:val="en-US" w:eastAsia="es-ES"/>
        </w:rPr>
        <w:t xml:space="preserve"> Nominal capacity</w:t>
      </w:r>
    </w:p>
    <w:p w14:paraId="15365F80" w14:textId="77777777" w:rsidR="00BB5A7C" w:rsidRDefault="00BB5A7C" w:rsidP="00264E67">
      <w:pPr>
        <w:pStyle w:val="EstiloTtulo3ArialCursivaAutomticoAntes12ptoDespu"/>
        <w:numPr>
          <w:ilvl w:val="0"/>
          <w:numId w:val="0"/>
        </w:numPr>
        <w:tabs>
          <w:tab w:val="left" w:pos="708"/>
        </w:tabs>
        <w:ind w:left="709"/>
        <w:rPr>
          <w:sz w:val="22"/>
          <w:szCs w:val="22"/>
          <w:lang w:val="en-US" w:eastAsia="es-ES"/>
        </w:rPr>
      </w:pPr>
      <w:r>
        <w:rPr>
          <w:sz w:val="22"/>
          <w:szCs w:val="22"/>
          <w:lang w:val="en-US" w:eastAsia="es-ES"/>
        </w:rPr>
        <w:t xml:space="preserve">RI </w:t>
      </w:r>
      <w:r>
        <w:rPr>
          <w:sz w:val="22"/>
          <w:szCs w:val="22"/>
          <w:lang w:eastAsia="es-ES"/>
        </w:rPr>
        <w:sym w:font="Wingdings" w:char="F0E0"/>
      </w:r>
      <w:r>
        <w:rPr>
          <w:sz w:val="22"/>
          <w:szCs w:val="22"/>
          <w:lang w:val="en-US" w:eastAsia="es-ES"/>
        </w:rPr>
        <w:t xml:space="preserve"> Risk index</w:t>
      </w:r>
    </w:p>
    <w:p w14:paraId="61FA6EA4" w14:textId="77777777" w:rsidR="00BB5A7C" w:rsidRDefault="00BB5A7C" w:rsidP="00264E67">
      <w:pPr>
        <w:pStyle w:val="EstiloTtulo3ArialCursivaAutomticoAntes12ptoDespu"/>
        <w:numPr>
          <w:ilvl w:val="0"/>
          <w:numId w:val="0"/>
        </w:numPr>
        <w:tabs>
          <w:tab w:val="left" w:pos="708"/>
        </w:tabs>
        <w:ind w:left="709"/>
        <w:rPr>
          <w:sz w:val="22"/>
          <w:szCs w:val="22"/>
          <w:lang w:val="en-US" w:eastAsia="es-ES"/>
        </w:rPr>
      </w:pPr>
      <w:r>
        <w:rPr>
          <w:sz w:val="22"/>
          <w:szCs w:val="22"/>
          <w:lang w:val="en-US" w:eastAsia="es-ES"/>
        </w:rPr>
        <w:t xml:space="preserve">OM </w:t>
      </w:r>
      <w:r>
        <w:rPr>
          <w:sz w:val="22"/>
          <w:szCs w:val="22"/>
          <w:lang w:eastAsia="es-ES"/>
        </w:rPr>
        <w:sym w:font="Wingdings" w:char="F0E0"/>
      </w:r>
      <w:r>
        <w:rPr>
          <w:sz w:val="22"/>
          <w:szCs w:val="22"/>
          <w:lang w:val="en-US" w:eastAsia="es-ES"/>
        </w:rPr>
        <w:t xml:space="preserve"> Operating margin, established as a percentage of the OBA</w:t>
      </w:r>
    </w:p>
    <w:p w14:paraId="5F736BCF" w14:textId="77777777" w:rsidR="00BB5A7C" w:rsidRDefault="00BB5A7C" w:rsidP="00264E67">
      <w:pPr>
        <w:pStyle w:val="EstiloTtulo3ArialCursivaAutomticoAntes12ptoDespu"/>
        <w:numPr>
          <w:ilvl w:val="0"/>
          <w:numId w:val="0"/>
        </w:numPr>
        <w:tabs>
          <w:tab w:val="left" w:pos="708"/>
        </w:tabs>
        <w:ind w:left="708"/>
        <w:rPr>
          <w:sz w:val="22"/>
          <w:szCs w:val="22"/>
          <w:lang w:val="en-US" w:eastAsia="es-ES"/>
        </w:rPr>
      </w:pPr>
      <w:r>
        <w:rPr>
          <w:sz w:val="22"/>
          <w:szCs w:val="22"/>
          <w:lang w:val="en-US" w:eastAsia="es-ES"/>
        </w:rPr>
        <w:t>(OM = C% OBA)</w:t>
      </w:r>
    </w:p>
    <w:p w14:paraId="69FBC30E" w14:textId="77777777" w:rsidR="00BB5A7C" w:rsidRDefault="00BB5A7C" w:rsidP="00264E67">
      <w:pPr>
        <w:pStyle w:val="EstiloTtulo3ArialCursivaAutomticoAntes12ptoDespu"/>
        <w:numPr>
          <w:ilvl w:val="0"/>
          <w:numId w:val="0"/>
        </w:numPr>
        <w:tabs>
          <w:tab w:val="left" w:pos="708"/>
        </w:tabs>
        <w:rPr>
          <w:sz w:val="22"/>
          <w:szCs w:val="22"/>
          <w:lang w:val="en-US" w:eastAsia="es-ES"/>
        </w:rPr>
      </w:pPr>
      <w:r>
        <w:rPr>
          <w:sz w:val="22"/>
          <w:szCs w:val="22"/>
          <w:lang w:val="en-US" w:eastAsia="es-ES"/>
        </w:rPr>
        <w:t>Therefore, when the nomination of a day D-1 for a day D is above T</w:t>
      </w:r>
      <w:r>
        <w:rPr>
          <w:sz w:val="22"/>
          <w:szCs w:val="22"/>
          <w:vertAlign w:val="subscript"/>
          <w:lang w:val="en-US" w:eastAsia="es-ES"/>
        </w:rPr>
        <w:t>V</w:t>
      </w:r>
      <w:r>
        <w:rPr>
          <w:sz w:val="22"/>
          <w:szCs w:val="22"/>
          <w:lang w:val="en-US" w:eastAsia="es-ES"/>
        </w:rPr>
        <w:t>, the additional capacity to be offered for day D will be 0.</w:t>
      </w:r>
    </w:p>
    <w:p w14:paraId="7A76EEA3" w14:textId="77777777" w:rsidR="00BB5A7C" w:rsidRDefault="00BB5A7C" w:rsidP="00BB5A7C">
      <w:pPr>
        <w:pStyle w:val="EstiloTtulo3ArialCursivaAutomticoAntes12ptoDespu"/>
        <w:numPr>
          <w:ilvl w:val="2"/>
          <w:numId w:val="56"/>
        </w:numPr>
        <w:rPr>
          <w:b/>
          <w:lang w:eastAsia="es-ES"/>
        </w:rPr>
      </w:pPr>
      <w:r>
        <w:rPr>
          <w:b/>
          <w:lang w:eastAsia="es-ES"/>
        </w:rPr>
        <w:t>Additional capacity function</w:t>
      </w:r>
    </w:p>
    <w:p w14:paraId="3FADDB66" w14:textId="77777777" w:rsidR="00BB5A7C" w:rsidRDefault="00BB5A7C" w:rsidP="00264E67">
      <w:pPr>
        <w:spacing w:before="240" w:after="240"/>
        <w:rPr>
          <w:rFonts w:ascii="Arial" w:hAnsi="Arial"/>
          <w:bCs/>
          <w:iCs/>
          <w:sz w:val="22"/>
          <w:szCs w:val="22"/>
          <w:lang w:val="en-US" w:eastAsia="es-ES"/>
        </w:rPr>
      </w:pPr>
      <w:r>
        <w:rPr>
          <w:rFonts w:ascii="Arial" w:hAnsi="Arial"/>
          <w:bCs/>
          <w:iCs/>
          <w:sz w:val="22"/>
          <w:szCs w:val="22"/>
          <w:lang w:val="en-US" w:eastAsia="es-ES"/>
        </w:rPr>
        <w:t xml:space="preserve">Based on the already quantified risk index RI and the value of the Trigger Value Tv, the following supply function for </w:t>
      </w:r>
      <w:r>
        <w:rPr>
          <w:rFonts w:ascii="Arial" w:hAnsi="Arial"/>
          <w:b/>
          <w:bCs/>
          <w:iCs/>
          <w:sz w:val="22"/>
          <w:szCs w:val="22"/>
          <w:lang w:val="en-US" w:eastAsia="es-ES"/>
        </w:rPr>
        <w:t xml:space="preserve">additional capacity </w:t>
      </w:r>
      <w:r>
        <w:rPr>
          <w:rFonts w:ascii="Arial" w:hAnsi="Arial"/>
          <w:b/>
          <w:bCs/>
          <w:i/>
          <w:iCs/>
          <w:sz w:val="22"/>
          <w:szCs w:val="22"/>
          <w:lang w:val="en-US" w:eastAsia="es-ES"/>
        </w:rPr>
        <w:t>D</w:t>
      </w:r>
      <w:r>
        <w:rPr>
          <w:rFonts w:ascii="Arial" w:hAnsi="Arial"/>
          <w:bCs/>
          <w:iCs/>
          <w:sz w:val="22"/>
          <w:szCs w:val="22"/>
          <w:lang w:val="en-US" w:eastAsia="es-ES"/>
        </w:rPr>
        <w:t xml:space="preserve"> is defined:</w:t>
      </w:r>
    </w:p>
    <w:p w14:paraId="0BC6BF62" w14:textId="77777777" w:rsidR="00BB5A7C" w:rsidRPr="001A2773" w:rsidRDefault="00BB5A7C" w:rsidP="00BB5A7C">
      <w:pPr>
        <w:rPr>
          <w:rFonts w:ascii="Arial" w:hAnsi="Arial"/>
          <w:bCs/>
          <w:iCs/>
        </w:rPr>
      </w:pPr>
      <w:r>
        <w:rPr>
          <w:noProof/>
          <w:lang w:val="es-ES" w:eastAsia="es-ES"/>
        </w:rPr>
        <w:lastRenderedPageBreak/>
        <w:drawing>
          <wp:anchor distT="0" distB="0" distL="114300" distR="114300" simplePos="0" relativeHeight="251661312" behindDoc="0" locked="0" layoutInCell="1" allowOverlap="1" wp14:anchorId="60AD3AE8" wp14:editId="70B9BD9B">
            <wp:simplePos x="0" y="0"/>
            <wp:positionH relativeFrom="column">
              <wp:posOffset>3942080</wp:posOffset>
            </wp:positionH>
            <wp:positionV relativeFrom="paragraph">
              <wp:posOffset>90805</wp:posOffset>
            </wp:positionV>
            <wp:extent cx="1850390" cy="12122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0390" cy="1212215"/>
                    </a:xfrm>
                    <a:prstGeom prst="rect">
                      <a:avLst/>
                    </a:prstGeom>
                    <a:noFill/>
                  </pic:spPr>
                </pic:pic>
              </a:graphicData>
            </a:graphic>
            <wp14:sizeRelH relativeFrom="page">
              <wp14:pctWidth>0</wp14:pctWidth>
            </wp14:sizeRelH>
            <wp14:sizeRelV relativeFrom="page">
              <wp14:pctHeight>0</wp14:pctHeight>
            </wp14:sizeRelV>
          </wp:anchor>
        </w:drawing>
      </w:r>
      <m:oMath>
        <m:r>
          <w:rPr>
            <w:rFonts w:ascii="Cambria Math" w:hAnsi="Cambria Math"/>
            <w:lang w:eastAsia="es-ES"/>
          </w:rPr>
          <m:t xml:space="preserve">D= </m:t>
        </m:r>
        <m:d>
          <m:dPr>
            <m:begChr m:val="{"/>
            <m:endChr m:val=""/>
            <m:ctrlPr>
              <w:rPr>
                <w:rFonts w:ascii="Cambria Math" w:hAnsi="Cambria Math"/>
                <w:bCs/>
                <w:i/>
                <w:iCs/>
              </w:rPr>
            </m:ctrlPr>
          </m:dPr>
          <m:e>
            <m:eqArr>
              <m:eqArrPr>
                <m:ctrlPr>
                  <w:rPr>
                    <w:rFonts w:ascii="Cambria Math" w:hAnsi="Cambria Math"/>
                    <w:bCs/>
                    <w:i/>
                    <w:iCs/>
                  </w:rPr>
                </m:ctrlPr>
              </m:eqArrPr>
              <m:e>
                <m:func>
                  <m:funcPr>
                    <m:ctrlPr>
                      <w:rPr>
                        <w:rFonts w:ascii="Cambria Math" w:hAnsi="Cambria Math"/>
                        <w:bCs/>
                        <w:i/>
                        <w:iCs/>
                      </w:rPr>
                    </m:ctrlPr>
                  </m:funcPr>
                  <m:fName>
                    <m:r>
                      <m:rPr>
                        <m:sty m:val="p"/>
                      </m:rPr>
                      <w:rPr>
                        <w:rFonts w:ascii="Cambria Math" w:hAnsi="Cambria Math"/>
                        <w:lang w:eastAsia="es-ES"/>
                      </w:rPr>
                      <m:t>min</m:t>
                    </m:r>
                  </m:fName>
                  <m:e>
                    <m:r>
                      <w:rPr>
                        <w:rFonts w:ascii="Cambria Math" w:hAnsi="Cambria Math"/>
                        <w:lang w:eastAsia="es-ES"/>
                      </w:rPr>
                      <m:t>(</m:t>
                    </m:r>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-RI-OM-X , A*</m:t>
                    </m:r>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           X≤</m:t>
                    </m:r>
                    <m:f>
                      <m:fPr>
                        <m:ctrlPr>
                          <w:rPr>
                            <w:rFonts w:ascii="Cambria Math" w:hAnsi="Cambria Math"/>
                            <w:bCs/>
                            <w:i/>
                            <w:iCs/>
                          </w:rPr>
                        </m:ctrlPr>
                      </m:fPr>
                      <m:num>
                        <m:r>
                          <w:rPr>
                            <w:rFonts w:ascii="Cambria Math" w:hAnsi="Cambria Math"/>
                            <w:lang w:eastAsia="es-ES"/>
                          </w:rPr>
                          <m:t>3</m:t>
                        </m:r>
                      </m:num>
                      <m:den>
                        <m:r>
                          <w:rPr>
                            <w:rFonts w:ascii="Cambria Math" w:hAnsi="Cambria Math"/>
                            <w:lang w:eastAsia="es-ES"/>
                          </w:rPr>
                          <m:t>5</m:t>
                        </m:r>
                      </m:den>
                    </m:f>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e>
                </m:func>
              </m:e>
              <m:e>
                <m:func>
                  <m:funcPr>
                    <m:ctrlPr>
                      <w:rPr>
                        <w:rFonts w:ascii="Cambria Math" w:hAnsi="Cambria Math"/>
                        <w:bCs/>
                        <w:i/>
                        <w:iCs/>
                      </w:rPr>
                    </m:ctrlPr>
                  </m:funcPr>
                  <m:fName>
                    <m:r>
                      <m:rPr>
                        <m:sty m:val="p"/>
                      </m:rPr>
                      <w:rPr>
                        <w:rFonts w:ascii="Cambria Math" w:hAnsi="Cambria Math"/>
                        <w:lang w:eastAsia="es-ES"/>
                      </w:rPr>
                      <m:t>min</m:t>
                    </m:r>
                  </m:fName>
                  <m:e>
                    <m:r>
                      <w:rPr>
                        <w:rFonts w:ascii="Cambria Math" w:hAnsi="Cambria Math"/>
                        <w:lang w:eastAsia="es-ES"/>
                      </w:rPr>
                      <m:t>(</m:t>
                    </m:r>
                  </m:e>
                </m:func>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-RI-OM-X , B*</m:t>
                </m:r>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 xml:space="preserve">)        </m:t>
                </m:r>
                <m:f>
                  <m:fPr>
                    <m:ctrlPr>
                      <w:rPr>
                        <w:rFonts w:ascii="Cambria Math" w:hAnsi="Cambria Math"/>
                        <w:bCs/>
                        <w:i/>
                        <w:iCs/>
                      </w:rPr>
                    </m:ctrlPr>
                  </m:fPr>
                  <m:num>
                    <m:r>
                      <w:rPr>
                        <w:rFonts w:ascii="Cambria Math" w:hAnsi="Cambria Math"/>
                        <w:lang w:eastAsia="es-ES"/>
                      </w:rPr>
                      <m:t>3</m:t>
                    </m:r>
                  </m:num>
                  <m:den>
                    <m:r>
                      <w:rPr>
                        <w:rFonts w:ascii="Cambria Math" w:hAnsi="Cambria Math"/>
                        <w:lang w:eastAsia="es-ES"/>
                      </w:rPr>
                      <m:t>5</m:t>
                    </m:r>
                  </m:den>
                </m:f>
                <m:sSub>
                  <m:sSubPr>
                    <m:ctrlPr>
                      <w:rPr>
                        <w:rFonts w:ascii="Cambria Math" w:hAnsi="Cambria Math"/>
                        <w:bCs/>
                        <w:i/>
                        <w:iCs/>
                      </w:rPr>
                    </m:ctrlPr>
                  </m:sSubPr>
                  <m:e>
                    <m:r>
                      <w:rPr>
                        <w:rFonts w:ascii="Cambria Math" w:hAnsi="Cambria Math"/>
                        <w:lang w:eastAsia="es-ES"/>
                      </w:rPr>
                      <m:t>C</m:t>
                    </m:r>
                  </m:e>
                  <m:sub>
                    <m:r>
                      <w:rPr>
                        <w:rFonts w:ascii="Cambria Math" w:hAnsi="Cambria Math"/>
                        <w:lang w:eastAsia="es-ES"/>
                      </w:rPr>
                      <m:t>n</m:t>
                    </m:r>
                  </m:sub>
                </m:sSub>
                <m:r>
                  <w:rPr>
                    <w:rFonts w:ascii="Cambria Math" w:hAnsi="Cambria Math"/>
                    <w:lang w:eastAsia="es-ES"/>
                  </w:rPr>
                  <m:t>&lt; X&lt;</m:t>
                </m:r>
                <m:sSub>
                  <m:sSubPr>
                    <m:ctrlPr>
                      <w:rPr>
                        <w:rFonts w:ascii="Cambria Math" w:hAnsi="Cambria Math"/>
                        <w:bCs/>
                        <w:i/>
                        <w:iCs/>
                      </w:rPr>
                    </m:ctrlPr>
                  </m:sSubPr>
                  <m:e>
                    <m:r>
                      <w:rPr>
                        <w:rFonts w:ascii="Cambria Math" w:hAnsi="Cambria Math"/>
                        <w:lang w:eastAsia="es-ES"/>
                      </w:rPr>
                      <m:t>T</m:t>
                    </m:r>
                  </m:e>
                  <m:sub>
                    <m:r>
                      <w:rPr>
                        <w:rFonts w:ascii="Cambria Math" w:hAnsi="Cambria Math"/>
                        <w:lang w:eastAsia="es-ES"/>
                      </w:rPr>
                      <m:t>V</m:t>
                    </m:r>
                  </m:sub>
                </m:sSub>
              </m:e>
              <m:e>
                <m:r>
                  <w:rPr>
                    <w:rFonts w:ascii="Cambria Math" w:hAnsi="Cambria Math"/>
                    <w:lang w:eastAsia="es-ES"/>
                  </w:rPr>
                  <m:t>0                                                                    X≥</m:t>
                </m:r>
                <m:sSub>
                  <m:sSubPr>
                    <m:ctrlPr>
                      <w:rPr>
                        <w:rFonts w:ascii="Cambria Math" w:hAnsi="Cambria Math"/>
                        <w:bCs/>
                        <w:i/>
                        <w:iCs/>
                      </w:rPr>
                    </m:ctrlPr>
                  </m:sSubPr>
                  <m:e>
                    <m:r>
                      <w:rPr>
                        <w:rFonts w:ascii="Cambria Math" w:hAnsi="Cambria Math"/>
                        <w:lang w:eastAsia="es-ES"/>
                      </w:rPr>
                      <m:t>T</m:t>
                    </m:r>
                  </m:e>
                  <m:sub>
                    <m:r>
                      <w:rPr>
                        <w:rFonts w:ascii="Cambria Math" w:hAnsi="Cambria Math"/>
                        <w:lang w:eastAsia="es-ES"/>
                      </w:rPr>
                      <m:t>V</m:t>
                    </m:r>
                  </m:sub>
                </m:sSub>
              </m:e>
            </m:eqArr>
          </m:e>
        </m:d>
      </m:oMath>
    </w:p>
    <w:p w14:paraId="62A8D895" w14:textId="77777777" w:rsidR="00BB5A7C" w:rsidRPr="00BB5A7C" w:rsidRDefault="00BB5A7C" w:rsidP="00BB5A7C">
      <w:pPr>
        <w:rPr>
          <w:rFonts w:ascii="Arial" w:hAnsi="Arial"/>
          <w:bCs/>
          <w:iCs/>
          <w:lang w:eastAsia="es-ES"/>
        </w:rPr>
      </w:pPr>
    </w:p>
    <w:p w14:paraId="0289BF00" w14:textId="77777777" w:rsidR="00BB5A7C" w:rsidRDefault="00BB5A7C" w:rsidP="00BB5A7C">
      <w:pPr>
        <w:pStyle w:val="EstiloTtulo2Arial13ptAntes12ptoDespus12pto"/>
        <w:numPr>
          <w:ilvl w:val="1"/>
          <w:numId w:val="56"/>
        </w:numPr>
        <w:rPr>
          <w:lang w:eastAsia="es-ES"/>
        </w:rPr>
      </w:pPr>
      <w:bookmarkStart w:id="15" w:name="_Toc422319182"/>
      <w:bookmarkStart w:id="16" w:name="_Toc423419725"/>
      <w:r>
        <w:rPr>
          <w:lang w:eastAsia="es-ES"/>
        </w:rPr>
        <w:t>Update of the Calculation of additional capacity Methodology</w:t>
      </w:r>
      <w:bookmarkEnd w:id="15"/>
      <w:bookmarkEnd w:id="16"/>
    </w:p>
    <w:p w14:paraId="79710191" w14:textId="77777777" w:rsidR="00BB5A7C" w:rsidRDefault="00BB5A7C" w:rsidP="001A2773">
      <w:pPr>
        <w:spacing w:before="240" w:after="240"/>
        <w:jc w:val="both"/>
        <w:rPr>
          <w:rFonts w:ascii="Arial" w:hAnsi="Arial" w:cs="Arial"/>
          <w:sz w:val="22"/>
          <w:szCs w:val="22"/>
          <w:lang w:val="en-GB"/>
        </w:rPr>
      </w:pPr>
      <w:r>
        <w:rPr>
          <w:rFonts w:ascii="Arial" w:hAnsi="Arial" w:cs="Arial"/>
          <w:sz w:val="22"/>
          <w:szCs w:val="22"/>
          <w:lang w:val="en-GB"/>
        </w:rPr>
        <w:t>Given that this methodology is based on the historical analysis of the interconnections, the variables that comprise the function of the additional capacity to be offered will be automatically recalculated daily, including the information about the nominations and renominations from each day. These variables that will automatically be updated every day are the following:</w:t>
      </w:r>
    </w:p>
    <w:p w14:paraId="7F561C13"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Maximum Deviation M</w:t>
      </w:r>
      <w:r>
        <w:rPr>
          <w:rFonts w:ascii="Arial" w:hAnsi="Arial" w:cs="Arial"/>
          <w:sz w:val="22"/>
          <w:szCs w:val="22"/>
          <w:vertAlign w:val="subscript"/>
          <w:lang w:val="en-GB"/>
        </w:rPr>
        <w:t>D</w:t>
      </w:r>
    </w:p>
    <w:p w14:paraId="257FF42C"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Risk Index RI</w:t>
      </w:r>
    </w:p>
    <w:p w14:paraId="38C70BC9"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Trigger Value Tv</w:t>
      </w:r>
    </w:p>
    <w:p w14:paraId="471BE2A7"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Additional capacity to be offered function D</w:t>
      </w:r>
    </w:p>
    <w:p w14:paraId="13D30932" w14:textId="77777777" w:rsidR="00BB5A7C" w:rsidRDefault="00BB5A7C" w:rsidP="001A2773">
      <w:pPr>
        <w:spacing w:before="240" w:after="240"/>
        <w:jc w:val="both"/>
        <w:rPr>
          <w:rFonts w:ascii="Arial" w:hAnsi="Arial" w:cs="Arial"/>
          <w:sz w:val="22"/>
          <w:szCs w:val="22"/>
          <w:lang w:val="en-GB"/>
        </w:rPr>
      </w:pPr>
      <w:r>
        <w:rPr>
          <w:rFonts w:ascii="Arial" w:hAnsi="Arial" w:cs="Arial"/>
          <w:sz w:val="22"/>
          <w:szCs w:val="22"/>
          <w:lang w:val="en-GB"/>
        </w:rPr>
        <w:t xml:space="preserve"> The following values for the fixed parameters are proposed</w:t>
      </w:r>
      <w:r w:rsidR="00B07DDE">
        <w:rPr>
          <w:rFonts w:ascii="Arial" w:hAnsi="Arial" w:cs="Arial"/>
          <w:sz w:val="22"/>
          <w:szCs w:val="22"/>
          <w:lang w:val="en-GB"/>
        </w:rPr>
        <w:t xml:space="preserve"> as default values</w:t>
      </w:r>
      <w:r>
        <w:rPr>
          <w:rFonts w:ascii="Arial" w:hAnsi="Arial" w:cs="Arial"/>
          <w:sz w:val="22"/>
          <w:szCs w:val="22"/>
          <w:lang w:val="en-GB"/>
        </w:rPr>
        <w:t>:</w:t>
      </w:r>
    </w:p>
    <w:p w14:paraId="2214858D"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C (% of the OBA for the calculation of the operating margin) = 25%</w:t>
      </w:r>
    </w:p>
    <w:p w14:paraId="08544985"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f (safety factor) = 1.1 (equivalent to 10%)</w:t>
      </w:r>
    </w:p>
    <w:p w14:paraId="249517E2"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A (Cap1 of the nominal capacity) = 0.1 (which equals 10% of the nominal capacity)</w:t>
      </w:r>
    </w:p>
    <w:p w14:paraId="06C20528" w14:textId="77777777" w:rsidR="00BB5A7C" w:rsidRDefault="00BB5A7C" w:rsidP="00264E67">
      <w:pPr>
        <w:pStyle w:val="Prrafodelista"/>
        <w:numPr>
          <w:ilvl w:val="0"/>
          <w:numId w:val="57"/>
        </w:numPr>
        <w:spacing w:before="240" w:after="240"/>
        <w:ind w:left="714" w:hanging="357"/>
        <w:contextualSpacing w:val="0"/>
        <w:jc w:val="both"/>
        <w:rPr>
          <w:rFonts w:ascii="Arial" w:hAnsi="Arial" w:cs="Arial"/>
          <w:sz w:val="22"/>
          <w:szCs w:val="22"/>
          <w:lang w:val="en-GB"/>
        </w:rPr>
      </w:pPr>
      <w:r>
        <w:rPr>
          <w:rFonts w:ascii="Arial" w:hAnsi="Arial" w:cs="Arial"/>
          <w:sz w:val="22"/>
          <w:szCs w:val="22"/>
          <w:lang w:val="en-GB"/>
        </w:rPr>
        <w:t xml:space="preserve">B (Cap2 of the nominal capacity) = 0.05 (which equals 5% of the nominal capacity) </w:t>
      </w:r>
    </w:p>
    <w:p w14:paraId="5C4C9104" w14:textId="77777777" w:rsidR="00BB5A7C" w:rsidRDefault="00BB5A7C" w:rsidP="001A2773">
      <w:pPr>
        <w:spacing w:before="240" w:after="240"/>
        <w:jc w:val="both"/>
        <w:rPr>
          <w:rFonts w:ascii="Arial" w:hAnsi="Arial" w:cs="Arial"/>
          <w:sz w:val="22"/>
          <w:szCs w:val="22"/>
          <w:lang w:val="en-GB"/>
        </w:rPr>
      </w:pPr>
      <w:r>
        <w:rPr>
          <w:rFonts w:ascii="Arial" w:hAnsi="Arial" w:cs="Arial"/>
          <w:sz w:val="22"/>
          <w:szCs w:val="22"/>
          <w:lang w:val="en-GB"/>
        </w:rPr>
        <w:t>Before the first practical application of this methodology, the relevant TSOs and NRAs shall agree upon a common set of parameters foreseen throughout the methodology, which shall be updated annually.</w:t>
      </w:r>
    </w:p>
    <w:p w14:paraId="00643D38" w14:textId="77777777" w:rsidR="005C60E5" w:rsidRDefault="005C60E5" w:rsidP="005C60E5">
      <w:pPr>
        <w:pStyle w:val="EstiloTtulo2Arial13ptAntes12ptoDespus12pto"/>
        <w:rPr>
          <w:lang w:eastAsia="es-ES"/>
        </w:rPr>
      </w:pPr>
      <w:bookmarkStart w:id="17" w:name="_Toc423419726"/>
      <w:r>
        <w:rPr>
          <w:lang w:eastAsia="es-ES"/>
        </w:rPr>
        <w:t>Offer of additional capacity</w:t>
      </w:r>
      <w:bookmarkEnd w:id="17"/>
    </w:p>
    <w:p w14:paraId="208D3D00" w14:textId="77777777" w:rsidR="005C60E5" w:rsidRDefault="005C60E5" w:rsidP="004949BF">
      <w:pPr>
        <w:spacing w:before="240" w:after="240"/>
        <w:jc w:val="both"/>
        <w:rPr>
          <w:rFonts w:ascii="Arial" w:hAnsi="Arial" w:cs="Arial"/>
          <w:sz w:val="22"/>
          <w:szCs w:val="22"/>
          <w:lang w:val="en-GB"/>
        </w:rPr>
      </w:pPr>
      <w:r>
        <w:rPr>
          <w:rFonts w:ascii="Arial" w:hAnsi="Arial" w:cs="Arial"/>
          <w:sz w:val="22"/>
          <w:szCs w:val="22"/>
          <w:lang w:val="en-GB"/>
        </w:rPr>
        <w:t xml:space="preserve">Additional capacity will be always offered at VIP </w:t>
      </w:r>
      <w:r w:rsidR="0019015C">
        <w:rPr>
          <w:rFonts w:ascii="Arial" w:hAnsi="Arial" w:cs="Arial"/>
          <w:sz w:val="22"/>
          <w:szCs w:val="22"/>
          <w:lang w:val="en-GB"/>
        </w:rPr>
        <w:t>Ibérico</w:t>
      </w:r>
      <w:r>
        <w:rPr>
          <w:rFonts w:ascii="Arial" w:hAnsi="Arial" w:cs="Arial"/>
          <w:sz w:val="22"/>
          <w:szCs w:val="22"/>
          <w:lang w:val="en-GB"/>
        </w:rPr>
        <w:t xml:space="preserve"> </w:t>
      </w:r>
      <w:r w:rsidR="00F646F4">
        <w:rPr>
          <w:rFonts w:ascii="Arial" w:hAnsi="Arial" w:cs="Arial"/>
          <w:sz w:val="22"/>
          <w:szCs w:val="22"/>
          <w:lang w:val="en-GB"/>
        </w:rPr>
        <w:t xml:space="preserve">and/or VIP Pirineos </w:t>
      </w:r>
      <w:r>
        <w:rPr>
          <w:rFonts w:ascii="Arial" w:hAnsi="Arial" w:cs="Arial"/>
          <w:sz w:val="22"/>
          <w:szCs w:val="22"/>
          <w:lang w:val="en-GB"/>
        </w:rPr>
        <w:t>jointly with the available capacity through auctions. Both additional capacity and available capacity will be treated as firm capacity and there will not be any distinction between them.</w:t>
      </w:r>
    </w:p>
    <w:p w14:paraId="6569F08E" w14:textId="77777777" w:rsidR="005C60E5" w:rsidRDefault="007C08F5" w:rsidP="004949BF">
      <w:pPr>
        <w:spacing w:before="240" w:after="240"/>
        <w:jc w:val="both"/>
        <w:rPr>
          <w:rFonts w:ascii="Arial" w:hAnsi="Arial" w:cs="Arial"/>
          <w:sz w:val="22"/>
          <w:szCs w:val="22"/>
          <w:lang w:val="en-GB"/>
        </w:rPr>
      </w:pPr>
      <w:r w:rsidRPr="004949BF">
        <w:rPr>
          <w:rFonts w:ascii="Arial" w:hAnsi="Arial" w:cs="Arial"/>
          <w:sz w:val="22"/>
          <w:szCs w:val="22"/>
          <w:lang w:val="en-GB"/>
        </w:rPr>
        <w:t xml:space="preserve">The methodology proposed for calculating the </w:t>
      </w:r>
      <w:r w:rsidR="00BF07B4">
        <w:rPr>
          <w:rFonts w:ascii="Arial" w:hAnsi="Arial" w:cs="Arial"/>
          <w:sz w:val="22"/>
          <w:szCs w:val="22"/>
          <w:lang w:val="en-GB"/>
        </w:rPr>
        <w:t>additional</w:t>
      </w:r>
      <w:r w:rsidRPr="004949BF">
        <w:rPr>
          <w:rFonts w:ascii="Arial" w:hAnsi="Arial" w:cs="Arial"/>
          <w:sz w:val="22"/>
          <w:szCs w:val="22"/>
          <w:lang w:val="en-GB"/>
        </w:rPr>
        <w:t xml:space="preserve"> capacity ensures that the </w:t>
      </w:r>
      <w:r w:rsidR="00BF07B4">
        <w:rPr>
          <w:rFonts w:ascii="Arial" w:hAnsi="Arial" w:cs="Arial"/>
          <w:sz w:val="22"/>
          <w:szCs w:val="22"/>
          <w:lang w:val="en-GB"/>
        </w:rPr>
        <w:t>amount of additional</w:t>
      </w:r>
      <w:r w:rsidRPr="004949BF">
        <w:rPr>
          <w:rFonts w:ascii="Arial" w:hAnsi="Arial" w:cs="Arial"/>
          <w:sz w:val="22"/>
          <w:szCs w:val="22"/>
          <w:lang w:val="en-GB"/>
        </w:rPr>
        <w:t xml:space="preserve"> capacity </w:t>
      </w:r>
      <w:r w:rsidR="00BF07B4">
        <w:rPr>
          <w:rFonts w:ascii="Arial" w:hAnsi="Arial" w:cs="Arial"/>
          <w:sz w:val="22"/>
          <w:szCs w:val="22"/>
          <w:lang w:val="en-GB"/>
        </w:rPr>
        <w:t xml:space="preserve">to be offered </w:t>
      </w:r>
      <w:r w:rsidRPr="004949BF">
        <w:rPr>
          <w:rFonts w:ascii="Arial" w:hAnsi="Arial" w:cs="Arial"/>
          <w:sz w:val="22"/>
          <w:szCs w:val="22"/>
          <w:lang w:val="en-GB"/>
        </w:rPr>
        <w:t>at both sides of the VIP</w:t>
      </w:r>
      <w:r w:rsidR="00DC0D35" w:rsidRPr="00DC0D35">
        <w:rPr>
          <w:rFonts w:ascii="Arial" w:hAnsi="Arial" w:cs="Arial"/>
          <w:sz w:val="22"/>
          <w:szCs w:val="22"/>
          <w:lang w:val="en-GB"/>
        </w:rPr>
        <w:t xml:space="preserve"> </w:t>
      </w:r>
      <w:r w:rsidR="0019015C">
        <w:rPr>
          <w:rFonts w:ascii="Arial" w:hAnsi="Arial" w:cs="Arial"/>
          <w:sz w:val="22"/>
          <w:szCs w:val="22"/>
          <w:lang w:val="en-GB"/>
        </w:rPr>
        <w:t>Ibérico</w:t>
      </w:r>
      <w:r w:rsidR="00F646F4" w:rsidRPr="00F646F4">
        <w:rPr>
          <w:rFonts w:ascii="Arial" w:hAnsi="Arial" w:cs="Arial"/>
          <w:sz w:val="22"/>
          <w:szCs w:val="22"/>
          <w:lang w:val="en-GB"/>
        </w:rPr>
        <w:t xml:space="preserve"> </w:t>
      </w:r>
      <w:r w:rsidR="00F646F4">
        <w:rPr>
          <w:rFonts w:ascii="Arial" w:hAnsi="Arial" w:cs="Arial"/>
          <w:sz w:val="22"/>
          <w:szCs w:val="22"/>
          <w:lang w:val="en-GB"/>
        </w:rPr>
        <w:t>and/or VIP Pirineos</w:t>
      </w:r>
      <w:r w:rsidR="0019015C">
        <w:rPr>
          <w:rFonts w:ascii="Arial" w:hAnsi="Arial" w:cs="Arial"/>
          <w:sz w:val="22"/>
          <w:szCs w:val="22"/>
          <w:lang w:val="en-GB"/>
        </w:rPr>
        <w:t xml:space="preserve"> </w:t>
      </w:r>
      <w:r w:rsidR="00DC0D35">
        <w:rPr>
          <w:rFonts w:ascii="Arial" w:hAnsi="Arial" w:cs="Arial"/>
          <w:sz w:val="22"/>
          <w:szCs w:val="22"/>
          <w:lang w:val="en-GB"/>
        </w:rPr>
        <w:t>will</w:t>
      </w:r>
      <w:r w:rsidR="00DC0D35" w:rsidRPr="004949BF">
        <w:rPr>
          <w:rFonts w:ascii="Arial" w:hAnsi="Arial" w:cs="Arial"/>
          <w:sz w:val="22"/>
          <w:szCs w:val="22"/>
          <w:lang w:val="en-GB"/>
        </w:rPr>
        <w:t xml:space="preserve"> be the same</w:t>
      </w:r>
      <w:r w:rsidR="00BF07B4">
        <w:rPr>
          <w:rFonts w:ascii="Arial" w:hAnsi="Arial" w:cs="Arial"/>
          <w:sz w:val="22"/>
          <w:szCs w:val="22"/>
          <w:lang w:val="en-GB"/>
        </w:rPr>
        <w:t xml:space="preserve">. </w:t>
      </w:r>
    </w:p>
    <w:p w14:paraId="2C3E71B8" w14:textId="77777777" w:rsidR="00041E84" w:rsidRPr="004949BF" w:rsidRDefault="005C60E5" w:rsidP="004949BF">
      <w:pPr>
        <w:spacing w:before="240" w:after="240"/>
        <w:jc w:val="both"/>
        <w:rPr>
          <w:rFonts w:ascii="Arial" w:hAnsi="Arial" w:cs="Arial"/>
          <w:sz w:val="22"/>
          <w:szCs w:val="22"/>
          <w:lang w:val="en-GB"/>
        </w:rPr>
      </w:pPr>
      <w:r>
        <w:rPr>
          <w:rFonts w:ascii="Arial" w:hAnsi="Arial" w:cs="Arial"/>
          <w:sz w:val="22"/>
          <w:szCs w:val="22"/>
          <w:lang w:val="en-GB"/>
        </w:rPr>
        <w:t>I</w:t>
      </w:r>
      <w:r w:rsidR="00755D3E">
        <w:rPr>
          <w:rFonts w:ascii="Arial" w:hAnsi="Arial" w:cs="Arial"/>
          <w:sz w:val="22"/>
          <w:szCs w:val="22"/>
          <w:lang w:val="en-GB"/>
        </w:rPr>
        <w:t xml:space="preserve">n order to maximise the offer of bundled capacity, </w:t>
      </w:r>
      <w:r w:rsidR="00BF07B4">
        <w:rPr>
          <w:rFonts w:ascii="Arial" w:hAnsi="Arial" w:cs="Arial"/>
          <w:sz w:val="22"/>
          <w:szCs w:val="22"/>
          <w:lang w:val="en-GB"/>
        </w:rPr>
        <w:t xml:space="preserve">all the additional capacity will </w:t>
      </w:r>
      <w:r w:rsidR="007945CF">
        <w:rPr>
          <w:rFonts w:ascii="Arial" w:hAnsi="Arial" w:cs="Arial"/>
          <w:sz w:val="22"/>
          <w:szCs w:val="22"/>
          <w:lang w:val="en-GB"/>
        </w:rPr>
        <w:t xml:space="preserve">be </w:t>
      </w:r>
      <w:r w:rsidR="00BF07B4">
        <w:rPr>
          <w:rFonts w:ascii="Arial" w:hAnsi="Arial" w:cs="Arial"/>
          <w:sz w:val="22"/>
          <w:szCs w:val="22"/>
          <w:lang w:val="en-GB"/>
        </w:rPr>
        <w:t>offer</w:t>
      </w:r>
      <w:r w:rsidR="007945CF">
        <w:rPr>
          <w:rFonts w:ascii="Arial" w:hAnsi="Arial" w:cs="Arial"/>
          <w:sz w:val="22"/>
          <w:szCs w:val="22"/>
          <w:lang w:val="en-GB"/>
        </w:rPr>
        <w:t>ed</w:t>
      </w:r>
      <w:r>
        <w:rPr>
          <w:rFonts w:ascii="Arial" w:hAnsi="Arial" w:cs="Arial"/>
          <w:sz w:val="22"/>
          <w:szCs w:val="22"/>
          <w:lang w:val="en-GB"/>
        </w:rPr>
        <w:t xml:space="preserve"> always</w:t>
      </w:r>
      <w:r w:rsidR="00BF07B4" w:rsidRPr="004949BF">
        <w:rPr>
          <w:rFonts w:ascii="Arial" w:hAnsi="Arial" w:cs="Arial"/>
          <w:sz w:val="22"/>
          <w:szCs w:val="22"/>
          <w:lang w:val="en-GB"/>
        </w:rPr>
        <w:t xml:space="preserve"> as bundled</w:t>
      </w:r>
      <w:r w:rsidR="007945CF">
        <w:rPr>
          <w:rFonts w:ascii="Arial" w:hAnsi="Arial" w:cs="Arial"/>
          <w:sz w:val="22"/>
          <w:szCs w:val="22"/>
          <w:lang w:val="en-GB"/>
        </w:rPr>
        <w:t xml:space="preserve"> capacity</w:t>
      </w:r>
      <w:r w:rsidR="00BF07B4" w:rsidRPr="004949BF">
        <w:rPr>
          <w:rFonts w:ascii="Arial" w:hAnsi="Arial" w:cs="Arial"/>
          <w:sz w:val="22"/>
          <w:szCs w:val="22"/>
          <w:lang w:val="en-GB"/>
        </w:rPr>
        <w:t>.</w:t>
      </w:r>
    </w:p>
    <w:p w14:paraId="729D7C87" w14:textId="77777777" w:rsidR="007945CF" w:rsidRDefault="00FD5D26" w:rsidP="00FD5D26">
      <w:pPr>
        <w:spacing w:before="240" w:after="240"/>
        <w:jc w:val="both"/>
        <w:rPr>
          <w:rFonts w:ascii="Arial" w:hAnsi="Arial" w:cs="Arial"/>
          <w:sz w:val="22"/>
          <w:szCs w:val="22"/>
          <w:lang w:val="en-GB"/>
        </w:rPr>
      </w:pPr>
      <w:r>
        <w:rPr>
          <w:rFonts w:ascii="Arial" w:hAnsi="Arial" w:cs="Arial"/>
          <w:sz w:val="22"/>
          <w:szCs w:val="22"/>
          <w:lang w:val="en-GB"/>
        </w:rPr>
        <w:t>Additional capacity will be offered</w:t>
      </w:r>
      <w:r w:rsidR="007945CF">
        <w:rPr>
          <w:rFonts w:ascii="Arial" w:hAnsi="Arial" w:cs="Arial"/>
          <w:sz w:val="22"/>
          <w:szCs w:val="22"/>
          <w:lang w:val="en-GB"/>
        </w:rPr>
        <w:t>:</w:t>
      </w:r>
    </w:p>
    <w:p w14:paraId="1EBF3B56" w14:textId="77777777" w:rsidR="007945CF" w:rsidRPr="00D72A52" w:rsidRDefault="007945CF" w:rsidP="00D72A52">
      <w:pPr>
        <w:pStyle w:val="Prrafodelista"/>
        <w:numPr>
          <w:ilvl w:val="0"/>
          <w:numId w:val="33"/>
        </w:numPr>
        <w:spacing w:before="240" w:after="240"/>
        <w:contextualSpacing w:val="0"/>
        <w:jc w:val="both"/>
        <w:rPr>
          <w:rFonts w:ascii="Arial" w:hAnsi="Arial" w:cs="Arial"/>
          <w:sz w:val="22"/>
          <w:szCs w:val="22"/>
          <w:lang w:val="en-US"/>
        </w:rPr>
      </w:pPr>
      <w:r w:rsidRPr="00D72A52">
        <w:rPr>
          <w:rFonts w:ascii="Arial" w:hAnsi="Arial" w:cs="Arial"/>
          <w:sz w:val="22"/>
          <w:szCs w:val="22"/>
          <w:lang w:val="en-US"/>
        </w:rPr>
        <w:lastRenderedPageBreak/>
        <w:t>A</w:t>
      </w:r>
      <w:r w:rsidR="00FD5D26" w:rsidRPr="00D72A52">
        <w:rPr>
          <w:rFonts w:ascii="Arial" w:hAnsi="Arial" w:cs="Arial"/>
          <w:sz w:val="22"/>
          <w:szCs w:val="22"/>
          <w:lang w:val="en-US"/>
        </w:rPr>
        <w:t>s a daily standard capacity product through the rolling day ahead capacity auction</w:t>
      </w:r>
      <w:r w:rsidR="00D66C58">
        <w:rPr>
          <w:rFonts w:ascii="Arial" w:hAnsi="Arial" w:cs="Arial"/>
          <w:sz w:val="22"/>
          <w:szCs w:val="22"/>
          <w:lang w:val="en-US"/>
        </w:rPr>
        <w:t xml:space="preserve"> which takes place at </w:t>
      </w:r>
      <w:r w:rsidR="00D66C58" w:rsidRPr="002C327C">
        <w:rPr>
          <w:rFonts w:ascii="Arial" w:hAnsi="Arial" w:cs="Arial"/>
          <w:sz w:val="22"/>
          <w:szCs w:val="22"/>
          <w:lang w:val="en-US"/>
        </w:rPr>
        <w:t>1</w:t>
      </w:r>
      <w:r w:rsidR="00F646F4">
        <w:rPr>
          <w:rFonts w:ascii="Arial" w:hAnsi="Arial" w:cs="Arial"/>
          <w:sz w:val="22"/>
          <w:szCs w:val="22"/>
          <w:lang w:val="en-US"/>
        </w:rPr>
        <w:t>5</w:t>
      </w:r>
      <w:r w:rsidR="00D66C58" w:rsidRPr="002C327C">
        <w:rPr>
          <w:rFonts w:ascii="Arial" w:hAnsi="Arial" w:cs="Arial"/>
          <w:sz w:val="22"/>
          <w:szCs w:val="22"/>
          <w:lang w:val="en-US"/>
        </w:rPr>
        <w:t xml:space="preserve">:30 </w:t>
      </w:r>
      <w:r w:rsidR="00F646F4">
        <w:rPr>
          <w:rFonts w:ascii="Arial" w:hAnsi="Arial" w:cs="Arial"/>
          <w:sz w:val="22"/>
          <w:szCs w:val="22"/>
          <w:lang w:val="en-US"/>
        </w:rPr>
        <w:t>UTC</w:t>
      </w:r>
      <w:r w:rsidR="00D66C58">
        <w:rPr>
          <w:rFonts w:ascii="Arial" w:hAnsi="Arial" w:cs="Arial"/>
          <w:sz w:val="22"/>
          <w:szCs w:val="22"/>
          <w:lang w:val="en-US"/>
        </w:rPr>
        <w:t xml:space="preserve"> </w:t>
      </w:r>
      <w:r w:rsidR="00D66C58" w:rsidRPr="002C327C">
        <w:rPr>
          <w:rFonts w:ascii="Arial" w:hAnsi="Arial" w:cs="Arial"/>
          <w:sz w:val="22"/>
          <w:szCs w:val="22"/>
          <w:lang w:val="en-US"/>
        </w:rPr>
        <w:t>(</w:t>
      </w:r>
      <w:r w:rsidR="00D66C58">
        <w:rPr>
          <w:rFonts w:ascii="Arial" w:hAnsi="Arial" w:cs="Arial"/>
          <w:sz w:val="22"/>
          <w:szCs w:val="22"/>
          <w:lang w:val="en-US"/>
        </w:rPr>
        <w:t>D</w:t>
      </w:r>
      <w:r w:rsidR="00D66C58" w:rsidRPr="002C327C">
        <w:rPr>
          <w:rFonts w:ascii="Arial" w:hAnsi="Arial" w:cs="Arial"/>
          <w:sz w:val="22"/>
          <w:szCs w:val="22"/>
          <w:lang w:val="en-US"/>
        </w:rPr>
        <w:t>-1)</w:t>
      </w:r>
      <w:r w:rsidR="00F646F4">
        <w:rPr>
          <w:rFonts w:ascii="Arial" w:hAnsi="Arial" w:cs="Arial"/>
          <w:sz w:val="22"/>
          <w:szCs w:val="22"/>
          <w:lang w:val="en-US"/>
        </w:rPr>
        <w:t xml:space="preserve"> in winter time or 14:30 UTC (D-1) (day light saving)</w:t>
      </w:r>
      <w:r w:rsidR="00FD5D26" w:rsidRPr="00D72A52">
        <w:rPr>
          <w:rFonts w:ascii="Arial" w:hAnsi="Arial" w:cs="Arial"/>
          <w:sz w:val="22"/>
          <w:szCs w:val="22"/>
          <w:lang w:val="en-US"/>
        </w:rPr>
        <w:t xml:space="preserve">. </w:t>
      </w:r>
    </w:p>
    <w:p w14:paraId="29540220" w14:textId="77777777" w:rsidR="00FD5D26" w:rsidRPr="00D72A52" w:rsidRDefault="007945CF" w:rsidP="00D72A52">
      <w:pPr>
        <w:pStyle w:val="Prrafodelista"/>
        <w:numPr>
          <w:ilvl w:val="0"/>
          <w:numId w:val="33"/>
        </w:numPr>
        <w:spacing w:before="240" w:after="240"/>
        <w:contextualSpacing w:val="0"/>
        <w:jc w:val="both"/>
        <w:rPr>
          <w:rFonts w:ascii="Arial" w:hAnsi="Arial" w:cs="Arial"/>
          <w:sz w:val="22"/>
          <w:szCs w:val="22"/>
          <w:lang w:val="en-US"/>
        </w:rPr>
      </w:pPr>
      <w:r w:rsidRPr="00D72A52">
        <w:rPr>
          <w:rFonts w:ascii="Arial" w:hAnsi="Arial" w:cs="Arial"/>
          <w:sz w:val="22"/>
          <w:szCs w:val="22"/>
          <w:lang w:val="en-US"/>
        </w:rPr>
        <w:t xml:space="preserve">On </w:t>
      </w:r>
      <w:r w:rsidR="00FD5D26" w:rsidRPr="00D72A52">
        <w:rPr>
          <w:rFonts w:ascii="Arial" w:hAnsi="Arial" w:cs="Arial"/>
          <w:sz w:val="22"/>
          <w:szCs w:val="22"/>
          <w:lang w:val="en-US"/>
        </w:rPr>
        <w:t>a firm basis toget</w:t>
      </w:r>
      <w:r w:rsidRPr="00D72A52">
        <w:rPr>
          <w:rFonts w:ascii="Arial" w:hAnsi="Arial" w:cs="Arial"/>
          <w:sz w:val="22"/>
          <w:szCs w:val="22"/>
          <w:lang w:val="en-US"/>
        </w:rPr>
        <w:t>her with the available capacity</w:t>
      </w:r>
      <w:r w:rsidR="00FD5D26" w:rsidRPr="00D72A52">
        <w:rPr>
          <w:rFonts w:ascii="Arial" w:hAnsi="Arial" w:cs="Arial"/>
          <w:sz w:val="22"/>
          <w:szCs w:val="22"/>
          <w:lang w:val="en-US"/>
        </w:rPr>
        <w:t xml:space="preserve"> </w:t>
      </w:r>
      <w:r w:rsidRPr="00D72A52">
        <w:rPr>
          <w:rFonts w:ascii="Arial" w:hAnsi="Arial" w:cs="Arial"/>
          <w:sz w:val="22"/>
          <w:szCs w:val="22"/>
          <w:lang w:val="en-US"/>
        </w:rPr>
        <w:t>(</w:t>
      </w:r>
      <w:r w:rsidR="00FD5D26" w:rsidRPr="00D72A52">
        <w:rPr>
          <w:rFonts w:ascii="Arial" w:hAnsi="Arial" w:cs="Arial"/>
          <w:sz w:val="22"/>
          <w:szCs w:val="22"/>
          <w:lang w:val="en-US"/>
        </w:rPr>
        <w:t>no distinction between the additional capacity and the available capacity will be made</w:t>
      </w:r>
      <w:r w:rsidRPr="00D72A52">
        <w:rPr>
          <w:rFonts w:ascii="Arial" w:hAnsi="Arial" w:cs="Arial"/>
          <w:sz w:val="22"/>
          <w:szCs w:val="22"/>
          <w:lang w:val="en-US"/>
        </w:rPr>
        <w:t>)</w:t>
      </w:r>
    </w:p>
    <w:p w14:paraId="16E23BBA" w14:textId="77777777" w:rsidR="00041E84" w:rsidRDefault="00FD5D26" w:rsidP="004949BF">
      <w:pPr>
        <w:spacing w:before="240" w:after="240"/>
        <w:jc w:val="both"/>
        <w:rPr>
          <w:rFonts w:ascii="Arial" w:hAnsi="Arial" w:cs="Arial"/>
          <w:sz w:val="22"/>
          <w:szCs w:val="22"/>
          <w:lang w:val="en-GB"/>
        </w:rPr>
      </w:pPr>
      <w:r>
        <w:rPr>
          <w:rFonts w:ascii="Arial" w:hAnsi="Arial" w:cs="Arial"/>
          <w:sz w:val="22"/>
          <w:szCs w:val="22"/>
          <w:lang w:val="en-GB"/>
        </w:rPr>
        <w:t>T</w:t>
      </w:r>
      <w:r w:rsidR="007945CF">
        <w:rPr>
          <w:rFonts w:ascii="Arial" w:hAnsi="Arial" w:cs="Arial"/>
          <w:sz w:val="22"/>
          <w:szCs w:val="22"/>
          <w:lang w:val="en-GB"/>
        </w:rPr>
        <w:t>herefore</w:t>
      </w:r>
      <w:r w:rsidR="00DC0D35">
        <w:rPr>
          <w:rFonts w:ascii="Arial" w:hAnsi="Arial" w:cs="Arial"/>
          <w:sz w:val="22"/>
          <w:szCs w:val="22"/>
          <w:lang w:val="en-GB"/>
        </w:rPr>
        <w:t>, the</w:t>
      </w:r>
      <w:r>
        <w:rPr>
          <w:rFonts w:ascii="Arial" w:hAnsi="Arial" w:cs="Arial"/>
          <w:sz w:val="22"/>
          <w:szCs w:val="22"/>
          <w:lang w:val="en-GB"/>
        </w:rPr>
        <w:t xml:space="preserve"> capacity to be offered in the rolling day ahead capacity auction</w:t>
      </w:r>
      <w:r w:rsidR="00DC0D35">
        <w:rPr>
          <w:rFonts w:ascii="Arial" w:hAnsi="Arial" w:cs="Arial"/>
          <w:sz w:val="22"/>
          <w:szCs w:val="22"/>
          <w:lang w:val="en-GB"/>
        </w:rPr>
        <w:t xml:space="preserve"> shall be, each day, equal to:</w:t>
      </w:r>
    </w:p>
    <w:p w14:paraId="001A0798" w14:textId="77777777" w:rsidR="00DC0D35" w:rsidRDefault="007945CF" w:rsidP="007945CF">
      <w:pPr>
        <w:pBdr>
          <w:top w:val="single" w:sz="4" w:space="1" w:color="auto"/>
          <w:left w:val="single" w:sz="4" w:space="4" w:color="auto"/>
          <w:bottom w:val="single" w:sz="4" w:space="1" w:color="auto"/>
          <w:right w:val="single" w:sz="4" w:space="4" w:color="auto"/>
        </w:pBdr>
        <w:spacing w:before="240" w:after="240"/>
        <w:jc w:val="center"/>
        <w:rPr>
          <w:rFonts w:ascii="Arial" w:hAnsi="Arial" w:cs="Arial"/>
          <w:sz w:val="22"/>
          <w:szCs w:val="22"/>
          <w:lang w:val="en-GB"/>
        </w:rPr>
      </w:pPr>
      <w:r>
        <w:rPr>
          <w:rFonts w:ascii="Arial" w:hAnsi="Arial" w:cs="Arial"/>
          <w:sz w:val="22"/>
          <w:szCs w:val="22"/>
          <w:lang w:val="en-GB"/>
        </w:rPr>
        <w:t xml:space="preserve">Capacity to be offered = </w:t>
      </w:r>
      <w:r w:rsidR="00DC0D35">
        <w:rPr>
          <w:rFonts w:ascii="Arial" w:hAnsi="Arial" w:cs="Arial"/>
          <w:sz w:val="22"/>
          <w:szCs w:val="22"/>
          <w:lang w:val="en-GB"/>
        </w:rPr>
        <w:t>A – C + D</w:t>
      </w:r>
    </w:p>
    <w:p w14:paraId="01A20E77" w14:textId="77777777" w:rsidR="00DC0D35" w:rsidRDefault="00DC0D35" w:rsidP="00264E67">
      <w:pPr>
        <w:tabs>
          <w:tab w:val="left" w:pos="993"/>
        </w:tabs>
        <w:spacing w:before="240" w:after="240"/>
        <w:ind w:left="993" w:hanging="284"/>
        <w:jc w:val="both"/>
        <w:rPr>
          <w:rFonts w:ascii="Arial" w:hAnsi="Arial" w:cs="Arial"/>
          <w:sz w:val="22"/>
          <w:szCs w:val="22"/>
          <w:lang w:val="en-GB"/>
        </w:rPr>
      </w:pPr>
      <w:r>
        <w:rPr>
          <w:rFonts w:ascii="Arial" w:hAnsi="Arial" w:cs="Arial"/>
          <w:sz w:val="22"/>
          <w:szCs w:val="22"/>
          <w:lang w:val="en-GB"/>
        </w:rPr>
        <w:t>A is the transmission system operator’s technical capacity for each of the standard capacity products</w:t>
      </w:r>
      <w:r w:rsidR="00C46305">
        <w:rPr>
          <w:rFonts w:ascii="Arial" w:hAnsi="Arial" w:cs="Arial"/>
          <w:sz w:val="22"/>
          <w:szCs w:val="22"/>
          <w:lang w:val="en-GB"/>
        </w:rPr>
        <w:t>;</w:t>
      </w:r>
    </w:p>
    <w:p w14:paraId="4111A035" w14:textId="77777777" w:rsidR="00DC0D35" w:rsidRDefault="00DC0D35" w:rsidP="00264E67">
      <w:pPr>
        <w:tabs>
          <w:tab w:val="left" w:pos="993"/>
        </w:tabs>
        <w:spacing w:before="240" w:after="240"/>
        <w:ind w:left="993" w:hanging="284"/>
        <w:jc w:val="both"/>
        <w:rPr>
          <w:rFonts w:ascii="Arial" w:hAnsi="Arial" w:cs="Arial"/>
          <w:sz w:val="22"/>
          <w:szCs w:val="22"/>
          <w:lang w:val="en-GB"/>
        </w:rPr>
      </w:pPr>
      <w:r>
        <w:rPr>
          <w:rFonts w:ascii="Arial" w:hAnsi="Arial" w:cs="Arial"/>
          <w:sz w:val="22"/>
          <w:szCs w:val="22"/>
          <w:lang w:val="en-GB"/>
        </w:rPr>
        <w:t xml:space="preserve">C </w:t>
      </w:r>
      <w:r>
        <w:rPr>
          <w:rFonts w:ascii="Arial" w:hAnsi="Arial" w:cs="Arial"/>
          <w:sz w:val="22"/>
          <w:szCs w:val="22"/>
          <w:lang w:val="en-GB"/>
        </w:rPr>
        <w:tab/>
        <w:t>is the previous sold technical capacity, adjusted by the capacity which is re-offered in accordance with applicable congestion management procedure;</w:t>
      </w:r>
    </w:p>
    <w:p w14:paraId="5C3BE336" w14:textId="77777777" w:rsidR="00DC0D35" w:rsidRPr="004949BF" w:rsidRDefault="00DC0D35" w:rsidP="00264E67">
      <w:pPr>
        <w:tabs>
          <w:tab w:val="left" w:pos="993"/>
        </w:tabs>
        <w:spacing w:before="240" w:after="240"/>
        <w:ind w:left="993" w:hanging="284"/>
        <w:jc w:val="both"/>
        <w:rPr>
          <w:rFonts w:ascii="Arial" w:hAnsi="Arial" w:cs="Arial"/>
          <w:sz w:val="22"/>
          <w:szCs w:val="22"/>
          <w:lang w:val="en-GB"/>
        </w:rPr>
      </w:pPr>
      <w:r>
        <w:rPr>
          <w:rFonts w:ascii="Arial" w:hAnsi="Arial" w:cs="Arial"/>
          <w:sz w:val="22"/>
          <w:szCs w:val="22"/>
          <w:lang w:val="en-GB"/>
        </w:rPr>
        <w:t xml:space="preserve">D </w:t>
      </w:r>
      <w:r>
        <w:rPr>
          <w:rFonts w:ascii="Arial" w:hAnsi="Arial" w:cs="Arial"/>
          <w:sz w:val="22"/>
          <w:szCs w:val="22"/>
          <w:lang w:val="en-GB"/>
        </w:rPr>
        <w:tab/>
        <w:t>is additional capacity, for such day, if any</w:t>
      </w:r>
    </w:p>
    <w:p w14:paraId="0088787F" w14:textId="77777777" w:rsidR="00041E84" w:rsidRDefault="00DC0D35" w:rsidP="004949BF">
      <w:pPr>
        <w:spacing w:before="240" w:after="240"/>
        <w:jc w:val="both"/>
        <w:rPr>
          <w:rFonts w:ascii="Arial" w:hAnsi="Arial" w:cs="Arial"/>
          <w:sz w:val="22"/>
          <w:szCs w:val="22"/>
          <w:lang w:val="en-GB"/>
        </w:rPr>
      </w:pPr>
      <w:r>
        <w:rPr>
          <w:rFonts w:ascii="Arial" w:hAnsi="Arial" w:cs="Arial"/>
          <w:sz w:val="22"/>
          <w:szCs w:val="22"/>
          <w:lang w:val="en-GB"/>
        </w:rPr>
        <w:t xml:space="preserve">Each TSO will upload the capacity to be offered in the rolling day ahead capacity auction (one value each TSO); then, </w:t>
      </w:r>
      <w:r w:rsidR="007C08F5" w:rsidRPr="004949BF">
        <w:rPr>
          <w:rFonts w:ascii="Arial" w:hAnsi="Arial" w:cs="Arial"/>
          <w:sz w:val="22"/>
          <w:szCs w:val="22"/>
          <w:lang w:val="en-GB"/>
        </w:rPr>
        <w:t>PRISMA will apply the lesser value to determine bundled capacities. The remaining capacity, if any, will be sold as unbundled</w:t>
      </w:r>
      <w:r>
        <w:rPr>
          <w:rFonts w:ascii="Arial" w:hAnsi="Arial" w:cs="Arial"/>
          <w:sz w:val="22"/>
          <w:szCs w:val="22"/>
          <w:lang w:val="en-GB"/>
        </w:rPr>
        <w:t>.</w:t>
      </w:r>
    </w:p>
    <w:p w14:paraId="0E834681" w14:textId="77777777" w:rsidR="00BF01A0" w:rsidRDefault="00BF01A0" w:rsidP="00BF01A0">
      <w:pPr>
        <w:spacing w:before="240" w:after="240"/>
        <w:jc w:val="both"/>
        <w:rPr>
          <w:rFonts w:ascii="Arial" w:hAnsi="Arial" w:cs="Arial"/>
          <w:sz w:val="22"/>
          <w:szCs w:val="22"/>
          <w:lang w:val="en-GB"/>
        </w:rPr>
      </w:pPr>
      <w:r>
        <w:rPr>
          <w:rFonts w:ascii="Arial" w:hAnsi="Arial" w:cs="Arial"/>
          <w:sz w:val="22"/>
          <w:szCs w:val="22"/>
          <w:lang w:val="en-GB"/>
        </w:rPr>
        <w:t>TSOs will previously agree the additional capacity to be offered. If no capacity has been agreed at 15:10 UTC (D-1) in winter time or 14:10 UTC (D-1) (daylight saving), no additional capacity will be offered to the market that day.</w:t>
      </w:r>
    </w:p>
    <w:p w14:paraId="5D347657" w14:textId="77777777" w:rsidR="00BF01A0" w:rsidRDefault="00BF01A0" w:rsidP="00BF01A0">
      <w:pPr>
        <w:spacing w:before="240" w:after="240"/>
        <w:jc w:val="both"/>
        <w:rPr>
          <w:rFonts w:ascii="Arial" w:hAnsi="Arial" w:cs="Arial"/>
          <w:sz w:val="22"/>
          <w:szCs w:val="22"/>
          <w:lang w:val="en-GB"/>
        </w:rPr>
      </w:pPr>
      <w:r>
        <w:rPr>
          <w:rFonts w:ascii="Arial" w:hAnsi="Arial" w:cs="Arial"/>
          <w:sz w:val="22"/>
          <w:szCs w:val="22"/>
          <w:lang w:val="en-GB"/>
        </w:rPr>
        <w:t xml:space="preserve">Each TSO will upload the capacity to be offered in the rolling day ahead capacity auction (one value each TSO); then, </w:t>
      </w:r>
      <w:r w:rsidRPr="004949BF">
        <w:rPr>
          <w:rFonts w:ascii="Arial" w:hAnsi="Arial" w:cs="Arial"/>
          <w:sz w:val="22"/>
          <w:szCs w:val="22"/>
          <w:lang w:val="en-GB"/>
        </w:rPr>
        <w:t>PRISMA will apply the lesser value to determine bundled capacities. The remaining capacity, if any, will be sold as unbundled</w:t>
      </w:r>
      <w:r>
        <w:rPr>
          <w:rFonts w:ascii="Arial" w:hAnsi="Arial" w:cs="Arial"/>
          <w:sz w:val="22"/>
          <w:szCs w:val="22"/>
          <w:lang w:val="en-GB"/>
        </w:rPr>
        <w:t xml:space="preserve">. </w:t>
      </w:r>
      <w:r w:rsidRPr="006C7085">
        <w:rPr>
          <w:rFonts w:ascii="Arial" w:hAnsi="Arial" w:cs="Arial"/>
          <w:sz w:val="22"/>
          <w:szCs w:val="22"/>
          <w:lang w:val="en-GB"/>
        </w:rPr>
        <w:t>If the additional capacity ha</w:t>
      </w:r>
      <w:r>
        <w:rPr>
          <w:rFonts w:ascii="Arial" w:hAnsi="Arial" w:cs="Arial"/>
          <w:sz w:val="22"/>
          <w:szCs w:val="22"/>
          <w:lang w:val="en-GB"/>
        </w:rPr>
        <w:t>s not</w:t>
      </w:r>
      <w:r w:rsidRPr="006C7085">
        <w:rPr>
          <w:rFonts w:ascii="Arial" w:hAnsi="Arial" w:cs="Arial"/>
          <w:sz w:val="22"/>
          <w:szCs w:val="22"/>
          <w:lang w:val="en-GB"/>
        </w:rPr>
        <w:t xml:space="preserve"> been sold, partially or totally, </w:t>
      </w:r>
      <w:r>
        <w:rPr>
          <w:rFonts w:ascii="Arial" w:hAnsi="Arial" w:cs="Arial"/>
          <w:sz w:val="22"/>
          <w:szCs w:val="22"/>
          <w:lang w:val="en-GB"/>
        </w:rPr>
        <w:t xml:space="preserve">it </w:t>
      </w:r>
      <w:r w:rsidRPr="006C7085">
        <w:rPr>
          <w:rFonts w:ascii="Arial" w:hAnsi="Arial" w:cs="Arial"/>
          <w:sz w:val="22"/>
          <w:szCs w:val="22"/>
          <w:lang w:val="en-GB"/>
        </w:rPr>
        <w:t>will not be sold in within-day auctions.</w:t>
      </w:r>
    </w:p>
    <w:p w14:paraId="40ACC4C7" w14:textId="77777777" w:rsidR="00BF01A0" w:rsidRDefault="00BF01A0" w:rsidP="004949BF">
      <w:pPr>
        <w:spacing w:before="240" w:after="240"/>
        <w:jc w:val="both"/>
        <w:rPr>
          <w:rFonts w:ascii="Arial" w:hAnsi="Arial" w:cs="Arial"/>
          <w:sz w:val="22"/>
          <w:szCs w:val="22"/>
          <w:lang w:val="en-GB"/>
        </w:rPr>
      </w:pPr>
    </w:p>
    <w:p w14:paraId="3F05EE4B" w14:textId="77777777" w:rsidR="00DC0D35" w:rsidRPr="007C08F5" w:rsidRDefault="00DC0D35" w:rsidP="005C60E5">
      <w:pPr>
        <w:pStyle w:val="Descripcin"/>
        <w:keepNext/>
        <w:jc w:val="center"/>
        <w:rPr>
          <w:rFonts w:ascii="Arial" w:hAnsi="Arial" w:cs="Arial"/>
          <w:color w:val="004E55"/>
          <w:sz w:val="22"/>
          <w:szCs w:val="22"/>
          <w:lang w:val="en-GB"/>
        </w:rPr>
      </w:pPr>
      <w:r w:rsidRPr="00A3774F">
        <w:rPr>
          <w:rFonts w:ascii="Arial" w:hAnsi="Arial" w:cs="Arial"/>
          <w:color w:val="004E55"/>
          <w:lang w:val="en-US"/>
        </w:rPr>
        <w:lastRenderedPageBreak/>
        <w:t xml:space="preserve">Figure </w:t>
      </w:r>
      <w:r w:rsidRPr="007C08F5">
        <w:rPr>
          <w:rFonts w:ascii="Arial" w:hAnsi="Arial" w:cs="Arial"/>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color w:val="004E55"/>
        </w:rPr>
        <w:fldChar w:fldCharType="separate"/>
      </w:r>
      <w:r w:rsidR="0065360F">
        <w:rPr>
          <w:rFonts w:ascii="Arial" w:hAnsi="Arial" w:cs="Arial"/>
          <w:noProof/>
          <w:color w:val="004E55"/>
          <w:lang w:val="en-US"/>
        </w:rPr>
        <w:t>1</w:t>
      </w:r>
      <w:r w:rsidRPr="007C08F5">
        <w:rPr>
          <w:rFonts w:ascii="Arial" w:hAnsi="Arial" w:cs="Arial"/>
          <w:color w:val="004E55"/>
        </w:rPr>
        <w:fldChar w:fldCharType="end"/>
      </w:r>
      <w:r w:rsidRPr="00A3774F">
        <w:rPr>
          <w:rFonts w:ascii="Arial" w:hAnsi="Arial" w:cs="Arial"/>
          <w:color w:val="004E55"/>
          <w:lang w:val="en-US"/>
        </w:rPr>
        <w:t xml:space="preserve">: </w:t>
      </w:r>
      <w:r w:rsidR="007C08F5" w:rsidRPr="007C08F5">
        <w:rPr>
          <w:rFonts w:ascii="Arial" w:hAnsi="Arial" w:cs="Arial"/>
          <w:color w:val="004E55"/>
          <w:lang w:val="en-US"/>
        </w:rPr>
        <w:t>Additional capacity to be offered</w:t>
      </w:r>
    </w:p>
    <w:p w14:paraId="61939194" w14:textId="77777777" w:rsidR="00E67061" w:rsidRDefault="00DC0D35" w:rsidP="00E67061">
      <w:pPr>
        <w:spacing w:before="240" w:after="240"/>
        <w:jc w:val="both"/>
        <w:rPr>
          <w:rFonts w:ascii="Arial" w:hAnsi="Arial" w:cs="Arial"/>
          <w:sz w:val="22"/>
          <w:szCs w:val="22"/>
          <w:lang w:val="en-GB"/>
        </w:rPr>
      </w:pPr>
      <w:r w:rsidRPr="00DC0D35">
        <w:rPr>
          <w:noProof/>
          <w:lang w:val="es-ES" w:eastAsia="es-ES"/>
        </w:rPr>
        <w:drawing>
          <wp:inline distT="0" distB="0" distL="0" distR="0" wp14:anchorId="20ABCFA8" wp14:editId="7A4A2CAE">
            <wp:extent cx="5759450" cy="279497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794972"/>
                    </a:xfrm>
                    <a:prstGeom prst="rect">
                      <a:avLst/>
                    </a:prstGeom>
                    <a:noFill/>
                    <a:ln>
                      <a:noFill/>
                    </a:ln>
                  </pic:spPr>
                </pic:pic>
              </a:graphicData>
            </a:graphic>
          </wp:inline>
        </w:drawing>
      </w:r>
    </w:p>
    <w:p w14:paraId="7544CEE7" w14:textId="77777777" w:rsidR="005C60E5" w:rsidRDefault="005C60E5" w:rsidP="005C60E5">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6BC26296" w14:textId="77777777" w:rsidR="00D66C58" w:rsidRPr="00265464" w:rsidRDefault="00D66C58" w:rsidP="00D66C58">
      <w:pPr>
        <w:spacing w:before="240" w:after="240"/>
        <w:jc w:val="both"/>
        <w:rPr>
          <w:rFonts w:ascii="Arial" w:hAnsi="Arial" w:cs="Arial"/>
          <w:sz w:val="22"/>
          <w:szCs w:val="22"/>
          <w:lang w:val="en-GB"/>
        </w:rPr>
      </w:pPr>
      <w:r w:rsidRPr="00265464">
        <w:rPr>
          <w:rFonts w:ascii="Arial" w:hAnsi="Arial" w:cs="Arial"/>
          <w:sz w:val="22"/>
          <w:szCs w:val="22"/>
          <w:lang w:val="en-GB"/>
        </w:rPr>
        <w:t xml:space="preserve">The additional capacity </w:t>
      </w:r>
      <w:r>
        <w:rPr>
          <w:rFonts w:ascii="Arial" w:hAnsi="Arial" w:cs="Arial"/>
          <w:sz w:val="22"/>
          <w:szCs w:val="22"/>
          <w:lang w:val="en-GB"/>
        </w:rPr>
        <w:t>will not be offered</w:t>
      </w:r>
      <w:r w:rsidRPr="00265464">
        <w:rPr>
          <w:rFonts w:ascii="Arial" w:hAnsi="Arial" w:cs="Arial"/>
          <w:sz w:val="22"/>
          <w:szCs w:val="22"/>
          <w:lang w:val="en-GB"/>
        </w:rPr>
        <w:t xml:space="preserve"> in the following cases:</w:t>
      </w:r>
    </w:p>
    <w:p w14:paraId="1B4CF946" w14:textId="77777777" w:rsidR="00A74A7A" w:rsidRDefault="00A74A7A" w:rsidP="00D66C58">
      <w:pPr>
        <w:pStyle w:val="Prrafodelista"/>
        <w:numPr>
          <w:ilvl w:val="0"/>
          <w:numId w:val="54"/>
        </w:numPr>
        <w:spacing w:before="240"/>
        <w:ind w:left="714" w:hanging="357"/>
        <w:contextualSpacing w:val="0"/>
        <w:jc w:val="both"/>
        <w:rPr>
          <w:rFonts w:ascii="Arial" w:hAnsi="Arial" w:cs="Arial"/>
          <w:sz w:val="22"/>
          <w:szCs w:val="22"/>
          <w:lang w:val="en-GB"/>
        </w:rPr>
      </w:pPr>
      <w:r w:rsidRPr="0086465B">
        <w:rPr>
          <w:rFonts w:ascii="Arial" w:hAnsi="Arial" w:cs="Arial"/>
          <w:sz w:val="22"/>
          <w:szCs w:val="22"/>
          <w:lang w:val="en-GB"/>
        </w:rPr>
        <w:t>If there is an up-stream</w:t>
      </w:r>
      <w:r w:rsidR="001A2880">
        <w:rPr>
          <w:rFonts w:ascii="Arial" w:hAnsi="Arial" w:cs="Arial"/>
          <w:sz w:val="22"/>
          <w:szCs w:val="22"/>
          <w:lang w:val="en-GB"/>
        </w:rPr>
        <w:t xml:space="preserve"> or downstream</w:t>
      </w:r>
      <w:r w:rsidRPr="0086465B">
        <w:rPr>
          <w:rFonts w:ascii="Arial" w:hAnsi="Arial" w:cs="Arial"/>
          <w:sz w:val="22"/>
          <w:szCs w:val="22"/>
          <w:lang w:val="en-GB"/>
        </w:rPr>
        <w:t xml:space="preserve"> operator’s communication with a restriction in the physical-capacity</w:t>
      </w:r>
      <w:r>
        <w:rPr>
          <w:rFonts w:ascii="Arial" w:hAnsi="Arial" w:cs="Arial"/>
          <w:sz w:val="22"/>
          <w:szCs w:val="22"/>
          <w:lang w:val="en-GB"/>
        </w:rPr>
        <w:t>.</w:t>
      </w:r>
    </w:p>
    <w:p w14:paraId="7303B1BE"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If a special operation has been agreed among either the operators or by the interconnection.</w:t>
      </w:r>
    </w:p>
    <w:p w14:paraId="6FC6B284"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In emergency situations that could activate or deactivate other processes or agreements between the interconnection operators.</w:t>
      </w:r>
    </w:p>
    <w:p w14:paraId="34BB72C2"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 xml:space="preserve">In the event of system failures of the operators or </w:t>
      </w:r>
      <w:r>
        <w:rPr>
          <w:rFonts w:ascii="Arial" w:hAnsi="Arial" w:cs="Arial"/>
          <w:sz w:val="22"/>
          <w:szCs w:val="22"/>
          <w:lang w:val="en-GB"/>
        </w:rPr>
        <w:t>shippers</w:t>
      </w:r>
      <w:r w:rsidRPr="00265464">
        <w:rPr>
          <w:rFonts w:ascii="Arial" w:hAnsi="Arial" w:cs="Arial"/>
          <w:sz w:val="22"/>
          <w:szCs w:val="22"/>
          <w:lang w:val="en-GB"/>
        </w:rPr>
        <w:t>, which could lead to incidents during the additional capacity supply process.</w:t>
      </w:r>
    </w:p>
    <w:p w14:paraId="162E393F" w14:textId="77777777" w:rsidR="00D66C58" w:rsidRPr="00265464" w:rsidRDefault="00D66C58" w:rsidP="00D66C58">
      <w:pPr>
        <w:pStyle w:val="Prrafodelista"/>
        <w:numPr>
          <w:ilvl w:val="0"/>
          <w:numId w:val="54"/>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If the operators take the duly justified decision to intervene in the methodology by lowering the value of the final quantity to be supplied for a certain day D.</w:t>
      </w:r>
    </w:p>
    <w:p w14:paraId="0656E548" w14:textId="77777777" w:rsidR="00D66C58" w:rsidRPr="00265464" w:rsidRDefault="00D66C58" w:rsidP="00D66C58">
      <w:pPr>
        <w:pStyle w:val="Prrafodelista"/>
        <w:numPr>
          <w:ilvl w:val="0"/>
          <w:numId w:val="55"/>
        </w:numPr>
        <w:spacing w:before="240"/>
        <w:ind w:left="714" w:hanging="357"/>
        <w:contextualSpacing w:val="0"/>
        <w:jc w:val="both"/>
        <w:rPr>
          <w:rFonts w:ascii="Arial" w:hAnsi="Arial" w:cs="Arial"/>
          <w:sz w:val="22"/>
          <w:szCs w:val="22"/>
          <w:lang w:val="en-GB"/>
        </w:rPr>
      </w:pPr>
      <w:r w:rsidRPr="00265464">
        <w:rPr>
          <w:rFonts w:ascii="Arial" w:hAnsi="Arial" w:cs="Arial"/>
          <w:sz w:val="22"/>
          <w:szCs w:val="22"/>
          <w:lang w:val="en-GB"/>
        </w:rPr>
        <w:t xml:space="preserve">The transmission network operators will prepare and issue a report to the </w:t>
      </w:r>
      <w:r w:rsidR="00B07DDE">
        <w:rPr>
          <w:rFonts w:ascii="Arial" w:hAnsi="Arial" w:cs="Arial"/>
          <w:sz w:val="22"/>
          <w:szCs w:val="22"/>
          <w:lang w:val="en-GB"/>
        </w:rPr>
        <w:t>relevant NRAs</w:t>
      </w:r>
      <w:r w:rsidRPr="00265464">
        <w:rPr>
          <w:rFonts w:ascii="Arial" w:hAnsi="Arial" w:cs="Arial"/>
          <w:sz w:val="22"/>
          <w:szCs w:val="22"/>
          <w:lang w:val="en-GB"/>
        </w:rPr>
        <w:t>, including details of the days on which the additional capacity supply process has not been activated, along with the causes of said non-activation.</w:t>
      </w:r>
    </w:p>
    <w:p w14:paraId="4EA6A1E5" w14:textId="77777777" w:rsidR="00D66C58" w:rsidRPr="005C60E5" w:rsidRDefault="00D66C58" w:rsidP="005C60E5">
      <w:pPr>
        <w:spacing w:before="240" w:after="240"/>
        <w:ind w:firstLine="709"/>
        <w:jc w:val="both"/>
        <w:rPr>
          <w:rFonts w:ascii="Arial" w:hAnsi="Arial" w:cs="Arial"/>
          <w:i/>
          <w:color w:val="004E55"/>
          <w:sz w:val="20"/>
          <w:szCs w:val="22"/>
          <w:lang w:val="en-GB"/>
        </w:rPr>
      </w:pPr>
    </w:p>
    <w:p w14:paraId="699DA482" w14:textId="77777777" w:rsidR="00451A0F" w:rsidRDefault="00451A0F" w:rsidP="00451A0F">
      <w:pPr>
        <w:pStyle w:val="EstiloTtulo1Arial14ptSubrayado"/>
        <w:ind w:left="431" w:hanging="431"/>
        <w:rPr>
          <w:lang w:eastAsia="es-ES"/>
        </w:rPr>
      </w:pPr>
      <w:bookmarkStart w:id="18" w:name="_Toc423419727"/>
      <w:r>
        <w:rPr>
          <w:lang w:eastAsia="es-ES"/>
        </w:rPr>
        <w:lastRenderedPageBreak/>
        <w:t>Buy-back procedure</w:t>
      </w:r>
      <w:bookmarkEnd w:id="18"/>
    </w:p>
    <w:p w14:paraId="5FBCF2A8" w14:textId="77777777" w:rsidR="00D5365E" w:rsidRDefault="00D5365E" w:rsidP="00D5365E">
      <w:pPr>
        <w:pStyle w:val="EstiloTtulo2Arial13ptAntes12ptoDespus12pto"/>
      </w:pPr>
      <w:bookmarkStart w:id="19" w:name="_Toc423419728"/>
      <w:r>
        <w:t>Main principles</w:t>
      </w:r>
      <w:bookmarkEnd w:id="19"/>
    </w:p>
    <w:p w14:paraId="6EB5F24B" w14:textId="77777777" w:rsidR="00D5365E" w:rsidRDefault="00D5365E" w:rsidP="002C327C">
      <w:pPr>
        <w:spacing w:before="240" w:after="240"/>
        <w:jc w:val="both"/>
        <w:rPr>
          <w:rFonts w:ascii="Arial" w:hAnsi="Arial" w:cs="Arial"/>
          <w:sz w:val="22"/>
          <w:lang w:val="en-GB"/>
        </w:rPr>
      </w:pPr>
      <w:r w:rsidRPr="002C327C">
        <w:rPr>
          <w:rFonts w:ascii="Arial" w:hAnsi="Arial" w:cs="Arial"/>
          <w:sz w:val="22"/>
          <w:lang w:val="en-GB"/>
        </w:rPr>
        <w:t xml:space="preserve">The buy-back procedure will be triggered and applied in a coordinated way by adjacent TSOs. </w:t>
      </w:r>
    </w:p>
    <w:p w14:paraId="551D0A3A" w14:textId="77777777" w:rsidR="00D5365E" w:rsidRPr="002C327C" w:rsidRDefault="00D5365E" w:rsidP="002C327C">
      <w:pPr>
        <w:spacing w:before="240" w:after="240"/>
        <w:jc w:val="both"/>
        <w:rPr>
          <w:rFonts w:ascii="Arial" w:hAnsi="Arial" w:cs="Arial"/>
          <w:sz w:val="22"/>
          <w:lang w:val="en-GB"/>
        </w:rPr>
      </w:pPr>
      <w:r w:rsidRPr="002C327C">
        <w:rPr>
          <w:rFonts w:ascii="Arial" w:hAnsi="Arial" w:cs="Arial"/>
          <w:sz w:val="22"/>
          <w:lang w:val="en-GB"/>
        </w:rPr>
        <w:t xml:space="preserve">This implies that, if TSOs need to reduce the capacity, it will be </w:t>
      </w:r>
      <w:r>
        <w:rPr>
          <w:rFonts w:ascii="Arial" w:hAnsi="Arial" w:cs="Arial"/>
          <w:sz w:val="22"/>
          <w:lang w:val="en-GB"/>
        </w:rPr>
        <w:t>always done</w:t>
      </w:r>
      <w:r w:rsidRPr="002C327C">
        <w:rPr>
          <w:rFonts w:ascii="Arial" w:hAnsi="Arial" w:cs="Arial"/>
          <w:sz w:val="22"/>
          <w:lang w:val="en-GB"/>
        </w:rPr>
        <w:t xml:space="preserve"> in bundled way</w:t>
      </w:r>
      <w:r>
        <w:rPr>
          <w:rFonts w:ascii="Arial" w:hAnsi="Arial" w:cs="Arial"/>
          <w:sz w:val="22"/>
          <w:lang w:val="en-GB"/>
        </w:rPr>
        <w:t>.</w:t>
      </w:r>
    </w:p>
    <w:p w14:paraId="561E2AF6" w14:textId="77777777" w:rsidR="00827BC5" w:rsidRDefault="00827BC5" w:rsidP="00C5009E">
      <w:pPr>
        <w:pStyle w:val="EstiloTtulo2Arial13ptAntes12ptoDespus12pto"/>
      </w:pPr>
      <w:bookmarkStart w:id="20" w:name="_Toc423419729"/>
      <w:r>
        <w:t>Trigger of the buy-back procedure</w:t>
      </w:r>
      <w:bookmarkEnd w:id="20"/>
    </w:p>
    <w:p w14:paraId="5E62FBAD" w14:textId="77777777" w:rsidR="00827BC5" w:rsidRPr="00827BC5" w:rsidRDefault="00827BC5" w:rsidP="00827BC5">
      <w:pPr>
        <w:spacing w:before="240" w:after="240"/>
        <w:jc w:val="both"/>
        <w:rPr>
          <w:rFonts w:ascii="Arial" w:hAnsi="Arial" w:cs="Arial"/>
          <w:sz w:val="22"/>
          <w:szCs w:val="22"/>
          <w:lang w:val="en-GB"/>
        </w:rPr>
      </w:pPr>
      <w:r w:rsidRPr="00827BC5">
        <w:rPr>
          <w:rFonts w:ascii="Arial" w:hAnsi="Arial" w:cs="Arial"/>
          <w:sz w:val="22"/>
          <w:szCs w:val="22"/>
          <w:lang w:val="en-GB"/>
        </w:rPr>
        <w:t>TSOs shall need to trigger the buy-back procedure when the sum of the net nominations in the VIP</w:t>
      </w:r>
      <w:r>
        <w:rPr>
          <w:rFonts w:ascii="Arial" w:hAnsi="Arial" w:cs="Arial"/>
          <w:sz w:val="22"/>
          <w:szCs w:val="22"/>
          <w:lang w:val="en-GB"/>
        </w:rPr>
        <w:t xml:space="preserve"> </w:t>
      </w:r>
      <w:r w:rsidR="0019015C">
        <w:rPr>
          <w:rFonts w:ascii="Arial" w:hAnsi="Arial" w:cs="Arial"/>
          <w:sz w:val="22"/>
          <w:szCs w:val="22"/>
          <w:lang w:val="en-GB"/>
        </w:rPr>
        <w:t>Ibérico</w:t>
      </w:r>
      <w:r w:rsidR="00F646F4" w:rsidRPr="00F646F4">
        <w:rPr>
          <w:rFonts w:ascii="Arial" w:hAnsi="Arial" w:cs="Arial"/>
          <w:sz w:val="22"/>
          <w:szCs w:val="22"/>
          <w:lang w:val="en-GB"/>
        </w:rPr>
        <w:t xml:space="preserve"> </w:t>
      </w:r>
      <w:r w:rsidR="00F646F4">
        <w:rPr>
          <w:rFonts w:ascii="Arial" w:hAnsi="Arial" w:cs="Arial"/>
          <w:sz w:val="22"/>
          <w:szCs w:val="22"/>
          <w:lang w:val="en-GB"/>
        </w:rPr>
        <w:t>and/or VIP Pirineos</w:t>
      </w:r>
      <w:r w:rsidRPr="00827BC5">
        <w:rPr>
          <w:rFonts w:ascii="Arial" w:hAnsi="Arial" w:cs="Arial"/>
          <w:sz w:val="22"/>
          <w:szCs w:val="22"/>
          <w:lang w:val="en-GB"/>
        </w:rPr>
        <w:t xml:space="preserve"> is higher than the technical capacity.</w:t>
      </w:r>
    </w:p>
    <w:p w14:paraId="165E13A9" w14:textId="77777777" w:rsidR="00827BC5" w:rsidRPr="00827BC5" w:rsidRDefault="00827BC5" w:rsidP="002C327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center"/>
        <w:rPr>
          <w:rFonts w:ascii="Arial" w:hAnsi="Arial" w:cs="Arial"/>
          <w:sz w:val="22"/>
          <w:szCs w:val="22"/>
          <w:lang w:val="en-GB"/>
        </w:rPr>
      </w:pPr>
      <w:r w:rsidRPr="00827BC5">
        <w:rPr>
          <w:rFonts w:ascii="Arial" w:hAnsi="Arial" w:cs="Arial"/>
          <w:sz w:val="22"/>
          <w:szCs w:val="22"/>
          <w:lang w:val="en-GB"/>
        </w:rPr>
        <w:t>Buyback procedure if Σ net nominations in the VIP &gt; technical capacity</w:t>
      </w:r>
    </w:p>
    <w:p w14:paraId="3224FEE1" w14:textId="77777777" w:rsidR="00827BC5" w:rsidRDefault="00827BC5" w:rsidP="00827BC5">
      <w:pPr>
        <w:spacing w:before="240" w:after="240"/>
        <w:jc w:val="both"/>
        <w:rPr>
          <w:rFonts w:ascii="Arial" w:hAnsi="Arial" w:cs="Arial"/>
          <w:sz w:val="22"/>
          <w:szCs w:val="22"/>
          <w:lang w:val="en-GB"/>
        </w:rPr>
      </w:pPr>
      <w:r w:rsidRPr="00827BC5">
        <w:rPr>
          <w:rFonts w:ascii="Arial" w:hAnsi="Arial" w:cs="Arial"/>
          <w:sz w:val="22"/>
          <w:szCs w:val="22"/>
          <w:lang w:val="en-GB"/>
        </w:rPr>
        <w:t xml:space="preserve">However, there might be situations where the </w:t>
      </w:r>
      <w:r w:rsidR="00CC4947">
        <w:rPr>
          <w:rFonts w:ascii="Arial" w:hAnsi="Arial" w:cs="Arial"/>
          <w:sz w:val="22"/>
          <w:szCs w:val="22"/>
          <w:lang w:val="en-GB"/>
        </w:rPr>
        <w:t>actual</w:t>
      </w:r>
      <w:r w:rsidR="00CC4947" w:rsidRPr="00827BC5">
        <w:rPr>
          <w:rFonts w:ascii="Arial" w:hAnsi="Arial" w:cs="Arial"/>
          <w:sz w:val="22"/>
          <w:szCs w:val="22"/>
          <w:lang w:val="en-GB"/>
        </w:rPr>
        <w:t xml:space="preserve"> </w:t>
      </w:r>
      <w:r w:rsidRPr="00827BC5">
        <w:rPr>
          <w:rFonts w:ascii="Arial" w:hAnsi="Arial" w:cs="Arial"/>
          <w:sz w:val="22"/>
          <w:szCs w:val="22"/>
          <w:lang w:val="en-GB"/>
        </w:rPr>
        <w:t xml:space="preserve">capacity </w:t>
      </w:r>
      <w:r w:rsidR="00CC4947">
        <w:rPr>
          <w:rFonts w:ascii="Arial" w:hAnsi="Arial" w:cs="Arial"/>
          <w:sz w:val="22"/>
          <w:szCs w:val="22"/>
          <w:lang w:val="en-GB"/>
        </w:rPr>
        <w:t xml:space="preserve">(i.e. operational capacity) </w:t>
      </w:r>
      <w:r w:rsidRPr="00827BC5">
        <w:rPr>
          <w:rFonts w:ascii="Arial" w:hAnsi="Arial" w:cs="Arial"/>
          <w:sz w:val="22"/>
          <w:szCs w:val="22"/>
          <w:lang w:val="en-GB"/>
        </w:rPr>
        <w:t xml:space="preserve">is below the technical capacity </w:t>
      </w:r>
      <w:r w:rsidR="00B763C5">
        <w:rPr>
          <w:rFonts w:ascii="Arial" w:hAnsi="Arial" w:cs="Arial"/>
          <w:sz w:val="22"/>
          <w:szCs w:val="22"/>
          <w:lang w:val="en-GB"/>
        </w:rPr>
        <w:t>caused by exceptional events</w:t>
      </w:r>
      <w:r w:rsidRPr="00827BC5">
        <w:rPr>
          <w:rFonts w:ascii="Arial" w:hAnsi="Arial" w:cs="Arial"/>
          <w:sz w:val="22"/>
          <w:szCs w:val="22"/>
          <w:lang w:val="en-GB"/>
        </w:rPr>
        <w:t xml:space="preserve"> such as, failures, breakdowns. </w:t>
      </w:r>
      <w:r w:rsidR="00CC4947">
        <w:rPr>
          <w:rFonts w:ascii="Arial" w:hAnsi="Arial" w:cs="Arial"/>
          <w:sz w:val="22"/>
          <w:szCs w:val="22"/>
          <w:lang w:val="en-GB"/>
        </w:rPr>
        <w:t>If this is the case, no buy-back procedure shall be trigger</w:t>
      </w:r>
      <w:r w:rsidR="001E20CF">
        <w:rPr>
          <w:rFonts w:ascii="Arial" w:hAnsi="Arial" w:cs="Arial"/>
          <w:sz w:val="22"/>
          <w:szCs w:val="22"/>
          <w:lang w:val="en-GB"/>
        </w:rPr>
        <w:t>ed</w:t>
      </w:r>
      <w:r w:rsidR="00CC4947">
        <w:rPr>
          <w:rFonts w:ascii="Arial" w:hAnsi="Arial" w:cs="Arial"/>
          <w:sz w:val="22"/>
          <w:szCs w:val="22"/>
          <w:lang w:val="en-GB"/>
        </w:rPr>
        <w:t>.</w:t>
      </w:r>
    </w:p>
    <w:p w14:paraId="5052D853" w14:textId="77777777" w:rsidR="00827BC5" w:rsidRDefault="00CC4947" w:rsidP="00827BC5">
      <w:pPr>
        <w:spacing w:before="240" w:after="240"/>
        <w:jc w:val="both"/>
        <w:rPr>
          <w:rFonts w:ascii="Arial" w:hAnsi="Arial" w:cs="Arial"/>
          <w:sz w:val="22"/>
          <w:szCs w:val="22"/>
          <w:lang w:val="en-GB"/>
        </w:rPr>
      </w:pPr>
      <w:r>
        <w:rPr>
          <w:rFonts w:ascii="Arial" w:hAnsi="Arial" w:cs="Arial"/>
          <w:sz w:val="22"/>
          <w:szCs w:val="22"/>
          <w:lang w:val="en-GB"/>
        </w:rPr>
        <w:t>Thus:</w:t>
      </w:r>
    </w:p>
    <w:p w14:paraId="1541D926" w14:textId="77777777" w:rsidR="00827BC5" w:rsidRPr="009A6E9D" w:rsidRDefault="00827BC5" w:rsidP="002C327C">
      <w:pPr>
        <w:pStyle w:val="Prrafodelista"/>
        <w:numPr>
          <w:ilvl w:val="0"/>
          <w:numId w:val="18"/>
        </w:numPr>
        <w:spacing w:before="240" w:after="240"/>
        <w:contextualSpacing w:val="0"/>
        <w:jc w:val="both"/>
        <w:rPr>
          <w:rFonts w:ascii="Arial" w:hAnsi="Arial" w:cs="Arial"/>
          <w:sz w:val="22"/>
          <w:szCs w:val="22"/>
          <w:lang w:val="en-GB"/>
        </w:rPr>
      </w:pPr>
      <w:r w:rsidRPr="009A6E9D">
        <w:rPr>
          <w:rFonts w:ascii="Arial" w:hAnsi="Arial" w:cs="Arial"/>
          <w:sz w:val="22"/>
          <w:szCs w:val="22"/>
          <w:lang w:val="en-GB"/>
        </w:rPr>
        <w:t xml:space="preserve">If the </w:t>
      </w:r>
      <w:r w:rsidR="001C64F2" w:rsidRPr="002C327C">
        <w:rPr>
          <w:rFonts w:ascii="Arial" w:hAnsi="Arial" w:cs="Arial"/>
          <w:b/>
          <w:sz w:val="22"/>
          <w:szCs w:val="22"/>
          <w:lang w:val="en-GB"/>
        </w:rPr>
        <w:t>technical capacity is above the operational capacity and the net nominations are above the technical capacity</w:t>
      </w:r>
      <w:r w:rsidR="001C64F2">
        <w:rPr>
          <w:rFonts w:ascii="Arial" w:hAnsi="Arial" w:cs="Arial"/>
          <w:sz w:val="22"/>
          <w:szCs w:val="22"/>
          <w:lang w:val="en-GB"/>
        </w:rPr>
        <w:t xml:space="preserve">, then </w:t>
      </w:r>
      <w:r w:rsidRPr="009A6E9D">
        <w:rPr>
          <w:rFonts w:ascii="Arial" w:hAnsi="Arial" w:cs="Arial"/>
          <w:sz w:val="22"/>
          <w:szCs w:val="22"/>
          <w:lang w:val="en-GB"/>
        </w:rPr>
        <w:t xml:space="preserve">TSOs shall </w:t>
      </w:r>
      <w:r w:rsidR="003503BD">
        <w:rPr>
          <w:rFonts w:ascii="Arial" w:hAnsi="Arial" w:cs="Arial"/>
          <w:sz w:val="22"/>
          <w:szCs w:val="22"/>
          <w:lang w:val="en-GB"/>
        </w:rPr>
        <w:t xml:space="preserve">not </w:t>
      </w:r>
      <w:r w:rsidRPr="009A6E9D">
        <w:rPr>
          <w:rFonts w:ascii="Arial" w:hAnsi="Arial" w:cs="Arial"/>
          <w:sz w:val="22"/>
          <w:szCs w:val="22"/>
          <w:lang w:val="en-GB"/>
        </w:rPr>
        <w:t xml:space="preserve">launch the buy-back procedure. </w:t>
      </w:r>
    </w:p>
    <w:p w14:paraId="1A3436FC" w14:textId="77777777" w:rsidR="00827BC5" w:rsidRDefault="00827BC5" w:rsidP="002C327C">
      <w:pPr>
        <w:pStyle w:val="Prrafodelista"/>
        <w:spacing w:before="240" w:after="240"/>
        <w:contextualSpacing w:val="0"/>
        <w:jc w:val="both"/>
        <w:rPr>
          <w:rFonts w:ascii="Arial" w:hAnsi="Arial" w:cs="Arial"/>
          <w:sz w:val="22"/>
          <w:szCs w:val="22"/>
          <w:lang w:val="en-GB"/>
        </w:rPr>
      </w:pPr>
      <w:r>
        <w:rPr>
          <w:rFonts w:ascii="Arial" w:hAnsi="Arial" w:cs="Arial"/>
          <w:sz w:val="22"/>
          <w:szCs w:val="22"/>
          <w:lang w:val="en-GB"/>
        </w:rPr>
        <w:t>The difference between the</w:t>
      </w:r>
      <w:r w:rsidR="00343FB6">
        <w:rPr>
          <w:rFonts w:ascii="Arial" w:hAnsi="Arial" w:cs="Arial"/>
          <w:sz w:val="22"/>
          <w:szCs w:val="22"/>
          <w:lang w:val="en-GB"/>
        </w:rPr>
        <w:t xml:space="preserve"> net</w:t>
      </w:r>
      <w:r>
        <w:rPr>
          <w:rFonts w:ascii="Arial" w:hAnsi="Arial" w:cs="Arial"/>
          <w:sz w:val="22"/>
          <w:szCs w:val="22"/>
          <w:lang w:val="en-GB"/>
        </w:rPr>
        <w:t xml:space="preserve"> </w:t>
      </w:r>
      <w:r w:rsidR="00093D54">
        <w:rPr>
          <w:rFonts w:ascii="Arial" w:hAnsi="Arial" w:cs="Arial"/>
          <w:sz w:val="22"/>
          <w:szCs w:val="22"/>
          <w:lang w:val="en-GB"/>
        </w:rPr>
        <w:t>nominations</w:t>
      </w:r>
      <w:r>
        <w:rPr>
          <w:rFonts w:ascii="Arial" w:hAnsi="Arial" w:cs="Arial"/>
          <w:sz w:val="22"/>
          <w:szCs w:val="22"/>
          <w:lang w:val="en-GB"/>
        </w:rPr>
        <w:t xml:space="preserve"> and the operational capacity will be reduced through the mechanism currently in place to tackle these situations, independently of the additional capacity already booked.</w:t>
      </w:r>
    </w:p>
    <w:p w14:paraId="602E3384" w14:textId="77777777" w:rsidR="00827BC5" w:rsidRDefault="00827BC5" w:rsidP="002C327C">
      <w:pPr>
        <w:pStyle w:val="Descripcin"/>
        <w:keepNext/>
        <w:jc w:val="center"/>
        <w:rPr>
          <w:rFonts w:ascii="Arial" w:hAnsi="Arial" w:cs="Arial"/>
          <w:color w:val="004E55"/>
          <w:lang w:val="en-US"/>
        </w:rPr>
      </w:pPr>
      <w:r w:rsidRPr="00A3774F">
        <w:rPr>
          <w:rFonts w:ascii="Arial" w:hAnsi="Arial" w:cs="Arial"/>
          <w:color w:val="004E55"/>
          <w:lang w:val="en-US"/>
        </w:rPr>
        <w:t xml:space="preserve">Figure </w:t>
      </w:r>
      <w:r w:rsidRPr="007C08F5">
        <w:rPr>
          <w:rFonts w:ascii="Arial" w:hAnsi="Arial" w:cs="Arial"/>
          <w:b w:val="0"/>
          <w:bCs w:val="0"/>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b w:val="0"/>
          <w:bCs w:val="0"/>
          <w:color w:val="004E55"/>
        </w:rPr>
        <w:fldChar w:fldCharType="separate"/>
      </w:r>
      <w:r w:rsidR="0065360F">
        <w:rPr>
          <w:rFonts w:ascii="Arial" w:hAnsi="Arial" w:cs="Arial"/>
          <w:noProof/>
          <w:color w:val="004E55"/>
          <w:lang w:val="en-US"/>
        </w:rPr>
        <w:t>2</w:t>
      </w:r>
      <w:r w:rsidRPr="007C08F5">
        <w:rPr>
          <w:rFonts w:ascii="Arial" w:hAnsi="Arial" w:cs="Arial"/>
          <w:b w:val="0"/>
          <w:bCs w:val="0"/>
          <w:color w:val="004E55"/>
        </w:rPr>
        <w:fldChar w:fldCharType="end"/>
      </w:r>
      <w:r w:rsidRPr="00A3774F">
        <w:rPr>
          <w:rFonts w:ascii="Arial" w:hAnsi="Arial" w:cs="Arial"/>
          <w:color w:val="004E55"/>
          <w:lang w:val="en-US"/>
        </w:rPr>
        <w:t xml:space="preserve">: </w:t>
      </w:r>
      <w:r>
        <w:rPr>
          <w:rFonts w:ascii="Arial" w:hAnsi="Arial" w:cs="Arial"/>
          <w:color w:val="004E55"/>
          <w:lang w:val="en-US"/>
        </w:rPr>
        <w:t xml:space="preserve">Operational capacity below the technical capacity and </w:t>
      </w:r>
      <w:r w:rsidR="00AC17A5">
        <w:rPr>
          <w:rFonts w:ascii="Arial" w:hAnsi="Arial" w:cs="Arial"/>
          <w:color w:val="004E55"/>
          <w:lang w:val="en-US"/>
        </w:rPr>
        <w:t xml:space="preserve">net </w:t>
      </w:r>
      <w:r>
        <w:rPr>
          <w:rFonts w:ascii="Arial" w:hAnsi="Arial" w:cs="Arial"/>
          <w:color w:val="004E55"/>
          <w:lang w:val="en-US"/>
        </w:rPr>
        <w:t>nominations above the technical capacity</w:t>
      </w:r>
    </w:p>
    <w:p w14:paraId="677B4437" w14:textId="77777777" w:rsidR="0081057C" w:rsidRPr="0019015C" w:rsidRDefault="0081057C" w:rsidP="0019015C">
      <w:pPr>
        <w:spacing w:before="120"/>
        <w:jc w:val="center"/>
        <w:rPr>
          <w:lang w:val="en-US"/>
        </w:rPr>
      </w:pPr>
      <w:r w:rsidRPr="0081057C">
        <w:rPr>
          <w:noProof/>
          <w:lang w:val="es-ES" w:eastAsia="es-ES"/>
        </w:rPr>
        <w:drawing>
          <wp:inline distT="0" distB="0" distL="0" distR="0" wp14:anchorId="0AA10873" wp14:editId="5ECDD35B">
            <wp:extent cx="2860243" cy="23852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1570" cy="2386361"/>
                    </a:xfrm>
                    <a:prstGeom prst="rect">
                      <a:avLst/>
                    </a:prstGeom>
                    <a:noFill/>
                    <a:ln>
                      <a:noFill/>
                    </a:ln>
                  </pic:spPr>
                </pic:pic>
              </a:graphicData>
            </a:graphic>
          </wp:inline>
        </w:drawing>
      </w:r>
    </w:p>
    <w:p w14:paraId="7EF4D615" w14:textId="77777777" w:rsidR="00525E90" w:rsidRPr="005C60E5" w:rsidRDefault="00525E90" w:rsidP="00525E90">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11C5D73F" w14:textId="77777777" w:rsidR="00525E90" w:rsidRDefault="00827BC5" w:rsidP="002C327C">
      <w:pPr>
        <w:pStyle w:val="Prrafodelista"/>
        <w:numPr>
          <w:ilvl w:val="0"/>
          <w:numId w:val="18"/>
        </w:numPr>
        <w:spacing w:before="240" w:after="240"/>
        <w:ind w:left="714" w:hanging="357"/>
        <w:contextualSpacing w:val="0"/>
        <w:jc w:val="both"/>
        <w:rPr>
          <w:rFonts w:ascii="Arial" w:hAnsi="Arial" w:cs="Arial"/>
          <w:sz w:val="22"/>
          <w:szCs w:val="22"/>
          <w:lang w:val="en-GB"/>
        </w:rPr>
      </w:pPr>
      <w:r w:rsidRPr="009A6E9D">
        <w:rPr>
          <w:rFonts w:ascii="Arial" w:hAnsi="Arial" w:cs="Arial"/>
          <w:sz w:val="22"/>
          <w:szCs w:val="22"/>
          <w:lang w:val="en-GB"/>
        </w:rPr>
        <w:lastRenderedPageBreak/>
        <w:t xml:space="preserve">If the </w:t>
      </w:r>
      <w:r w:rsidRPr="002C327C">
        <w:rPr>
          <w:rFonts w:ascii="Arial" w:hAnsi="Arial" w:cs="Arial"/>
          <w:b/>
          <w:sz w:val="22"/>
          <w:szCs w:val="22"/>
          <w:lang w:val="en-GB"/>
        </w:rPr>
        <w:t xml:space="preserve">net nominations are below the technical capacity, then, TSOs </w:t>
      </w:r>
      <w:r w:rsidR="00525E90">
        <w:rPr>
          <w:rFonts w:ascii="Arial" w:hAnsi="Arial" w:cs="Arial"/>
          <w:b/>
          <w:sz w:val="22"/>
          <w:szCs w:val="22"/>
          <w:lang w:val="en-GB"/>
        </w:rPr>
        <w:t>shall</w:t>
      </w:r>
      <w:r w:rsidRPr="002C327C">
        <w:rPr>
          <w:rFonts w:ascii="Arial" w:hAnsi="Arial" w:cs="Arial"/>
          <w:b/>
          <w:sz w:val="22"/>
          <w:szCs w:val="22"/>
          <w:lang w:val="en-GB"/>
        </w:rPr>
        <w:t xml:space="preserve"> not launch the buy-back procedure</w:t>
      </w:r>
      <w:r w:rsidRPr="009A6E9D">
        <w:rPr>
          <w:rFonts w:ascii="Arial" w:hAnsi="Arial" w:cs="Arial"/>
          <w:sz w:val="22"/>
          <w:szCs w:val="22"/>
          <w:lang w:val="en-GB"/>
        </w:rPr>
        <w:t xml:space="preserve">. </w:t>
      </w:r>
    </w:p>
    <w:p w14:paraId="6DDF49DA" w14:textId="77777777" w:rsidR="00525E90" w:rsidRPr="002C327C" w:rsidRDefault="00525E90" w:rsidP="002C327C">
      <w:pPr>
        <w:spacing w:before="240" w:after="240"/>
        <w:ind w:left="708"/>
        <w:jc w:val="both"/>
        <w:rPr>
          <w:rFonts w:ascii="Arial" w:hAnsi="Arial" w:cs="Arial"/>
          <w:sz w:val="22"/>
          <w:szCs w:val="22"/>
          <w:lang w:val="en-GB"/>
        </w:rPr>
      </w:pPr>
      <w:r w:rsidRPr="002C327C">
        <w:rPr>
          <w:rFonts w:ascii="Arial" w:hAnsi="Arial" w:cs="Arial"/>
          <w:sz w:val="22"/>
          <w:szCs w:val="22"/>
          <w:lang w:val="en-GB"/>
        </w:rPr>
        <w:t>The difference between the</w:t>
      </w:r>
      <w:r w:rsidR="00AC17A5">
        <w:rPr>
          <w:rFonts w:ascii="Arial" w:hAnsi="Arial" w:cs="Arial"/>
          <w:sz w:val="22"/>
          <w:szCs w:val="22"/>
          <w:lang w:val="en-GB"/>
        </w:rPr>
        <w:t xml:space="preserve"> net</w:t>
      </w:r>
      <w:r w:rsidRPr="002C327C">
        <w:rPr>
          <w:rFonts w:ascii="Arial" w:hAnsi="Arial" w:cs="Arial"/>
          <w:sz w:val="22"/>
          <w:szCs w:val="22"/>
          <w:lang w:val="en-GB"/>
        </w:rPr>
        <w:t xml:space="preserve"> </w:t>
      </w:r>
      <w:r>
        <w:rPr>
          <w:rFonts w:ascii="Arial" w:hAnsi="Arial" w:cs="Arial"/>
          <w:sz w:val="22"/>
          <w:szCs w:val="22"/>
          <w:lang w:val="en-GB"/>
        </w:rPr>
        <w:t>nominations</w:t>
      </w:r>
      <w:r w:rsidRPr="002C327C">
        <w:rPr>
          <w:rFonts w:ascii="Arial" w:hAnsi="Arial" w:cs="Arial"/>
          <w:sz w:val="22"/>
          <w:szCs w:val="22"/>
          <w:lang w:val="en-GB"/>
        </w:rPr>
        <w:t xml:space="preserve"> and the operational capacity will be reduced through the mechanism currently in place to tackle these situations, independently of the additional capacity already booked.</w:t>
      </w:r>
    </w:p>
    <w:p w14:paraId="2A21125A" w14:textId="77777777" w:rsidR="00525E90" w:rsidRPr="007C08F5" w:rsidRDefault="00525E90" w:rsidP="00525E90">
      <w:pPr>
        <w:pStyle w:val="Descripcin"/>
        <w:keepNext/>
        <w:jc w:val="center"/>
        <w:rPr>
          <w:rFonts w:ascii="Arial" w:hAnsi="Arial" w:cs="Arial"/>
          <w:color w:val="004E55"/>
          <w:sz w:val="22"/>
          <w:szCs w:val="22"/>
          <w:lang w:val="en-GB"/>
        </w:rPr>
      </w:pPr>
      <w:r w:rsidRPr="00A3774F">
        <w:rPr>
          <w:rFonts w:ascii="Arial" w:hAnsi="Arial" w:cs="Arial"/>
          <w:color w:val="004E55"/>
          <w:lang w:val="en-US"/>
        </w:rPr>
        <w:t xml:space="preserve">Figure </w:t>
      </w:r>
      <w:r w:rsidRPr="007C08F5">
        <w:rPr>
          <w:rFonts w:ascii="Arial" w:hAnsi="Arial" w:cs="Arial"/>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color w:val="004E55"/>
        </w:rPr>
        <w:fldChar w:fldCharType="separate"/>
      </w:r>
      <w:r w:rsidR="0065360F">
        <w:rPr>
          <w:rFonts w:ascii="Arial" w:hAnsi="Arial" w:cs="Arial"/>
          <w:noProof/>
          <w:color w:val="004E55"/>
          <w:lang w:val="en-US"/>
        </w:rPr>
        <w:t>3</w:t>
      </w:r>
      <w:r w:rsidRPr="007C08F5">
        <w:rPr>
          <w:rFonts w:ascii="Arial" w:hAnsi="Arial" w:cs="Arial"/>
          <w:color w:val="004E55"/>
        </w:rPr>
        <w:fldChar w:fldCharType="end"/>
      </w:r>
      <w:r w:rsidRPr="00A3774F">
        <w:rPr>
          <w:rFonts w:ascii="Arial" w:hAnsi="Arial" w:cs="Arial"/>
          <w:color w:val="004E55"/>
          <w:lang w:val="en-US"/>
        </w:rPr>
        <w:t xml:space="preserve">: </w:t>
      </w:r>
      <w:r>
        <w:rPr>
          <w:rFonts w:ascii="Arial" w:hAnsi="Arial" w:cs="Arial"/>
          <w:color w:val="004E55"/>
          <w:lang w:val="en-US"/>
        </w:rPr>
        <w:t xml:space="preserve">Operational capacity below the technical capacity and </w:t>
      </w:r>
      <w:r w:rsidR="00AC17A5">
        <w:rPr>
          <w:rFonts w:ascii="Arial" w:hAnsi="Arial" w:cs="Arial"/>
          <w:color w:val="004E55"/>
          <w:lang w:val="en-US"/>
        </w:rPr>
        <w:t xml:space="preserve">net </w:t>
      </w:r>
      <w:r>
        <w:rPr>
          <w:rFonts w:ascii="Arial" w:hAnsi="Arial" w:cs="Arial"/>
          <w:color w:val="004E55"/>
          <w:lang w:val="en-US"/>
        </w:rPr>
        <w:t>nominations below the technical capacity</w:t>
      </w:r>
    </w:p>
    <w:p w14:paraId="51C9DEBC" w14:textId="77777777" w:rsidR="00525E90" w:rsidRDefault="00525E90" w:rsidP="002C327C">
      <w:pPr>
        <w:spacing w:before="240" w:after="240"/>
        <w:jc w:val="center"/>
        <w:rPr>
          <w:rFonts w:ascii="Arial" w:hAnsi="Arial" w:cs="Arial"/>
          <w:sz w:val="22"/>
          <w:szCs w:val="22"/>
          <w:lang w:val="en-GB"/>
        </w:rPr>
      </w:pPr>
      <w:r>
        <w:rPr>
          <w:rFonts w:ascii="Arial" w:hAnsi="Arial" w:cs="Arial"/>
          <w:noProof/>
          <w:sz w:val="22"/>
          <w:szCs w:val="22"/>
          <w:lang w:val="es-ES" w:eastAsia="es-ES"/>
        </w:rPr>
        <w:drawing>
          <wp:inline distT="0" distB="0" distL="0" distR="0" wp14:anchorId="19323103" wp14:editId="358F0998">
            <wp:extent cx="3324225" cy="273059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2730597"/>
                    </a:xfrm>
                    <a:prstGeom prst="rect">
                      <a:avLst/>
                    </a:prstGeom>
                    <a:noFill/>
                  </pic:spPr>
                </pic:pic>
              </a:graphicData>
            </a:graphic>
          </wp:inline>
        </w:drawing>
      </w:r>
    </w:p>
    <w:p w14:paraId="4872BC8C" w14:textId="77777777" w:rsidR="00525E90" w:rsidRDefault="00525E90" w:rsidP="00525E90">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74B81010" w14:textId="77777777" w:rsidR="00C5009E" w:rsidRDefault="00C5009E" w:rsidP="002C327C">
      <w:pPr>
        <w:pStyle w:val="EstiloTtulo2Arial13ptAntes12ptoDespus12pto"/>
      </w:pPr>
      <w:bookmarkStart w:id="21" w:name="_Toc420067175"/>
      <w:bookmarkStart w:id="22" w:name="_Toc420067403"/>
      <w:bookmarkStart w:id="23" w:name="_Toc420067176"/>
      <w:bookmarkStart w:id="24" w:name="_Toc420067404"/>
      <w:bookmarkStart w:id="25" w:name="_Toc423419730"/>
      <w:bookmarkEnd w:id="21"/>
      <w:bookmarkEnd w:id="22"/>
      <w:bookmarkEnd w:id="23"/>
      <w:bookmarkEnd w:id="24"/>
      <w:r>
        <w:t>Technical and commercial measures</w:t>
      </w:r>
      <w:bookmarkEnd w:id="25"/>
    </w:p>
    <w:p w14:paraId="544D2169" w14:textId="77777777" w:rsidR="00C5009E" w:rsidRDefault="00525E90" w:rsidP="00C5009E">
      <w:pPr>
        <w:spacing w:before="240" w:after="240"/>
        <w:jc w:val="both"/>
        <w:rPr>
          <w:rFonts w:ascii="Arial" w:hAnsi="Arial" w:cs="Arial"/>
          <w:sz w:val="22"/>
          <w:szCs w:val="22"/>
          <w:lang w:val="en-GB"/>
        </w:rPr>
      </w:pPr>
      <w:r>
        <w:rPr>
          <w:rFonts w:ascii="Arial" w:hAnsi="Arial" w:cs="Arial"/>
          <w:sz w:val="22"/>
          <w:szCs w:val="22"/>
          <w:lang w:val="en-GB"/>
        </w:rPr>
        <w:t xml:space="preserve">Once the buy-back procedure has been triggered, </w:t>
      </w:r>
      <w:r w:rsidR="00C5009E" w:rsidRPr="009D2A0C">
        <w:rPr>
          <w:rFonts w:ascii="Arial" w:hAnsi="Arial" w:cs="Arial"/>
          <w:sz w:val="22"/>
          <w:szCs w:val="22"/>
          <w:lang w:val="en-GB"/>
        </w:rPr>
        <w:t xml:space="preserve">TSOs shall, before applying a </w:t>
      </w:r>
      <w:r>
        <w:rPr>
          <w:rFonts w:ascii="Arial" w:hAnsi="Arial" w:cs="Arial"/>
          <w:sz w:val="22"/>
          <w:szCs w:val="22"/>
          <w:lang w:val="en-GB"/>
        </w:rPr>
        <w:t xml:space="preserve">market based </w:t>
      </w:r>
      <w:r w:rsidR="001C4223">
        <w:rPr>
          <w:rFonts w:ascii="Arial" w:hAnsi="Arial" w:cs="Arial"/>
          <w:sz w:val="22"/>
          <w:szCs w:val="22"/>
          <w:lang w:val="en-GB"/>
        </w:rPr>
        <w:t>procedure</w:t>
      </w:r>
      <w:r w:rsidR="00C5009E" w:rsidRPr="009D2A0C">
        <w:rPr>
          <w:rFonts w:ascii="Arial" w:hAnsi="Arial" w:cs="Arial"/>
          <w:sz w:val="22"/>
          <w:szCs w:val="22"/>
          <w:lang w:val="en-GB"/>
        </w:rPr>
        <w:t>, verify whether alternative technical and commercial measures can maintain the system integrity in a more cost-efficient manner.</w:t>
      </w:r>
    </w:p>
    <w:p w14:paraId="2E078CB1" w14:textId="77777777" w:rsidR="00C5009E" w:rsidRDefault="00D5365E" w:rsidP="00C5009E">
      <w:pPr>
        <w:spacing w:before="240" w:after="240"/>
        <w:jc w:val="both"/>
        <w:rPr>
          <w:rFonts w:ascii="Arial" w:hAnsi="Arial" w:cs="Arial"/>
          <w:sz w:val="22"/>
          <w:szCs w:val="22"/>
          <w:lang w:val="en-GB"/>
        </w:rPr>
      </w:pPr>
      <w:r>
        <w:rPr>
          <w:rFonts w:ascii="Arial" w:hAnsi="Arial" w:cs="Arial"/>
          <w:sz w:val="22"/>
          <w:szCs w:val="22"/>
          <w:lang w:val="en-GB"/>
        </w:rPr>
        <w:t>The</w:t>
      </w:r>
      <w:r w:rsidR="00C5009E">
        <w:rPr>
          <w:rFonts w:ascii="Arial" w:hAnsi="Arial" w:cs="Arial"/>
          <w:sz w:val="22"/>
          <w:szCs w:val="22"/>
          <w:lang w:val="en-GB"/>
        </w:rPr>
        <w:t xml:space="preserve"> technical and commercial measures</w:t>
      </w:r>
      <w:r>
        <w:rPr>
          <w:rFonts w:ascii="Arial" w:hAnsi="Arial" w:cs="Arial"/>
          <w:sz w:val="22"/>
          <w:szCs w:val="22"/>
          <w:lang w:val="en-GB"/>
        </w:rPr>
        <w:t xml:space="preserve"> to be applied shall follow the next merit order:</w:t>
      </w:r>
    </w:p>
    <w:p w14:paraId="72AD2A14" w14:textId="77777777" w:rsidR="00C5009E" w:rsidRPr="009B23CE" w:rsidRDefault="00C5009E" w:rsidP="002C327C">
      <w:pPr>
        <w:pStyle w:val="Prrafodelista"/>
        <w:numPr>
          <w:ilvl w:val="0"/>
          <w:numId w:val="32"/>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Interruption of the interruptible capacities under the following order:</w:t>
      </w:r>
    </w:p>
    <w:p w14:paraId="783441EA"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Within day interruptible capacity (overnomination)</w:t>
      </w:r>
    </w:p>
    <w:p w14:paraId="07D1A991"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Daily interruptible capacity</w:t>
      </w:r>
    </w:p>
    <w:p w14:paraId="1162E763"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Monthly interruptible capacity</w:t>
      </w:r>
    </w:p>
    <w:p w14:paraId="1A536DED" w14:textId="77777777" w:rsidR="00C5009E" w:rsidRPr="009B23C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Quarterly interruptible capacity</w:t>
      </w:r>
    </w:p>
    <w:p w14:paraId="0DACCFFA" w14:textId="77777777" w:rsidR="00C5009E" w:rsidRDefault="00C5009E" w:rsidP="002C327C">
      <w:pPr>
        <w:pStyle w:val="Prrafodelista"/>
        <w:numPr>
          <w:ilvl w:val="1"/>
          <w:numId w:val="39"/>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Yearly interruptible capacity</w:t>
      </w:r>
    </w:p>
    <w:p w14:paraId="39B36A1C" w14:textId="77777777" w:rsidR="00A74A7A" w:rsidRPr="001A15F1" w:rsidRDefault="00A74A7A" w:rsidP="001A15F1">
      <w:pPr>
        <w:pStyle w:val="Prrafodelista"/>
        <w:numPr>
          <w:ilvl w:val="0"/>
          <w:numId w:val="32"/>
        </w:numPr>
        <w:spacing w:before="240" w:after="240"/>
        <w:contextualSpacing w:val="0"/>
        <w:jc w:val="both"/>
        <w:rPr>
          <w:rFonts w:ascii="Arial" w:hAnsi="Arial" w:cs="Arial"/>
          <w:sz w:val="22"/>
          <w:szCs w:val="22"/>
          <w:lang w:val="en-US"/>
        </w:rPr>
      </w:pPr>
      <w:r w:rsidRPr="009B23CE">
        <w:rPr>
          <w:rFonts w:ascii="Arial" w:hAnsi="Arial" w:cs="Arial"/>
          <w:sz w:val="22"/>
          <w:szCs w:val="22"/>
          <w:lang w:val="en-US"/>
        </w:rPr>
        <w:t>Management of the OBA</w:t>
      </w:r>
    </w:p>
    <w:p w14:paraId="32FA882B" w14:textId="77777777" w:rsidR="00176BE7" w:rsidRDefault="009D2A0C" w:rsidP="002C327C">
      <w:pPr>
        <w:pStyle w:val="EstiloTtulo2Arial13ptAntes12ptoDespus12pto"/>
      </w:pPr>
      <w:bookmarkStart w:id="26" w:name="_Toc420067178"/>
      <w:bookmarkStart w:id="27" w:name="_Toc420067406"/>
      <w:bookmarkStart w:id="28" w:name="_Toc420067197"/>
      <w:bookmarkStart w:id="29" w:name="_Toc420067425"/>
      <w:bookmarkStart w:id="30" w:name="_Toc420067198"/>
      <w:bookmarkStart w:id="31" w:name="_Toc420067426"/>
      <w:bookmarkStart w:id="32" w:name="_Toc423419731"/>
      <w:bookmarkEnd w:id="26"/>
      <w:bookmarkEnd w:id="27"/>
      <w:bookmarkEnd w:id="28"/>
      <w:bookmarkEnd w:id="29"/>
      <w:bookmarkEnd w:id="30"/>
      <w:bookmarkEnd w:id="31"/>
      <w:r>
        <w:lastRenderedPageBreak/>
        <w:t>Market-based procedure</w:t>
      </w:r>
      <w:bookmarkEnd w:id="32"/>
    </w:p>
    <w:p w14:paraId="5046A4D9" w14:textId="77777777" w:rsidR="00E83267" w:rsidRDefault="00C5009E" w:rsidP="00176BE7">
      <w:pPr>
        <w:spacing w:before="240" w:after="240"/>
        <w:jc w:val="both"/>
        <w:rPr>
          <w:rFonts w:ascii="Arial" w:hAnsi="Arial" w:cs="Arial"/>
          <w:sz w:val="22"/>
          <w:szCs w:val="22"/>
          <w:lang w:val="en-US"/>
        </w:rPr>
      </w:pPr>
      <w:r>
        <w:rPr>
          <w:rFonts w:ascii="Arial" w:hAnsi="Arial" w:cs="Arial"/>
          <w:sz w:val="22"/>
          <w:szCs w:val="22"/>
          <w:lang w:val="en-US"/>
        </w:rPr>
        <w:t xml:space="preserve">If the </w:t>
      </w:r>
      <w:r w:rsidR="00E83267" w:rsidRPr="00E83267">
        <w:rPr>
          <w:rFonts w:ascii="Arial" w:hAnsi="Arial" w:cs="Arial"/>
          <w:sz w:val="22"/>
          <w:szCs w:val="22"/>
          <w:lang w:val="en-US"/>
        </w:rPr>
        <w:t>measures</w:t>
      </w:r>
      <w:r w:rsidR="009342D0">
        <w:rPr>
          <w:rFonts w:ascii="Arial" w:hAnsi="Arial" w:cs="Arial"/>
          <w:sz w:val="22"/>
          <w:szCs w:val="22"/>
          <w:lang w:val="en-US"/>
        </w:rPr>
        <w:t xml:space="preserve"> described in the </w:t>
      </w:r>
      <w:r w:rsidR="00D5365E">
        <w:rPr>
          <w:rFonts w:ascii="Arial" w:hAnsi="Arial" w:cs="Arial"/>
          <w:sz w:val="22"/>
          <w:szCs w:val="22"/>
          <w:lang w:val="en-US"/>
        </w:rPr>
        <w:t xml:space="preserve">above </w:t>
      </w:r>
      <w:r w:rsidR="009342D0">
        <w:rPr>
          <w:rFonts w:ascii="Arial" w:hAnsi="Arial" w:cs="Arial"/>
          <w:sz w:val="22"/>
          <w:szCs w:val="22"/>
          <w:lang w:val="en-US"/>
        </w:rPr>
        <w:t xml:space="preserve">point </w:t>
      </w:r>
      <w:r w:rsidR="00E83267" w:rsidRPr="00E83267">
        <w:rPr>
          <w:rFonts w:ascii="Arial" w:hAnsi="Arial" w:cs="Arial"/>
          <w:sz w:val="22"/>
          <w:szCs w:val="22"/>
          <w:lang w:val="en-US"/>
        </w:rPr>
        <w:t>are not enough to maintain the system integrity, TSOs shall trigger a market based mechanism in order to buy-back the capacity.</w:t>
      </w:r>
    </w:p>
    <w:p w14:paraId="412F00C2" w14:textId="4FBD7D08" w:rsidR="002907E8" w:rsidRDefault="002907E8" w:rsidP="002907E8">
      <w:pPr>
        <w:spacing w:before="240" w:after="240"/>
        <w:jc w:val="both"/>
        <w:rPr>
          <w:rFonts w:ascii="Arial" w:hAnsi="Arial" w:cs="Arial"/>
          <w:sz w:val="22"/>
          <w:szCs w:val="22"/>
          <w:lang w:val="en-US"/>
        </w:rPr>
      </w:pPr>
      <w:r w:rsidRPr="001919E2">
        <w:rPr>
          <w:rFonts w:ascii="Arial" w:hAnsi="Arial" w:cs="Arial"/>
          <w:sz w:val="22"/>
          <w:szCs w:val="22"/>
          <w:lang w:val="en-US"/>
        </w:rPr>
        <w:t>The TSO</w:t>
      </w:r>
      <w:r>
        <w:rPr>
          <w:rFonts w:ascii="Arial" w:hAnsi="Arial" w:cs="Arial"/>
          <w:sz w:val="22"/>
          <w:szCs w:val="22"/>
          <w:lang w:val="en-US"/>
        </w:rPr>
        <w:t>s shall launch the market-base procedure if:</w:t>
      </w:r>
    </w:p>
    <w:p w14:paraId="433CE9D8" w14:textId="77777777" w:rsidR="002907E8" w:rsidRPr="002C327C" w:rsidRDefault="002907E8" w:rsidP="002C327C">
      <w:pPr>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jc w:val="center"/>
        <w:rPr>
          <w:rFonts w:ascii="Arial" w:hAnsi="Arial" w:cs="Arial"/>
          <w:sz w:val="22"/>
          <w:szCs w:val="22"/>
          <w:lang w:val="en-US"/>
        </w:rPr>
      </w:pPr>
      <w:r w:rsidRPr="002C327C">
        <w:rPr>
          <w:rFonts w:ascii="Arial" w:hAnsi="Arial" w:cs="Arial"/>
          <w:bCs/>
          <w:sz w:val="22"/>
          <w:szCs w:val="22"/>
          <w:lang w:val="el-GR"/>
        </w:rPr>
        <w:t>Technical capacity</w:t>
      </w:r>
      <w:r w:rsidRPr="002C327C">
        <w:rPr>
          <w:rFonts w:ascii="Arial" w:hAnsi="Arial" w:cs="Arial"/>
          <w:bCs/>
          <w:sz w:val="22"/>
          <w:szCs w:val="22"/>
          <w:lang w:val="en-US"/>
        </w:rPr>
        <w:t xml:space="preserve"> &lt; </w:t>
      </w:r>
      <w:r w:rsidRPr="002C327C">
        <w:rPr>
          <w:rFonts w:ascii="Arial" w:hAnsi="Arial" w:cs="Arial"/>
          <w:bCs/>
          <w:sz w:val="22"/>
          <w:szCs w:val="22"/>
          <w:lang w:val="el-GR"/>
        </w:rPr>
        <w:t>Σ</w:t>
      </w:r>
      <w:r w:rsidRPr="002C327C">
        <w:rPr>
          <w:rFonts w:ascii="Arial" w:hAnsi="Arial" w:cs="Arial"/>
          <w:bCs/>
          <w:sz w:val="22"/>
          <w:szCs w:val="22"/>
          <w:lang w:val="en-US"/>
        </w:rPr>
        <w:t xml:space="preserve"> Net nominations – OBA – Interruptible capacity</w:t>
      </w:r>
    </w:p>
    <w:p w14:paraId="12E3D55E" w14:textId="77777777" w:rsidR="004C4403" w:rsidRPr="004C4403" w:rsidRDefault="004C4403" w:rsidP="00176BE7">
      <w:pPr>
        <w:spacing w:before="240" w:after="240"/>
        <w:jc w:val="both"/>
        <w:rPr>
          <w:rFonts w:ascii="Arial" w:hAnsi="Arial" w:cs="Arial"/>
          <w:sz w:val="22"/>
          <w:szCs w:val="22"/>
          <w:lang w:val="en-US"/>
        </w:rPr>
      </w:pPr>
      <w:r w:rsidRPr="004C4403">
        <w:rPr>
          <w:rFonts w:ascii="Arial" w:hAnsi="Arial" w:cs="Arial"/>
          <w:sz w:val="22"/>
          <w:szCs w:val="22"/>
          <w:lang w:val="en-US"/>
        </w:rPr>
        <w:t>The market-based procedure will be perfo</w:t>
      </w:r>
      <w:r w:rsidR="001919E2">
        <w:rPr>
          <w:rFonts w:ascii="Arial" w:hAnsi="Arial" w:cs="Arial"/>
          <w:sz w:val="22"/>
          <w:szCs w:val="22"/>
          <w:lang w:val="en-US"/>
        </w:rPr>
        <w:t xml:space="preserve">rmed at PRISMA booking platform through </w:t>
      </w:r>
      <w:r w:rsidR="001919E2" w:rsidRPr="008D2744">
        <w:rPr>
          <w:rFonts w:ascii="Arial" w:hAnsi="Arial" w:cs="Arial"/>
          <w:b/>
          <w:sz w:val="22"/>
          <w:szCs w:val="22"/>
          <w:lang w:val="en-US"/>
        </w:rPr>
        <w:t>the secondary market functionality</w:t>
      </w:r>
      <w:r w:rsidR="008D2744">
        <w:rPr>
          <w:rFonts w:ascii="Arial" w:hAnsi="Arial" w:cs="Arial"/>
          <w:b/>
          <w:sz w:val="22"/>
          <w:szCs w:val="22"/>
          <w:lang w:val="en-US"/>
        </w:rPr>
        <w:t xml:space="preserve"> and under the Call For Orders</w:t>
      </w:r>
      <w:r w:rsidR="00345032">
        <w:rPr>
          <w:rFonts w:ascii="Arial" w:hAnsi="Arial" w:cs="Arial"/>
          <w:b/>
          <w:sz w:val="22"/>
          <w:szCs w:val="22"/>
          <w:lang w:val="en-US"/>
        </w:rPr>
        <w:t xml:space="preserve"> (CFO)</w:t>
      </w:r>
      <w:r w:rsidR="008D2744">
        <w:rPr>
          <w:rFonts w:ascii="Arial" w:hAnsi="Arial" w:cs="Arial"/>
          <w:b/>
          <w:sz w:val="22"/>
          <w:szCs w:val="22"/>
          <w:lang w:val="en-US"/>
        </w:rPr>
        <w:t xml:space="preserve"> mechanism</w:t>
      </w:r>
      <w:r w:rsidR="00C5009E">
        <w:rPr>
          <w:rFonts w:ascii="Arial" w:hAnsi="Arial" w:cs="Arial"/>
          <w:sz w:val="22"/>
          <w:szCs w:val="22"/>
          <w:lang w:val="en-US"/>
        </w:rPr>
        <w:t>.</w:t>
      </w:r>
    </w:p>
    <w:p w14:paraId="497D3F14" w14:textId="77777777" w:rsidR="007B2B60" w:rsidRDefault="007B2B60" w:rsidP="007B2B60">
      <w:pPr>
        <w:numPr>
          <w:ilvl w:val="2"/>
          <w:numId w:val="1"/>
        </w:numPr>
        <w:spacing w:before="240"/>
        <w:jc w:val="both"/>
        <w:rPr>
          <w:rFonts w:cs="Arial"/>
          <w:b/>
          <w:bCs/>
          <w:i/>
          <w:iCs/>
          <w:sz w:val="22"/>
          <w:szCs w:val="22"/>
          <w:lang w:val="en-US"/>
        </w:rPr>
      </w:pPr>
      <w:r>
        <w:rPr>
          <w:rFonts w:ascii="Arial" w:hAnsi="Arial" w:cs="Arial"/>
          <w:b/>
          <w:bCs/>
          <w:i/>
          <w:iCs/>
          <w:szCs w:val="22"/>
          <w:lang w:val="en-US"/>
        </w:rPr>
        <w:t>Request of buy-back</w:t>
      </w:r>
    </w:p>
    <w:p w14:paraId="64E9CA7D" w14:textId="77777777" w:rsidR="00A624A5" w:rsidRDefault="00AA3EAE" w:rsidP="00AA3EAE">
      <w:pPr>
        <w:spacing w:before="240"/>
        <w:jc w:val="both"/>
        <w:rPr>
          <w:rFonts w:ascii="Arial" w:hAnsi="Arial" w:cs="Arial"/>
          <w:sz w:val="22"/>
          <w:szCs w:val="22"/>
          <w:lang w:val="en-US"/>
        </w:rPr>
      </w:pPr>
      <w:r w:rsidRPr="00AA3EAE">
        <w:rPr>
          <w:rFonts w:ascii="Arial" w:hAnsi="Arial" w:cs="Arial"/>
          <w:sz w:val="22"/>
          <w:szCs w:val="22"/>
          <w:lang w:val="en-US"/>
        </w:rPr>
        <w:t xml:space="preserve">The TSO that needs to buy-back capacity </w:t>
      </w:r>
      <w:r w:rsidR="00A624A5">
        <w:rPr>
          <w:rFonts w:ascii="Arial" w:hAnsi="Arial" w:cs="Arial"/>
          <w:sz w:val="22"/>
          <w:szCs w:val="22"/>
          <w:lang w:val="en-US"/>
        </w:rPr>
        <w:t>will immediately communicate the situation to the adjacent TSO.</w:t>
      </w:r>
    </w:p>
    <w:p w14:paraId="780A10A6" w14:textId="77777777" w:rsidR="00A624A5" w:rsidRDefault="00A624A5" w:rsidP="002C327C">
      <w:pPr>
        <w:spacing w:before="240"/>
        <w:jc w:val="both"/>
        <w:rPr>
          <w:rFonts w:ascii="Arial" w:hAnsi="Arial" w:cs="Arial"/>
          <w:sz w:val="22"/>
          <w:szCs w:val="22"/>
          <w:lang w:val="en-US"/>
        </w:rPr>
      </w:pPr>
      <w:r>
        <w:rPr>
          <w:rFonts w:ascii="Arial" w:hAnsi="Arial" w:cs="Arial"/>
          <w:sz w:val="22"/>
          <w:szCs w:val="22"/>
          <w:lang w:val="en-US"/>
        </w:rPr>
        <w:t>Then, TSO</w:t>
      </w:r>
      <w:r w:rsidR="001A2773">
        <w:rPr>
          <w:rFonts w:ascii="Arial" w:hAnsi="Arial" w:cs="Arial"/>
          <w:sz w:val="22"/>
          <w:szCs w:val="22"/>
          <w:lang w:val="en-US"/>
        </w:rPr>
        <w:t>s</w:t>
      </w:r>
      <w:r>
        <w:rPr>
          <w:rFonts w:ascii="Arial" w:hAnsi="Arial" w:cs="Arial"/>
          <w:sz w:val="22"/>
          <w:szCs w:val="22"/>
          <w:lang w:val="en-US"/>
        </w:rPr>
        <w:t xml:space="preserve"> will </w:t>
      </w:r>
      <w:r w:rsidR="00B53361">
        <w:rPr>
          <w:rFonts w:ascii="Arial" w:hAnsi="Arial" w:cs="Arial"/>
          <w:sz w:val="22"/>
          <w:szCs w:val="22"/>
          <w:lang w:val="en-US"/>
        </w:rPr>
        <w:t xml:space="preserve">create </w:t>
      </w:r>
      <w:r>
        <w:rPr>
          <w:rFonts w:ascii="Arial" w:hAnsi="Arial" w:cs="Arial"/>
          <w:sz w:val="22"/>
          <w:szCs w:val="22"/>
          <w:lang w:val="en-US"/>
        </w:rPr>
        <w:t>a “</w:t>
      </w:r>
      <w:r w:rsidRPr="00D72A52">
        <w:rPr>
          <w:rFonts w:ascii="Arial" w:hAnsi="Arial" w:cs="Arial"/>
          <w:sz w:val="22"/>
          <w:szCs w:val="22"/>
          <w:lang w:val="en-US"/>
        </w:rPr>
        <w:t>proposal to buy”</w:t>
      </w:r>
      <w:r>
        <w:rPr>
          <w:rFonts w:ascii="Arial" w:hAnsi="Arial" w:cs="Arial"/>
          <w:sz w:val="22"/>
          <w:szCs w:val="22"/>
          <w:lang w:val="en-US"/>
        </w:rPr>
        <w:t xml:space="preserve"> procedure in the secondary market at PRISMA </w:t>
      </w:r>
      <w:r w:rsidR="00B53361">
        <w:rPr>
          <w:rFonts w:ascii="Arial" w:hAnsi="Arial" w:cs="Arial"/>
          <w:sz w:val="22"/>
          <w:szCs w:val="22"/>
          <w:lang w:val="en-US"/>
        </w:rPr>
        <w:t xml:space="preserve">platform </w:t>
      </w:r>
      <w:r>
        <w:rPr>
          <w:rFonts w:ascii="Arial" w:hAnsi="Arial" w:cs="Arial"/>
          <w:sz w:val="22"/>
          <w:szCs w:val="22"/>
          <w:lang w:val="en-US"/>
        </w:rPr>
        <w:t xml:space="preserve">and </w:t>
      </w:r>
      <w:r w:rsidR="00B53361">
        <w:rPr>
          <w:rFonts w:ascii="Arial" w:hAnsi="Arial" w:cs="Arial"/>
          <w:sz w:val="22"/>
          <w:szCs w:val="22"/>
          <w:lang w:val="en-US"/>
        </w:rPr>
        <w:t xml:space="preserve">it </w:t>
      </w:r>
      <w:r w:rsidR="001A2773">
        <w:rPr>
          <w:rFonts w:ascii="Arial" w:hAnsi="Arial" w:cs="Arial"/>
          <w:sz w:val="22"/>
          <w:szCs w:val="22"/>
          <w:lang w:val="en-US"/>
        </w:rPr>
        <w:t xml:space="preserve">will </w:t>
      </w:r>
      <w:r w:rsidR="00B53361">
        <w:rPr>
          <w:rFonts w:ascii="Arial" w:hAnsi="Arial" w:cs="Arial"/>
          <w:sz w:val="22"/>
          <w:szCs w:val="22"/>
          <w:lang w:val="en-US"/>
        </w:rPr>
        <w:t xml:space="preserve">contain </w:t>
      </w:r>
      <w:r>
        <w:rPr>
          <w:rFonts w:ascii="Arial" w:hAnsi="Arial" w:cs="Arial"/>
          <w:sz w:val="22"/>
          <w:szCs w:val="22"/>
          <w:lang w:val="en-US"/>
        </w:rPr>
        <w:t>the following information:</w:t>
      </w:r>
    </w:p>
    <w:p w14:paraId="352D9815" w14:textId="77777777" w:rsidR="00301A9C" w:rsidRPr="00301A9C" w:rsidRDefault="00301A9C" w:rsidP="002C327C">
      <w:pPr>
        <w:pStyle w:val="Prrafodelista"/>
        <w:numPr>
          <w:ilvl w:val="0"/>
          <w:numId w:val="41"/>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T</w:t>
      </w:r>
      <w:r w:rsidR="00A624A5" w:rsidRPr="002C327C">
        <w:rPr>
          <w:rFonts w:ascii="Arial" w:hAnsi="Arial" w:cs="Arial"/>
          <w:sz w:val="22"/>
          <w:szCs w:val="22"/>
          <w:lang w:val="en-US"/>
        </w:rPr>
        <w:t>he amount of capacity that needs to be bought back</w:t>
      </w:r>
      <w:r w:rsidRPr="00301A9C">
        <w:rPr>
          <w:rFonts w:ascii="Arial" w:hAnsi="Arial" w:cs="Arial"/>
          <w:sz w:val="22"/>
          <w:szCs w:val="22"/>
          <w:lang w:val="en-US"/>
        </w:rPr>
        <w:t xml:space="preserve">. </w:t>
      </w:r>
      <w:r>
        <w:rPr>
          <w:rFonts w:ascii="Arial" w:hAnsi="Arial" w:cs="Arial"/>
          <w:sz w:val="22"/>
          <w:szCs w:val="22"/>
          <w:lang w:val="en-US"/>
        </w:rPr>
        <w:t>This</w:t>
      </w:r>
      <w:r w:rsidRPr="00301A9C">
        <w:rPr>
          <w:rFonts w:ascii="Arial" w:hAnsi="Arial" w:cs="Arial"/>
          <w:sz w:val="22"/>
          <w:szCs w:val="22"/>
          <w:lang w:val="en-US"/>
        </w:rPr>
        <w:t xml:space="preserve"> quantity will be always placed as the </w:t>
      </w:r>
      <w:r w:rsidR="00C9662F">
        <w:rPr>
          <w:rFonts w:ascii="Arial" w:hAnsi="Arial" w:cs="Arial"/>
          <w:sz w:val="22"/>
          <w:szCs w:val="22"/>
          <w:lang w:val="en-US"/>
        </w:rPr>
        <w:t>maximum</w:t>
      </w:r>
      <w:r w:rsidR="00C9662F" w:rsidRPr="00301A9C">
        <w:rPr>
          <w:rFonts w:ascii="Arial" w:hAnsi="Arial" w:cs="Arial"/>
          <w:sz w:val="22"/>
          <w:szCs w:val="22"/>
          <w:lang w:val="en-US"/>
        </w:rPr>
        <w:t xml:space="preserve"> </w:t>
      </w:r>
      <w:r w:rsidRPr="00301A9C">
        <w:rPr>
          <w:rFonts w:ascii="Arial" w:hAnsi="Arial" w:cs="Arial"/>
          <w:sz w:val="22"/>
          <w:szCs w:val="22"/>
          <w:lang w:val="en-US"/>
        </w:rPr>
        <w:t>amount of the bundled capacity both TSOs have to buy in order to so</w:t>
      </w:r>
      <w:r>
        <w:rPr>
          <w:rFonts w:ascii="Arial" w:hAnsi="Arial" w:cs="Arial"/>
          <w:sz w:val="22"/>
          <w:szCs w:val="22"/>
          <w:lang w:val="en-US"/>
        </w:rPr>
        <w:t>lve the oversubscribed capacity; and</w:t>
      </w:r>
    </w:p>
    <w:p w14:paraId="31302723" w14:textId="77777777" w:rsidR="00A624A5" w:rsidRDefault="00301A9C" w:rsidP="002C327C">
      <w:pPr>
        <w:pStyle w:val="Prrafodelista"/>
        <w:numPr>
          <w:ilvl w:val="0"/>
          <w:numId w:val="41"/>
        </w:numPr>
        <w:spacing w:before="240"/>
        <w:contextualSpacing w:val="0"/>
        <w:jc w:val="both"/>
        <w:rPr>
          <w:rFonts w:ascii="Arial" w:hAnsi="Arial" w:cs="Arial"/>
          <w:sz w:val="22"/>
          <w:szCs w:val="22"/>
          <w:lang w:val="en-US"/>
        </w:rPr>
      </w:pPr>
      <w:r>
        <w:rPr>
          <w:rFonts w:ascii="Arial" w:hAnsi="Arial" w:cs="Arial"/>
          <w:sz w:val="22"/>
          <w:szCs w:val="22"/>
          <w:lang w:val="en-US"/>
        </w:rPr>
        <w:t>T</w:t>
      </w:r>
      <w:r w:rsidR="00A624A5" w:rsidRPr="002C327C">
        <w:rPr>
          <w:rFonts w:ascii="Arial" w:hAnsi="Arial" w:cs="Arial"/>
          <w:sz w:val="22"/>
          <w:szCs w:val="22"/>
          <w:lang w:val="en-US"/>
        </w:rPr>
        <w:t>he maximum price th</w:t>
      </w:r>
      <w:r w:rsidR="00A624A5">
        <w:rPr>
          <w:rFonts w:ascii="Arial" w:hAnsi="Arial" w:cs="Arial"/>
          <w:sz w:val="22"/>
          <w:szCs w:val="22"/>
          <w:lang w:val="en-US"/>
        </w:rPr>
        <w:t>e TSOs are allowed to pay</w:t>
      </w:r>
      <w:r>
        <w:rPr>
          <w:rFonts w:ascii="Arial" w:hAnsi="Arial" w:cs="Arial"/>
          <w:sz w:val="22"/>
          <w:szCs w:val="22"/>
          <w:lang w:val="en-US"/>
        </w:rPr>
        <w:t xml:space="preserve">, which shall be the </w:t>
      </w:r>
      <w:r w:rsidRPr="00301A9C">
        <w:rPr>
          <w:rFonts w:ascii="Arial" w:hAnsi="Arial" w:cs="Arial"/>
          <w:sz w:val="22"/>
          <w:szCs w:val="22"/>
          <w:lang w:val="en-US"/>
        </w:rPr>
        <w:t>sum of the maximum price each TSO is allowed to pay</w:t>
      </w:r>
      <w:r>
        <w:rPr>
          <w:rFonts w:ascii="Arial" w:hAnsi="Arial" w:cs="Arial"/>
          <w:sz w:val="22"/>
          <w:szCs w:val="22"/>
          <w:lang w:val="en-US"/>
        </w:rPr>
        <w:t>.</w:t>
      </w:r>
    </w:p>
    <w:p w14:paraId="1F5A2476" w14:textId="77777777" w:rsidR="00540E2D" w:rsidRDefault="00540E2D" w:rsidP="002C327C">
      <w:pPr>
        <w:pStyle w:val="Prrafodelista"/>
        <w:numPr>
          <w:ilvl w:val="0"/>
          <w:numId w:val="41"/>
        </w:numPr>
        <w:spacing w:before="240"/>
        <w:contextualSpacing w:val="0"/>
        <w:jc w:val="both"/>
        <w:rPr>
          <w:rFonts w:ascii="Arial" w:hAnsi="Arial" w:cs="Arial"/>
          <w:sz w:val="22"/>
          <w:szCs w:val="22"/>
          <w:lang w:val="en-US"/>
        </w:rPr>
      </w:pPr>
      <w:r>
        <w:rPr>
          <w:rFonts w:ascii="Arial" w:hAnsi="Arial" w:cs="Arial"/>
          <w:sz w:val="22"/>
          <w:szCs w:val="22"/>
          <w:lang w:val="en-US"/>
        </w:rPr>
        <w:t xml:space="preserve">The updated list of network users </w:t>
      </w:r>
      <w:r w:rsidR="001A2773">
        <w:rPr>
          <w:rFonts w:ascii="Arial" w:hAnsi="Arial" w:cs="Arial"/>
          <w:sz w:val="22"/>
          <w:szCs w:val="22"/>
          <w:lang w:val="en-US"/>
        </w:rPr>
        <w:t xml:space="preserve">that are allowed </w:t>
      </w:r>
      <w:r>
        <w:rPr>
          <w:rFonts w:ascii="Arial" w:hAnsi="Arial" w:cs="Arial"/>
          <w:sz w:val="22"/>
          <w:szCs w:val="22"/>
          <w:lang w:val="en-US"/>
        </w:rPr>
        <w:t>for participating in the buy-back procedure</w:t>
      </w:r>
    </w:p>
    <w:p w14:paraId="603585ED" w14:textId="25B1A68F" w:rsidR="0069658F" w:rsidRDefault="0069658F" w:rsidP="002C327C">
      <w:pPr>
        <w:spacing w:before="240"/>
        <w:ind w:left="60"/>
        <w:jc w:val="both"/>
        <w:rPr>
          <w:rFonts w:ascii="Arial" w:hAnsi="Arial" w:cs="Arial"/>
          <w:sz w:val="22"/>
          <w:szCs w:val="22"/>
          <w:lang w:val="en-US"/>
        </w:rPr>
      </w:pPr>
      <w:r>
        <w:rPr>
          <w:rFonts w:ascii="Arial" w:hAnsi="Arial" w:cs="Arial"/>
          <w:sz w:val="22"/>
          <w:szCs w:val="22"/>
          <w:lang w:val="en-US"/>
        </w:rPr>
        <w:t xml:space="preserve">The “proposal to buy” must be created at PRISMA platform at </w:t>
      </w:r>
      <w:r w:rsidR="00F646F4">
        <w:rPr>
          <w:rFonts w:ascii="Arial" w:hAnsi="Arial" w:cs="Arial"/>
          <w:sz w:val="22"/>
          <w:szCs w:val="22"/>
          <w:lang w:val="en-US"/>
        </w:rPr>
        <w:t>19</w:t>
      </w:r>
      <w:r>
        <w:rPr>
          <w:rFonts w:ascii="Arial" w:hAnsi="Arial" w:cs="Arial"/>
          <w:sz w:val="22"/>
          <w:szCs w:val="22"/>
          <w:lang w:val="en-US"/>
        </w:rPr>
        <w:t xml:space="preserve">:30 </w:t>
      </w:r>
      <w:r w:rsidR="00F646F4">
        <w:rPr>
          <w:rFonts w:ascii="Arial" w:hAnsi="Arial" w:cs="Arial"/>
          <w:sz w:val="22"/>
          <w:szCs w:val="22"/>
          <w:lang w:val="en-US"/>
        </w:rPr>
        <w:t>UTC</w:t>
      </w:r>
      <w:r>
        <w:rPr>
          <w:rFonts w:ascii="Arial" w:hAnsi="Arial" w:cs="Arial"/>
          <w:sz w:val="22"/>
          <w:szCs w:val="22"/>
          <w:lang w:val="en-US"/>
        </w:rPr>
        <w:t xml:space="preserve"> </w:t>
      </w:r>
      <w:r w:rsidR="00BF01A0">
        <w:rPr>
          <w:rFonts w:ascii="Arial" w:hAnsi="Arial" w:cs="Arial"/>
          <w:sz w:val="22"/>
          <w:szCs w:val="22"/>
          <w:lang w:val="en-US"/>
        </w:rPr>
        <w:t xml:space="preserve">D-1 </w:t>
      </w:r>
      <w:r>
        <w:rPr>
          <w:rFonts w:ascii="Arial" w:hAnsi="Arial" w:cs="Arial"/>
          <w:sz w:val="22"/>
          <w:szCs w:val="22"/>
          <w:lang w:val="en-US"/>
        </w:rPr>
        <w:t>at latest</w:t>
      </w:r>
      <w:r w:rsidR="00F646F4">
        <w:rPr>
          <w:rFonts w:ascii="Arial" w:hAnsi="Arial" w:cs="Arial"/>
          <w:sz w:val="22"/>
          <w:szCs w:val="22"/>
          <w:lang w:val="en-US"/>
        </w:rPr>
        <w:t xml:space="preserve"> (or 18:30 UTC </w:t>
      </w:r>
      <w:r w:rsidR="00D839BC">
        <w:rPr>
          <w:rFonts w:ascii="Arial" w:hAnsi="Arial" w:cs="Arial"/>
          <w:sz w:val="22"/>
          <w:szCs w:val="22"/>
          <w:lang w:val="en-US"/>
        </w:rPr>
        <w:t>daylight</w:t>
      </w:r>
      <w:r w:rsidR="00F646F4">
        <w:rPr>
          <w:rFonts w:ascii="Arial" w:hAnsi="Arial" w:cs="Arial"/>
          <w:sz w:val="22"/>
          <w:szCs w:val="22"/>
          <w:lang w:val="en-US"/>
        </w:rPr>
        <w:t xml:space="preserve"> saving)</w:t>
      </w:r>
      <w:r>
        <w:rPr>
          <w:rFonts w:ascii="Arial" w:hAnsi="Arial" w:cs="Arial"/>
          <w:sz w:val="22"/>
          <w:szCs w:val="22"/>
          <w:lang w:val="en-US"/>
        </w:rPr>
        <w:t>. If no proposal has been created, then TSOs will apply pro-rata rule to all firm capacity already sold</w:t>
      </w:r>
      <w:r w:rsidR="00BF01A0">
        <w:rPr>
          <w:rFonts w:ascii="Arial" w:hAnsi="Arial" w:cs="Arial"/>
          <w:sz w:val="22"/>
          <w:szCs w:val="22"/>
          <w:lang w:val="en-US"/>
        </w:rPr>
        <w:t xml:space="preserve"> (</w:t>
      </w:r>
      <w:r w:rsidR="00EE1944" w:rsidRPr="001A15F1">
        <w:rPr>
          <w:rFonts w:ascii="Arial" w:hAnsi="Arial" w:cs="Arial"/>
          <w:i/>
          <w:sz w:val="22"/>
          <w:szCs w:val="22"/>
          <w:lang w:val="en-US"/>
        </w:rPr>
        <w:t xml:space="preserve">see </w:t>
      </w:r>
      <w:r w:rsidR="00EE1944" w:rsidRPr="001A15F1">
        <w:rPr>
          <w:rFonts w:ascii="Arial" w:hAnsi="Arial" w:cs="Arial"/>
          <w:i/>
          <w:sz w:val="22"/>
          <w:szCs w:val="22"/>
          <w:lang w:val="en-US"/>
        </w:rPr>
        <w:fldChar w:fldCharType="begin"/>
      </w:r>
      <w:r w:rsidR="00EE1944" w:rsidRPr="001A15F1">
        <w:rPr>
          <w:rFonts w:ascii="Arial" w:hAnsi="Arial" w:cs="Arial"/>
          <w:i/>
          <w:sz w:val="22"/>
          <w:szCs w:val="22"/>
          <w:lang w:val="en-US"/>
        </w:rPr>
        <w:instrText xml:space="preserve"> REF _Ref435179087 \r \h </w:instrText>
      </w:r>
      <w:r w:rsidR="00EE1944">
        <w:rPr>
          <w:rFonts w:ascii="Arial" w:hAnsi="Arial" w:cs="Arial"/>
          <w:i/>
          <w:sz w:val="22"/>
          <w:szCs w:val="22"/>
          <w:lang w:val="en-US"/>
        </w:rPr>
        <w:instrText xml:space="preserve"> \* MERGEFORMAT </w:instrText>
      </w:r>
      <w:r w:rsidR="00EE1944" w:rsidRPr="001A15F1">
        <w:rPr>
          <w:rFonts w:ascii="Arial" w:hAnsi="Arial" w:cs="Arial"/>
          <w:i/>
          <w:sz w:val="22"/>
          <w:szCs w:val="22"/>
          <w:lang w:val="en-US"/>
        </w:rPr>
      </w:r>
      <w:r w:rsidR="00EE1944" w:rsidRPr="001A15F1">
        <w:rPr>
          <w:rFonts w:ascii="Arial" w:hAnsi="Arial" w:cs="Arial"/>
          <w:i/>
          <w:sz w:val="22"/>
          <w:szCs w:val="22"/>
          <w:lang w:val="en-US"/>
        </w:rPr>
        <w:fldChar w:fldCharType="separate"/>
      </w:r>
      <w:r w:rsidR="00EE1944" w:rsidRPr="001A15F1">
        <w:rPr>
          <w:rFonts w:ascii="Arial" w:hAnsi="Arial" w:cs="Arial"/>
          <w:i/>
          <w:sz w:val="22"/>
          <w:szCs w:val="22"/>
          <w:lang w:val="en-US"/>
        </w:rPr>
        <w:t>3.4.3</w:t>
      </w:r>
      <w:r w:rsidR="00EE1944" w:rsidRPr="001A15F1">
        <w:rPr>
          <w:rFonts w:ascii="Arial" w:hAnsi="Arial" w:cs="Arial"/>
          <w:i/>
          <w:sz w:val="22"/>
          <w:szCs w:val="22"/>
          <w:lang w:val="en-US"/>
        </w:rPr>
        <w:fldChar w:fldCharType="end"/>
      </w:r>
      <w:r w:rsidR="00BF01A0">
        <w:rPr>
          <w:rFonts w:ascii="Arial" w:hAnsi="Arial" w:cs="Arial"/>
          <w:sz w:val="22"/>
          <w:szCs w:val="22"/>
          <w:lang w:val="en-US"/>
        </w:rPr>
        <w:t>)</w:t>
      </w:r>
      <w:r>
        <w:rPr>
          <w:rFonts w:ascii="Arial" w:hAnsi="Arial" w:cs="Arial"/>
          <w:sz w:val="22"/>
          <w:szCs w:val="22"/>
          <w:lang w:val="en-US"/>
        </w:rPr>
        <w:t>.</w:t>
      </w:r>
    </w:p>
    <w:p w14:paraId="005FC4BF" w14:textId="3491E285" w:rsidR="001A15F1" w:rsidRDefault="001A15F1" w:rsidP="002C327C">
      <w:pPr>
        <w:spacing w:before="240"/>
        <w:ind w:left="60"/>
        <w:jc w:val="both"/>
        <w:rPr>
          <w:rFonts w:ascii="Arial" w:hAnsi="Arial" w:cs="Arial"/>
          <w:sz w:val="22"/>
          <w:szCs w:val="22"/>
          <w:lang w:val="en-US"/>
        </w:rPr>
      </w:pPr>
      <w:r>
        <w:rPr>
          <w:rFonts w:ascii="Arial" w:hAnsi="Arial" w:cs="Arial"/>
          <w:sz w:val="22"/>
          <w:szCs w:val="22"/>
          <w:lang w:val="en-US"/>
        </w:rPr>
        <w:t xml:space="preserve">In order to avoid opportunistic behavior, shippers who have sold capacity in the buy-back process and renominate downwards </w:t>
      </w:r>
      <w:r w:rsidR="00D839BC">
        <w:rPr>
          <w:rFonts w:ascii="Arial" w:hAnsi="Arial" w:cs="Arial"/>
          <w:sz w:val="22"/>
          <w:szCs w:val="22"/>
          <w:lang w:val="en-US"/>
        </w:rPr>
        <w:t xml:space="preserve">in the flow direction (or upwards in the reverse flow direction) </w:t>
      </w:r>
      <w:r>
        <w:rPr>
          <w:rFonts w:ascii="Arial" w:hAnsi="Arial" w:cs="Arial"/>
          <w:sz w:val="22"/>
          <w:szCs w:val="22"/>
          <w:lang w:val="en-US"/>
        </w:rPr>
        <w:t xml:space="preserve">during the gas day will not be paid by the TSOs for the equivalent amount of nominations </w:t>
      </w:r>
      <w:r w:rsidR="00F917DE">
        <w:rPr>
          <w:rFonts w:ascii="Arial" w:hAnsi="Arial" w:cs="Arial"/>
          <w:sz w:val="22"/>
          <w:szCs w:val="22"/>
          <w:lang w:val="en-US"/>
        </w:rPr>
        <w:t xml:space="preserve">been </w:t>
      </w:r>
      <w:r>
        <w:rPr>
          <w:rFonts w:ascii="Arial" w:hAnsi="Arial" w:cs="Arial"/>
          <w:sz w:val="22"/>
          <w:szCs w:val="22"/>
          <w:lang w:val="en-US"/>
        </w:rPr>
        <w:t>bought back by the TSOs during the buy-back procedure.</w:t>
      </w:r>
    </w:p>
    <w:p w14:paraId="750B7939" w14:textId="77777777" w:rsidR="00801D7F" w:rsidRPr="00801D7F" w:rsidRDefault="0069658F" w:rsidP="00801D7F">
      <w:pPr>
        <w:numPr>
          <w:ilvl w:val="2"/>
          <w:numId w:val="1"/>
        </w:numPr>
        <w:spacing w:before="240"/>
        <w:jc w:val="both"/>
        <w:rPr>
          <w:rFonts w:ascii="Arial" w:hAnsi="Arial" w:cs="Arial"/>
          <w:b/>
          <w:bCs/>
          <w:i/>
          <w:iCs/>
          <w:szCs w:val="22"/>
          <w:lang w:val="en-US"/>
        </w:rPr>
      </w:pPr>
      <w:bookmarkStart w:id="33" w:name="_Ref435179105"/>
      <w:r w:rsidRPr="002C327C">
        <w:rPr>
          <w:rFonts w:ascii="Arial" w:hAnsi="Arial" w:cs="Arial"/>
          <w:b/>
          <w:bCs/>
          <w:i/>
          <w:iCs/>
          <w:szCs w:val="22"/>
          <w:lang w:val="en-US"/>
        </w:rPr>
        <w:t>CFO mechanis</w:t>
      </w:r>
      <w:r>
        <w:rPr>
          <w:rFonts w:ascii="Arial" w:hAnsi="Arial" w:cs="Arial"/>
          <w:b/>
          <w:bCs/>
          <w:i/>
          <w:iCs/>
          <w:szCs w:val="22"/>
          <w:lang w:val="en-US"/>
        </w:rPr>
        <w:t>m</w:t>
      </w:r>
      <w:bookmarkEnd w:id="33"/>
    </w:p>
    <w:p w14:paraId="5436757F" w14:textId="79B57413" w:rsidR="00856906" w:rsidRDefault="0069658F" w:rsidP="002C327C">
      <w:pPr>
        <w:spacing w:before="240"/>
        <w:ind w:left="60"/>
        <w:jc w:val="both"/>
        <w:rPr>
          <w:rFonts w:ascii="Arial" w:hAnsi="Arial" w:cs="Arial"/>
          <w:sz w:val="22"/>
          <w:szCs w:val="22"/>
          <w:lang w:val="en-US"/>
        </w:rPr>
      </w:pPr>
      <w:r w:rsidRPr="002C327C">
        <w:rPr>
          <w:rFonts w:ascii="Arial" w:hAnsi="Arial" w:cs="Arial"/>
          <w:sz w:val="22"/>
          <w:szCs w:val="22"/>
          <w:lang w:val="en-US"/>
        </w:rPr>
        <w:t xml:space="preserve">Once the “proposal to buy” has been </w:t>
      </w:r>
      <w:r w:rsidR="00805EE2">
        <w:rPr>
          <w:rFonts w:ascii="Arial" w:hAnsi="Arial" w:cs="Arial"/>
          <w:sz w:val="22"/>
          <w:szCs w:val="22"/>
          <w:lang w:val="en-US"/>
        </w:rPr>
        <w:t>created</w:t>
      </w:r>
      <w:r w:rsidR="00805EE2" w:rsidRPr="002C327C">
        <w:rPr>
          <w:rFonts w:ascii="Arial" w:hAnsi="Arial" w:cs="Arial"/>
          <w:sz w:val="22"/>
          <w:szCs w:val="22"/>
          <w:lang w:val="en-US"/>
        </w:rPr>
        <w:t xml:space="preserve"> </w:t>
      </w:r>
      <w:r w:rsidRPr="002C327C">
        <w:rPr>
          <w:rFonts w:ascii="Arial" w:hAnsi="Arial" w:cs="Arial"/>
          <w:sz w:val="22"/>
          <w:szCs w:val="22"/>
          <w:lang w:val="en-US"/>
        </w:rPr>
        <w:t xml:space="preserve">by </w:t>
      </w:r>
      <w:r w:rsidR="000D33D0" w:rsidRPr="002C327C">
        <w:rPr>
          <w:rFonts w:ascii="Arial" w:hAnsi="Arial" w:cs="Arial"/>
          <w:sz w:val="22"/>
          <w:szCs w:val="22"/>
          <w:lang w:val="en-US"/>
        </w:rPr>
        <w:t>T</w:t>
      </w:r>
      <w:r w:rsidRPr="002C327C">
        <w:rPr>
          <w:rFonts w:ascii="Arial" w:hAnsi="Arial" w:cs="Arial"/>
          <w:sz w:val="22"/>
          <w:szCs w:val="22"/>
          <w:lang w:val="en-US"/>
        </w:rPr>
        <w:t xml:space="preserve">SOs, </w:t>
      </w:r>
      <w:r w:rsidR="001C4223" w:rsidRPr="002C327C">
        <w:rPr>
          <w:rFonts w:ascii="Arial" w:hAnsi="Arial" w:cs="Arial"/>
          <w:sz w:val="22"/>
          <w:szCs w:val="22"/>
          <w:lang w:val="en-US"/>
        </w:rPr>
        <w:t xml:space="preserve">network users will be allowed to place </w:t>
      </w:r>
      <w:r w:rsidR="00D0693F">
        <w:rPr>
          <w:rFonts w:ascii="Arial" w:hAnsi="Arial" w:cs="Arial"/>
          <w:sz w:val="22"/>
          <w:szCs w:val="22"/>
          <w:lang w:val="en-US"/>
        </w:rPr>
        <w:t>“</w:t>
      </w:r>
      <w:r w:rsidR="00856906" w:rsidRPr="002C327C">
        <w:rPr>
          <w:rFonts w:ascii="Arial" w:hAnsi="Arial" w:cs="Arial"/>
          <w:sz w:val="22"/>
          <w:szCs w:val="22"/>
          <w:lang w:val="en-US"/>
        </w:rPr>
        <w:t>offers</w:t>
      </w:r>
      <w:r w:rsidRPr="002C327C">
        <w:rPr>
          <w:rFonts w:ascii="Arial" w:hAnsi="Arial" w:cs="Arial"/>
          <w:sz w:val="22"/>
          <w:szCs w:val="22"/>
          <w:lang w:val="en-US"/>
        </w:rPr>
        <w:t xml:space="preserve"> to sell</w:t>
      </w:r>
      <w:r w:rsidR="00D0693F">
        <w:rPr>
          <w:rFonts w:ascii="Arial" w:hAnsi="Arial" w:cs="Arial"/>
          <w:sz w:val="22"/>
          <w:szCs w:val="22"/>
          <w:lang w:val="en-US"/>
        </w:rPr>
        <w:t>”</w:t>
      </w:r>
      <w:r w:rsidR="00856906" w:rsidRPr="002C327C">
        <w:rPr>
          <w:rFonts w:ascii="Arial" w:hAnsi="Arial" w:cs="Arial"/>
          <w:sz w:val="22"/>
          <w:szCs w:val="22"/>
          <w:lang w:val="en-US"/>
        </w:rPr>
        <w:t xml:space="preserve"> bundled capa</w:t>
      </w:r>
      <w:r w:rsidRPr="002C327C">
        <w:rPr>
          <w:rFonts w:ascii="Arial" w:hAnsi="Arial" w:cs="Arial"/>
          <w:sz w:val="22"/>
          <w:szCs w:val="22"/>
          <w:lang w:val="en-US"/>
        </w:rPr>
        <w:t>city</w:t>
      </w:r>
      <w:r w:rsidR="00A86CA1">
        <w:rPr>
          <w:rFonts w:ascii="Arial" w:hAnsi="Arial" w:cs="Arial"/>
          <w:sz w:val="22"/>
          <w:szCs w:val="22"/>
          <w:lang w:val="en-US"/>
        </w:rPr>
        <w:t xml:space="preserve"> starting at </w:t>
      </w:r>
      <w:r w:rsidR="00F646F4">
        <w:rPr>
          <w:rFonts w:ascii="Arial" w:hAnsi="Arial" w:cs="Arial"/>
          <w:sz w:val="22"/>
          <w:szCs w:val="22"/>
          <w:lang w:val="en-US"/>
        </w:rPr>
        <w:t>19</w:t>
      </w:r>
      <w:r w:rsidR="00A86CA1">
        <w:rPr>
          <w:rFonts w:ascii="Arial" w:hAnsi="Arial" w:cs="Arial"/>
          <w:sz w:val="22"/>
          <w:szCs w:val="22"/>
          <w:lang w:val="en-US"/>
        </w:rPr>
        <w:t xml:space="preserve">:30 </w:t>
      </w:r>
      <w:r w:rsidR="00F646F4">
        <w:rPr>
          <w:rFonts w:ascii="Arial" w:hAnsi="Arial" w:cs="Arial"/>
          <w:sz w:val="22"/>
          <w:szCs w:val="22"/>
          <w:lang w:val="en-US"/>
        </w:rPr>
        <w:t xml:space="preserve">UTC (or 18:30 UTC </w:t>
      </w:r>
      <w:r w:rsidR="00D839BC">
        <w:rPr>
          <w:rFonts w:ascii="Arial" w:hAnsi="Arial" w:cs="Arial"/>
          <w:sz w:val="22"/>
          <w:szCs w:val="22"/>
          <w:lang w:val="en-US"/>
        </w:rPr>
        <w:t>daylight</w:t>
      </w:r>
      <w:r w:rsidR="00F646F4">
        <w:rPr>
          <w:rFonts w:ascii="Arial" w:hAnsi="Arial" w:cs="Arial"/>
          <w:sz w:val="22"/>
          <w:szCs w:val="22"/>
          <w:lang w:val="en-US"/>
        </w:rPr>
        <w:t xml:space="preserve"> saving)</w:t>
      </w:r>
      <w:r w:rsidR="00A86CA1">
        <w:rPr>
          <w:rFonts w:ascii="Arial" w:hAnsi="Arial" w:cs="Arial"/>
          <w:sz w:val="22"/>
          <w:szCs w:val="22"/>
          <w:lang w:val="en-US"/>
        </w:rPr>
        <w:t xml:space="preserve"> and finishing at 2</w:t>
      </w:r>
      <w:r w:rsidR="00F646F4">
        <w:rPr>
          <w:rFonts w:ascii="Arial" w:hAnsi="Arial" w:cs="Arial"/>
          <w:sz w:val="22"/>
          <w:szCs w:val="22"/>
          <w:lang w:val="en-US"/>
        </w:rPr>
        <w:t>0:00 UTC (or 19:</w:t>
      </w:r>
      <w:r w:rsidR="00867668">
        <w:rPr>
          <w:rFonts w:ascii="Arial" w:hAnsi="Arial" w:cs="Arial"/>
          <w:sz w:val="22"/>
          <w:szCs w:val="22"/>
          <w:lang w:val="en-US"/>
        </w:rPr>
        <w:t>0</w:t>
      </w:r>
      <w:r w:rsidR="00F646F4">
        <w:rPr>
          <w:rFonts w:ascii="Arial" w:hAnsi="Arial" w:cs="Arial"/>
          <w:sz w:val="22"/>
          <w:szCs w:val="22"/>
          <w:lang w:val="en-US"/>
        </w:rPr>
        <w:t xml:space="preserve">0 UTC </w:t>
      </w:r>
      <w:r w:rsidR="00D839BC">
        <w:rPr>
          <w:rFonts w:ascii="Arial" w:hAnsi="Arial" w:cs="Arial"/>
          <w:sz w:val="22"/>
          <w:szCs w:val="22"/>
          <w:lang w:val="en-US"/>
        </w:rPr>
        <w:t>daylight</w:t>
      </w:r>
      <w:r w:rsidR="00F646F4">
        <w:rPr>
          <w:rFonts w:ascii="Arial" w:hAnsi="Arial" w:cs="Arial"/>
          <w:sz w:val="22"/>
          <w:szCs w:val="22"/>
          <w:lang w:val="en-US"/>
        </w:rPr>
        <w:t xml:space="preserve"> saving)</w:t>
      </w:r>
      <w:r w:rsidR="00867668">
        <w:rPr>
          <w:rFonts w:ascii="Arial" w:hAnsi="Arial" w:cs="Arial"/>
          <w:sz w:val="22"/>
          <w:szCs w:val="22"/>
          <w:lang w:val="en-US"/>
        </w:rPr>
        <w:t>.</w:t>
      </w:r>
    </w:p>
    <w:p w14:paraId="48465FAE" w14:textId="77777777" w:rsidR="00284998" w:rsidRDefault="00856906" w:rsidP="002C327C">
      <w:pPr>
        <w:spacing w:before="240"/>
        <w:ind w:left="60"/>
        <w:jc w:val="both"/>
        <w:rPr>
          <w:rFonts w:ascii="Arial" w:hAnsi="Arial" w:cs="Arial"/>
          <w:sz w:val="22"/>
          <w:szCs w:val="22"/>
          <w:lang w:val="en-US"/>
        </w:rPr>
      </w:pPr>
      <w:r>
        <w:rPr>
          <w:rFonts w:ascii="Arial" w:hAnsi="Arial" w:cs="Arial"/>
          <w:sz w:val="22"/>
          <w:szCs w:val="22"/>
          <w:lang w:val="en-US"/>
        </w:rPr>
        <w:t xml:space="preserve">Each </w:t>
      </w:r>
      <w:r w:rsidR="0069658F">
        <w:rPr>
          <w:rFonts w:ascii="Arial" w:hAnsi="Arial" w:cs="Arial"/>
          <w:sz w:val="22"/>
          <w:szCs w:val="22"/>
          <w:lang w:val="en-US"/>
        </w:rPr>
        <w:t>“</w:t>
      </w:r>
      <w:r>
        <w:rPr>
          <w:rFonts w:ascii="Arial" w:hAnsi="Arial" w:cs="Arial"/>
          <w:sz w:val="22"/>
          <w:szCs w:val="22"/>
          <w:lang w:val="en-US"/>
        </w:rPr>
        <w:t xml:space="preserve">offer </w:t>
      </w:r>
      <w:r w:rsidR="0069658F">
        <w:rPr>
          <w:rFonts w:ascii="Arial" w:hAnsi="Arial" w:cs="Arial"/>
          <w:sz w:val="22"/>
          <w:szCs w:val="22"/>
          <w:lang w:val="en-US"/>
        </w:rPr>
        <w:t xml:space="preserve">to sell” </w:t>
      </w:r>
      <w:r w:rsidR="00284998">
        <w:rPr>
          <w:rFonts w:ascii="Arial" w:hAnsi="Arial" w:cs="Arial"/>
          <w:sz w:val="22"/>
          <w:szCs w:val="22"/>
          <w:lang w:val="en-US"/>
        </w:rPr>
        <w:t>shall</w:t>
      </w:r>
      <w:r>
        <w:rPr>
          <w:rFonts w:ascii="Arial" w:hAnsi="Arial" w:cs="Arial"/>
          <w:sz w:val="22"/>
          <w:szCs w:val="22"/>
          <w:lang w:val="en-US"/>
        </w:rPr>
        <w:t xml:space="preserve"> contain </w:t>
      </w:r>
      <w:r w:rsidR="00284998">
        <w:rPr>
          <w:rFonts w:ascii="Arial" w:hAnsi="Arial" w:cs="Arial"/>
          <w:sz w:val="22"/>
          <w:szCs w:val="22"/>
          <w:lang w:val="en-US"/>
        </w:rPr>
        <w:t xml:space="preserve">at least </w:t>
      </w:r>
      <w:r>
        <w:rPr>
          <w:rFonts w:ascii="Arial" w:hAnsi="Arial" w:cs="Arial"/>
          <w:sz w:val="22"/>
          <w:szCs w:val="22"/>
          <w:lang w:val="en-US"/>
        </w:rPr>
        <w:t xml:space="preserve">the </w:t>
      </w:r>
      <w:r w:rsidR="00284998">
        <w:rPr>
          <w:rFonts w:ascii="Arial" w:hAnsi="Arial" w:cs="Arial"/>
          <w:sz w:val="22"/>
          <w:szCs w:val="22"/>
          <w:lang w:val="en-US"/>
        </w:rPr>
        <w:t>following information:</w:t>
      </w:r>
    </w:p>
    <w:p w14:paraId="4ED1682F" w14:textId="77777777" w:rsidR="00284998" w:rsidRDefault="00284998" w:rsidP="002C327C">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The identity of the network user applying,</w:t>
      </w:r>
    </w:p>
    <w:p w14:paraId="5296A1F9" w14:textId="77777777" w:rsidR="00284998" w:rsidRDefault="00284998" w:rsidP="002C327C">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The concerned interconnection point and direction of flow,</w:t>
      </w:r>
    </w:p>
    <w:p w14:paraId="77D0B18F" w14:textId="77777777" w:rsidR="00805EE2" w:rsidRDefault="00805EE2" w:rsidP="00805EE2">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lastRenderedPageBreak/>
        <w:t>T</w:t>
      </w:r>
      <w:r w:rsidRPr="002C327C">
        <w:rPr>
          <w:rFonts w:ascii="Arial" w:hAnsi="Arial" w:cs="Arial"/>
          <w:sz w:val="22"/>
          <w:szCs w:val="22"/>
          <w:lang w:val="en-US"/>
        </w:rPr>
        <w:t>he price</w:t>
      </w:r>
      <w:r>
        <w:rPr>
          <w:rFonts w:ascii="Arial" w:hAnsi="Arial" w:cs="Arial"/>
          <w:sz w:val="22"/>
          <w:szCs w:val="22"/>
          <w:lang w:val="en-US"/>
        </w:rPr>
        <w:t>, which</w:t>
      </w:r>
      <w:r w:rsidRPr="002C327C">
        <w:rPr>
          <w:rFonts w:ascii="Arial" w:hAnsi="Arial" w:cs="Arial"/>
          <w:sz w:val="22"/>
          <w:szCs w:val="22"/>
          <w:lang w:val="en-US"/>
        </w:rPr>
        <w:t xml:space="preserve"> </w:t>
      </w:r>
      <w:r>
        <w:rPr>
          <w:rFonts w:ascii="Arial" w:hAnsi="Arial" w:cs="Arial"/>
          <w:sz w:val="22"/>
          <w:szCs w:val="22"/>
          <w:lang w:val="en-US"/>
        </w:rPr>
        <w:t>shall</w:t>
      </w:r>
      <w:r w:rsidRPr="002C327C">
        <w:rPr>
          <w:rFonts w:ascii="Arial" w:hAnsi="Arial" w:cs="Arial"/>
          <w:sz w:val="22"/>
          <w:szCs w:val="22"/>
          <w:lang w:val="en-US"/>
        </w:rPr>
        <w:t xml:space="preserve"> not be higher to the maximum price specified by the TSOs in the “proposal to buy”. Offers to sell with a price higher than the maximum price shall not be accepted.</w:t>
      </w:r>
      <w:r>
        <w:rPr>
          <w:rFonts w:ascii="Arial" w:hAnsi="Arial" w:cs="Arial"/>
          <w:sz w:val="22"/>
          <w:szCs w:val="22"/>
          <w:lang w:val="en-US"/>
        </w:rPr>
        <w:t xml:space="preserve"> The price will be considered as the maximum price the buyer is willing to pay; and</w:t>
      </w:r>
    </w:p>
    <w:p w14:paraId="1C38AE91" w14:textId="77777777" w:rsidR="007D334B" w:rsidRPr="00805EE2" w:rsidRDefault="00284998" w:rsidP="00805EE2">
      <w:pPr>
        <w:pStyle w:val="Prrafodelista"/>
        <w:numPr>
          <w:ilvl w:val="0"/>
          <w:numId w:val="43"/>
        </w:numPr>
        <w:spacing w:before="240"/>
        <w:ind w:left="777" w:hanging="357"/>
        <w:contextualSpacing w:val="0"/>
        <w:jc w:val="both"/>
        <w:rPr>
          <w:rFonts w:ascii="Arial" w:hAnsi="Arial" w:cs="Arial"/>
          <w:sz w:val="22"/>
          <w:szCs w:val="22"/>
          <w:lang w:val="en-US"/>
        </w:rPr>
      </w:pPr>
      <w:r>
        <w:rPr>
          <w:rFonts w:ascii="Arial" w:hAnsi="Arial" w:cs="Arial"/>
          <w:sz w:val="22"/>
          <w:szCs w:val="22"/>
          <w:lang w:val="en-US"/>
        </w:rPr>
        <w:t xml:space="preserve">The </w:t>
      </w:r>
      <w:r w:rsidR="00856906" w:rsidRPr="002C327C">
        <w:rPr>
          <w:rFonts w:ascii="Arial" w:hAnsi="Arial" w:cs="Arial"/>
          <w:sz w:val="22"/>
          <w:szCs w:val="22"/>
          <w:lang w:val="en-US"/>
        </w:rPr>
        <w:t>amount of capacity to sell</w:t>
      </w:r>
      <w:r w:rsidR="00805EE2">
        <w:rPr>
          <w:rFonts w:ascii="Arial" w:hAnsi="Arial" w:cs="Arial"/>
          <w:sz w:val="22"/>
          <w:szCs w:val="22"/>
          <w:lang w:val="en-US"/>
        </w:rPr>
        <w:t xml:space="preserve">. This quantity shall </w:t>
      </w:r>
      <w:r w:rsidR="00264E67" w:rsidRPr="00805EE2">
        <w:rPr>
          <w:rFonts w:ascii="Arial" w:hAnsi="Arial" w:cs="Arial"/>
          <w:sz w:val="22"/>
          <w:szCs w:val="22"/>
          <w:lang w:val="en-US"/>
        </w:rPr>
        <w:t xml:space="preserve">always be greater than </w:t>
      </w:r>
      <w:r w:rsidR="009419E5">
        <w:rPr>
          <w:rFonts w:ascii="Arial" w:hAnsi="Arial" w:cs="Arial"/>
          <w:sz w:val="22"/>
          <w:szCs w:val="22"/>
          <w:lang w:val="en-US"/>
        </w:rPr>
        <w:t>z</w:t>
      </w:r>
      <w:r w:rsidR="00264E67" w:rsidRPr="00805EE2">
        <w:rPr>
          <w:rFonts w:ascii="Arial" w:hAnsi="Arial" w:cs="Arial"/>
          <w:sz w:val="22"/>
          <w:szCs w:val="22"/>
          <w:lang w:val="en-US"/>
        </w:rPr>
        <w:t xml:space="preserve">ero and </w:t>
      </w:r>
      <w:r w:rsidR="00805EE2">
        <w:rPr>
          <w:rFonts w:ascii="Arial" w:hAnsi="Arial" w:cs="Arial"/>
          <w:sz w:val="22"/>
          <w:szCs w:val="22"/>
          <w:lang w:val="en-US"/>
        </w:rPr>
        <w:t>each network user</w:t>
      </w:r>
      <w:r w:rsidR="00264E67" w:rsidRPr="00805EE2">
        <w:rPr>
          <w:rFonts w:ascii="Arial" w:hAnsi="Arial" w:cs="Arial"/>
          <w:sz w:val="22"/>
          <w:szCs w:val="22"/>
          <w:lang w:val="en-US"/>
        </w:rPr>
        <w:t xml:space="preserve"> can place, as maximum</w:t>
      </w:r>
      <w:r w:rsidR="00805EE2">
        <w:rPr>
          <w:rFonts w:ascii="Arial" w:hAnsi="Arial" w:cs="Arial"/>
          <w:sz w:val="22"/>
          <w:szCs w:val="22"/>
          <w:lang w:val="en-US"/>
        </w:rPr>
        <w:t xml:space="preserve"> amount of capacity to sell</w:t>
      </w:r>
      <w:r w:rsidR="00264E67" w:rsidRPr="00805EE2">
        <w:rPr>
          <w:rFonts w:ascii="Arial" w:hAnsi="Arial" w:cs="Arial"/>
          <w:sz w:val="22"/>
          <w:szCs w:val="22"/>
          <w:lang w:val="en-US"/>
        </w:rPr>
        <w:t xml:space="preserve">, the minimum amount among </w:t>
      </w:r>
      <w:r w:rsidR="00805EE2">
        <w:rPr>
          <w:rFonts w:ascii="Arial" w:hAnsi="Arial" w:cs="Arial"/>
          <w:sz w:val="22"/>
          <w:szCs w:val="22"/>
          <w:lang w:val="en-US"/>
        </w:rPr>
        <w:t>its</w:t>
      </w:r>
      <w:r w:rsidR="00264E67" w:rsidRPr="00805EE2">
        <w:rPr>
          <w:rFonts w:ascii="Arial" w:hAnsi="Arial" w:cs="Arial"/>
          <w:sz w:val="22"/>
          <w:szCs w:val="22"/>
          <w:lang w:val="en-US"/>
        </w:rPr>
        <w:t xml:space="preserve"> nominated capacity and the capacity that the TSOs need to buy-back</w:t>
      </w:r>
    </w:p>
    <w:p w14:paraId="458DAEA4" w14:textId="77777777" w:rsidR="00284998" w:rsidRDefault="00284998" w:rsidP="002C327C">
      <w:pPr>
        <w:spacing w:before="240"/>
        <w:jc w:val="both"/>
        <w:rPr>
          <w:rFonts w:ascii="Arial" w:hAnsi="Arial" w:cs="Arial"/>
          <w:sz w:val="22"/>
          <w:szCs w:val="22"/>
          <w:lang w:val="en-US"/>
        </w:rPr>
      </w:pPr>
      <w:r w:rsidRPr="002C327C">
        <w:rPr>
          <w:rFonts w:ascii="Arial" w:hAnsi="Arial" w:cs="Arial"/>
          <w:sz w:val="22"/>
          <w:szCs w:val="22"/>
          <w:lang w:val="en-US"/>
        </w:rPr>
        <w:t xml:space="preserve">Network users may submit as many </w:t>
      </w:r>
      <w:r w:rsidR="00536BA9" w:rsidRPr="002C327C">
        <w:rPr>
          <w:rFonts w:ascii="Arial" w:hAnsi="Arial" w:cs="Arial"/>
          <w:sz w:val="22"/>
          <w:szCs w:val="22"/>
          <w:lang w:val="en-US"/>
        </w:rPr>
        <w:t>“offers</w:t>
      </w:r>
      <w:r w:rsidR="00536BA9">
        <w:rPr>
          <w:rFonts w:ascii="Arial" w:hAnsi="Arial" w:cs="Arial"/>
          <w:sz w:val="22"/>
          <w:szCs w:val="22"/>
          <w:lang w:val="en-US"/>
        </w:rPr>
        <w:t xml:space="preserve"> to sell” as they wish. Each “offer to sell” shall be treated independently from other “offers to sell”. </w:t>
      </w:r>
    </w:p>
    <w:p w14:paraId="6771ABBB" w14:textId="265AA1C2" w:rsidR="00284998" w:rsidRDefault="00572559" w:rsidP="002C327C">
      <w:pPr>
        <w:spacing w:before="240"/>
        <w:jc w:val="both"/>
        <w:rPr>
          <w:rFonts w:ascii="Arial" w:hAnsi="Arial" w:cs="Arial"/>
          <w:sz w:val="22"/>
          <w:szCs w:val="22"/>
          <w:lang w:val="en-US"/>
        </w:rPr>
      </w:pPr>
      <w:r>
        <w:rPr>
          <w:rFonts w:ascii="Arial" w:hAnsi="Arial" w:cs="Arial"/>
          <w:sz w:val="22"/>
          <w:szCs w:val="22"/>
          <w:lang w:val="en-US"/>
        </w:rPr>
        <w:t xml:space="preserve">Network users shall only be allowed to place bundled “offers to sell”. </w:t>
      </w:r>
      <w:r w:rsidR="004B44A8">
        <w:rPr>
          <w:rFonts w:ascii="Arial" w:hAnsi="Arial" w:cs="Arial"/>
          <w:sz w:val="22"/>
          <w:szCs w:val="22"/>
          <w:lang w:val="en-US"/>
        </w:rPr>
        <w:t>From</w:t>
      </w:r>
      <w:r w:rsidR="00284998">
        <w:rPr>
          <w:rFonts w:ascii="Arial" w:hAnsi="Arial" w:cs="Arial"/>
          <w:sz w:val="22"/>
          <w:szCs w:val="22"/>
          <w:lang w:val="en-US"/>
        </w:rPr>
        <w:t xml:space="preserve"> </w:t>
      </w:r>
      <w:r w:rsidR="00867668">
        <w:rPr>
          <w:rFonts w:ascii="Arial" w:hAnsi="Arial" w:cs="Arial"/>
          <w:sz w:val="22"/>
          <w:szCs w:val="22"/>
          <w:lang w:val="en-US"/>
        </w:rPr>
        <w:t xml:space="preserve">20:00 UTC (or 19:00 UTC </w:t>
      </w:r>
      <w:r w:rsidR="00D839BC">
        <w:rPr>
          <w:rFonts w:ascii="Arial" w:hAnsi="Arial" w:cs="Arial"/>
          <w:sz w:val="22"/>
          <w:szCs w:val="22"/>
          <w:lang w:val="en-US"/>
        </w:rPr>
        <w:t>daylight</w:t>
      </w:r>
      <w:r w:rsidR="00867668">
        <w:rPr>
          <w:rFonts w:ascii="Arial" w:hAnsi="Arial" w:cs="Arial"/>
          <w:sz w:val="22"/>
          <w:szCs w:val="22"/>
          <w:lang w:val="en-US"/>
        </w:rPr>
        <w:t xml:space="preserve"> saving) </w:t>
      </w:r>
      <w:r w:rsidR="00284998">
        <w:rPr>
          <w:rFonts w:ascii="Arial" w:hAnsi="Arial" w:cs="Arial"/>
          <w:sz w:val="22"/>
          <w:szCs w:val="22"/>
          <w:lang w:val="en-US"/>
        </w:rPr>
        <w:t>“offers to sell” may not be amended or withdrawn. All “offers to sell”</w:t>
      </w:r>
      <w:r w:rsidR="00300DDD">
        <w:rPr>
          <w:rFonts w:ascii="Arial" w:hAnsi="Arial" w:cs="Arial"/>
          <w:sz w:val="22"/>
          <w:szCs w:val="22"/>
          <w:lang w:val="en-US"/>
        </w:rPr>
        <w:t xml:space="preserve"> </w:t>
      </w:r>
      <w:r w:rsidR="00284998">
        <w:rPr>
          <w:rFonts w:ascii="Arial" w:hAnsi="Arial" w:cs="Arial"/>
          <w:sz w:val="22"/>
          <w:szCs w:val="22"/>
          <w:lang w:val="en-US"/>
        </w:rPr>
        <w:t>will be considered binding.</w:t>
      </w:r>
    </w:p>
    <w:p w14:paraId="0ED62331" w14:textId="77777777" w:rsidR="00300DDD" w:rsidRDefault="00571DB7" w:rsidP="00512684">
      <w:pPr>
        <w:spacing w:before="240"/>
        <w:ind w:left="60"/>
        <w:jc w:val="both"/>
        <w:rPr>
          <w:rFonts w:ascii="Arial" w:hAnsi="Arial" w:cs="Arial"/>
          <w:sz w:val="22"/>
          <w:szCs w:val="22"/>
          <w:lang w:val="en-US"/>
        </w:rPr>
      </w:pPr>
      <w:r>
        <w:rPr>
          <w:rFonts w:ascii="Arial" w:hAnsi="Arial" w:cs="Arial"/>
          <w:sz w:val="22"/>
          <w:szCs w:val="22"/>
          <w:lang w:val="en-US"/>
        </w:rPr>
        <w:t xml:space="preserve">TSOs </w:t>
      </w:r>
      <w:r w:rsidR="00300DDD">
        <w:rPr>
          <w:rFonts w:ascii="Arial" w:hAnsi="Arial" w:cs="Arial"/>
          <w:sz w:val="22"/>
          <w:szCs w:val="22"/>
          <w:lang w:val="en-US"/>
        </w:rPr>
        <w:t>shall</w:t>
      </w:r>
      <w:r>
        <w:rPr>
          <w:rFonts w:ascii="Arial" w:hAnsi="Arial" w:cs="Arial"/>
          <w:sz w:val="22"/>
          <w:szCs w:val="22"/>
          <w:lang w:val="en-US"/>
        </w:rPr>
        <w:t xml:space="preserve"> only consider valid</w:t>
      </w:r>
      <w:r w:rsidR="00300DDD">
        <w:rPr>
          <w:rFonts w:ascii="Arial" w:hAnsi="Arial" w:cs="Arial"/>
          <w:sz w:val="22"/>
          <w:szCs w:val="22"/>
          <w:lang w:val="en-US"/>
        </w:rPr>
        <w:t xml:space="preserve"> “offers to sell” that fulfill both conditions below:</w:t>
      </w:r>
    </w:p>
    <w:p w14:paraId="4810C4C0" w14:textId="77777777" w:rsidR="00571DB7" w:rsidRDefault="00300DDD" w:rsidP="0019015C">
      <w:pPr>
        <w:pStyle w:val="Prrafodelista"/>
        <w:numPr>
          <w:ilvl w:val="0"/>
          <w:numId w:val="51"/>
        </w:numPr>
        <w:spacing w:before="240"/>
        <w:ind w:hanging="357"/>
        <w:contextualSpacing w:val="0"/>
        <w:jc w:val="both"/>
        <w:rPr>
          <w:rFonts w:ascii="Arial" w:hAnsi="Arial" w:cs="Arial"/>
          <w:sz w:val="22"/>
          <w:szCs w:val="22"/>
          <w:lang w:val="en-US"/>
        </w:rPr>
      </w:pPr>
      <w:r>
        <w:rPr>
          <w:rFonts w:ascii="Arial" w:hAnsi="Arial" w:cs="Arial"/>
          <w:sz w:val="22"/>
          <w:szCs w:val="22"/>
          <w:lang w:val="en-US"/>
        </w:rPr>
        <w:t xml:space="preserve">The </w:t>
      </w:r>
      <w:r w:rsidR="00571DB7" w:rsidRPr="0019015C">
        <w:rPr>
          <w:rFonts w:ascii="Arial" w:hAnsi="Arial" w:cs="Arial"/>
          <w:sz w:val="22"/>
          <w:szCs w:val="22"/>
          <w:lang w:val="en-US"/>
        </w:rPr>
        <w:t xml:space="preserve">“offer to sell” </w:t>
      </w:r>
      <w:r>
        <w:rPr>
          <w:rFonts w:ascii="Arial" w:hAnsi="Arial" w:cs="Arial"/>
          <w:sz w:val="22"/>
          <w:szCs w:val="22"/>
          <w:lang w:val="en-US"/>
        </w:rPr>
        <w:t>has been place</w:t>
      </w:r>
      <w:r w:rsidR="008519B1">
        <w:rPr>
          <w:rFonts w:ascii="Arial" w:hAnsi="Arial" w:cs="Arial"/>
          <w:sz w:val="22"/>
          <w:szCs w:val="22"/>
          <w:lang w:val="en-US"/>
        </w:rPr>
        <w:t>d</w:t>
      </w:r>
      <w:r>
        <w:rPr>
          <w:rFonts w:ascii="Arial" w:hAnsi="Arial" w:cs="Arial"/>
          <w:sz w:val="22"/>
          <w:szCs w:val="22"/>
          <w:lang w:val="en-US"/>
        </w:rPr>
        <w:t xml:space="preserve"> </w:t>
      </w:r>
      <w:r w:rsidRPr="00300DDD">
        <w:rPr>
          <w:rFonts w:ascii="Arial" w:hAnsi="Arial" w:cs="Arial"/>
          <w:sz w:val="22"/>
          <w:szCs w:val="22"/>
          <w:lang w:val="en-US"/>
        </w:rPr>
        <w:t xml:space="preserve">from </w:t>
      </w:r>
      <w:r>
        <w:rPr>
          <w:rFonts w:ascii="Arial" w:hAnsi="Arial" w:cs="Arial"/>
          <w:sz w:val="22"/>
          <w:szCs w:val="22"/>
          <w:lang w:val="en-US"/>
        </w:rPr>
        <w:t xml:space="preserve">a </w:t>
      </w:r>
      <w:r w:rsidRPr="00300DDD">
        <w:rPr>
          <w:rFonts w:ascii="Arial" w:hAnsi="Arial" w:cs="Arial"/>
          <w:sz w:val="22"/>
          <w:szCs w:val="22"/>
          <w:lang w:val="en-US"/>
        </w:rPr>
        <w:t>network user</w:t>
      </w:r>
      <w:r w:rsidR="00571DB7" w:rsidRPr="0019015C">
        <w:rPr>
          <w:rFonts w:ascii="Arial" w:hAnsi="Arial" w:cs="Arial"/>
          <w:sz w:val="22"/>
          <w:szCs w:val="22"/>
          <w:lang w:val="en-US"/>
        </w:rPr>
        <w:t xml:space="preserve"> who have </w:t>
      </w:r>
      <w:r w:rsidRPr="0019015C">
        <w:rPr>
          <w:rFonts w:ascii="Arial" w:hAnsi="Arial" w:cs="Arial"/>
          <w:sz w:val="22"/>
          <w:szCs w:val="22"/>
          <w:lang w:val="en-US"/>
        </w:rPr>
        <w:t>nominated their booked capacity</w:t>
      </w:r>
      <w:r>
        <w:rPr>
          <w:rFonts w:ascii="Arial" w:hAnsi="Arial" w:cs="Arial"/>
          <w:sz w:val="22"/>
          <w:szCs w:val="22"/>
          <w:lang w:val="en-US"/>
        </w:rPr>
        <w:t xml:space="preserve">, </w:t>
      </w:r>
    </w:p>
    <w:p w14:paraId="4658CB32" w14:textId="77777777" w:rsidR="00300DDD" w:rsidRDefault="00300DDD" w:rsidP="0019015C">
      <w:pPr>
        <w:pStyle w:val="Prrafodelista"/>
        <w:numPr>
          <w:ilvl w:val="0"/>
          <w:numId w:val="51"/>
        </w:numPr>
        <w:spacing w:before="240"/>
        <w:ind w:hanging="357"/>
        <w:contextualSpacing w:val="0"/>
        <w:jc w:val="both"/>
        <w:rPr>
          <w:rFonts w:ascii="Arial" w:hAnsi="Arial" w:cs="Arial"/>
          <w:sz w:val="22"/>
          <w:szCs w:val="22"/>
          <w:lang w:val="en-US"/>
        </w:rPr>
      </w:pPr>
      <w:r>
        <w:rPr>
          <w:rFonts w:ascii="Arial" w:hAnsi="Arial" w:cs="Arial"/>
          <w:sz w:val="22"/>
          <w:szCs w:val="22"/>
          <w:lang w:val="en-US"/>
        </w:rPr>
        <w:t>The amount of capacity included in the “offer</w:t>
      </w:r>
      <w:r w:rsidR="006E7CC2">
        <w:rPr>
          <w:rFonts w:ascii="Arial" w:hAnsi="Arial" w:cs="Arial"/>
          <w:sz w:val="22"/>
          <w:szCs w:val="22"/>
          <w:lang w:val="en-US"/>
        </w:rPr>
        <w:t>s</w:t>
      </w:r>
      <w:r>
        <w:rPr>
          <w:rFonts w:ascii="Arial" w:hAnsi="Arial" w:cs="Arial"/>
          <w:sz w:val="22"/>
          <w:szCs w:val="22"/>
          <w:lang w:val="en-US"/>
        </w:rPr>
        <w:t xml:space="preserve"> to sell” </w:t>
      </w:r>
      <w:r w:rsidR="006E7CC2">
        <w:rPr>
          <w:rFonts w:ascii="Arial" w:hAnsi="Arial" w:cs="Arial"/>
          <w:sz w:val="22"/>
          <w:szCs w:val="22"/>
          <w:lang w:val="en-US"/>
        </w:rPr>
        <w:t xml:space="preserve">submitted </w:t>
      </w:r>
      <w:r>
        <w:rPr>
          <w:rFonts w:ascii="Arial" w:hAnsi="Arial" w:cs="Arial"/>
          <w:sz w:val="22"/>
          <w:szCs w:val="22"/>
          <w:lang w:val="en-US"/>
        </w:rPr>
        <w:t>is equal to or lower than the nominated capacity</w:t>
      </w:r>
      <w:r w:rsidR="00A74A7A">
        <w:rPr>
          <w:rFonts w:ascii="Arial" w:hAnsi="Arial" w:cs="Arial"/>
          <w:sz w:val="22"/>
          <w:szCs w:val="22"/>
          <w:lang w:val="en-US"/>
        </w:rPr>
        <w:t>, and</w:t>
      </w:r>
    </w:p>
    <w:p w14:paraId="57782803" w14:textId="77777777" w:rsidR="00A74A7A" w:rsidRPr="0019015C" w:rsidRDefault="00A74A7A" w:rsidP="00A74A7A">
      <w:pPr>
        <w:pStyle w:val="Prrafodelista"/>
        <w:numPr>
          <w:ilvl w:val="0"/>
          <w:numId w:val="51"/>
        </w:numPr>
        <w:spacing w:before="240"/>
        <w:ind w:hanging="357"/>
        <w:contextualSpacing w:val="0"/>
        <w:jc w:val="both"/>
        <w:rPr>
          <w:rFonts w:ascii="Arial" w:hAnsi="Arial" w:cs="Arial"/>
          <w:sz w:val="22"/>
          <w:szCs w:val="22"/>
          <w:lang w:val="en-US"/>
        </w:rPr>
      </w:pPr>
      <w:r>
        <w:rPr>
          <w:rFonts w:ascii="Arial" w:hAnsi="Arial" w:cs="Arial"/>
          <w:sz w:val="22"/>
          <w:szCs w:val="22"/>
          <w:lang w:val="en-US"/>
        </w:rPr>
        <w:t>The amount of capacity included in the “offer to sell” is equal to or lower than the total capacity that TSOs are willing to buy back</w:t>
      </w:r>
    </w:p>
    <w:p w14:paraId="37A3D5AE" w14:textId="77777777" w:rsidR="00284998" w:rsidRDefault="00284998" w:rsidP="002C327C">
      <w:pPr>
        <w:spacing w:before="240"/>
        <w:jc w:val="both"/>
        <w:rPr>
          <w:rFonts w:ascii="Arial" w:hAnsi="Arial" w:cs="Arial"/>
          <w:sz w:val="22"/>
          <w:szCs w:val="22"/>
          <w:lang w:val="en-US"/>
        </w:rPr>
      </w:pPr>
      <w:r>
        <w:rPr>
          <w:rFonts w:ascii="Arial" w:hAnsi="Arial" w:cs="Arial"/>
          <w:sz w:val="22"/>
          <w:szCs w:val="22"/>
          <w:lang w:val="en-US"/>
        </w:rPr>
        <w:t>Then, the TSO that has place</w:t>
      </w:r>
      <w:r w:rsidR="008519B1">
        <w:rPr>
          <w:rFonts w:ascii="Arial" w:hAnsi="Arial" w:cs="Arial"/>
          <w:sz w:val="22"/>
          <w:szCs w:val="22"/>
          <w:lang w:val="en-US"/>
        </w:rPr>
        <w:t>d</w:t>
      </w:r>
      <w:r>
        <w:rPr>
          <w:rFonts w:ascii="Arial" w:hAnsi="Arial" w:cs="Arial"/>
          <w:sz w:val="22"/>
          <w:szCs w:val="22"/>
          <w:lang w:val="en-US"/>
        </w:rPr>
        <w:t xml:space="preserve"> the “proposal to buy” will rank all “offers to sell” according to the price, the lowest the price ranking first.</w:t>
      </w:r>
    </w:p>
    <w:p w14:paraId="23493ED7" w14:textId="77777777" w:rsidR="00352349" w:rsidRDefault="00284998" w:rsidP="002C327C">
      <w:pPr>
        <w:spacing w:before="240"/>
        <w:jc w:val="both"/>
        <w:rPr>
          <w:rFonts w:ascii="Arial" w:hAnsi="Arial" w:cs="Arial"/>
          <w:sz w:val="22"/>
          <w:szCs w:val="22"/>
          <w:lang w:val="en-US"/>
        </w:rPr>
      </w:pPr>
      <w:r>
        <w:rPr>
          <w:rFonts w:ascii="Arial" w:hAnsi="Arial" w:cs="Arial"/>
          <w:sz w:val="22"/>
          <w:szCs w:val="22"/>
          <w:lang w:val="en-US"/>
        </w:rPr>
        <w:t>Following the ranking of the “</w:t>
      </w:r>
      <w:r w:rsidR="00352349">
        <w:rPr>
          <w:rFonts w:ascii="Arial" w:hAnsi="Arial" w:cs="Arial"/>
          <w:sz w:val="22"/>
          <w:szCs w:val="22"/>
          <w:lang w:val="en-US"/>
        </w:rPr>
        <w:t>offers to sell</w:t>
      </w:r>
      <w:r>
        <w:rPr>
          <w:rFonts w:ascii="Arial" w:hAnsi="Arial" w:cs="Arial"/>
          <w:sz w:val="22"/>
          <w:szCs w:val="22"/>
          <w:lang w:val="en-US"/>
        </w:rPr>
        <w:t>”</w:t>
      </w:r>
      <w:r w:rsidR="00352349">
        <w:rPr>
          <w:rFonts w:ascii="Arial" w:hAnsi="Arial" w:cs="Arial"/>
          <w:sz w:val="22"/>
          <w:szCs w:val="22"/>
          <w:lang w:val="en-US"/>
        </w:rPr>
        <w:t xml:space="preserve">, </w:t>
      </w:r>
      <w:r w:rsidR="006004A6">
        <w:rPr>
          <w:rFonts w:ascii="Arial" w:hAnsi="Arial" w:cs="Arial"/>
          <w:sz w:val="22"/>
          <w:szCs w:val="22"/>
          <w:lang w:val="en-US"/>
        </w:rPr>
        <w:t xml:space="preserve">the adjacent TSO shall validate the final allocation of capacity to each successful network user and </w:t>
      </w:r>
      <w:r w:rsidR="00352349">
        <w:rPr>
          <w:rFonts w:ascii="Arial" w:hAnsi="Arial" w:cs="Arial"/>
          <w:sz w:val="22"/>
          <w:szCs w:val="22"/>
          <w:lang w:val="en-US"/>
        </w:rPr>
        <w:t xml:space="preserve">capacity shall be bought back in function of their price ranking. </w:t>
      </w:r>
    </w:p>
    <w:p w14:paraId="4BFC94A6" w14:textId="77777777" w:rsidR="001541E1" w:rsidRPr="00572A54" w:rsidRDefault="001541E1" w:rsidP="001541E1">
      <w:pPr>
        <w:spacing w:before="240"/>
        <w:jc w:val="both"/>
        <w:rPr>
          <w:rFonts w:ascii="Arial" w:hAnsi="Arial" w:cs="Arial"/>
          <w:sz w:val="22"/>
          <w:szCs w:val="22"/>
          <w:lang w:val="en-US"/>
        </w:rPr>
      </w:pPr>
      <w:r>
        <w:rPr>
          <w:rFonts w:ascii="Arial" w:hAnsi="Arial" w:cs="Arial"/>
          <w:sz w:val="22"/>
          <w:szCs w:val="22"/>
          <w:lang w:val="en-US"/>
        </w:rPr>
        <w:t>Whe</w:t>
      </w:r>
      <w:r w:rsidR="004B44A8">
        <w:rPr>
          <w:rFonts w:ascii="Arial" w:hAnsi="Arial" w:cs="Arial"/>
          <w:sz w:val="22"/>
          <w:szCs w:val="22"/>
          <w:lang w:val="en-US"/>
        </w:rPr>
        <w:t>n</w:t>
      </w:r>
      <w:r>
        <w:rPr>
          <w:rFonts w:ascii="Arial" w:hAnsi="Arial" w:cs="Arial"/>
          <w:sz w:val="22"/>
          <w:szCs w:val="22"/>
          <w:lang w:val="en-US"/>
        </w:rPr>
        <w:t xml:space="preserve"> an “offer to sell” by a network user exceeds the “proposal to buy”</w:t>
      </w:r>
      <w:r w:rsidRPr="00512684">
        <w:rPr>
          <w:rFonts w:ascii="Arial" w:hAnsi="Arial" w:cs="Arial"/>
          <w:sz w:val="22"/>
          <w:szCs w:val="22"/>
          <w:lang w:val="en-US"/>
        </w:rPr>
        <w:t>,</w:t>
      </w:r>
      <w:r>
        <w:rPr>
          <w:rFonts w:ascii="Arial" w:hAnsi="Arial" w:cs="Arial"/>
          <w:sz w:val="22"/>
          <w:szCs w:val="22"/>
          <w:lang w:val="en-US"/>
        </w:rPr>
        <w:t xml:space="preserve"> TSOs shall b</w:t>
      </w:r>
      <w:r w:rsidR="008519B1">
        <w:rPr>
          <w:rFonts w:ascii="Arial" w:hAnsi="Arial" w:cs="Arial"/>
          <w:sz w:val="22"/>
          <w:szCs w:val="22"/>
          <w:lang w:val="en-US"/>
        </w:rPr>
        <w:t>uy</w:t>
      </w:r>
      <w:r>
        <w:rPr>
          <w:rFonts w:ascii="Arial" w:hAnsi="Arial" w:cs="Arial"/>
          <w:sz w:val="22"/>
          <w:szCs w:val="22"/>
          <w:lang w:val="en-US"/>
        </w:rPr>
        <w:t xml:space="preserve"> back this capacity up to amount of capacity included in the “proposal to buy”. This means that not all the capacity included in the “offer to sell” will be bought back (TSOs will partially b</w:t>
      </w:r>
      <w:r w:rsidR="008519B1">
        <w:rPr>
          <w:rFonts w:ascii="Arial" w:hAnsi="Arial" w:cs="Arial"/>
          <w:sz w:val="22"/>
          <w:szCs w:val="22"/>
          <w:lang w:val="en-US"/>
        </w:rPr>
        <w:t>uy</w:t>
      </w:r>
      <w:r>
        <w:rPr>
          <w:rFonts w:ascii="Arial" w:hAnsi="Arial" w:cs="Arial"/>
          <w:sz w:val="22"/>
          <w:szCs w:val="22"/>
          <w:lang w:val="en-US"/>
        </w:rPr>
        <w:t xml:space="preserve"> back this capacity).</w:t>
      </w:r>
    </w:p>
    <w:p w14:paraId="33DF7647" w14:textId="77777777" w:rsidR="00301A9C" w:rsidRDefault="00300DDD" w:rsidP="002C327C">
      <w:pPr>
        <w:spacing w:before="240"/>
        <w:jc w:val="both"/>
        <w:rPr>
          <w:rFonts w:ascii="Arial" w:hAnsi="Arial" w:cs="Arial"/>
          <w:sz w:val="22"/>
          <w:szCs w:val="22"/>
          <w:lang w:val="en-US"/>
        </w:rPr>
      </w:pPr>
      <w:r>
        <w:rPr>
          <w:rFonts w:ascii="Arial" w:hAnsi="Arial" w:cs="Arial"/>
          <w:sz w:val="22"/>
          <w:szCs w:val="22"/>
          <w:lang w:val="en-US"/>
        </w:rPr>
        <w:t xml:space="preserve">When </w:t>
      </w:r>
      <w:r w:rsidR="00352349">
        <w:rPr>
          <w:rFonts w:ascii="Arial" w:hAnsi="Arial" w:cs="Arial"/>
          <w:sz w:val="22"/>
          <w:szCs w:val="22"/>
          <w:lang w:val="en-US"/>
        </w:rPr>
        <w:t xml:space="preserve">two or more “offers to sell” </w:t>
      </w:r>
      <w:r>
        <w:rPr>
          <w:rFonts w:ascii="Arial" w:hAnsi="Arial" w:cs="Arial"/>
          <w:sz w:val="22"/>
          <w:szCs w:val="22"/>
          <w:lang w:val="en-US"/>
        </w:rPr>
        <w:t xml:space="preserve">contain </w:t>
      </w:r>
      <w:r w:rsidR="001541E1">
        <w:rPr>
          <w:rFonts w:ascii="Arial" w:hAnsi="Arial" w:cs="Arial"/>
          <w:sz w:val="22"/>
          <w:szCs w:val="22"/>
          <w:lang w:val="en-US"/>
        </w:rPr>
        <w:t>the same price and the amount of capacity proposed to sell in aggregate under such “offers to sell” exceeds the remaining capacity to be bought-back, the remaining capacity to be bought back shall be allocated pro rata to the amounts</w:t>
      </w:r>
      <w:r>
        <w:rPr>
          <w:rFonts w:ascii="Arial" w:hAnsi="Arial" w:cs="Arial"/>
          <w:sz w:val="22"/>
          <w:szCs w:val="22"/>
          <w:lang w:val="en-US"/>
        </w:rPr>
        <w:t xml:space="preserve"> of capacity</w:t>
      </w:r>
      <w:r w:rsidR="001541E1">
        <w:rPr>
          <w:rFonts w:ascii="Arial" w:hAnsi="Arial" w:cs="Arial"/>
          <w:sz w:val="22"/>
          <w:szCs w:val="22"/>
          <w:lang w:val="en-US"/>
        </w:rPr>
        <w:t xml:space="preserve"> </w:t>
      </w:r>
      <w:r>
        <w:rPr>
          <w:rFonts w:ascii="Arial" w:hAnsi="Arial" w:cs="Arial"/>
          <w:sz w:val="22"/>
          <w:szCs w:val="22"/>
          <w:lang w:val="en-US"/>
        </w:rPr>
        <w:t>included</w:t>
      </w:r>
      <w:r w:rsidR="001541E1">
        <w:rPr>
          <w:rFonts w:ascii="Arial" w:hAnsi="Arial" w:cs="Arial"/>
          <w:sz w:val="22"/>
          <w:szCs w:val="22"/>
          <w:lang w:val="en-US"/>
        </w:rPr>
        <w:t xml:space="preserve"> in each “offer to sell”.</w:t>
      </w:r>
      <w:r w:rsidR="00512684" w:rsidDel="00512684">
        <w:rPr>
          <w:rFonts w:ascii="Arial" w:hAnsi="Arial" w:cs="Arial"/>
          <w:sz w:val="22"/>
          <w:szCs w:val="22"/>
          <w:lang w:val="en-US"/>
        </w:rPr>
        <w:t xml:space="preserve"> </w:t>
      </w:r>
      <w:r w:rsidR="00301A9C">
        <w:rPr>
          <w:rFonts w:ascii="Arial" w:hAnsi="Arial" w:cs="Arial"/>
          <w:sz w:val="22"/>
          <w:szCs w:val="22"/>
          <w:lang w:val="en-US"/>
        </w:rPr>
        <w:t xml:space="preserve">The clearing price shall be defined as the price of the </w:t>
      </w:r>
      <w:r w:rsidR="008A1FE5">
        <w:rPr>
          <w:rFonts w:ascii="Arial" w:hAnsi="Arial" w:cs="Arial"/>
          <w:sz w:val="22"/>
          <w:szCs w:val="22"/>
          <w:lang w:val="en-US"/>
        </w:rPr>
        <w:t xml:space="preserve">highest </w:t>
      </w:r>
      <w:r w:rsidR="00301A9C">
        <w:rPr>
          <w:rFonts w:ascii="Arial" w:hAnsi="Arial" w:cs="Arial"/>
          <w:sz w:val="22"/>
          <w:szCs w:val="22"/>
          <w:lang w:val="en-US"/>
        </w:rPr>
        <w:t xml:space="preserve">successful “offer to sell”. </w:t>
      </w:r>
      <w:r w:rsidR="00512684">
        <w:rPr>
          <w:rFonts w:ascii="Arial" w:hAnsi="Arial" w:cs="Arial"/>
          <w:sz w:val="22"/>
          <w:szCs w:val="22"/>
          <w:lang w:val="en-US"/>
        </w:rPr>
        <w:t xml:space="preserve">TSOs </w:t>
      </w:r>
      <w:r w:rsidR="00301A9C">
        <w:rPr>
          <w:rFonts w:ascii="Arial" w:hAnsi="Arial" w:cs="Arial"/>
          <w:sz w:val="22"/>
          <w:szCs w:val="22"/>
          <w:lang w:val="en-US"/>
        </w:rPr>
        <w:t xml:space="preserve">shall pay </w:t>
      </w:r>
      <w:r w:rsidR="008519B1">
        <w:rPr>
          <w:rFonts w:ascii="Arial" w:hAnsi="Arial" w:cs="Arial"/>
          <w:sz w:val="22"/>
          <w:szCs w:val="22"/>
          <w:lang w:val="en-US"/>
        </w:rPr>
        <w:t xml:space="preserve">to </w:t>
      </w:r>
      <w:r w:rsidR="00512684">
        <w:rPr>
          <w:rFonts w:ascii="Arial" w:hAnsi="Arial" w:cs="Arial"/>
          <w:sz w:val="22"/>
          <w:szCs w:val="22"/>
          <w:lang w:val="en-US"/>
        </w:rPr>
        <w:t xml:space="preserve">all successful network users </w:t>
      </w:r>
      <w:r w:rsidR="00301A9C">
        <w:rPr>
          <w:rFonts w:ascii="Arial" w:hAnsi="Arial" w:cs="Arial"/>
          <w:sz w:val="22"/>
          <w:szCs w:val="22"/>
          <w:lang w:val="en-US"/>
        </w:rPr>
        <w:t>the clearing price.</w:t>
      </w:r>
    </w:p>
    <w:p w14:paraId="1EC950B2" w14:textId="51E37956" w:rsidR="00301A9C" w:rsidRDefault="00301A9C" w:rsidP="002C327C">
      <w:pPr>
        <w:spacing w:before="240"/>
        <w:jc w:val="both"/>
        <w:rPr>
          <w:rFonts w:ascii="Arial" w:hAnsi="Arial" w:cs="Arial"/>
          <w:sz w:val="22"/>
          <w:szCs w:val="22"/>
          <w:lang w:val="en-US"/>
        </w:rPr>
      </w:pPr>
      <w:r>
        <w:rPr>
          <w:rFonts w:ascii="Arial" w:hAnsi="Arial" w:cs="Arial"/>
          <w:sz w:val="22"/>
          <w:szCs w:val="22"/>
          <w:lang w:val="en-US"/>
        </w:rPr>
        <w:t xml:space="preserve">The final results of the CFO mechanism shall be published at PRISMA at </w:t>
      </w:r>
      <w:r w:rsidR="00867668">
        <w:rPr>
          <w:rFonts w:ascii="Arial" w:hAnsi="Arial" w:cs="Arial"/>
          <w:sz w:val="22"/>
          <w:szCs w:val="22"/>
          <w:lang w:val="en-US"/>
        </w:rPr>
        <w:t xml:space="preserve">20:30 UTC (or 19:30 UTC </w:t>
      </w:r>
      <w:r w:rsidR="00D839BC">
        <w:rPr>
          <w:rFonts w:ascii="Arial" w:hAnsi="Arial" w:cs="Arial"/>
          <w:sz w:val="22"/>
          <w:szCs w:val="22"/>
          <w:lang w:val="en-US"/>
        </w:rPr>
        <w:t>daylight</w:t>
      </w:r>
      <w:r w:rsidR="00867668">
        <w:rPr>
          <w:rFonts w:ascii="Arial" w:hAnsi="Arial" w:cs="Arial"/>
          <w:sz w:val="22"/>
          <w:szCs w:val="22"/>
          <w:lang w:val="en-US"/>
        </w:rPr>
        <w:t xml:space="preserve"> saving)</w:t>
      </w:r>
      <w:r>
        <w:rPr>
          <w:rFonts w:ascii="Arial" w:hAnsi="Arial" w:cs="Arial"/>
          <w:sz w:val="22"/>
          <w:szCs w:val="22"/>
          <w:lang w:val="en-US"/>
        </w:rPr>
        <w:t>.</w:t>
      </w:r>
    </w:p>
    <w:p w14:paraId="2C297A68" w14:textId="77777777" w:rsidR="00A74A7A" w:rsidRDefault="00860174" w:rsidP="002C327C">
      <w:pPr>
        <w:spacing w:before="240"/>
        <w:jc w:val="both"/>
        <w:rPr>
          <w:rFonts w:ascii="Arial" w:hAnsi="Arial" w:cs="Arial"/>
          <w:sz w:val="22"/>
          <w:szCs w:val="22"/>
          <w:lang w:val="en-US"/>
        </w:rPr>
      </w:pPr>
      <w:r w:rsidRPr="00D2486F">
        <w:rPr>
          <w:rFonts w:ascii="Arial" w:hAnsi="Arial" w:cs="Arial"/>
          <w:sz w:val="22"/>
          <w:szCs w:val="22"/>
          <w:lang w:val="en-US"/>
        </w:rPr>
        <w:lastRenderedPageBreak/>
        <w:t>If users do not offer enough capacity in the buy-back p</w:t>
      </w:r>
      <w:r w:rsidR="00D2486F" w:rsidRPr="00D2486F">
        <w:rPr>
          <w:rFonts w:ascii="Arial" w:hAnsi="Arial" w:cs="Arial"/>
          <w:sz w:val="22"/>
          <w:szCs w:val="22"/>
          <w:lang w:val="en-US"/>
        </w:rPr>
        <w:t>rocedure</w:t>
      </w:r>
      <w:r w:rsidR="00E05652">
        <w:rPr>
          <w:rFonts w:ascii="Arial" w:hAnsi="Arial" w:cs="Arial"/>
          <w:sz w:val="22"/>
          <w:szCs w:val="22"/>
          <w:lang w:val="en-US"/>
        </w:rPr>
        <w:t xml:space="preserve"> (i.e there are not enough “offers to sell” to satisfy the “proposal to buy”)</w:t>
      </w:r>
      <w:r w:rsidR="00D2486F" w:rsidRPr="00D2486F">
        <w:rPr>
          <w:rFonts w:ascii="Arial" w:hAnsi="Arial" w:cs="Arial"/>
          <w:sz w:val="22"/>
          <w:szCs w:val="22"/>
          <w:lang w:val="en-US"/>
        </w:rPr>
        <w:t xml:space="preserve">, TSOs will reduce </w:t>
      </w:r>
      <w:r w:rsidR="00300DDD">
        <w:rPr>
          <w:rFonts w:ascii="Arial" w:hAnsi="Arial" w:cs="Arial"/>
          <w:sz w:val="22"/>
          <w:szCs w:val="22"/>
          <w:lang w:val="en-US"/>
        </w:rPr>
        <w:t xml:space="preserve">all </w:t>
      </w:r>
      <w:r w:rsidR="00D2486F" w:rsidRPr="00D2486F">
        <w:rPr>
          <w:rFonts w:ascii="Arial" w:hAnsi="Arial" w:cs="Arial"/>
          <w:sz w:val="22"/>
          <w:szCs w:val="22"/>
          <w:lang w:val="en-US"/>
        </w:rPr>
        <w:t xml:space="preserve">firm </w:t>
      </w:r>
      <w:r w:rsidR="00572559">
        <w:rPr>
          <w:rFonts w:ascii="Arial" w:hAnsi="Arial" w:cs="Arial"/>
          <w:sz w:val="22"/>
          <w:szCs w:val="22"/>
          <w:lang w:val="en-US"/>
        </w:rPr>
        <w:t>bundled</w:t>
      </w:r>
      <w:r w:rsidR="00512684">
        <w:rPr>
          <w:rFonts w:ascii="Arial" w:hAnsi="Arial" w:cs="Arial"/>
          <w:sz w:val="22"/>
          <w:szCs w:val="22"/>
          <w:lang w:val="en-US"/>
        </w:rPr>
        <w:t xml:space="preserve"> </w:t>
      </w:r>
      <w:r w:rsidR="00067FE5">
        <w:rPr>
          <w:rFonts w:ascii="Arial" w:hAnsi="Arial" w:cs="Arial"/>
          <w:sz w:val="22"/>
          <w:szCs w:val="22"/>
          <w:lang w:val="en-US"/>
        </w:rPr>
        <w:t>.</w:t>
      </w:r>
      <w:r w:rsidR="00572559">
        <w:rPr>
          <w:rFonts w:ascii="Arial" w:hAnsi="Arial" w:cs="Arial"/>
          <w:sz w:val="22"/>
          <w:szCs w:val="22"/>
          <w:lang w:val="en-US"/>
        </w:rPr>
        <w:t xml:space="preserve">and unbundled </w:t>
      </w:r>
      <w:r w:rsidRPr="00D2486F">
        <w:rPr>
          <w:rFonts w:ascii="Arial" w:hAnsi="Arial" w:cs="Arial"/>
          <w:sz w:val="22"/>
          <w:szCs w:val="22"/>
          <w:lang w:val="en-US"/>
        </w:rPr>
        <w:t>capacities according to pro-rata rule</w:t>
      </w:r>
      <w:r w:rsidR="00E05652">
        <w:rPr>
          <w:rFonts w:ascii="Arial" w:hAnsi="Arial" w:cs="Arial"/>
          <w:sz w:val="22"/>
          <w:szCs w:val="22"/>
          <w:lang w:val="en-US"/>
        </w:rPr>
        <w:t xml:space="preserve"> up to the amount of capacity that needs to be bought back. </w:t>
      </w:r>
    </w:p>
    <w:p w14:paraId="4E49B508" w14:textId="77777777" w:rsidR="00A74A7A" w:rsidRDefault="00A74A7A" w:rsidP="00A74A7A">
      <w:pPr>
        <w:spacing w:before="240"/>
        <w:jc w:val="both"/>
        <w:rPr>
          <w:rFonts w:ascii="Arial" w:hAnsi="Arial" w:cs="Arial"/>
          <w:sz w:val="22"/>
          <w:szCs w:val="22"/>
          <w:lang w:val="en-US"/>
        </w:rPr>
      </w:pPr>
      <w:r>
        <w:rPr>
          <w:rFonts w:ascii="Arial" w:hAnsi="Arial" w:cs="Arial"/>
          <w:sz w:val="22"/>
          <w:szCs w:val="22"/>
          <w:lang w:val="en-US"/>
        </w:rPr>
        <w:t xml:space="preserve">Pro-rata will apply to every network user who nominated their booked capacity, no matter if they have already placed a “proposal to sell” from 19:30 UTC (or 18:30 UTC </w:t>
      </w:r>
      <w:r w:rsidRPr="00CA31DF">
        <w:rPr>
          <w:rFonts w:ascii="Arial" w:hAnsi="Arial" w:cs="Arial"/>
          <w:sz w:val="22"/>
          <w:szCs w:val="22"/>
          <w:lang w:val="en-US"/>
        </w:rPr>
        <w:t>d</w:t>
      </w:r>
      <w:r>
        <w:rPr>
          <w:rFonts w:ascii="Arial" w:hAnsi="Arial" w:cs="Arial"/>
          <w:sz w:val="22"/>
          <w:szCs w:val="22"/>
          <w:lang w:val="en-US"/>
        </w:rPr>
        <w:t>aylight saving) to</w:t>
      </w:r>
      <w:r w:rsidRPr="00CA31DF">
        <w:rPr>
          <w:rFonts w:ascii="Arial" w:hAnsi="Arial" w:cs="Arial"/>
          <w:sz w:val="22"/>
          <w:szCs w:val="22"/>
          <w:lang w:val="en-US"/>
        </w:rPr>
        <w:t xml:space="preserve"> </w:t>
      </w:r>
      <w:r>
        <w:rPr>
          <w:rFonts w:ascii="Arial" w:hAnsi="Arial" w:cs="Arial"/>
          <w:sz w:val="22"/>
          <w:szCs w:val="22"/>
          <w:lang w:val="en-US"/>
        </w:rPr>
        <w:t xml:space="preserve">20:00 UTC (or 19:00 UTC </w:t>
      </w:r>
      <w:r w:rsidRPr="00CA31DF">
        <w:rPr>
          <w:rFonts w:ascii="Arial" w:hAnsi="Arial" w:cs="Arial"/>
          <w:sz w:val="22"/>
          <w:szCs w:val="22"/>
          <w:lang w:val="en-US"/>
        </w:rPr>
        <w:t>daylight saving).</w:t>
      </w:r>
      <w:r>
        <w:rPr>
          <w:rFonts w:ascii="Arial" w:hAnsi="Arial" w:cs="Arial"/>
          <w:sz w:val="22"/>
          <w:szCs w:val="22"/>
          <w:lang w:val="en-US"/>
        </w:rPr>
        <w:t xml:space="preserve"> The pro-rata rule will apply to those network users, even when their “proposal to sell” was taken into account, once those capacities have been reduced, and, therefore, TSOs bought back some of their nominated capacity. </w:t>
      </w:r>
    </w:p>
    <w:p w14:paraId="7CB2D828" w14:textId="4B633EE6" w:rsidR="00C9662F" w:rsidRDefault="00A74A7A" w:rsidP="006034C4">
      <w:pPr>
        <w:spacing w:before="240"/>
        <w:jc w:val="both"/>
        <w:rPr>
          <w:rFonts w:ascii="Arial" w:hAnsi="Arial" w:cs="Arial"/>
          <w:sz w:val="22"/>
          <w:szCs w:val="22"/>
          <w:lang w:val="en-US"/>
        </w:rPr>
      </w:pPr>
      <w:r>
        <w:rPr>
          <w:rFonts w:ascii="Arial" w:hAnsi="Arial" w:cs="Arial"/>
          <w:sz w:val="22"/>
          <w:szCs w:val="22"/>
          <w:lang w:val="en-US"/>
        </w:rPr>
        <w:t xml:space="preserve">In the case a pro-rata is applied, </w:t>
      </w:r>
      <w:r w:rsidR="00067FE5">
        <w:rPr>
          <w:rFonts w:ascii="Arial" w:hAnsi="Arial" w:cs="Arial"/>
          <w:sz w:val="22"/>
          <w:szCs w:val="22"/>
          <w:lang w:val="en-US"/>
        </w:rPr>
        <w:t>T</w:t>
      </w:r>
      <w:r w:rsidR="002E3934">
        <w:rPr>
          <w:rFonts w:ascii="Arial" w:hAnsi="Arial" w:cs="Arial"/>
          <w:sz w:val="22"/>
          <w:szCs w:val="22"/>
          <w:lang w:val="en-US"/>
        </w:rPr>
        <w:t xml:space="preserve">SO </w:t>
      </w:r>
      <w:r w:rsidR="00E05652">
        <w:rPr>
          <w:rFonts w:ascii="Arial" w:hAnsi="Arial" w:cs="Arial"/>
          <w:sz w:val="22"/>
          <w:szCs w:val="22"/>
          <w:lang w:val="en-US"/>
        </w:rPr>
        <w:t>shall</w:t>
      </w:r>
      <w:r w:rsidR="002E3934">
        <w:rPr>
          <w:rFonts w:ascii="Arial" w:hAnsi="Arial" w:cs="Arial"/>
          <w:sz w:val="22"/>
          <w:szCs w:val="22"/>
          <w:lang w:val="en-US"/>
        </w:rPr>
        <w:t xml:space="preserve"> pay </w:t>
      </w:r>
      <w:r w:rsidR="00E05652">
        <w:rPr>
          <w:rFonts w:ascii="Arial" w:hAnsi="Arial" w:cs="Arial"/>
          <w:sz w:val="22"/>
          <w:szCs w:val="22"/>
          <w:lang w:val="en-US"/>
        </w:rPr>
        <w:t>network users</w:t>
      </w:r>
      <w:r w:rsidR="00067FE5">
        <w:rPr>
          <w:rFonts w:ascii="Arial" w:hAnsi="Arial" w:cs="Arial"/>
          <w:sz w:val="22"/>
          <w:szCs w:val="22"/>
          <w:lang w:val="en-US"/>
        </w:rPr>
        <w:t xml:space="preserve"> </w:t>
      </w:r>
      <w:r>
        <w:rPr>
          <w:rFonts w:ascii="Arial" w:hAnsi="Arial" w:cs="Arial"/>
          <w:sz w:val="22"/>
          <w:szCs w:val="22"/>
          <w:lang w:val="en-US"/>
        </w:rPr>
        <w:t xml:space="preserve">for the pro-rated capacity </w:t>
      </w:r>
      <w:r w:rsidR="00E05652">
        <w:rPr>
          <w:rFonts w:ascii="Arial" w:hAnsi="Arial" w:cs="Arial"/>
          <w:sz w:val="22"/>
          <w:szCs w:val="22"/>
          <w:lang w:val="en-US"/>
        </w:rPr>
        <w:t>the</w:t>
      </w:r>
      <w:r w:rsidR="00067FE5">
        <w:rPr>
          <w:rFonts w:ascii="Arial" w:hAnsi="Arial" w:cs="Arial"/>
          <w:sz w:val="22"/>
          <w:szCs w:val="22"/>
          <w:lang w:val="en-US"/>
        </w:rPr>
        <w:t xml:space="preserve"> </w:t>
      </w:r>
      <w:r>
        <w:rPr>
          <w:rFonts w:ascii="Arial" w:hAnsi="Arial" w:cs="Arial"/>
          <w:sz w:val="22"/>
          <w:szCs w:val="22"/>
          <w:lang w:val="en-US"/>
        </w:rPr>
        <w:t>daily reference price which is applicable the day where the buy-back procedure has been launched.</w:t>
      </w:r>
      <w:r w:rsidR="006034C4">
        <w:rPr>
          <w:rFonts w:ascii="Arial" w:hAnsi="Arial" w:cs="Arial"/>
          <w:sz w:val="22"/>
          <w:szCs w:val="22"/>
          <w:lang w:val="en-US"/>
        </w:rPr>
        <w:t xml:space="preserve">No other market based procedure shall be performed afterwards, if the TSOs need to buy-back capacity after </w:t>
      </w:r>
      <w:r w:rsidR="00867668">
        <w:rPr>
          <w:rFonts w:ascii="Arial" w:hAnsi="Arial" w:cs="Arial"/>
          <w:sz w:val="22"/>
          <w:szCs w:val="22"/>
          <w:lang w:val="en-US"/>
        </w:rPr>
        <w:t xml:space="preserve">20:00 UTC (or 19:00 UTC </w:t>
      </w:r>
      <w:r w:rsidR="00D839BC">
        <w:rPr>
          <w:rFonts w:ascii="Arial" w:hAnsi="Arial" w:cs="Arial"/>
          <w:sz w:val="22"/>
          <w:szCs w:val="22"/>
          <w:lang w:val="en-US"/>
        </w:rPr>
        <w:t>daylight</w:t>
      </w:r>
      <w:r w:rsidR="00867668">
        <w:rPr>
          <w:rFonts w:ascii="Arial" w:hAnsi="Arial" w:cs="Arial"/>
          <w:sz w:val="22"/>
          <w:szCs w:val="22"/>
          <w:lang w:val="en-US"/>
        </w:rPr>
        <w:t xml:space="preserve"> saving)</w:t>
      </w:r>
      <w:r w:rsidR="00D143FB">
        <w:rPr>
          <w:rFonts w:ascii="Arial" w:hAnsi="Arial" w:cs="Arial"/>
          <w:sz w:val="22"/>
          <w:szCs w:val="22"/>
          <w:lang w:val="en-US"/>
        </w:rPr>
        <w:t>.</w:t>
      </w:r>
    </w:p>
    <w:p w14:paraId="4947E476" w14:textId="520BDDBC" w:rsidR="006034C4" w:rsidRDefault="00674DFD" w:rsidP="006034C4">
      <w:pPr>
        <w:spacing w:before="240"/>
        <w:jc w:val="both"/>
        <w:rPr>
          <w:rFonts w:ascii="Arial" w:hAnsi="Arial" w:cs="Arial"/>
          <w:sz w:val="22"/>
          <w:szCs w:val="22"/>
          <w:lang w:val="en-US"/>
        </w:rPr>
      </w:pPr>
      <w:bookmarkStart w:id="34" w:name="_GoBack"/>
      <w:bookmarkEnd w:id="34"/>
      <w:r>
        <w:rPr>
          <w:rFonts w:ascii="Arial" w:hAnsi="Arial" w:cs="Arial"/>
          <w:sz w:val="22"/>
          <w:szCs w:val="22"/>
          <w:lang w:val="en-US"/>
        </w:rPr>
        <w:t xml:space="preserve">When a pro-rata rule is applied, this shall be </w:t>
      </w:r>
      <w:r w:rsidR="00D93A0E">
        <w:rPr>
          <w:rFonts w:ascii="Arial" w:hAnsi="Arial" w:cs="Arial"/>
          <w:sz w:val="22"/>
          <w:szCs w:val="22"/>
          <w:lang w:val="en-US"/>
        </w:rPr>
        <w:t xml:space="preserve">based on the valid nominations </w:t>
      </w:r>
      <w:r>
        <w:rPr>
          <w:rFonts w:ascii="Arial" w:hAnsi="Arial" w:cs="Arial"/>
          <w:sz w:val="22"/>
          <w:szCs w:val="22"/>
          <w:lang w:val="en-US"/>
        </w:rPr>
        <w:t xml:space="preserve">of each network user </w:t>
      </w:r>
      <w:r w:rsidR="00D93A0E">
        <w:rPr>
          <w:rFonts w:ascii="Arial" w:hAnsi="Arial" w:cs="Arial"/>
          <w:sz w:val="22"/>
          <w:szCs w:val="22"/>
          <w:lang w:val="en-US"/>
        </w:rPr>
        <w:t>for that period</w:t>
      </w:r>
      <w:r w:rsidR="00B07DDE">
        <w:rPr>
          <w:rFonts w:ascii="Arial" w:hAnsi="Arial" w:cs="Arial"/>
          <w:sz w:val="22"/>
          <w:szCs w:val="22"/>
          <w:lang w:val="en-US"/>
        </w:rPr>
        <w:t>, except where otherwise defined.</w:t>
      </w:r>
    </w:p>
    <w:p w14:paraId="66145AAE" w14:textId="77777777" w:rsidR="00833F47" w:rsidRDefault="00833F47" w:rsidP="006034C4">
      <w:pPr>
        <w:spacing w:before="240"/>
        <w:jc w:val="both"/>
        <w:rPr>
          <w:rFonts w:ascii="Arial" w:hAnsi="Arial" w:cs="Arial"/>
          <w:sz w:val="22"/>
          <w:szCs w:val="22"/>
          <w:lang w:val="en-US"/>
        </w:rPr>
      </w:pPr>
      <w:r>
        <w:rPr>
          <w:rFonts w:ascii="Arial" w:hAnsi="Arial" w:cs="Arial"/>
          <w:sz w:val="22"/>
          <w:szCs w:val="22"/>
          <w:lang w:val="en-US"/>
        </w:rPr>
        <w:t>Following this capacity reduction, the affected network user’s nominations shall be reduced accordingly.</w:t>
      </w:r>
    </w:p>
    <w:p w14:paraId="35E7C0EB" w14:textId="77777777" w:rsidR="00BF01A0" w:rsidRPr="00801D7F" w:rsidRDefault="00BF01A0" w:rsidP="00BF01A0">
      <w:pPr>
        <w:numPr>
          <w:ilvl w:val="2"/>
          <w:numId w:val="1"/>
        </w:numPr>
        <w:spacing w:before="240"/>
        <w:jc w:val="both"/>
        <w:rPr>
          <w:rFonts w:ascii="Arial" w:hAnsi="Arial" w:cs="Arial"/>
          <w:b/>
          <w:bCs/>
          <w:i/>
          <w:iCs/>
          <w:szCs w:val="22"/>
          <w:lang w:val="en-US"/>
        </w:rPr>
      </w:pPr>
      <w:bookmarkStart w:id="35" w:name="_Ref435179087"/>
      <w:r>
        <w:rPr>
          <w:rFonts w:ascii="Arial" w:hAnsi="Arial" w:cs="Arial"/>
          <w:b/>
          <w:bCs/>
          <w:i/>
          <w:iCs/>
          <w:szCs w:val="22"/>
          <w:lang w:val="en-US"/>
        </w:rPr>
        <w:t>Buy-back mechanism after 19:00 UTC</w:t>
      </w:r>
      <w:bookmarkEnd w:id="35"/>
    </w:p>
    <w:p w14:paraId="16E0CCF1" w14:textId="77777777" w:rsidR="00BF01A0" w:rsidRDefault="00BF01A0" w:rsidP="00BF01A0">
      <w:pPr>
        <w:spacing w:before="240"/>
        <w:ind w:left="60"/>
        <w:jc w:val="both"/>
        <w:rPr>
          <w:rFonts w:ascii="Arial" w:hAnsi="Arial" w:cs="Arial"/>
          <w:sz w:val="22"/>
          <w:szCs w:val="22"/>
          <w:lang w:val="en-US"/>
        </w:rPr>
      </w:pPr>
      <w:r>
        <w:rPr>
          <w:rFonts w:ascii="Arial" w:hAnsi="Arial" w:cs="Arial"/>
          <w:sz w:val="22"/>
          <w:szCs w:val="22"/>
          <w:lang w:val="en-US"/>
        </w:rPr>
        <w:t xml:space="preserve">If TSOs realized that buy-back is necessary after 19:00 UTC D-1, </w:t>
      </w:r>
      <w:r w:rsidR="00E628B2">
        <w:rPr>
          <w:rFonts w:ascii="Arial" w:hAnsi="Arial" w:cs="Arial"/>
          <w:sz w:val="22"/>
          <w:szCs w:val="22"/>
          <w:lang w:val="en-US"/>
        </w:rPr>
        <w:t xml:space="preserve">the commercial and technical measures described in section </w:t>
      </w:r>
      <w:r w:rsidR="00EE1944">
        <w:rPr>
          <w:rFonts w:ascii="Arial" w:hAnsi="Arial" w:cs="Arial"/>
          <w:sz w:val="22"/>
          <w:szCs w:val="22"/>
          <w:lang w:val="en-US"/>
        </w:rPr>
        <w:fldChar w:fldCharType="begin"/>
      </w:r>
      <w:r w:rsidR="00EE1944">
        <w:rPr>
          <w:rFonts w:ascii="Arial" w:hAnsi="Arial" w:cs="Arial"/>
          <w:sz w:val="22"/>
          <w:szCs w:val="22"/>
          <w:lang w:val="en-US"/>
        </w:rPr>
        <w:instrText xml:space="preserve"> REF _Ref435179105 \r \h </w:instrText>
      </w:r>
      <w:r w:rsidR="00EE1944">
        <w:rPr>
          <w:rFonts w:ascii="Arial" w:hAnsi="Arial" w:cs="Arial"/>
          <w:sz w:val="22"/>
          <w:szCs w:val="22"/>
          <w:lang w:val="en-US"/>
        </w:rPr>
      </w:r>
      <w:r w:rsidR="00EE1944">
        <w:rPr>
          <w:rFonts w:ascii="Arial" w:hAnsi="Arial" w:cs="Arial"/>
          <w:sz w:val="22"/>
          <w:szCs w:val="22"/>
          <w:lang w:val="en-US"/>
        </w:rPr>
        <w:fldChar w:fldCharType="separate"/>
      </w:r>
      <w:r w:rsidR="00EE1944">
        <w:rPr>
          <w:rFonts w:ascii="Arial" w:hAnsi="Arial" w:cs="Arial"/>
          <w:sz w:val="22"/>
          <w:szCs w:val="22"/>
          <w:lang w:val="en-US"/>
        </w:rPr>
        <w:t>3.4.2</w:t>
      </w:r>
      <w:r w:rsidR="00EE1944">
        <w:rPr>
          <w:rFonts w:ascii="Arial" w:hAnsi="Arial" w:cs="Arial"/>
          <w:sz w:val="22"/>
          <w:szCs w:val="22"/>
          <w:lang w:val="en-US"/>
        </w:rPr>
        <w:fldChar w:fldCharType="end"/>
      </w:r>
      <w:r w:rsidR="00E628B2">
        <w:rPr>
          <w:rFonts w:ascii="Arial" w:hAnsi="Arial" w:cs="Arial"/>
          <w:sz w:val="22"/>
          <w:szCs w:val="22"/>
          <w:lang w:val="en-US"/>
        </w:rPr>
        <w:t xml:space="preserve"> will be applied first, if this measures are not enough, then </w:t>
      </w:r>
      <w:r>
        <w:rPr>
          <w:rFonts w:ascii="Arial" w:hAnsi="Arial" w:cs="Arial"/>
          <w:sz w:val="22"/>
          <w:szCs w:val="22"/>
          <w:lang w:val="en-US"/>
        </w:rPr>
        <w:t>all</w:t>
      </w:r>
      <w:r w:rsidR="00E628B2">
        <w:rPr>
          <w:rFonts w:ascii="Arial" w:hAnsi="Arial" w:cs="Arial"/>
          <w:sz w:val="22"/>
          <w:szCs w:val="22"/>
          <w:lang w:val="en-US"/>
        </w:rPr>
        <w:t xml:space="preserve"> firm</w:t>
      </w:r>
      <w:r>
        <w:rPr>
          <w:rFonts w:ascii="Arial" w:hAnsi="Arial" w:cs="Arial"/>
          <w:sz w:val="22"/>
          <w:szCs w:val="22"/>
          <w:lang w:val="en-US"/>
        </w:rPr>
        <w:t xml:space="preserve"> capacity will be reduced according to pro-rata rule.</w:t>
      </w:r>
    </w:p>
    <w:p w14:paraId="4922FDA9" w14:textId="77777777" w:rsidR="00E628B2" w:rsidRDefault="00E628B2" w:rsidP="00BF01A0">
      <w:pPr>
        <w:spacing w:before="240"/>
        <w:ind w:left="60"/>
        <w:jc w:val="both"/>
        <w:rPr>
          <w:rFonts w:ascii="Arial" w:hAnsi="Arial" w:cs="Arial"/>
          <w:sz w:val="22"/>
          <w:szCs w:val="22"/>
          <w:lang w:val="en-US"/>
        </w:rPr>
      </w:pPr>
      <w:r>
        <w:rPr>
          <w:rFonts w:ascii="Arial" w:hAnsi="Arial" w:cs="Arial"/>
          <w:sz w:val="22"/>
          <w:szCs w:val="22"/>
          <w:lang w:val="en-US"/>
        </w:rPr>
        <w:t>TSOs will exchange the relevant information in order to apply pro-rata rule in a coordinated way.</w:t>
      </w:r>
    </w:p>
    <w:p w14:paraId="5E6A1A81" w14:textId="77777777" w:rsidR="00BF01A0" w:rsidRDefault="00EE1944" w:rsidP="00BF01A0">
      <w:pPr>
        <w:spacing w:before="240"/>
        <w:ind w:left="60"/>
        <w:jc w:val="both"/>
        <w:rPr>
          <w:rFonts w:ascii="Arial" w:hAnsi="Arial" w:cs="Arial"/>
          <w:sz w:val="22"/>
          <w:szCs w:val="22"/>
          <w:lang w:val="en-US"/>
        </w:rPr>
      </w:pPr>
      <w:r>
        <w:rPr>
          <w:rFonts w:ascii="Arial" w:hAnsi="Arial" w:cs="Arial"/>
          <w:sz w:val="22"/>
          <w:szCs w:val="22"/>
          <w:lang w:val="en-US"/>
        </w:rPr>
        <w:t>In the case a pro-rata is applied, TSO shall pay network users for the pro-rated capacity the daily reference price which is applicable the day where the buy-back procedure has been launched.</w:t>
      </w:r>
    </w:p>
    <w:p w14:paraId="2787A619" w14:textId="77777777" w:rsidR="00BF01A0" w:rsidRDefault="00BF01A0" w:rsidP="006034C4">
      <w:pPr>
        <w:spacing w:before="240"/>
        <w:jc w:val="both"/>
        <w:rPr>
          <w:rFonts w:ascii="Arial" w:hAnsi="Arial" w:cs="Arial"/>
          <w:sz w:val="22"/>
          <w:szCs w:val="22"/>
          <w:lang w:val="en-US"/>
        </w:rPr>
      </w:pPr>
    </w:p>
    <w:p w14:paraId="19FBE1C1" w14:textId="77777777" w:rsidR="00160592" w:rsidRPr="002C327C" w:rsidRDefault="00572559" w:rsidP="002C327C">
      <w:pPr>
        <w:pStyle w:val="EstiloTtulo1Arial14ptSubrayado"/>
        <w:ind w:left="431" w:hanging="431"/>
        <w:rPr>
          <w:lang w:eastAsia="es-ES"/>
        </w:rPr>
      </w:pPr>
      <w:bookmarkStart w:id="36" w:name="_Toc423419732"/>
      <w:r>
        <w:rPr>
          <w:lang w:eastAsia="es-ES"/>
        </w:rPr>
        <w:lastRenderedPageBreak/>
        <w:t>Pricing</w:t>
      </w:r>
      <w:bookmarkEnd w:id="36"/>
    </w:p>
    <w:p w14:paraId="6F106654" w14:textId="77777777" w:rsidR="00572559" w:rsidRDefault="00572559" w:rsidP="00572559">
      <w:pPr>
        <w:pStyle w:val="EstiloTtulo2Arial13ptAntes12ptoDespus12pto"/>
      </w:pPr>
      <w:bookmarkStart w:id="37" w:name="_Toc423419733"/>
      <w:r>
        <w:t>Maximum price TSOs are allowed to pay</w:t>
      </w:r>
      <w:bookmarkEnd w:id="37"/>
    </w:p>
    <w:p w14:paraId="63328DB7" w14:textId="77777777" w:rsidR="0023351D" w:rsidRDefault="007E5696" w:rsidP="0023351D">
      <w:pPr>
        <w:spacing w:before="240"/>
        <w:jc w:val="both"/>
        <w:rPr>
          <w:rFonts w:ascii="Arial" w:hAnsi="Arial" w:cs="Arial"/>
          <w:bCs/>
          <w:iCs/>
          <w:sz w:val="22"/>
          <w:szCs w:val="22"/>
          <w:lang w:val="en-US"/>
        </w:rPr>
      </w:pPr>
      <w:r>
        <w:rPr>
          <w:rFonts w:ascii="Arial" w:hAnsi="Arial" w:cs="Arial"/>
          <w:bCs/>
          <w:iCs/>
          <w:sz w:val="22"/>
          <w:szCs w:val="22"/>
          <w:lang w:val="en-US"/>
        </w:rPr>
        <w:t xml:space="preserve">At </w:t>
      </w:r>
      <w:r w:rsidR="0023351D" w:rsidRPr="00867668">
        <w:rPr>
          <w:rFonts w:ascii="Arial" w:hAnsi="Arial" w:cs="Arial"/>
          <w:b/>
          <w:bCs/>
          <w:iCs/>
          <w:sz w:val="22"/>
          <w:szCs w:val="22"/>
          <w:lang w:val="en-US"/>
        </w:rPr>
        <w:t xml:space="preserve">VIP </w:t>
      </w:r>
      <w:r w:rsidR="0019015C" w:rsidRPr="00867668">
        <w:rPr>
          <w:rFonts w:ascii="Arial" w:hAnsi="Arial" w:cs="Arial"/>
          <w:b/>
          <w:sz w:val="22"/>
          <w:szCs w:val="22"/>
          <w:lang w:val="en-GB"/>
        </w:rPr>
        <w:t>Ibérico</w:t>
      </w:r>
      <w:r w:rsidR="0019015C">
        <w:rPr>
          <w:rFonts w:ascii="Arial" w:hAnsi="Arial" w:cs="Arial"/>
          <w:sz w:val="22"/>
          <w:szCs w:val="22"/>
          <w:lang w:val="en-GB"/>
        </w:rPr>
        <w:t xml:space="preserve"> </w:t>
      </w:r>
      <w:r w:rsidR="0023351D">
        <w:rPr>
          <w:rFonts w:ascii="Arial" w:hAnsi="Arial" w:cs="Arial"/>
          <w:bCs/>
          <w:iCs/>
          <w:sz w:val="22"/>
          <w:szCs w:val="22"/>
          <w:lang w:val="en-US"/>
        </w:rPr>
        <w:t>the capacity to be bought back wi</w:t>
      </w:r>
      <w:r>
        <w:rPr>
          <w:rFonts w:ascii="Arial" w:hAnsi="Arial" w:cs="Arial"/>
          <w:bCs/>
          <w:iCs/>
          <w:sz w:val="22"/>
          <w:szCs w:val="22"/>
          <w:lang w:val="en-US"/>
        </w:rPr>
        <w:t>ll be always a bundled capacity;</w:t>
      </w:r>
      <w:r w:rsidR="0023351D">
        <w:rPr>
          <w:rFonts w:ascii="Arial" w:hAnsi="Arial" w:cs="Arial"/>
          <w:bCs/>
          <w:iCs/>
          <w:sz w:val="22"/>
          <w:szCs w:val="22"/>
          <w:lang w:val="en-US"/>
        </w:rPr>
        <w:t xml:space="preserve"> t</w:t>
      </w:r>
      <w:r>
        <w:rPr>
          <w:rFonts w:ascii="Arial" w:hAnsi="Arial" w:cs="Arial"/>
          <w:bCs/>
          <w:iCs/>
          <w:sz w:val="22"/>
          <w:szCs w:val="22"/>
          <w:lang w:val="en-US"/>
        </w:rPr>
        <w:t>hus the</w:t>
      </w:r>
      <w:r w:rsidR="0023351D">
        <w:rPr>
          <w:rFonts w:ascii="Arial" w:hAnsi="Arial" w:cs="Arial"/>
          <w:bCs/>
          <w:iCs/>
          <w:sz w:val="22"/>
          <w:szCs w:val="22"/>
          <w:lang w:val="en-US"/>
        </w:rPr>
        <w:t xml:space="preserve"> </w:t>
      </w:r>
      <w:r>
        <w:rPr>
          <w:rFonts w:ascii="Arial" w:hAnsi="Arial" w:cs="Arial"/>
          <w:bCs/>
          <w:iCs/>
          <w:sz w:val="22"/>
          <w:szCs w:val="22"/>
          <w:lang w:val="en-US"/>
        </w:rPr>
        <w:t xml:space="preserve">maximum </w:t>
      </w:r>
      <w:r w:rsidR="0023351D">
        <w:rPr>
          <w:rFonts w:ascii="Arial" w:hAnsi="Arial" w:cs="Arial"/>
          <w:bCs/>
          <w:iCs/>
          <w:sz w:val="22"/>
          <w:szCs w:val="22"/>
          <w:lang w:val="en-US"/>
        </w:rPr>
        <w:t>price</w:t>
      </w:r>
      <w:r>
        <w:rPr>
          <w:rFonts w:ascii="Arial" w:hAnsi="Arial" w:cs="Arial"/>
          <w:bCs/>
          <w:iCs/>
          <w:sz w:val="22"/>
          <w:szCs w:val="22"/>
          <w:lang w:val="en-US"/>
        </w:rPr>
        <w:t xml:space="preserve"> the TSO will upload to PRISMA</w:t>
      </w:r>
      <w:r w:rsidR="0023351D">
        <w:rPr>
          <w:rFonts w:ascii="Arial" w:hAnsi="Arial" w:cs="Arial"/>
          <w:bCs/>
          <w:iCs/>
          <w:sz w:val="22"/>
          <w:szCs w:val="22"/>
          <w:lang w:val="en-US"/>
        </w:rPr>
        <w:t xml:space="preserve"> will be</w:t>
      </w:r>
      <w:r>
        <w:rPr>
          <w:rFonts w:ascii="Arial" w:hAnsi="Arial" w:cs="Arial"/>
          <w:bCs/>
          <w:iCs/>
          <w:sz w:val="22"/>
          <w:szCs w:val="22"/>
          <w:lang w:val="en-US"/>
        </w:rPr>
        <w:t xml:space="preserve"> </w:t>
      </w:r>
      <w:r w:rsidR="0023351D">
        <w:rPr>
          <w:rFonts w:ascii="Arial" w:hAnsi="Arial" w:cs="Arial"/>
          <w:bCs/>
          <w:iCs/>
          <w:sz w:val="22"/>
          <w:szCs w:val="22"/>
          <w:lang w:val="en-US"/>
        </w:rPr>
        <w:t xml:space="preserve">the </w:t>
      </w:r>
      <w:r w:rsidR="0023351D" w:rsidRPr="0023351D">
        <w:rPr>
          <w:rFonts w:ascii="Arial" w:hAnsi="Arial" w:cs="Arial"/>
          <w:bCs/>
          <w:iCs/>
          <w:sz w:val="22"/>
          <w:szCs w:val="22"/>
          <w:lang w:val="en-US"/>
        </w:rPr>
        <w:t>addition</w:t>
      </w:r>
      <w:r>
        <w:rPr>
          <w:rFonts w:ascii="Arial" w:hAnsi="Arial" w:cs="Arial"/>
          <w:bCs/>
          <w:iCs/>
          <w:sz w:val="22"/>
          <w:szCs w:val="22"/>
          <w:lang w:val="en-US"/>
        </w:rPr>
        <w:t xml:space="preserve"> of the maximum prices that both TSOs are </w:t>
      </w:r>
      <w:r w:rsidR="00572559">
        <w:rPr>
          <w:rFonts w:ascii="Arial" w:hAnsi="Arial" w:cs="Arial"/>
          <w:bCs/>
          <w:iCs/>
          <w:sz w:val="22"/>
          <w:szCs w:val="22"/>
          <w:lang w:val="en-US"/>
        </w:rPr>
        <w:t xml:space="preserve">allowed </w:t>
      </w:r>
      <w:r>
        <w:rPr>
          <w:rFonts w:ascii="Arial" w:hAnsi="Arial" w:cs="Arial"/>
          <w:bCs/>
          <w:iCs/>
          <w:sz w:val="22"/>
          <w:szCs w:val="22"/>
          <w:lang w:val="en-US"/>
        </w:rPr>
        <w:t xml:space="preserve">to pay </w:t>
      </w:r>
      <w:r w:rsidR="00572559">
        <w:rPr>
          <w:rFonts w:ascii="Arial" w:hAnsi="Arial" w:cs="Arial"/>
          <w:bCs/>
          <w:iCs/>
          <w:sz w:val="22"/>
          <w:szCs w:val="22"/>
          <w:lang w:val="en-US"/>
        </w:rPr>
        <w:t xml:space="preserve">according to their national rules, </w:t>
      </w:r>
      <w:r>
        <w:rPr>
          <w:rFonts w:ascii="Arial" w:hAnsi="Arial" w:cs="Arial"/>
          <w:bCs/>
          <w:iCs/>
          <w:sz w:val="22"/>
          <w:szCs w:val="22"/>
          <w:lang w:val="en-US"/>
        </w:rPr>
        <w:t xml:space="preserve">as it is shown below: </w:t>
      </w:r>
    </w:p>
    <w:p w14:paraId="25738038" w14:textId="77777777" w:rsidR="007E5696" w:rsidRDefault="00801D7F" w:rsidP="002C327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Arial" w:hAnsi="Arial" w:cs="Arial"/>
          <w:bCs/>
          <w:iCs/>
          <w:sz w:val="22"/>
          <w:szCs w:val="22"/>
          <w:lang w:val="en-US"/>
        </w:rPr>
      </w:pPr>
      <w:r>
        <w:rPr>
          <w:rFonts w:ascii="Arial" w:hAnsi="Arial" w:cs="Arial"/>
          <w:bCs/>
          <w:iCs/>
          <w:sz w:val="22"/>
          <w:szCs w:val="22"/>
          <w:lang w:val="en-US"/>
        </w:rPr>
        <w:t>C =</w:t>
      </w:r>
      <w:r w:rsidR="007E5696">
        <w:rPr>
          <w:rFonts w:ascii="Arial" w:hAnsi="Arial" w:cs="Arial"/>
          <w:bCs/>
          <w:iCs/>
          <w:sz w:val="22"/>
          <w:szCs w:val="22"/>
          <w:lang w:val="en-US"/>
        </w:rPr>
        <w:t xml:space="preserve"> A + B</w:t>
      </w:r>
    </w:p>
    <w:p w14:paraId="5B0ABCE8" w14:textId="77777777" w:rsidR="0036503E" w:rsidRPr="0019015C" w:rsidRDefault="007E5696" w:rsidP="0019015C">
      <w:pPr>
        <w:tabs>
          <w:tab w:val="left" w:pos="993"/>
        </w:tabs>
        <w:spacing w:before="240" w:after="240"/>
        <w:ind w:left="993" w:hanging="285"/>
        <w:jc w:val="both"/>
        <w:rPr>
          <w:rFonts w:ascii="Arial" w:hAnsi="Arial" w:cs="Arial"/>
          <w:sz w:val="22"/>
          <w:szCs w:val="22"/>
          <w:lang w:val="en-GB"/>
        </w:rPr>
      </w:pPr>
      <w:r>
        <w:rPr>
          <w:rFonts w:ascii="Arial" w:hAnsi="Arial" w:cs="Arial"/>
          <w:sz w:val="22"/>
          <w:szCs w:val="22"/>
          <w:lang w:val="en-GB"/>
        </w:rPr>
        <w:t xml:space="preserve">A </w:t>
      </w:r>
      <w:r w:rsidRPr="0036503E">
        <w:rPr>
          <w:rFonts w:ascii="Arial" w:hAnsi="Arial" w:cs="Arial"/>
          <w:b/>
          <w:sz w:val="22"/>
          <w:szCs w:val="22"/>
          <w:lang w:val="en-GB"/>
        </w:rPr>
        <w:t xml:space="preserve">is the maximum price that </w:t>
      </w:r>
      <w:r w:rsidR="0019015C">
        <w:rPr>
          <w:rFonts w:ascii="Arial" w:hAnsi="Arial" w:cs="Arial"/>
          <w:b/>
          <w:sz w:val="22"/>
          <w:szCs w:val="22"/>
          <w:lang w:val="en-GB"/>
        </w:rPr>
        <w:t>REN</w:t>
      </w:r>
      <w:r w:rsidRPr="0036503E">
        <w:rPr>
          <w:rFonts w:ascii="Arial" w:hAnsi="Arial" w:cs="Arial"/>
          <w:b/>
          <w:sz w:val="22"/>
          <w:szCs w:val="22"/>
          <w:lang w:val="en-GB"/>
        </w:rPr>
        <w:t xml:space="preserve"> is </w:t>
      </w:r>
      <w:r w:rsidR="00572559">
        <w:rPr>
          <w:rFonts w:ascii="Arial" w:hAnsi="Arial" w:cs="Arial"/>
          <w:b/>
          <w:sz w:val="22"/>
          <w:szCs w:val="22"/>
          <w:lang w:val="en-GB"/>
        </w:rPr>
        <w:t>allowed</w:t>
      </w:r>
      <w:r w:rsidR="00572559" w:rsidRPr="0036503E">
        <w:rPr>
          <w:rFonts w:ascii="Arial" w:hAnsi="Arial" w:cs="Arial"/>
          <w:b/>
          <w:sz w:val="22"/>
          <w:szCs w:val="22"/>
          <w:lang w:val="en-GB"/>
        </w:rPr>
        <w:t xml:space="preserve"> </w:t>
      </w:r>
      <w:r w:rsidRPr="0036503E">
        <w:rPr>
          <w:rFonts w:ascii="Arial" w:hAnsi="Arial" w:cs="Arial"/>
          <w:b/>
          <w:sz w:val="22"/>
          <w:szCs w:val="22"/>
          <w:lang w:val="en-GB"/>
        </w:rPr>
        <w:t>to pay</w:t>
      </w:r>
      <w:r w:rsidR="000C54DD" w:rsidRPr="0036503E">
        <w:rPr>
          <w:rFonts w:ascii="Arial" w:hAnsi="Arial" w:cs="Arial"/>
          <w:b/>
          <w:sz w:val="22"/>
          <w:szCs w:val="22"/>
          <w:lang w:val="en-GB"/>
        </w:rPr>
        <w:t>:</w:t>
      </w:r>
      <w:r w:rsidR="00781512">
        <w:rPr>
          <w:rFonts w:ascii="Arial" w:hAnsi="Arial" w:cs="Arial"/>
          <w:sz w:val="22"/>
          <w:szCs w:val="22"/>
          <w:lang w:val="en-GB"/>
        </w:rPr>
        <w:t xml:space="preserve"> </w:t>
      </w:r>
      <w:r w:rsidR="0019015C" w:rsidRPr="00D83D47">
        <w:rPr>
          <w:rFonts w:ascii="Arial" w:hAnsi="Arial" w:cs="Arial"/>
          <w:sz w:val="22"/>
          <w:szCs w:val="22"/>
          <w:lang w:val="en-GB"/>
        </w:rPr>
        <w:t>shall not exceed the reserve price for firm day-ahead capac</w:t>
      </w:r>
      <w:r w:rsidR="0019015C">
        <w:rPr>
          <w:rFonts w:ascii="Arial" w:hAnsi="Arial" w:cs="Arial"/>
          <w:sz w:val="22"/>
          <w:szCs w:val="22"/>
          <w:lang w:val="en-GB"/>
        </w:rPr>
        <w:t>ity multiplied by a factor of 1.</w:t>
      </w:r>
      <w:r w:rsidR="0019015C" w:rsidRPr="00D83D47">
        <w:rPr>
          <w:rFonts w:ascii="Arial" w:hAnsi="Arial" w:cs="Arial"/>
          <w:sz w:val="22"/>
          <w:szCs w:val="22"/>
          <w:lang w:val="en-GB"/>
        </w:rPr>
        <w:t>20</w:t>
      </w:r>
      <w:r w:rsidR="00101EA2">
        <w:rPr>
          <w:rStyle w:val="Refdenotaalpie"/>
          <w:rFonts w:ascii="Arial" w:hAnsi="Arial" w:cs="Arial"/>
          <w:sz w:val="22"/>
          <w:szCs w:val="22"/>
          <w:lang w:val="en-GB"/>
        </w:rPr>
        <w:footnoteReference w:id="1"/>
      </w:r>
      <w:r w:rsidR="0036503E" w:rsidRPr="0036503E">
        <w:rPr>
          <w:rFonts w:ascii="Arial" w:hAnsi="Arial" w:cs="Arial"/>
          <w:sz w:val="22"/>
          <w:szCs w:val="22"/>
          <w:lang w:val="en-GB"/>
        </w:rPr>
        <w:t>.</w:t>
      </w:r>
    </w:p>
    <w:p w14:paraId="45FE04F2" w14:textId="77777777" w:rsidR="000C54DD" w:rsidRDefault="007E5696" w:rsidP="007E5696">
      <w:pPr>
        <w:tabs>
          <w:tab w:val="left" w:pos="993"/>
        </w:tabs>
        <w:spacing w:before="240" w:after="240"/>
        <w:ind w:left="993" w:hanging="285"/>
        <w:jc w:val="both"/>
        <w:rPr>
          <w:rFonts w:ascii="Arial" w:hAnsi="Arial" w:cs="Arial"/>
          <w:color w:val="FF0000"/>
          <w:sz w:val="22"/>
          <w:szCs w:val="22"/>
          <w:lang w:val="en-GB"/>
        </w:rPr>
      </w:pPr>
      <w:r>
        <w:rPr>
          <w:rFonts w:ascii="Arial" w:hAnsi="Arial" w:cs="Arial"/>
          <w:sz w:val="22"/>
          <w:szCs w:val="22"/>
          <w:lang w:val="en-GB"/>
        </w:rPr>
        <w:t xml:space="preserve">B </w:t>
      </w:r>
      <w:r w:rsidRPr="0036503E">
        <w:rPr>
          <w:rFonts w:ascii="Arial" w:hAnsi="Arial" w:cs="Arial"/>
          <w:b/>
          <w:sz w:val="22"/>
          <w:szCs w:val="22"/>
          <w:lang w:val="en-GB"/>
        </w:rPr>
        <w:t xml:space="preserve">is the maximum price that </w:t>
      </w:r>
      <w:r w:rsidR="00536BA9" w:rsidRPr="0036503E">
        <w:rPr>
          <w:rFonts w:ascii="Arial" w:hAnsi="Arial" w:cs="Arial"/>
          <w:b/>
          <w:sz w:val="22"/>
          <w:szCs w:val="22"/>
          <w:lang w:val="en-GB"/>
        </w:rPr>
        <w:t>E</w:t>
      </w:r>
      <w:r w:rsidR="00536BA9">
        <w:rPr>
          <w:rFonts w:ascii="Arial" w:hAnsi="Arial" w:cs="Arial"/>
          <w:b/>
          <w:sz w:val="22"/>
          <w:szCs w:val="22"/>
          <w:lang w:val="en-GB"/>
        </w:rPr>
        <w:t>nagas</w:t>
      </w:r>
      <w:r w:rsidR="00536BA9" w:rsidRPr="0036503E">
        <w:rPr>
          <w:rFonts w:ascii="Arial" w:hAnsi="Arial" w:cs="Arial"/>
          <w:b/>
          <w:sz w:val="22"/>
          <w:szCs w:val="22"/>
          <w:lang w:val="en-GB"/>
        </w:rPr>
        <w:t xml:space="preserve"> </w:t>
      </w:r>
      <w:r w:rsidRPr="0036503E">
        <w:rPr>
          <w:rFonts w:ascii="Arial" w:hAnsi="Arial" w:cs="Arial"/>
          <w:b/>
          <w:sz w:val="22"/>
          <w:szCs w:val="22"/>
          <w:lang w:val="en-GB"/>
        </w:rPr>
        <w:t xml:space="preserve">is </w:t>
      </w:r>
      <w:r w:rsidR="00572559">
        <w:rPr>
          <w:rFonts w:ascii="Arial" w:hAnsi="Arial" w:cs="Arial"/>
          <w:b/>
          <w:sz w:val="22"/>
          <w:szCs w:val="22"/>
          <w:lang w:val="en-GB"/>
        </w:rPr>
        <w:t>allowed</w:t>
      </w:r>
      <w:r w:rsidR="00572559" w:rsidRPr="0036503E">
        <w:rPr>
          <w:rFonts w:ascii="Arial" w:hAnsi="Arial" w:cs="Arial"/>
          <w:b/>
          <w:sz w:val="22"/>
          <w:szCs w:val="22"/>
          <w:lang w:val="en-GB"/>
        </w:rPr>
        <w:t xml:space="preserve"> </w:t>
      </w:r>
      <w:r w:rsidRPr="0036503E">
        <w:rPr>
          <w:rFonts w:ascii="Arial" w:hAnsi="Arial" w:cs="Arial"/>
          <w:b/>
          <w:sz w:val="22"/>
          <w:szCs w:val="22"/>
          <w:lang w:val="en-GB"/>
        </w:rPr>
        <w:t>to pay</w:t>
      </w:r>
      <w:r w:rsidR="000C54DD">
        <w:rPr>
          <w:rFonts w:ascii="Arial" w:hAnsi="Arial" w:cs="Arial"/>
          <w:sz w:val="22"/>
          <w:szCs w:val="22"/>
          <w:lang w:val="en-GB"/>
        </w:rPr>
        <w:t>:</w:t>
      </w:r>
      <w:r w:rsidR="00781512">
        <w:rPr>
          <w:rFonts w:ascii="Arial" w:hAnsi="Arial" w:cs="Arial"/>
          <w:sz w:val="22"/>
          <w:szCs w:val="22"/>
          <w:lang w:val="en-GB"/>
        </w:rPr>
        <w:t xml:space="preserve"> </w:t>
      </w:r>
      <w:r w:rsidR="00101EA2">
        <w:rPr>
          <w:rFonts w:ascii="Arial" w:hAnsi="Arial" w:cs="Arial"/>
          <w:sz w:val="22"/>
          <w:szCs w:val="22"/>
          <w:lang w:val="en-GB"/>
        </w:rPr>
        <w:t xml:space="preserve">the price is set as a multiplier </w:t>
      </w:r>
      <w:r w:rsidR="00101EA2" w:rsidRPr="00101EA2">
        <w:rPr>
          <w:rFonts w:ascii="Arial" w:hAnsi="Arial" w:cs="Arial"/>
          <w:sz w:val="22"/>
          <w:szCs w:val="22"/>
          <w:lang w:val="en-GB"/>
        </w:rPr>
        <w:t xml:space="preserve">of the tariffs to be applied; thus, the price is the </w:t>
      </w:r>
      <w:r w:rsidR="00A74A7A">
        <w:rPr>
          <w:rFonts w:ascii="Arial" w:hAnsi="Arial" w:cs="Arial"/>
          <w:sz w:val="22"/>
          <w:szCs w:val="22"/>
          <w:lang w:val="en-GB"/>
        </w:rPr>
        <w:t>daily reserve price</w:t>
      </w:r>
      <w:r w:rsidR="000C54DD" w:rsidRPr="00101EA2">
        <w:rPr>
          <w:rFonts w:ascii="Arial" w:hAnsi="Arial" w:cs="Arial"/>
          <w:sz w:val="22"/>
          <w:szCs w:val="22"/>
          <w:lang w:val="en-GB"/>
        </w:rPr>
        <w:t xml:space="preserve"> + 25%</w:t>
      </w:r>
      <w:r w:rsidR="006B7916" w:rsidRPr="00101EA2">
        <w:rPr>
          <w:rFonts w:ascii="Arial" w:hAnsi="Arial" w:cs="Arial"/>
          <w:sz w:val="22"/>
          <w:szCs w:val="22"/>
          <w:lang w:val="en-GB"/>
        </w:rPr>
        <w:t xml:space="preserve"> of the</w:t>
      </w:r>
      <w:r w:rsidR="000C54DD" w:rsidRPr="00101EA2">
        <w:rPr>
          <w:rFonts w:ascii="Arial" w:hAnsi="Arial" w:cs="Arial"/>
          <w:sz w:val="22"/>
          <w:szCs w:val="22"/>
          <w:lang w:val="en-GB"/>
        </w:rPr>
        <w:t xml:space="preserve"> </w:t>
      </w:r>
      <w:r w:rsidR="00A74A7A">
        <w:rPr>
          <w:rFonts w:ascii="Arial" w:hAnsi="Arial" w:cs="Arial"/>
          <w:sz w:val="22"/>
          <w:szCs w:val="22"/>
          <w:lang w:val="en-GB"/>
        </w:rPr>
        <w:t>daily reserve</w:t>
      </w:r>
      <w:r w:rsidR="00A74A7A" w:rsidRPr="00101EA2">
        <w:rPr>
          <w:rFonts w:ascii="Arial" w:hAnsi="Arial" w:cs="Arial"/>
          <w:sz w:val="22"/>
          <w:szCs w:val="22"/>
          <w:lang w:val="en-GB"/>
        </w:rPr>
        <w:t xml:space="preserve"> </w:t>
      </w:r>
      <w:r w:rsidR="000C54DD" w:rsidRPr="00101EA2">
        <w:rPr>
          <w:rFonts w:ascii="Arial" w:hAnsi="Arial" w:cs="Arial"/>
          <w:sz w:val="22"/>
          <w:szCs w:val="22"/>
          <w:lang w:val="en-GB"/>
        </w:rPr>
        <w:t>price</w:t>
      </w:r>
      <w:r w:rsidR="00101EA2">
        <w:rPr>
          <w:rStyle w:val="Refdenotaalpie"/>
          <w:rFonts w:ascii="Arial" w:hAnsi="Arial" w:cs="Arial"/>
          <w:sz w:val="22"/>
          <w:szCs w:val="22"/>
          <w:lang w:val="en-GB"/>
        </w:rPr>
        <w:footnoteReference w:id="2"/>
      </w:r>
      <w:r w:rsidR="00101EA2">
        <w:rPr>
          <w:rFonts w:ascii="Arial" w:hAnsi="Arial" w:cs="Arial"/>
          <w:sz w:val="22"/>
          <w:szCs w:val="22"/>
          <w:lang w:val="en-GB"/>
        </w:rPr>
        <w:t>.</w:t>
      </w:r>
    </w:p>
    <w:p w14:paraId="3D108AA3" w14:textId="77777777" w:rsidR="00801D7F" w:rsidRDefault="00801D7F" w:rsidP="007E5696">
      <w:pPr>
        <w:tabs>
          <w:tab w:val="left" w:pos="993"/>
        </w:tabs>
        <w:spacing w:before="240" w:after="240"/>
        <w:ind w:left="993" w:hanging="285"/>
        <w:jc w:val="both"/>
        <w:rPr>
          <w:rFonts w:ascii="Arial" w:hAnsi="Arial" w:cs="Arial"/>
          <w:sz w:val="22"/>
          <w:szCs w:val="22"/>
          <w:lang w:val="en-GB"/>
        </w:rPr>
      </w:pPr>
      <w:r>
        <w:rPr>
          <w:rFonts w:ascii="Arial" w:hAnsi="Arial" w:cs="Arial"/>
          <w:sz w:val="22"/>
          <w:szCs w:val="22"/>
          <w:lang w:val="en-GB"/>
        </w:rPr>
        <w:t xml:space="preserve">C is the maximum price </w:t>
      </w:r>
      <w:r w:rsidR="00EA1304">
        <w:rPr>
          <w:rFonts w:ascii="Arial" w:hAnsi="Arial" w:cs="Arial"/>
          <w:sz w:val="22"/>
          <w:szCs w:val="22"/>
          <w:lang w:val="en-GB"/>
        </w:rPr>
        <w:t xml:space="preserve">that TSOs are </w:t>
      </w:r>
      <w:r w:rsidR="00572559">
        <w:rPr>
          <w:rFonts w:ascii="Arial" w:hAnsi="Arial" w:cs="Arial"/>
          <w:sz w:val="22"/>
          <w:szCs w:val="22"/>
          <w:lang w:val="en-GB"/>
        </w:rPr>
        <w:t xml:space="preserve">allowed </w:t>
      </w:r>
      <w:r w:rsidR="00EA1304">
        <w:rPr>
          <w:rFonts w:ascii="Arial" w:hAnsi="Arial" w:cs="Arial"/>
          <w:sz w:val="22"/>
          <w:szCs w:val="22"/>
          <w:lang w:val="en-GB"/>
        </w:rPr>
        <w:t>to pay</w:t>
      </w:r>
    </w:p>
    <w:p w14:paraId="3EA35712" w14:textId="77777777" w:rsidR="00867668" w:rsidRDefault="00867668" w:rsidP="00867668">
      <w:pPr>
        <w:spacing w:before="240"/>
        <w:jc w:val="both"/>
        <w:rPr>
          <w:rFonts w:ascii="Arial" w:hAnsi="Arial" w:cs="Arial"/>
          <w:bCs/>
          <w:iCs/>
          <w:sz w:val="22"/>
          <w:szCs w:val="22"/>
          <w:lang w:val="en-US"/>
        </w:rPr>
      </w:pPr>
      <w:r>
        <w:rPr>
          <w:rFonts w:ascii="Arial" w:hAnsi="Arial" w:cs="Arial"/>
          <w:bCs/>
          <w:iCs/>
          <w:sz w:val="22"/>
          <w:szCs w:val="22"/>
          <w:lang w:val="en-US"/>
        </w:rPr>
        <w:t xml:space="preserve">At </w:t>
      </w:r>
      <w:r w:rsidRPr="00867668">
        <w:rPr>
          <w:rFonts w:ascii="Arial" w:hAnsi="Arial" w:cs="Arial"/>
          <w:b/>
          <w:bCs/>
          <w:iCs/>
          <w:sz w:val="22"/>
          <w:szCs w:val="22"/>
          <w:lang w:val="en-US"/>
        </w:rPr>
        <w:t>VIP Pirineos</w:t>
      </w:r>
      <w:r>
        <w:rPr>
          <w:rFonts w:ascii="Arial" w:hAnsi="Arial" w:cs="Arial"/>
          <w:bCs/>
          <w:iCs/>
          <w:sz w:val="22"/>
          <w:szCs w:val="22"/>
          <w:lang w:val="en-US"/>
        </w:rPr>
        <w:t xml:space="preserve"> the capacity to be bought back will be always a bundled capacity; thus the maximum price the TSO will upload to PRISMA will be the </w:t>
      </w:r>
      <w:r w:rsidRPr="0023351D">
        <w:rPr>
          <w:rFonts w:ascii="Arial" w:hAnsi="Arial" w:cs="Arial"/>
          <w:bCs/>
          <w:iCs/>
          <w:sz w:val="22"/>
          <w:szCs w:val="22"/>
          <w:lang w:val="en-US"/>
        </w:rPr>
        <w:t>addition</w:t>
      </w:r>
      <w:r>
        <w:rPr>
          <w:rFonts w:ascii="Arial" w:hAnsi="Arial" w:cs="Arial"/>
          <w:bCs/>
          <w:iCs/>
          <w:sz w:val="22"/>
          <w:szCs w:val="22"/>
          <w:lang w:val="en-US"/>
        </w:rPr>
        <w:t xml:space="preserve"> of the maximum prices that both TSOs are allowed to pay according to their national rules, as it is shown below: </w:t>
      </w:r>
    </w:p>
    <w:p w14:paraId="1B502ECC" w14:textId="77777777" w:rsidR="00867668" w:rsidRDefault="00867668" w:rsidP="00867668">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Arial" w:hAnsi="Arial" w:cs="Arial"/>
          <w:bCs/>
          <w:iCs/>
          <w:sz w:val="22"/>
          <w:szCs w:val="22"/>
          <w:lang w:val="en-US"/>
        </w:rPr>
      </w:pPr>
      <w:r>
        <w:rPr>
          <w:rFonts w:ascii="Arial" w:hAnsi="Arial" w:cs="Arial"/>
          <w:bCs/>
          <w:iCs/>
          <w:sz w:val="22"/>
          <w:szCs w:val="22"/>
          <w:lang w:val="en-US"/>
        </w:rPr>
        <w:t>C = A + B</w:t>
      </w:r>
    </w:p>
    <w:p w14:paraId="6E20191B" w14:textId="77777777" w:rsidR="00867668" w:rsidRPr="0036503E" w:rsidRDefault="00867668" w:rsidP="00867668">
      <w:pPr>
        <w:tabs>
          <w:tab w:val="left" w:pos="993"/>
        </w:tabs>
        <w:spacing w:before="240" w:after="240"/>
        <w:ind w:left="993" w:hanging="285"/>
        <w:jc w:val="both"/>
        <w:rPr>
          <w:rFonts w:ascii="Arial" w:hAnsi="Arial" w:cs="Arial"/>
          <w:b/>
          <w:color w:val="FF0000"/>
          <w:sz w:val="22"/>
          <w:szCs w:val="22"/>
          <w:lang w:val="en-GB"/>
        </w:rPr>
      </w:pPr>
      <w:r>
        <w:rPr>
          <w:rFonts w:ascii="Arial" w:hAnsi="Arial" w:cs="Arial"/>
          <w:sz w:val="22"/>
          <w:szCs w:val="22"/>
          <w:lang w:val="en-GB"/>
        </w:rPr>
        <w:t xml:space="preserve">A </w:t>
      </w:r>
      <w:r w:rsidRPr="0036503E">
        <w:rPr>
          <w:rFonts w:ascii="Arial" w:hAnsi="Arial" w:cs="Arial"/>
          <w:b/>
          <w:sz w:val="22"/>
          <w:szCs w:val="22"/>
          <w:lang w:val="en-GB"/>
        </w:rPr>
        <w:t xml:space="preserve">is the maximum price that TIGF is </w:t>
      </w:r>
      <w:r>
        <w:rPr>
          <w:rFonts w:ascii="Arial" w:hAnsi="Arial" w:cs="Arial"/>
          <w:b/>
          <w:sz w:val="22"/>
          <w:szCs w:val="22"/>
          <w:lang w:val="en-GB"/>
        </w:rPr>
        <w:t>allowed</w:t>
      </w:r>
      <w:r w:rsidRPr="0036503E">
        <w:rPr>
          <w:rFonts w:ascii="Arial" w:hAnsi="Arial" w:cs="Arial"/>
          <w:b/>
          <w:sz w:val="22"/>
          <w:szCs w:val="22"/>
          <w:lang w:val="en-GB"/>
        </w:rPr>
        <w:t xml:space="preserve"> to pay:</w:t>
      </w:r>
      <w:r>
        <w:rPr>
          <w:rFonts w:ascii="Arial" w:hAnsi="Arial" w:cs="Arial"/>
          <w:sz w:val="22"/>
          <w:szCs w:val="22"/>
          <w:lang w:val="en-GB"/>
        </w:rPr>
        <w:t xml:space="preserve"> </w:t>
      </w:r>
      <w:r w:rsidRPr="0036503E">
        <w:rPr>
          <w:rFonts w:ascii="Arial" w:hAnsi="Arial" w:cs="Arial"/>
          <w:sz w:val="22"/>
          <w:szCs w:val="22"/>
          <w:lang w:val="en-GB"/>
        </w:rPr>
        <w:t>it is the average</w:t>
      </w:r>
      <w:r>
        <w:rPr>
          <w:rFonts w:ascii="Arial" w:hAnsi="Arial" w:cs="Arial"/>
          <w:sz w:val="22"/>
          <w:szCs w:val="22"/>
          <w:lang w:val="en-GB"/>
        </w:rPr>
        <w:t xml:space="preserve"> of the clearing prices of the quarterly, monthly, and day ahead auction </w:t>
      </w:r>
      <w:r w:rsidRPr="0036503E">
        <w:rPr>
          <w:rFonts w:ascii="Arial" w:hAnsi="Arial" w:cs="Arial"/>
          <w:sz w:val="22"/>
          <w:szCs w:val="22"/>
          <w:lang w:val="en-GB"/>
        </w:rPr>
        <w:t>weighted by the booked quantities during these auctions, plus 25%, for the type of capacity (bundled or unbundled)</w:t>
      </w:r>
      <w:r>
        <w:rPr>
          <w:rFonts w:ascii="Arial" w:hAnsi="Arial" w:cs="Arial"/>
          <w:sz w:val="22"/>
          <w:szCs w:val="22"/>
          <w:lang w:val="en-GB"/>
        </w:rPr>
        <w:t xml:space="preserve">. </w:t>
      </w:r>
      <w:r w:rsidRPr="0036503E">
        <w:rPr>
          <w:rFonts w:ascii="Arial" w:hAnsi="Arial" w:cs="Arial"/>
          <w:sz w:val="22"/>
          <w:szCs w:val="22"/>
          <w:lang w:val="en-GB"/>
        </w:rPr>
        <w:t>In case of an implementation of the default rule, the buy-back price will be equal to the above mentioned price without an increase of 25%. When the TSO does not offer day-ahead products, the clearing price considered will be equal to the regulated price of the concerned day-ahead product</w:t>
      </w:r>
      <w:r>
        <w:rPr>
          <w:rStyle w:val="Refdenotaalpie"/>
          <w:rFonts w:ascii="Arial" w:hAnsi="Arial" w:cs="Arial"/>
          <w:sz w:val="22"/>
          <w:szCs w:val="22"/>
          <w:lang w:val="en-GB"/>
        </w:rPr>
        <w:footnoteReference w:id="3"/>
      </w:r>
      <w:r w:rsidRPr="0036503E">
        <w:rPr>
          <w:rFonts w:ascii="Arial" w:hAnsi="Arial" w:cs="Arial"/>
          <w:sz w:val="22"/>
          <w:szCs w:val="22"/>
          <w:lang w:val="en-GB"/>
        </w:rPr>
        <w:t>.</w:t>
      </w:r>
    </w:p>
    <w:p w14:paraId="60700835" w14:textId="77777777" w:rsidR="00867668" w:rsidRDefault="00867668" w:rsidP="00867668">
      <w:pPr>
        <w:tabs>
          <w:tab w:val="left" w:pos="993"/>
        </w:tabs>
        <w:spacing w:before="240" w:after="240"/>
        <w:ind w:left="993" w:hanging="285"/>
        <w:jc w:val="both"/>
        <w:rPr>
          <w:rFonts w:ascii="Arial" w:hAnsi="Arial" w:cs="Arial"/>
          <w:color w:val="FF0000"/>
          <w:sz w:val="22"/>
          <w:szCs w:val="22"/>
          <w:lang w:val="en-GB"/>
        </w:rPr>
      </w:pPr>
      <w:r>
        <w:rPr>
          <w:rFonts w:ascii="Arial" w:hAnsi="Arial" w:cs="Arial"/>
          <w:sz w:val="22"/>
          <w:szCs w:val="22"/>
          <w:lang w:val="en-GB"/>
        </w:rPr>
        <w:t xml:space="preserve">B </w:t>
      </w:r>
      <w:r w:rsidRPr="0036503E">
        <w:rPr>
          <w:rFonts w:ascii="Arial" w:hAnsi="Arial" w:cs="Arial"/>
          <w:b/>
          <w:sz w:val="22"/>
          <w:szCs w:val="22"/>
          <w:lang w:val="en-GB"/>
        </w:rPr>
        <w:t>is the maximum price that E</w:t>
      </w:r>
      <w:r>
        <w:rPr>
          <w:rFonts w:ascii="Arial" w:hAnsi="Arial" w:cs="Arial"/>
          <w:b/>
          <w:sz w:val="22"/>
          <w:szCs w:val="22"/>
          <w:lang w:val="en-GB"/>
        </w:rPr>
        <w:t>nagas</w:t>
      </w:r>
      <w:r w:rsidRPr="0036503E">
        <w:rPr>
          <w:rFonts w:ascii="Arial" w:hAnsi="Arial" w:cs="Arial"/>
          <w:b/>
          <w:sz w:val="22"/>
          <w:szCs w:val="22"/>
          <w:lang w:val="en-GB"/>
        </w:rPr>
        <w:t xml:space="preserve"> is </w:t>
      </w:r>
      <w:r>
        <w:rPr>
          <w:rFonts w:ascii="Arial" w:hAnsi="Arial" w:cs="Arial"/>
          <w:b/>
          <w:sz w:val="22"/>
          <w:szCs w:val="22"/>
          <w:lang w:val="en-GB"/>
        </w:rPr>
        <w:t>allowed</w:t>
      </w:r>
      <w:r w:rsidRPr="0036503E">
        <w:rPr>
          <w:rFonts w:ascii="Arial" w:hAnsi="Arial" w:cs="Arial"/>
          <w:b/>
          <w:sz w:val="22"/>
          <w:szCs w:val="22"/>
          <w:lang w:val="en-GB"/>
        </w:rPr>
        <w:t xml:space="preserve"> to pay</w:t>
      </w:r>
      <w:r>
        <w:rPr>
          <w:rFonts w:ascii="Arial" w:hAnsi="Arial" w:cs="Arial"/>
          <w:sz w:val="22"/>
          <w:szCs w:val="22"/>
          <w:lang w:val="en-GB"/>
        </w:rPr>
        <w:t xml:space="preserve">: the price is set as a multiplier </w:t>
      </w:r>
      <w:r w:rsidRPr="00101EA2">
        <w:rPr>
          <w:rFonts w:ascii="Arial" w:hAnsi="Arial" w:cs="Arial"/>
          <w:sz w:val="22"/>
          <w:szCs w:val="22"/>
          <w:lang w:val="en-GB"/>
        </w:rPr>
        <w:t xml:space="preserve">of the tariffs to be applied; thus, the price is the </w:t>
      </w:r>
      <w:r w:rsidR="009C4927">
        <w:rPr>
          <w:rFonts w:ascii="Arial" w:hAnsi="Arial" w:cs="Arial"/>
          <w:sz w:val="22"/>
          <w:szCs w:val="22"/>
          <w:lang w:val="en-GB"/>
        </w:rPr>
        <w:t>daily reserve</w:t>
      </w:r>
      <w:r w:rsidR="009C4927" w:rsidRPr="00101EA2">
        <w:rPr>
          <w:rFonts w:ascii="Arial" w:hAnsi="Arial" w:cs="Arial"/>
          <w:sz w:val="22"/>
          <w:szCs w:val="22"/>
          <w:lang w:val="en-GB"/>
        </w:rPr>
        <w:t xml:space="preserve"> </w:t>
      </w:r>
      <w:r w:rsidRPr="00101EA2">
        <w:rPr>
          <w:rFonts w:ascii="Arial" w:hAnsi="Arial" w:cs="Arial"/>
          <w:sz w:val="22"/>
          <w:szCs w:val="22"/>
          <w:lang w:val="en-GB"/>
        </w:rPr>
        <w:t xml:space="preserve">price + 25% of the </w:t>
      </w:r>
      <w:r w:rsidR="009C4927">
        <w:rPr>
          <w:rFonts w:ascii="Arial" w:hAnsi="Arial" w:cs="Arial"/>
          <w:sz w:val="22"/>
          <w:szCs w:val="22"/>
          <w:lang w:val="en-GB"/>
        </w:rPr>
        <w:t>daily reserve</w:t>
      </w:r>
      <w:r w:rsidR="009C4927" w:rsidRPr="00101EA2">
        <w:rPr>
          <w:rFonts w:ascii="Arial" w:hAnsi="Arial" w:cs="Arial"/>
          <w:sz w:val="22"/>
          <w:szCs w:val="22"/>
          <w:lang w:val="en-GB"/>
        </w:rPr>
        <w:t xml:space="preserve"> </w:t>
      </w:r>
      <w:r w:rsidRPr="00101EA2">
        <w:rPr>
          <w:rFonts w:ascii="Arial" w:hAnsi="Arial" w:cs="Arial"/>
          <w:sz w:val="22"/>
          <w:szCs w:val="22"/>
          <w:lang w:val="en-GB"/>
        </w:rPr>
        <w:t>price</w:t>
      </w:r>
      <w:r>
        <w:rPr>
          <w:rFonts w:ascii="Arial" w:hAnsi="Arial" w:cs="Arial"/>
          <w:sz w:val="22"/>
          <w:szCs w:val="22"/>
          <w:lang w:val="en-GB"/>
        </w:rPr>
        <w:t>.</w:t>
      </w:r>
    </w:p>
    <w:p w14:paraId="44F7CC92" w14:textId="77777777" w:rsidR="00867668" w:rsidRDefault="00867668" w:rsidP="00867668">
      <w:pPr>
        <w:tabs>
          <w:tab w:val="left" w:pos="993"/>
        </w:tabs>
        <w:spacing w:before="240" w:after="240"/>
        <w:ind w:left="993" w:hanging="285"/>
        <w:jc w:val="both"/>
        <w:rPr>
          <w:rFonts w:ascii="Arial" w:hAnsi="Arial" w:cs="Arial"/>
          <w:sz w:val="22"/>
          <w:szCs w:val="22"/>
          <w:lang w:val="en-GB"/>
        </w:rPr>
      </w:pPr>
      <w:r>
        <w:rPr>
          <w:rFonts w:ascii="Arial" w:hAnsi="Arial" w:cs="Arial"/>
          <w:sz w:val="22"/>
          <w:szCs w:val="22"/>
          <w:lang w:val="en-GB"/>
        </w:rPr>
        <w:t>C is the maximum price that TSOs are allowed to pay</w:t>
      </w:r>
    </w:p>
    <w:p w14:paraId="716FC56B" w14:textId="77777777" w:rsidR="00572559" w:rsidRDefault="00572559" w:rsidP="00572559">
      <w:pPr>
        <w:pStyle w:val="EstiloTtulo2Arial13ptAntes12ptoDespus12pto"/>
      </w:pPr>
      <w:bookmarkStart w:id="38" w:name="_Toc423419734"/>
      <w:r>
        <w:lastRenderedPageBreak/>
        <w:t>Clearing price</w:t>
      </w:r>
      <w:bookmarkEnd w:id="38"/>
    </w:p>
    <w:p w14:paraId="67F5858A" w14:textId="77777777" w:rsidR="00520F6D" w:rsidRDefault="007662EF" w:rsidP="007662EF">
      <w:pPr>
        <w:tabs>
          <w:tab w:val="left" w:pos="993"/>
        </w:tabs>
        <w:spacing w:before="240" w:after="240"/>
        <w:jc w:val="both"/>
        <w:rPr>
          <w:rFonts w:ascii="Arial" w:hAnsi="Arial" w:cs="Arial"/>
          <w:sz w:val="22"/>
          <w:szCs w:val="22"/>
          <w:lang w:val="en-GB"/>
        </w:rPr>
      </w:pPr>
      <w:r>
        <w:rPr>
          <w:rFonts w:ascii="Arial" w:hAnsi="Arial" w:cs="Arial"/>
          <w:sz w:val="22"/>
          <w:szCs w:val="22"/>
          <w:lang w:val="en-GB"/>
        </w:rPr>
        <w:t>The price</w:t>
      </w:r>
      <w:r w:rsidR="00520F6D">
        <w:rPr>
          <w:rFonts w:ascii="Arial" w:hAnsi="Arial" w:cs="Arial"/>
          <w:sz w:val="22"/>
          <w:szCs w:val="22"/>
          <w:lang w:val="en-GB"/>
        </w:rPr>
        <w:t xml:space="preserve"> (i.e clearing price)</w:t>
      </w:r>
      <w:r>
        <w:rPr>
          <w:rFonts w:ascii="Arial" w:hAnsi="Arial" w:cs="Arial"/>
          <w:sz w:val="22"/>
          <w:szCs w:val="22"/>
          <w:lang w:val="en-GB"/>
        </w:rPr>
        <w:t xml:space="preserve"> to be paid by the TSOs will depend on the network users and the price that they are willing to earn </w:t>
      </w:r>
      <w:r w:rsidR="00C20DF7">
        <w:rPr>
          <w:rFonts w:ascii="Arial" w:hAnsi="Arial" w:cs="Arial"/>
          <w:sz w:val="22"/>
          <w:szCs w:val="22"/>
          <w:lang w:val="en-GB"/>
        </w:rPr>
        <w:t>by</w:t>
      </w:r>
      <w:r>
        <w:rPr>
          <w:rFonts w:ascii="Arial" w:hAnsi="Arial" w:cs="Arial"/>
          <w:sz w:val="22"/>
          <w:szCs w:val="22"/>
          <w:lang w:val="en-GB"/>
        </w:rPr>
        <w:t xml:space="preserve"> selling </w:t>
      </w:r>
      <w:r w:rsidR="00275BE2">
        <w:rPr>
          <w:rFonts w:ascii="Arial" w:hAnsi="Arial" w:cs="Arial"/>
          <w:sz w:val="22"/>
          <w:szCs w:val="22"/>
          <w:lang w:val="en-GB"/>
        </w:rPr>
        <w:t xml:space="preserve">their </w:t>
      </w:r>
      <w:r>
        <w:rPr>
          <w:rFonts w:ascii="Arial" w:hAnsi="Arial" w:cs="Arial"/>
          <w:sz w:val="22"/>
          <w:szCs w:val="22"/>
          <w:lang w:val="en-GB"/>
        </w:rPr>
        <w:t xml:space="preserve">capacity. </w:t>
      </w:r>
    </w:p>
    <w:p w14:paraId="51110015" w14:textId="77777777" w:rsidR="00520F6D" w:rsidRDefault="00520F6D" w:rsidP="00520F6D">
      <w:pPr>
        <w:spacing w:before="240"/>
        <w:jc w:val="both"/>
        <w:rPr>
          <w:rFonts w:ascii="Arial" w:hAnsi="Arial" w:cs="Arial"/>
          <w:sz w:val="22"/>
          <w:szCs w:val="22"/>
          <w:lang w:val="en-US"/>
        </w:rPr>
      </w:pPr>
      <w:r>
        <w:rPr>
          <w:rFonts w:ascii="Arial" w:hAnsi="Arial" w:cs="Arial"/>
          <w:sz w:val="22"/>
          <w:szCs w:val="22"/>
          <w:lang w:val="en-US"/>
        </w:rPr>
        <w:t xml:space="preserve">The clearing price shall be defined as the price of the </w:t>
      </w:r>
      <w:r w:rsidR="006E7CC2">
        <w:rPr>
          <w:rFonts w:ascii="Arial" w:hAnsi="Arial" w:cs="Arial"/>
          <w:sz w:val="22"/>
          <w:szCs w:val="22"/>
          <w:lang w:val="en-US"/>
        </w:rPr>
        <w:t xml:space="preserve">highest </w:t>
      </w:r>
      <w:r>
        <w:rPr>
          <w:rFonts w:ascii="Arial" w:hAnsi="Arial" w:cs="Arial"/>
          <w:sz w:val="22"/>
          <w:szCs w:val="22"/>
          <w:lang w:val="en-US"/>
        </w:rPr>
        <w:t>successful “offer to sell”.</w:t>
      </w:r>
      <w:r w:rsidR="006E7CC2">
        <w:rPr>
          <w:rFonts w:ascii="Arial" w:hAnsi="Arial" w:cs="Arial"/>
          <w:sz w:val="22"/>
          <w:szCs w:val="22"/>
          <w:lang w:val="en-US"/>
        </w:rPr>
        <w:t xml:space="preserve"> </w:t>
      </w:r>
      <w:r w:rsidR="00E05652">
        <w:rPr>
          <w:rFonts w:ascii="Arial" w:hAnsi="Arial" w:cs="Arial"/>
          <w:sz w:val="22"/>
          <w:szCs w:val="22"/>
          <w:lang w:val="en-US"/>
        </w:rPr>
        <w:t>TSOs</w:t>
      </w:r>
      <w:r>
        <w:rPr>
          <w:rFonts w:ascii="Arial" w:hAnsi="Arial" w:cs="Arial"/>
          <w:sz w:val="22"/>
          <w:szCs w:val="22"/>
          <w:lang w:val="en-US"/>
        </w:rPr>
        <w:t xml:space="preserve"> shall pay </w:t>
      </w:r>
      <w:r w:rsidR="00E05652">
        <w:rPr>
          <w:rFonts w:ascii="Arial" w:hAnsi="Arial" w:cs="Arial"/>
          <w:sz w:val="22"/>
          <w:szCs w:val="22"/>
          <w:lang w:val="en-US"/>
        </w:rPr>
        <w:t xml:space="preserve">all successful network users </w:t>
      </w:r>
      <w:r>
        <w:rPr>
          <w:rFonts w:ascii="Arial" w:hAnsi="Arial" w:cs="Arial"/>
          <w:sz w:val="22"/>
          <w:szCs w:val="22"/>
          <w:lang w:val="en-US"/>
        </w:rPr>
        <w:t>the clearing price.</w:t>
      </w:r>
    </w:p>
    <w:p w14:paraId="143D16A0" w14:textId="77777777" w:rsidR="007662EF" w:rsidRDefault="007662EF" w:rsidP="002C327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spacing w:before="240" w:after="240"/>
        <w:jc w:val="center"/>
        <w:rPr>
          <w:rFonts w:ascii="Arial" w:hAnsi="Arial" w:cs="Arial"/>
          <w:sz w:val="22"/>
          <w:szCs w:val="22"/>
          <w:lang w:val="en-GB"/>
        </w:rPr>
      </w:pPr>
      <w:r>
        <w:rPr>
          <w:rFonts w:ascii="Arial" w:hAnsi="Arial" w:cs="Arial"/>
          <w:sz w:val="22"/>
          <w:szCs w:val="22"/>
          <w:lang w:val="en-GB"/>
        </w:rPr>
        <w:t xml:space="preserve">D = final price to be paid by both TSOs = </w:t>
      </w:r>
      <w:r w:rsidR="00536BA9">
        <w:rPr>
          <w:rFonts w:ascii="Arial" w:hAnsi="Arial" w:cs="Arial"/>
          <w:sz w:val="22"/>
          <w:szCs w:val="22"/>
          <w:lang w:val="en-GB"/>
        </w:rPr>
        <w:t>clearing price</w:t>
      </w:r>
    </w:p>
    <w:p w14:paraId="0699A84F" w14:textId="77777777" w:rsidR="00300DDD" w:rsidRDefault="00E05652" w:rsidP="00300DDD">
      <w:pPr>
        <w:pStyle w:val="EstiloTtulo2Arial13ptAntes12ptoDespus12pto"/>
      </w:pPr>
      <w:bookmarkStart w:id="39" w:name="_Toc420067204"/>
      <w:bookmarkStart w:id="40" w:name="_Toc420067432"/>
      <w:bookmarkStart w:id="41" w:name="_Toc423419735"/>
      <w:bookmarkEnd w:id="39"/>
      <w:bookmarkEnd w:id="40"/>
      <w:r>
        <w:t>Invoicing</w:t>
      </w:r>
      <w:r w:rsidR="00300DDD">
        <w:t xml:space="preserve"> of capacity</w:t>
      </w:r>
      <w:bookmarkEnd w:id="41"/>
    </w:p>
    <w:p w14:paraId="4FDA8A4F" w14:textId="77777777" w:rsidR="00A372C2" w:rsidRPr="00A3774F" w:rsidRDefault="00E05652" w:rsidP="0019015C">
      <w:pPr>
        <w:tabs>
          <w:tab w:val="left" w:pos="993"/>
        </w:tabs>
        <w:spacing w:before="240" w:after="240"/>
        <w:jc w:val="both"/>
        <w:rPr>
          <w:rFonts w:cs="Arial"/>
          <w:sz w:val="22"/>
          <w:szCs w:val="22"/>
          <w:lang w:val="en-US"/>
        </w:rPr>
      </w:pPr>
      <w:r>
        <w:rPr>
          <w:rFonts w:ascii="Arial" w:hAnsi="Arial" w:cs="Arial"/>
          <w:sz w:val="22"/>
          <w:szCs w:val="22"/>
          <w:lang w:val="en-GB"/>
        </w:rPr>
        <w:t xml:space="preserve">The TSOs will invoice all network users the regulated tariff, and, if applicable the corresponding premium, as it is stipulated in the contract or in national regulation, for the whole amount of booked capacity without taking into consideration any capacity reduction. </w:t>
      </w:r>
    </w:p>
    <w:p w14:paraId="0DF8C79A" w14:textId="77777777" w:rsidR="00E05652" w:rsidRPr="00A3774F" w:rsidRDefault="00E05652" w:rsidP="0019015C">
      <w:pPr>
        <w:tabs>
          <w:tab w:val="left" w:pos="993"/>
        </w:tabs>
        <w:spacing w:before="240" w:after="240"/>
        <w:jc w:val="both"/>
        <w:rPr>
          <w:rFonts w:cs="Arial"/>
          <w:sz w:val="22"/>
          <w:szCs w:val="22"/>
          <w:lang w:val="en-US"/>
        </w:rPr>
      </w:pPr>
      <w:r>
        <w:rPr>
          <w:rFonts w:ascii="Arial" w:hAnsi="Arial" w:cs="Arial"/>
          <w:sz w:val="22"/>
          <w:szCs w:val="22"/>
          <w:lang w:val="en-GB"/>
        </w:rPr>
        <w:t xml:space="preserve">However, </w:t>
      </w:r>
      <w:r w:rsidR="00A372C2">
        <w:rPr>
          <w:rFonts w:ascii="Arial" w:hAnsi="Arial" w:cs="Arial"/>
          <w:sz w:val="22"/>
          <w:szCs w:val="22"/>
          <w:lang w:val="en-GB"/>
        </w:rPr>
        <w:t>i</w:t>
      </w:r>
      <w:r>
        <w:rPr>
          <w:rFonts w:ascii="Arial" w:hAnsi="Arial" w:cs="Arial"/>
          <w:sz w:val="22"/>
          <w:szCs w:val="22"/>
          <w:lang w:val="en-GB"/>
        </w:rPr>
        <w:t>f the TSO has bought back capacity, t</w:t>
      </w:r>
      <w:r w:rsidR="00A372C2">
        <w:rPr>
          <w:rFonts w:ascii="Arial" w:hAnsi="Arial" w:cs="Arial"/>
          <w:sz w:val="22"/>
          <w:szCs w:val="22"/>
          <w:lang w:val="en-GB"/>
        </w:rPr>
        <w:t>hen</w:t>
      </w:r>
      <w:r w:rsidR="00CC3995">
        <w:rPr>
          <w:rFonts w:ascii="Arial" w:hAnsi="Arial" w:cs="Arial"/>
          <w:sz w:val="22"/>
          <w:szCs w:val="22"/>
          <w:lang w:val="en-GB"/>
        </w:rPr>
        <w:t xml:space="preserve"> the</w:t>
      </w:r>
      <w:r w:rsidR="00A372C2">
        <w:rPr>
          <w:rFonts w:ascii="Arial" w:hAnsi="Arial" w:cs="Arial"/>
          <w:sz w:val="22"/>
          <w:szCs w:val="22"/>
          <w:lang w:val="en-GB"/>
        </w:rPr>
        <w:t xml:space="preserve"> </w:t>
      </w:r>
      <w:r w:rsidR="00A372C2" w:rsidRPr="0019015C">
        <w:rPr>
          <w:rFonts w:ascii="Arial" w:hAnsi="Arial" w:cs="Arial"/>
          <w:sz w:val="22"/>
          <w:szCs w:val="22"/>
          <w:lang w:val="en-GB"/>
        </w:rPr>
        <w:t>TSO</w:t>
      </w:r>
      <w:r w:rsidR="00CC3995">
        <w:rPr>
          <w:rFonts w:ascii="Arial" w:hAnsi="Arial" w:cs="Arial"/>
          <w:sz w:val="22"/>
          <w:szCs w:val="22"/>
          <w:lang w:val="en-GB"/>
        </w:rPr>
        <w:t>s</w:t>
      </w:r>
      <w:r w:rsidR="00A372C2" w:rsidRPr="0019015C">
        <w:rPr>
          <w:rFonts w:ascii="Arial" w:hAnsi="Arial" w:cs="Arial"/>
          <w:sz w:val="22"/>
          <w:szCs w:val="22"/>
          <w:lang w:val="en-GB"/>
        </w:rPr>
        <w:t xml:space="preserve"> will reimburse </w:t>
      </w:r>
      <w:r w:rsidR="00A372C2">
        <w:rPr>
          <w:rFonts w:ascii="Arial" w:hAnsi="Arial" w:cs="Arial"/>
          <w:sz w:val="22"/>
          <w:szCs w:val="22"/>
          <w:lang w:val="en-GB"/>
        </w:rPr>
        <w:t>all successful network users the clearing price.</w:t>
      </w:r>
    </w:p>
    <w:p w14:paraId="1C0E1CB0" w14:textId="77777777" w:rsidR="00A372C2" w:rsidRPr="00A3774F" w:rsidRDefault="00A372C2" w:rsidP="0019015C">
      <w:pPr>
        <w:tabs>
          <w:tab w:val="left" w:pos="993"/>
        </w:tabs>
        <w:spacing w:before="240" w:after="240"/>
        <w:jc w:val="both"/>
        <w:rPr>
          <w:rFonts w:cs="Arial"/>
          <w:sz w:val="22"/>
          <w:szCs w:val="22"/>
          <w:lang w:val="en-US"/>
        </w:rPr>
      </w:pPr>
      <w:r>
        <w:rPr>
          <w:rFonts w:ascii="Arial" w:hAnsi="Arial" w:cs="Arial"/>
          <w:sz w:val="22"/>
          <w:szCs w:val="22"/>
          <w:lang w:val="en-GB"/>
        </w:rPr>
        <w:t>If pro-rata is to be applied due to the lack of enough successful “offers to sell”, then the TSOs will reimburse network users the regulated tariff.</w:t>
      </w:r>
    </w:p>
    <w:p w14:paraId="646F5930" w14:textId="77777777" w:rsidR="00572559" w:rsidRDefault="00572559" w:rsidP="00572559">
      <w:pPr>
        <w:pStyle w:val="EstiloTtulo2Arial13ptAntes12ptoDespus12pto"/>
      </w:pPr>
      <w:bookmarkStart w:id="42" w:name="_Toc423419736"/>
      <w:r>
        <w:t>Split of costs</w:t>
      </w:r>
      <w:bookmarkEnd w:id="42"/>
    </w:p>
    <w:p w14:paraId="1EBD6AB2" w14:textId="77777777" w:rsidR="008508C6" w:rsidRDefault="00520F6D" w:rsidP="009B531D">
      <w:pPr>
        <w:tabs>
          <w:tab w:val="left" w:pos="993"/>
        </w:tabs>
        <w:spacing w:before="240" w:after="240"/>
        <w:jc w:val="both"/>
        <w:rPr>
          <w:rFonts w:ascii="Arial" w:hAnsi="Arial" w:cs="Arial"/>
          <w:sz w:val="22"/>
          <w:szCs w:val="22"/>
          <w:lang w:val="en-GB"/>
        </w:rPr>
      </w:pPr>
      <w:r>
        <w:rPr>
          <w:rFonts w:ascii="Arial" w:hAnsi="Arial" w:cs="Arial"/>
          <w:sz w:val="22"/>
          <w:szCs w:val="22"/>
          <w:lang w:val="en-GB"/>
        </w:rPr>
        <w:t xml:space="preserve">The </w:t>
      </w:r>
      <w:r w:rsidR="008508C6">
        <w:rPr>
          <w:rFonts w:ascii="Arial" w:hAnsi="Arial" w:cs="Arial"/>
          <w:sz w:val="22"/>
          <w:szCs w:val="22"/>
          <w:lang w:val="en-GB"/>
        </w:rPr>
        <w:t>cost of the buy-back procedure (i.e. clearing price of the CFO) needs</w:t>
      </w:r>
      <w:r>
        <w:rPr>
          <w:rFonts w:ascii="Arial" w:hAnsi="Arial" w:cs="Arial"/>
          <w:sz w:val="22"/>
          <w:szCs w:val="22"/>
          <w:lang w:val="en-GB"/>
        </w:rPr>
        <w:t xml:space="preserve"> to be split between </w:t>
      </w:r>
      <w:r w:rsidR="008508C6">
        <w:rPr>
          <w:rFonts w:ascii="Arial" w:hAnsi="Arial" w:cs="Arial"/>
          <w:sz w:val="22"/>
          <w:szCs w:val="22"/>
          <w:lang w:val="en-GB"/>
        </w:rPr>
        <w:t xml:space="preserve">Enagás and </w:t>
      </w:r>
      <w:r w:rsidR="0019015C">
        <w:rPr>
          <w:rFonts w:ascii="Arial" w:hAnsi="Arial" w:cs="Arial"/>
          <w:sz w:val="22"/>
          <w:szCs w:val="22"/>
          <w:lang w:val="en-GB"/>
        </w:rPr>
        <w:t>REN</w:t>
      </w:r>
      <w:r w:rsidR="009C4927">
        <w:rPr>
          <w:rFonts w:ascii="Arial" w:hAnsi="Arial" w:cs="Arial"/>
          <w:sz w:val="22"/>
          <w:szCs w:val="22"/>
          <w:lang w:val="en-GB"/>
        </w:rPr>
        <w:t xml:space="preserve"> and Enagás and TIGF</w:t>
      </w:r>
      <w:r w:rsidR="008508C6">
        <w:rPr>
          <w:rFonts w:ascii="Arial" w:hAnsi="Arial" w:cs="Arial"/>
          <w:sz w:val="22"/>
          <w:szCs w:val="22"/>
          <w:lang w:val="en-GB"/>
        </w:rPr>
        <w:t>, no matter who has placed the “proposal to buy”</w:t>
      </w:r>
      <w:r>
        <w:rPr>
          <w:rFonts w:ascii="Arial" w:hAnsi="Arial" w:cs="Arial"/>
          <w:sz w:val="22"/>
          <w:szCs w:val="22"/>
          <w:lang w:val="en-GB"/>
        </w:rPr>
        <w:t xml:space="preserve">. </w:t>
      </w:r>
      <w:r w:rsidR="008508C6">
        <w:rPr>
          <w:rFonts w:ascii="Arial" w:hAnsi="Arial" w:cs="Arial"/>
          <w:sz w:val="22"/>
          <w:szCs w:val="22"/>
          <w:lang w:val="en-GB"/>
        </w:rPr>
        <w:t>Cost of the CFO shall be attributed to the TSOs pro-rata the maximum price TSOs are allowed to pay.</w:t>
      </w:r>
    </w:p>
    <w:p w14:paraId="63B2E37D" w14:textId="77777777" w:rsidR="00520F6D" w:rsidRDefault="008508C6" w:rsidP="009B531D">
      <w:pPr>
        <w:tabs>
          <w:tab w:val="left" w:pos="993"/>
        </w:tabs>
        <w:spacing w:before="240" w:after="240"/>
        <w:jc w:val="both"/>
        <w:rPr>
          <w:rFonts w:ascii="Arial" w:hAnsi="Arial" w:cs="Arial"/>
          <w:sz w:val="22"/>
          <w:szCs w:val="22"/>
          <w:lang w:val="en-GB"/>
        </w:rPr>
      </w:pPr>
      <w:r>
        <w:rPr>
          <w:rFonts w:ascii="Arial" w:hAnsi="Arial" w:cs="Arial"/>
          <w:sz w:val="22"/>
          <w:szCs w:val="22"/>
          <w:lang w:val="en-GB"/>
        </w:rPr>
        <w:t xml:space="preserve">This means that each TSO shall pay </w:t>
      </w:r>
      <w:r>
        <w:rPr>
          <w:rFonts w:ascii="Arial" w:hAnsi="Arial" w:cs="Arial"/>
          <w:sz w:val="22"/>
          <w:szCs w:val="22"/>
          <w:lang w:val="en-US"/>
        </w:rPr>
        <w:t xml:space="preserve">successful network users of the CFO mechanism a proportion of the clearing price. </w:t>
      </w:r>
    </w:p>
    <w:p w14:paraId="60CE0E6C" w14:textId="77777777" w:rsidR="006F777E" w:rsidRDefault="006F777E" w:rsidP="006F777E">
      <w:pPr>
        <w:tabs>
          <w:tab w:val="left" w:pos="993"/>
        </w:tabs>
        <w:spacing w:before="240" w:after="240"/>
        <w:jc w:val="both"/>
        <w:rPr>
          <w:rFonts w:ascii="Arial" w:hAnsi="Arial" w:cs="Arial"/>
          <w:sz w:val="22"/>
          <w:szCs w:val="22"/>
          <w:lang w:val="en-GB"/>
        </w:rPr>
      </w:pPr>
      <w:r w:rsidRPr="006F777E">
        <w:rPr>
          <w:rFonts w:ascii="Arial" w:hAnsi="Arial" w:cs="Arial"/>
          <w:sz w:val="22"/>
          <w:szCs w:val="22"/>
          <w:lang w:val="en-GB"/>
        </w:rPr>
        <w:t xml:space="preserve">An example of how to </w:t>
      </w:r>
      <w:r w:rsidR="009342D0">
        <w:rPr>
          <w:rFonts w:ascii="Arial" w:hAnsi="Arial" w:cs="Arial"/>
          <w:sz w:val="22"/>
          <w:szCs w:val="22"/>
          <w:lang w:val="en-GB"/>
        </w:rPr>
        <w:t xml:space="preserve">split the costs </w:t>
      </w:r>
      <w:r w:rsidRPr="006F777E">
        <w:rPr>
          <w:rFonts w:ascii="Arial" w:hAnsi="Arial" w:cs="Arial"/>
          <w:sz w:val="22"/>
          <w:szCs w:val="22"/>
          <w:lang w:val="en-GB"/>
        </w:rPr>
        <w:t>is show</w:t>
      </w:r>
      <w:r w:rsidR="00A91D26">
        <w:rPr>
          <w:rFonts w:ascii="Arial" w:hAnsi="Arial" w:cs="Arial"/>
          <w:sz w:val="22"/>
          <w:szCs w:val="22"/>
          <w:lang w:val="en-GB"/>
        </w:rPr>
        <w:t xml:space="preserve">n in the figure below. </w:t>
      </w:r>
    </w:p>
    <w:p w14:paraId="5C0C212C" w14:textId="77777777" w:rsidR="00751622" w:rsidRPr="00A3774F" w:rsidRDefault="00751622" w:rsidP="002C327C">
      <w:pPr>
        <w:pStyle w:val="Descripcin"/>
        <w:keepNext/>
        <w:spacing w:before="240" w:after="240"/>
        <w:jc w:val="center"/>
        <w:rPr>
          <w:lang w:val="en-US" w:eastAsia="es-ES"/>
        </w:rPr>
      </w:pPr>
      <w:r w:rsidRPr="002C327C">
        <w:rPr>
          <w:rFonts w:ascii="Arial" w:hAnsi="Arial" w:cs="Arial"/>
          <w:color w:val="004E55"/>
          <w:lang w:val="en-US"/>
        </w:rPr>
        <w:lastRenderedPageBreak/>
        <w:t xml:space="preserve">Table </w:t>
      </w:r>
      <w:r w:rsidRPr="002C327C">
        <w:rPr>
          <w:rFonts w:ascii="Arial" w:hAnsi="Arial" w:cs="Arial"/>
          <w:color w:val="004E55"/>
          <w:lang w:val="en-US"/>
        </w:rPr>
        <w:fldChar w:fldCharType="begin"/>
      </w:r>
      <w:r w:rsidRPr="002C327C">
        <w:rPr>
          <w:rFonts w:ascii="Arial" w:hAnsi="Arial" w:cs="Arial"/>
          <w:color w:val="004E55"/>
          <w:lang w:val="en-US"/>
        </w:rPr>
        <w:instrText xml:space="preserve"> SEQ Table \* ARABIC </w:instrText>
      </w:r>
      <w:r w:rsidRPr="002C327C">
        <w:rPr>
          <w:rFonts w:ascii="Arial" w:hAnsi="Arial" w:cs="Arial"/>
          <w:color w:val="004E55"/>
          <w:lang w:val="en-US"/>
        </w:rPr>
        <w:fldChar w:fldCharType="separate"/>
      </w:r>
      <w:r w:rsidR="0065360F">
        <w:rPr>
          <w:rFonts w:ascii="Arial" w:hAnsi="Arial" w:cs="Arial"/>
          <w:noProof/>
          <w:color w:val="004E55"/>
          <w:lang w:val="en-US"/>
        </w:rPr>
        <w:t>1</w:t>
      </w:r>
      <w:r w:rsidRPr="002C327C">
        <w:rPr>
          <w:rFonts w:ascii="Arial" w:hAnsi="Arial" w:cs="Arial"/>
          <w:color w:val="004E55"/>
          <w:lang w:val="en-US"/>
        </w:rPr>
        <w:fldChar w:fldCharType="end"/>
      </w:r>
      <w:r w:rsidR="008508C6" w:rsidRPr="002C327C">
        <w:rPr>
          <w:rFonts w:ascii="Arial" w:hAnsi="Arial" w:cs="Arial"/>
          <w:color w:val="004E55"/>
          <w:lang w:val="en-US"/>
        </w:rPr>
        <w:t>:</w:t>
      </w:r>
      <w:r w:rsidR="00A91D26" w:rsidRPr="002C327C">
        <w:rPr>
          <w:rFonts w:ascii="Arial" w:hAnsi="Arial" w:cs="Arial"/>
          <w:color w:val="004E55"/>
          <w:lang w:val="en-US"/>
        </w:rPr>
        <w:t xml:space="preserve"> </w:t>
      </w:r>
      <w:r w:rsidR="00A91D26">
        <w:rPr>
          <w:rFonts w:ascii="Arial" w:hAnsi="Arial" w:cs="Arial"/>
          <w:color w:val="004E55"/>
          <w:lang w:val="en-US"/>
        </w:rPr>
        <w:t>Different possibilities to split the costs between TSOs</w:t>
      </w:r>
      <w:r w:rsidRPr="00A3774F">
        <w:rPr>
          <w:lang w:val="en-US" w:eastAsia="es-ES"/>
        </w:rPr>
        <w:t xml:space="preserve"> </w:t>
      </w:r>
    </w:p>
    <w:p w14:paraId="586169F4" w14:textId="77777777" w:rsidR="00886009" w:rsidRPr="00886009" w:rsidRDefault="00886009" w:rsidP="0019015C">
      <w:pPr>
        <w:rPr>
          <w:lang w:eastAsia="es-ES"/>
        </w:rPr>
      </w:pPr>
      <w:r w:rsidRPr="00886009">
        <w:rPr>
          <w:noProof/>
          <w:lang w:val="es-ES" w:eastAsia="es-ES"/>
        </w:rPr>
        <w:drawing>
          <wp:inline distT="0" distB="0" distL="0" distR="0" wp14:anchorId="4B6FED53" wp14:editId="1FF07294">
            <wp:extent cx="5759450" cy="2562969"/>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562969"/>
                    </a:xfrm>
                    <a:prstGeom prst="rect">
                      <a:avLst/>
                    </a:prstGeom>
                    <a:noFill/>
                    <a:ln>
                      <a:noFill/>
                    </a:ln>
                  </pic:spPr>
                </pic:pic>
              </a:graphicData>
            </a:graphic>
          </wp:inline>
        </w:drawing>
      </w:r>
    </w:p>
    <w:p w14:paraId="2C2A8EBB" w14:textId="77777777" w:rsidR="00751622" w:rsidRDefault="00751622" w:rsidP="00751622">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p w14:paraId="77B274A5" w14:textId="77777777" w:rsidR="00751622" w:rsidRPr="002C327C" w:rsidRDefault="00751622" w:rsidP="002C327C">
      <w:pPr>
        <w:rPr>
          <w:lang w:val="en-GB"/>
        </w:rPr>
      </w:pPr>
    </w:p>
    <w:p w14:paraId="1431E08B" w14:textId="77777777" w:rsidR="004C4403" w:rsidRDefault="004C4403" w:rsidP="002C327C">
      <w:pPr>
        <w:pStyle w:val="EstiloTtulo1Arial14ptSubrayado"/>
        <w:ind w:left="431" w:hanging="431"/>
        <w:rPr>
          <w:lang w:eastAsia="es-ES"/>
        </w:rPr>
      </w:pPr>
      <w:bookmarkStart w:id="43" w:name="_Toc420067208"/>
      <w:bookmarkStart w:id="44" w:name="_Toc420067436"/>
      <w:bookmarkStart w:id="45" w:name="_Toc423419737"/>
      <w:bookmarkEnd w:id="43"/>
      <w:bookmarkEnd w:id="44"/>
      <w:r>
        <w:rPr>
          <w:lang w:eastAsia="es-ES"/>
        </w:rPr>
        <w:lastRenderedPageBreak/>
        <w:t>Timeline</w:t>
      </w:r>
      <w:bookmarkEnd w:id="45"/>
    </w:p>
    <w:p w14:paraId="587FFF0C" w14:textId="77777777" w:rsidR="008508C6" w:rsidRDefault="008508C6" w:rsidP="002C327C">
      <w:pPr>
        <w:rPr>
          <w:rFonts w:ascii="Arial" w:hAnsi="Arial" w:cs="Arial"/>
          <w:sz w:val="22"/>
          <w:szCs w:val="22"/>
          <w:lang w:val="en-US"/>
        </w:rPr>
      </w:pPr>
      <w:r>
        <w:rPr>
          <w:rFonts w:ascii="Arial" w:hAnsi="Arial" w:cs="Arial"/>
          <w:sz w:val="22"/>
          <w:szCs w:val="22"/>
          <w:lang w:val="en-US"/>
        </w:rPr>
        <w:t xml:space="preserve">The following timeline shall apply for the </w:t>
      </w:r>
      <w:r w:rsidR="00D66C58">
        <w:rPr>
          <w:rFonts w:ascii="Arial" w:hAnsi="Arial" w:cs="Arial"/>
          <w:sz w:val="22"/>
          <w:szCs w:val="22"/>
          <w:lang w:val="en-US"/>
        </w:rPr>
        <w:t xml:space="preserve">oversubscription and </w:t>
      </w:r>
      <w:r>
        <w:rPr>
          <w:rFonts w:ascii="Arial" w:hAnsi="Arial" w:cs="Arial"/>
          <w:sz w:val="22"/>
          <w:szCs w:val="22"/>
          <w:lang w:val="en-US"/>
        </w:rPr>
        <w:t>buy-back procedure:</w:t>
      </w:r>
    </w:p>
    <w:p w14:paraId="4168654C" w14:textId="77777777" w:rsidR="006034C4" w:rsidRDefault="0022452A" w:rsidP="002C327C">
      <w:pPr>
        <w:pStyle w:val="Prrafodelista"/>
        <w:numPr>
          <w:ilvl w:val="0"/>
          <w:numId w:val="49"/>
        </w:numPr>
        <w:spacing w:before="240" w:after="240"/>
        <w:contextualSpacing w:val="0"/>
        <w:jc w:val="both"/>
        <w:rPr>
          <w:rFonts w:ascii="Arial" w:hAnsi="Arial" w:cs="Arial"/>
          <w:sz w:val="22"/>
          <w:szCs w:val="22"/>
          <w:lang w:val="en-US"/>
        </w:rPr>
      </w:pPr>
      <w:r w:rsidRPr="002C327C">
        <w:rPr>
          <w:rFonts w:ascii="Arial" w:hAnsi="Arial" w:cs="Arial"/>
          <w:sz w:val="22"/>
          <w:szCs w:val="22"/>
          <w:lang w:val="en-US"/>
        </w:rPr>
        <w:t>1</w:t>
      </w:r>
      <w:r w:rsidR="00867668">
        <w:rPr>
          <w:rFonts w:ascii="Arial" w:hAnsi="Arial" w:cs="Arial"/>
          <w:sz w:val="22"/>
          <w:szCs w:val="22"/>
          <w:lang w:val="en-US"/>
        </w:rPr>
        <w:t>5</w:t>
      </w:r>
      <w:r w:rsidRPr="002C327C">
        <w:rPr>
          <w:rFonts w:ascii="Arial" w:hAnsi="Arial" w:cs="Arial"/>
          <w:sz w:val="22"/>
          <w:szCs w:val="22"/>
          <w:lang w:val="en-US"/>
        </w:rPr>
        <w:t xml:space="preserve">:30 </w:t>
      </w:r>
      <w:r w:rsidR="00867668">
        <w:rPr>
          <w:rFonts w:ascii="Arial" w:hAnsi="Arial" w:cs="Arial"/>
          <w:sz w:val="22"/>
          <w:szCs w:val="22"/>
          <w:lang w:val="en-US"/>
        </w:rPr>
        <w:t>UTC</w:t>
      </w:r>
      <w:r w:rsidR="006034C4">
        <w:rPr>
          <w:rFonts w:ascii="Arial" w:hAnsi="Arial" w:cs="Arial"/>
          <w:sz w:val="22"/>
          <w:szCs w:val="22"/>
          <w:lang w:val="en-US"/>
        </w:rPr>
        <w:t xml:space="preserve"> </w:t>
      </w:r>
      <w:r w:rsidRPr="002C327C">
        <w:rPr>
          <w:rFonts w:ascii="Arial" w:hAnsi="Arial" w:cs="Arial"/>
          <w:sz w:val="22"/>
          <w:szCs w:val="22"/>
          <w:lang w:val="en-US"/>
        </w:rPr>
        <w:t>(</w:t>
      </w:r>
      <w:r w:rsidR="006034C4">
        <w:rPr>
          <w:rFonts w:ascii="Arial" w:hAnsi="Arial" w:cs="Arial"/>
          <w:sz w:val="22"/>
          <w:szCs w:val="22"/>
          <w:lang w:val="en-US"/>
        </w:rPr>
        <w:t>D</w:t>
      </w:r>
      <w:r w:rsidRPr="002C327C">
        <w:rPr>
          <w:rFonts w:ascii="Arial" w:hAnsi="Arial" w:cs="Arial"/>
          <w:sz w:val="22"/>
          <w:szCs w:val="22"/>
          <w:lang w:val="en-US"/>
        </w:rPr>
        <w:t>-1)</w:t>
      </w:r>
      <w:r w:rsidR="00867668">
        <w:rPr>
          <w:rFonts w:ascii="Arial" w:hAnsi="Arial" w:cs="Arial"/>
          <w:sz w:val="22"/>
          <w:szCs w:val="22"/>
          <w:lang w:val="en-US"/>
        </w:rPr>
        <w:t xml:space="preserve"> (or 14:30 UTC daylight saving)</w:t>
      </w:r>
      <w:r w:rsidR="006034C4">
        <w:rPr>
          <w:rFonts w:ascii="Arial" w:hAnsi="Arial" w:cs="Arial"/>
          <w:sz w:val="22"/>
          <w:szCs w:val="22"/>
          <w:lang w:val="en-US"/>
        </w:rPr>
        <w:t>: opening of the bidding window for the rolling day ahead capacity. If additional capacity is accessible, it will be offered in this auction.</w:t>
      </w:r>
    </w:p>
    <w:p w14:paraId="5D02EAB3"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sidRPr="002C327C">
        <w:rPr>
          <w:rFonts w:ascii="Arial" w:hAnsi="Arial" w:cs="Arial"/>
          <w:sz w:val="22"/>
          <w:szCs w:val="22"/>
          <w:lang w:val="en-US"/>
        </w:rPr>
        <w:t>1</w:t>
      </w:r>
      <w:r>
        <w:rPr>
          <w:rFonts w:ascii="Arial" w:hAnsi="Arial" w:cs="Arial"/>
          <w:sz w:val="22"/>
          <w:szCs w:val="22"/>
          <w:lang w:val="en-US"/>
        </w:rPr>
        <w:t>6</w:t>
      </w:r>
      <w:r w:rsidRPr="002C327C">
        <w:rPr>
          <w:rFonts w:ascii="Arial" w:hAnsi="Arial" w:cs="Arial"/>
          <w:sz w:val="22"/>
          <w:szCs w:val="22"/>
          <w:lang w:val="en-US"/>
        </w:rPr>
        <w:t>:</w:t>
      </w:r>
      <w:r>
        <w:rPr>
          <w:rFonts w:ascii="Arial" w:hAnsi="Arial" w:cs="Arial"/>
          <w:sz w:val="22"/>
          <w:szCs w:val="22"/>
          <w:lang w:val="en-US"/>
        </w:rPr>
        <w:t>0</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15:00 UTC daylight saving)</w:t>
      </w:r>
      <w:r w:rsidR="006034C4">
        <w:rPr>
          <w:rFonts w:ascii="Arial" w:hAnsi="Arial" w:cs="Arial"/>
          <w:sz w:val="22"/>
          <w:szCs w:val="22"/>
          <w:lang w:val="en-US"/>
        </w:rPr>
        <w:t>: closing of the bidding window for the rolling day ahead capacity.</w:t>
      </w:r>
    </w:p>
    <w:p w14:paraId="53F2C9EA" w14:textId="77777777" w:rsidR="006034C4" w:rsidRDefault="00DA01CE" w:rsidP="00867668">
      <w:pPr>
        <w:pStyle w:val="Prrafodelista"/>
        <w:numPr>
          <w:ilvl w:val="0"/>
          <w:numId w:val="49"/>
        </w:numPr>
        <w:spacing w:before="240" w:after="240"/>
        <w:ind w:left="709" w:hanging="349"/>
        <w:contextualSpacing w:val="0"/>
        <w:jc w:val="both"/>
        <w:rPr>
          <w:rFonts w:ascii="Arial" w:hAnsi="Arial" w:cs="Arial"/>
          <w:sz w:val="22"/>
          <w:szCs w:val="22"/>
          <w:lang w:val="en-US"/>
        </w:rPr>
      </w:pPr>
      <w:r w:rsidRPr="002C327C">
        <w:rPr>
          <w:rFonts w:ascii="Arial" w:hAnsi="Arial" w:cs="Arial"/>
          <w:sz w:val="22"/>
          <w:szCs w:val="22"/>
          <w:lang w:val="en-US"/>
        </w:rPr>
        <w:t>1</w:t>
      </w:r>
      <w:r>
        <w:rPr>
          <w:rFonts w:ascii="Arial" w:hAnsi="Arial" w:cs="Arial"/>
          <w:sz w:val="22"/>
          <w:szCs w:val="22"/>
          <w:lang w:val="en-US"/>
        </w:rPr>
        <w:t>8</w:t>
      </w:r>
      <w:r w:rsidR="00867668" w:rsidRPr="002C327C">
        <w:rPr>
          <w:rFonts w:ascii="Arial" w:hAnsi="Arial" w:cs="Arial"/>
          <w:sz w:val="22"/>
          <w:szCs w:val="22"/>
          <w:lang w:val="en-US"/>
        </w:rPr>
        <w:t>:</w:t>
      </w:r>
      <w:r w:rsidR="00867668">
        <w:rPr>
          <w:rFonts w:ascii="Arial" w:hAnsi="Arial" w:cs="Arial"/>
          <w:sz w:val="22"/>
          <w:szCs w:val="22"/>
          <w:lang w:val="en-US"/>
        </w:rPr>
        <w:t>0</w:t>
      </w:r>
      <w:r w:rsidR="00867668" w:rsidRPr="002C327C">
        <w:rPr>
          <w:rFonts w:ascii="Arial" w:hAnsi="Arial" w:cs="Arial"/>
          <w:sz w:val="22"/>
          <w:szCs w:val="22"/>
          <w:lang w:val="en-US"/>
        </w:rPr>
        <w:t xml:space="preserve">0 </w:t>
      </w:r>
      <w:r w:rsidR="00867668">
        <w:rPr>
          <w:rFonts w:ascii="Arial" w:hAnsi="Arial" w:cs="Arial"/>
          <w:sz w:val="22"/>
          <w:szCs w:val="22"/>
          <w:lang w:val="en-US"/>
        </w:rPr>
        <w:t xml:space="preserve">UTC </w:t>
      </w:r>
      <w:r w:rsidR="00867668" w:rsidRPr="002C327C">
        <w:rPr>
          <w:rFonts w:ascii="Arial" w:hAnsi="Arial" w:cs="Arial"/>
          <w:sz w:val="22"/>
          <w:szCs w:val="22"/>
          <w:lang w:val="en-US"/>
        </w:rPr>
        <w:t>(</w:t>
      </w:r>
      <w:r w:rsidR="00867668">
        <w:rPr>
          <w:rFonts w:ascii="Arial" w:hAnsi="Arial" w:cs="Arial"/>
          <w:sz w:val="22"/>
          <w:szCs w:val="22"/>
          <w:lang w:val="en-US"/>
        </w:rPr>
        <w:t>D</w:t>
      </w:r>
      <w:r w:rsidR="00867668" w:rsidRPr="002C327C">
        <w:rPr>
          <w:rFonts w:ascii="Arial" w:hAnsi="Arial" w:cs="Arial"/>
          <w:sz w:val="22"/>
          <w:szCs w:val="22"/>
          <w:lang w:val="en-US"/>
        </w:rPr>
        <w:t>-1)</w:t>
      </w:r>
      <w:r w:rsidR="00867668">
        <w:rPr>
          <w:rFonts w:ascii="Arial" w:hAnsi="Arial" w:cs="Arial"/>
          <w:sz w:val="22"/>
          <w:szCs w:val="22"/>
          <w:lang w:val="en-US"/>
        </w:rPr>
        <w:t xml:space="preserve"> (or </w:t>
      </w:r>
      <w:r>
        <w:rPr>
          <w:rFonts w:ascii="Arial" w:hAnsi="Arial" w:cs="Arial"/>
          <w:sz w:val="22"/>
          <w:szCs w:val="22"/>
          <w:lang w:val="en-US"/>
        </w:rPr>
        <w:t>17</w:t>
      </w:r>
      <w:r w:rsidR="00867668">
        <w:rPr>
          <w:rFonts w:ascii="Arial" w:hAnsi="Arial" w:cs="Arial"/>
          <w:sz w:val="22"/>
          <w:szCs w:val="22"/>
          <w:lang w:val="en-US"/>
        </w:rPr>
        <w:t>:00 UTC daylight saving)</w:t>
      </w:r>
      <w:r w:rsidR="006034C4">
        <w:rPr>
          <w:rFonts w:ascii="Arial" w:hAnsi="Arial" w:cs="Arial"/>
          <w:sz w:val="22"/>
          <w:szCs w:val="22"/>
          <w:lang w:val="en-US"/>
        </w:rPr>
        <w:t xml:space="preserve">: </w:t>
      </w:r>
      <w:r w:rsidR="00CC3995">
        <w:rPr>
          <w:rFonts w:ascii="Arial" w:hAnsi="Arial" w:cs="Arial"/>
          <w:sz w:val="22"/>
          <w:szCs w:val="22"/>
          <w:lang w:val="en-US"/>
        </w:rPr>
        <w:t xml:space="preserve">deadline for network users to renominate for </w:t>
      </w:r>
      <w:r w:rsidR="006034C4">
        <w:rPr>
          <w:rFonts w:ascii="Arial" w:hAnsi="Arial" w:cs="Arial"/>
          <w:sz w:val="22"/>
          <w:szCs w:val="22"/>
          <w:lang w:val="en-US"/>
        </w:rPr>
        <w:t>the day ahead capacity.</w:t>
      </w:r>
    </w:p>
    <w:p w14:paraId="2438FDA3"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sidRPr="002C327C">
        <w:rPr>
          <w:rFonts w:ascii="Arial" w:hAnsi="Arial" w:cs="Arial"/>
          <w:sz w:val="22"/>
          <w:szCs w:val="22"/>
          <w:lang w:val="en-US"/>
        </w:rPr>
        <w:t>1</w:t>
      </w:r>
      <w:r>
        <w:rPr>
          <w:rFonts w:ascii="Arial" w:hAnsi="Arial" w:cs="Arial"/>
          <w:sz w:val="22"/>
          <w:szCs w:val="22"/>
          <w:lang w:val="en-US"/>
        </w:rPr>
        <w:t>9</w:t>
      </w:r>
      <w:r w:rsidRPr="002C327C">
        <w:rPr>
          <w:rFonts w:ascii="Arial" w:hAnsi="Arial" w:cs="Arial"/>
          <w:sz w:val="22"/>
          <w:szCs w:val="22"/>
          <w:lang w:val="en-US"/>
        </w:rPr>
        <w:t>:</w:t>
      </w:r>
      <w:r>
        <w:rPr>
          <w:rFonts w:ascii="Arial" w:hAnsi="Arial" w:cs="Arial"/>
          <w:sz w:val="22"/>
          <w:szCs w:val="22"/>
          <w:lang w:val="en-US"/>
        </w:rPr>
        <w:t>0</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18:00 UTC daylight saving)</w:t>
      </w:r>
      <w:r w:rsidR="006034C4">
        <w:rPr>
          <w:rFonts w:ascii="Arial" w:hAnsi="Arial" w:cs="Arial"/>
          <w:sz w:val="22"/>
          <w:szCs w:val="22"/>
          <w:lang w:val="en-US"/>
        </w:rPr>
        <w:t xml:space="preserve">: </w:t>
      </w:r>
      <w:r w:rsidR="00CC3995">
        <w:rPr>
          <w:rFonts w:ascii="Arial" w:hAnsi="Arial" w:cs="Arial"/>
          <w:sz w:val="22"/>
          <w:szCs w:val="22"/>
          <w:lang w:val="en-US"/>
        </w:rPr>
        <w:t>d</w:t>
      </w:r>
      <w:r w:rsidR="006034C4">
        <w:rPr>
          <w:rFonts w:ascii="Arial" w:hAnsi="Arial" w:cs="Arial"/>
          <w:sz w:val="22"/>
          <w:szCs w:val="22"/>
          <w:lang w:val="en-US"/>
        </w:rPr>
        <w:t>eadline for the TSOs to launch the market based procedure to buy</w:t>
      </w:r>
      <w:r w:rsidR="00CC3995">
        <w:rPr>
          <w:rFonts w:ascii="Arial" w:hAnsi="Arial" w:cs="Arial"/>
          <w:sz w:val="22"/>
          <w:szCs w:val="22"/>
          <w:lang w:val="en-US"/>
        </w:rPr>
        <w:t xml:space="preserve"> </w:t>
      </w:r>
      <w:r w:rsidR="006034C4">
        <w:rPr>
          <w:rFonts w:ascii="Arial" w:hAnsi="Arial" w:cs="Arial"/>
          <w:sz w:val="22"/>
          <w:szCs w:val="22"/>
          <w:lang w:val="en-US"/>
        </w:rPr>
        <w:t>back capacity (i.e. deadline</w:t>
      </w:r>
      <w:r w:rsidR="00CC3995">
        <w:rPr>
          <w:rFonts w:ascii="Arial" w:hAnsi="Arial" w:cs="Arial"/>
          <w:sz w:val="22"/>
          <w:szCs w:val="22"/>
          <w:lang w:val="en-US"/>
        </w:rPr>
        <w:t xml:space="preserve"> to</w:t>
      </w:r>
      <w:r w:rsidR="006034C4">
        <w:rPr>
          <w:rFonts w:ascii="Arial" w:hAnsi="Arial" w:cs="Arial"/>
          <w:sz w:val="22"/>
          <w:szCs w:val="22"/>
          <w:lang w:val="en-US"/>
        </w:rPr>
        <w:t xml:space="preserve"> create a “proposal to buy”). </w:t>
      </w:r>
      <w:r w:rsidR="00751622" w:rsidRPr="00751622">
        <w:rPr>
          <w:rFonts w:ascii="Arial" w:hAnsi="Arial" w:cs="Arial"/>
          <w:sz w:val="22"/>
          <w:szCs w:val="22"/>
          <w:lang w:val="en-US"/>
        </w:rPr>
        <w:t>No other market based procedure shall be performed afterwards, if the TSOs need to buy-back capacity after 20:00 CET, pro-rata rule shall be applied. TSOs will reduce firm bundled and unbundled capacities according to pro-rata rule.</w:t>
      </w:r>
    </w:p>
    <w:p w14:paraId="396711B5"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Pr>
          <w:rFonts w:ascii="Arial" w:hAnsi="Arial" w:cs="Arial"/>
          <w:sz w:val="22"/>
          <w:szCs w:val="22"/>
          <w:lang w:val="en-US"/>
        </w:rPr>
        <w:t>19</w:t>
      </w:r>
      <w:r w:rsidRPr="002C327C">
        <w:rPr>
          <w:rFonts w:ascii="Arial" w:hAnsi="Arial" w:cs="Arial"/>
          <w:sz w:val="22"/>
          <w:szCs w:val="22"/>
          <w:lang w:val="en-US"/>
        </w:rPr>
        <w:t>:</w:t>
      </w:r>
      <w:r>
        <w:rPr>
          <w:rFonts w:ascii="Arial" w:hAnsi="Arial" w:cs="Arial"/>
          <w:sz w:val="22"/>
          <w:szCs w:val="22"/>
          <w:lang w:val="en-US"/>
        </w:rPr>
        <w:t>3</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18:00 UTC daylight saving)</w:t>
      </w:r>
      <w:r w:rsidR="006034C4">
        <w:rPr>
          <w:rFonts w:ascii="Arial" w:hAnsi="Arial" w:cs="Arial"/>
          <w:sz w:val="22"/>
          <w:szCs w:val="22"/>
          <w:lang w:val="en-US"/>
        </w:rPr>
        <w:t xml:space="preserve">: </w:t>
      </w:r>
      <w:r w:rsidR="008250AC">
        <w:rPr>
          <w:rFonts w:ascii="Arial" w:hAnsi="Arial" w:cs="Arial"/>
          <w:sz w:val="22"/>
          <w:szCs w:val="22"/>
          <w:lang w:val="en-US"/>
        </w:rPr>
        <w:t xml:space="preserve"> starting of the</w:t>
      </w:r>
      <w:r w:rsidR="006034C4">
        <w:rPr>
          <w:rFonts w:ascii="Arial" w:hAnsi="Arial" w:cs="Arial"/>
          <w:sz w:val="22"/>
          <w:szCs w:val="22"/>
          <w:lang w:val="en-US"/>
        </w:rPr>
        <w:t xml:space="preserve"> CFO mechanism</w:t>
      </w:r>
      <w:r w:rsidR="008250AC">
        <w:rPr>
          <w:rFonts w:ascii="Arial" w:hAnsi="Arial" w:cs="Arial"/>
          <w:sz w:val="22"/>
          <w:szCs w:val="22"/>
          <w:lang w:val="en-US"/>
        </w:rPr>
        <w:t xml:space="preserve">. TSO creates the </w:t>
      </w:r>
      <w:r w:rsidR="006034C4">
        <w:rPr>
          <w:rFonts w:ascii="Arial" w:hAnsi="Arial" w:cs="Arial"/>
          <w:sz w:val="22"/>
          <w:szCs w:val="22"/>
          <w:lang w:val="en-US"/>
        </w:rPr>
        <w:t xml:space="preserve">“proposal to buy” </w:t>
      </w:r>
    </w:p>
    <w:p w14:paraId="421F2F23" w14:textId="77777777" w:rsidR="006034C4" w:rsidRDefault="00867668" w:rsidP="006034C4">
      <w:pPr>
        <w:pStyle w:val="Prrafodelista"/>
        <w:numPr>
          <w:ilvl w:val="0"/>
          <w:numId w:val="49"/>
        </w:numPr>
        <w:spacing w:before="240" w:after="240"/>
        <w:contextualSpacing w:val="0"/>
        <w:jc w:val="both"/>
        <w:rPr>
          <w:rFonts w:ascii="Arial" w:hAnsi="Arial" w:cs="Arial"/>
          <w:sz w:val="22"/>
          <w:szCs w:val="22"/>
          <w:lang w:val="en-US"/>
        </w:rPr>
      </w:pPr>
      <w:r>
        <w:rPr>
          <w:rFonts w:ascii="Arial" w:hAnsi="Arial" w:cs="Arial"/>
          <w:sz w:val="22"/>
          <w:szCs w:val="22"/>
          <w:lang w:val="en-US"/>
        </w:rPr>
        <w:t>20</w:t>
      </w:r>
      <w:r w:rsidRPr="002C327C">
        <w:rPr>
          <w:rFonts w:ascii="Arial" w:hAnsi="Arial" w:cs="Arial"/>
          <w:sz w:val="22"/>
          <w:szCs w:val="22"/>
          <w:lang w:val="en-US"/>
        </w:rPr>
        <w:t>:</w:t>
      </w:r>
      <w:r>
        <w:rPr>
          <w:rFonts w:ascii="Arial" w:hAnsi="Arial" w:cs="Arial"/>
          <w:sz w:val="22"/>
          <w:szCs w:val="22"/>
          <w:lang w:val="en-US"/>
        </w:rPr>
        <w:t>0</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19:00 UTC daylight saving)</w:t>
      </w:r>
      <w:r w:rsidR="006034C4">
        <w:rPr>
          <w:rFonts w:ascii="Arial" w:hAnsi="Arial" w:cs="Arial"/>
          <w:sz w:val="22"/>
          <w:szCs w:val="22"/>
          <w:lang w:val="en-US"/>
        </w:rPr>
        <w:t xml:space="preserve">: </w:t>
      </w:r>
      <w:r w:rsidR="008250AC">
        <w:rPr>
          <w:rFonts w:ascii="Arial" w:hAnsi="Arial" w:cs="Arial"/>
          <w:sz w:val="22"/>
          <w:szCs w:val="22"/>
          <w:lang w:val="en-US"/>
        </w:rPr>
        <w:t xml:space="preserve">End of </w:t>
      </w:r>
      <w:r w:rsidR="006034C4">
        <w:rPr>
          <w:rFonts w:ascii="Arial" w:hAnsi="Arial" w:cs="Arial"/>
          <w:sz w:val="22"/>
          <w:szCs w:val="22"/>
          <w:lang w:val="en-US"/>
        </w:rPr>
        <w:t>the CFO mechanism.</w:t>
      </w:r>
    </w:p>
    <w:p w14:paraId="41601826" w14:textId="77777777" w:rsidR="006034C4" w:rsidRDefault="00867668" w:rsidP="002C327C">
      <w:pPr>
        <w:pStyle w:val="Prrafodelista"/>
        <w:numPr>
          <w:ilvl w:val="0"/>
          <w:numId w:val="49"/>
        </w:numPr>
        <w:spacing w:before="240" w:after="240"/>
        <w:contextualSpacing w:val="0"/>
        <w:jc w:val="both"/>
        <w:rPr>
          <w:rFonts w:ascii="Arial" w:hAnsi="Arial" w:cs="Arial"/>
          <w:sz w:val="22"/>
          <w:szCs w:val="22"/>
          <w:lang w:val="en-US"/>
        </w:rPr>
      </w:pPr>
      <w:r>
        <w:rPr>
          <w:rFonts w:ascii="Arial" w:hAnsi="Arial" w:cs="Arial"/>
          <w:sz w:val="22"/>
          <w:szCs w:val="22"/>
          <w:lang w:val="en-US"/>
        </w:rPr>
        <w:t>20</w:t>
      </w:r>
      <w:r w:rsidRPr="002C327C">
        <w:rPr>
          <w:rFonts w:ascii="Arial" w:hAnsi="Arial" w:cs="Arial"/>
          <w:sz w:val="22"/>
          <w:szCs w:val="22"/>
          <w:lang w:val="en-US"/>
        </w:rPr>
        <w:t>:</w:t>
      </w:r>
      <w:r>
        <w:rPr>
          <w:rFonts w:ascii="Arial" w:hAnsi="Arial" w:cs="Arial"/>
          <w:sz w:val="22"/>
          <w:szCs w:val="22"/>
          <w:lang w:val="en-US"/>
        </w:rPr>
        <w:t>3</w:t>
      </w:r>
      <w:r w:rsidRPr="002C327C">
        <w:rPr>
          <w:rFonts w:ascii="Arial" w:hAnsi="Arial" w:cs="Arial"/>
          <w:sz w:val="22"/>
          <w:szCs w:val="22"/>
          <w:lang w:val="en-US"/>
        </w:rPr>
        <w:t xml:space="preserve">0 </w:t>
      </w:r>
      <w:r>
        <w:rPr>
          <w:rFonts w:ascii="Arial" w:hAnsi="Arial" w:cs="Arial"/>
          <w:sz w:val="22"/>
          <w:szCs w:val="22"/>
          <w:lang w:val="en-US"/>
        </w:rPr>
        <w:t xml:space="preserve">UTC </w:t>
      </w:r>
      <w:r w:rsidRPr="002C327C">
        <w:rPr>
          <w:rFonts w:ascii="Arial" w:hAnsi="Arial" w:cs="Arial"/>
          <w:sz w:val="22"/>
          <w:szCs w:val="22"/>
          <w:lang w:val="en-US"/>
        </w:rPr>
        <w:t>(</w:t>
      </w:r>
      <w:r>
        <w:rPr>
          <w:rFonts w:ascii="Arial" w:hAnsi="Arial" w:cs="Arial"/>
          <w:sz w:val="22"/>
          <w:szCs w:val="22"/>
          <w:lang w:val="en-US"/>
        </w:rPr>
        <w:t>D</w:t>
      </w:r>
      <w:r w:rsidRPr="002C327C">
        <w:rPr>
          <w:rFonts w:ascii="Arial" w:hAnsi="Arial" w:cs="Arial"/>
          <w:sz w:val="22"/>
          <w:szCs w:val="22"/>
          <w:lang w:val="en-US"/>
        </w:rPr>
        <w:t>-1)</w:t>
      </w:r>
      <w:r>
        <w:rPr>
          <w:rFonts w:ascii="Arial" w:hAnsi="Arial" w:cs="Arial"/>
          <w:sz w:val="22"/>
          <w:szCs w:val="22"/>
          <w:lang w:val="en-US"/>
        </w:rPr>
        <w:t xml:space="preserve"> (or 19:30 UTC daylight saving)</w:t>
      </w:r>
      <w:r w:rsidR="006034C4">
        <w:rPr>
          <w:rFonts w:ascii="Arial" w:hAnsi="Arial" w:cs="Arial"/>
          <w:sz w:val="22"/>
          <w:szCs w:val="22"/>
          <w:lang w:val="en-US"/>
        </w:rPr>
        <w:t>: Publication of results.</w:t>
      </w:r>
    </w:p>
    <w:p w14:paraId="1E8B39C1" w14:textId="77777777" w:rsidR="00A91D26" w:rsidRDefault="008508C6" w:rsidP="00A91D26">
      <w:pPr>
        <w:pStyle w:val="Descripcin"/>
        <w:keepNext/>
        <w:jc w:val="center"/>
        <w:rPr>
          <w:rFonts w:ascii="Arial" w:hAnsi="Arial" w:cs="Arial"/>
          <w:color w:val="004E55"/>
          <w:lang w:val="en-US"/>
        </w:rPr>
      </w:pPr>
      <w:r w:rsidRPr="00A3774F">
        <w:rPr>
          <w:rFonts w:ascii="Arial" w:hAnsi="Arial" w:cs="Arial"/>
          <w:color w:val="004E55"/>
          <w:lang w:val="en-US"/>
        </w:rPr>
        <w:t xml:space="preserve">Figure </w:t>
      </w:r>
      <w:r w:rsidRPr="007C08F5">
        <w:rPr>
          <w:rFonts w:ascii="Arial" w:hAnsi="Arial" w:cs="Arial"/>
          <w:color w:val="004E55"/>
        </w:rPr>
        <w:fldChar w:fldCharType="begin"/>
      </w:r>
      <w:r w:rsidRPr="00A3774F">
        <w:rPr>
          <w:rFonts w:ascii="Arial" w:hAnsi="Arial" w:cs="Arial"/>
          <w:color w:val="004E55"/>
          <w:lang w:val="en-US"/>
        </w:rPr>
        <w:instrText xml:space="preserve"> SEQ Figure \* ARABIC </w:instrText>
      </w:r>
      <w:r w:rsidRPr="007C08F5">
        <w:rPr>
          <w:rFonts w:ascii="Arial" w:hAnsi="Arial" w:cs="Arial"/>
          <w:color w:val="004E55"/>
        </w:rPr>
        <w:fldChar w:fldCharType="separate"/>
      </w:r>
      <w:r w:rsidR="0065360F">
        <w:rPr>
          <w:rFonts w:ascii="Arial" w:hAnsi="Arial" w:cs="Arial"/>
          <w:noProof/>
          <w:color w:val="004E55"/>
          <w:lang w:val="en-US"/>
        </w:rPr>
        <w:t>4</w:t>
      </w:r>
      <w:r w:rsidRPr="007C08F5">
        <w:rPr>
          <w:rFonts w:ascii="Arial" w:hAnsi="Arial" w:cs="Arial"/>
          <w:color w:val="004E55"/>
        </w:rPr>
        <w:fldChar w:fldCharType="end"/>
      </w:r>
      <w:r w:rsidR="00A91D26" w:rsidRPr="00A3774F">
        <w:rPr>
          <w:rFonts w:ascii="Arial" w:hAnsi="Arial" w:cs="Arial"/>
          <w:color w:val="004E55"/>
          <w:lang w:val="en-US"/>
        </w:rPr>
        <w:t xml:space="preserve">: </w:t>
      </w:r>
      <w:r w:rsidR="00A91D26">
        <w:rPr>
          <w:rFonts w:ascii="Arial" w:hAnsi="Arial" w:cs="Arial"/>
          <w:color w:val="004E55"/>
          <w:lang w:val="en-US"/>
        </w:rPr>
        <w:t xml:space="preserve">Timeline of the </w:t>
      </w:r>
      <w:r w:rsidR="00D66C58">
        <w:rPr>
          <w:rFonts w:ascii="Arial" w:hAnsi="Arial" w:cs="Arial"/>
          <w:color w:val="004E55"/>
          <w:lang w:val="en-US"/>
        </w:rPr>
        <w:t xml:space="preserve">oversubscription and </w:t>
      </w:r>
      <w:r w:rsidR="00A91D26">
        <w:rPr>
          <w:rFonts w:ascii="Arial" w:hAnsi="Arial" w:cs="Arial"/>
          <w:color w:val="004E55"/>
          <w:lang w:val="en-US"/>
        </w:rPr>
        <w:t>buyback process</w:t>
      </w:r>
      <w:r w:rsidR="00C22B23">
        <w:rPr>
          <w:rFonts w:ascii="Arial" w:hAnsi="Arial" w:cs="Arial"/>
          <w:color w:val="004E55"/>
          <w:lang w:val="en-US"/>
        </w:rPr>
        <w:t xml:space="preserve"> (in UTC)</w:t>
      </w:r>
    </w:p>
    <w:p w14:paraId="5E3373AF" w14:textId="77777777" w:rsidR="00886009" w:rsidRPr="0019015C" w:rsidRDefault="001A2773" w:rsidP="0019015C">
      <w:pPr>
        <w:spacing w:before="120"/>
        <w:rPr>
          <w:lang w:val="en-US"/>
        </w:rPr>
      </w:pPr>
      <w:r>
        <w:rPr>
          <w:noProof/>
          <w:lang w:val="es-ES" w:eastAsia="es-ES"/>
        </w:rPr>
        <w:drawing>
          <wp:inline distT="0" distB="0" distL="0" distR="0" wp14:anchorId="6668610B" wp14:editId="4D5FD590">
            <wp:extent cx="5764696" cy="2849389"/>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4119" cy="2849104"/>
                    </a:xfrm>
                    <a:prstGeom prst="rect">
                      <a:avLst/>
                    </a:prstGeom>
                    <a:noFill/>
                  </pic:spPr>
                </pic:pic>
              </a:graphicData>
            </a:graphic>
          </wp:inline>
        </w:drawing>
      </w:r>
    </w:p>
    <w:p w14:paraId="76E9E0DB" w14:textId="77777777" w:rsidR="00751622" w:rsidRDefault="00751622" w:rsidP="00751622">
      <w:pPr>
        <w:spacing w:before="240" w:after="240"/>
        <w:ind w:firstLine="709"/>
        <w:jc w:val="both"/>
        <w:rPr>
          <w:rFonts w:ascii="Arial" w:hAnsi="Arial" w:cs="Arial"/>
          <w:i/>
          <w:color w:val="004E55"/>
          <w:sz w:val="20"/>
          <w:szCs w:val="22"/>
          <w:lang w:val="en-GB"/>
        </w:rPr>
      </w:pPr>
      <w:r w:rsidRPr="005C60E5">
        <w:rPr>
          <w:rFonts w:ascii="Arial" w:hAnsi="Arial" w:cs="Arial"/>
          <w:b/>
          <w:i/>
          <w:color w:val="004E55"/>
          <w:sz w:val="20"/>
          <w:szCs w:val="22"/>
          <w:lang w:val="en-GB"/>
        </w:rPr>
        <w:t>Source</w:t>
      </w:r>
      <w:r w:rsidRPr="005C60E5">
        <w:rPr>
          <w:rFonts w:ascii="Arial" w:hAnsi="Arial" w:cs="Arial"/>
          <w:i/>
          <w:color w:val="004E55"/>
          <w:sz w:val="20"/>
          <w:szCs w:val="22"/>
          <w:lang w:val="en-GB"/>
        </w:rPr>
        <w:t>: Self-made</w:t>
      </w:r>
    </w:p>
    <w:sectPr w:rsidR="00751622" w:rsidSect="00407FB6">
      <w:headerReference w:type="default" r:id="rId18"/>
      <w:footerReference w:type="default" r:id="rId19"/>
      <w:type w:val="continuous"/>
      <w:pgSz w:w="11906" w:h="16838" w:code="9"/>
      <w:pgMar w:top="1418" w:right="1418" w:bottom="1418" w:left="1418" w:header="709" w:footer="709" w:gutter="0"/>
      <w:cols w:space="708" w:equalWidth="0">
        <w:col w:w="907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5E6E7" w14:textId="77777777" w:rsidR="00487071" w:rsidRDefault="00487071">
      <w:r>
        <w:separator/>
      </w:r>
    </w:p>
  </w:endnote>
  <w:endnote w:type="continuationSeparator" w:id="0">
    <w:p w14:paraId="34BECAE0" w14:textId="77777777" w:rsidR="00487071" w:rsidRDefault="0048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8" w:space="0" w:color="004E55"/>
      </w:tblBorders>
      <w:tblLook w:val="00A0" w:firstRow="1" w:lastRow="0" w:firstColumn="1" w:lastColumn="0" w:noHBand="0" w:noVBand="0"/>
    </w:tblPr>
    <w:tblGrid>
      <w:gridCol w:w="8490"/>
      <w:gridCol w:w="580"/>
    </w:tblGrid>
    <w:tr w:rsidR="009C4927" w14:paraId="2BEC5B38" w14:textId="77777777">
      <w:trPr>
        <w:trHeight w:val="345"/>
      </w:trPr>
      <w:tc>
        <w:tcPr>
          <w:tcW w:w="8701" w:type="dxa"/>
          <w:vAlign w:val="bottom"/>
        </w:tcPr>
        <w:p w14:paraId="4ABE8ADF" w14:textId="7C8D06FC" w:rsidR="009C4927" w:rsidRDefault="00063A3D" w:rsidP="006E7CC2">
          <w:pPr>
            <w:pStyle w:val="Piedepgina"/>
            <w:rPr>
              <w:rStyle w:val="Nmerodepgina"/>
              <w:rFonts w:ascii="Arial" w:hAnsi="Arial" w:cs="Arial"/>
              <w:color w:val="004E55"/>
              <w:sz w:val="20"/>
              <w:szCs w:val="20"/>
              <w:lang w:val="en-GB"/>
            </w:rPr>
          </w:pPr>
          <w:r>
            <w:rPr>
              <w:rStyle w:val="Nmerodepgina"/>
              <w:rFonts w:ascii="Arial" w:hAnsi="Arial" w:cs="Arial"/>
              <w:color w:val="004E55"/>
              <w:sz w:val="20"/>
              <w:szCs w:val="20"/>
              <w:lang w:val="en-GB"/>
            </w:rPr>
            <w:t>April 2016</w:t>
          </w:r>
        </w:p>
      </w:tc>
      <w:tc>
        <w:tcPr>
          <w:tcW w:w="587" w:type="dxa"/>
          <w:vAlign w:val="bottom"/>
        </w:tcPr>
        <w:p w14:paraId="0AE26FEC" w14:textId="77777777" w:rsidR="009C4927" w:rsidRDefault="009C4927">
          <w:pPr>
            <w:pStyle w:val="Piedepgina"/>
            <w:jc w:val="right"/>
            <w:rPr>
              <w:rStyle w:val="Nmerodepgina"/>
              <w:color w:val="004E55"/>
              <w:sz w:val="20"/>
              <w:szCs w:val="20"/>
            </w:rPr>
          </w:pPr>
          <w:r>
            <w:rPr>
              <w:rStyle w:val="Nmerodepgina"/>
              <w:rFonts w:ascii="Arial" w:hAnsi="Arial" w:cs="Arial"/>
              <w:color w:val="004E55"/>
              <w:sz w:val="20"/>
              <w:szCs w:val="20"/>
            </w:rPr>
            <w:fldChar w:fldCharType="begin"/>
          </w:r>
          <w:r>
            <w:rPr>
              <w:rStyle w:val="Nmerodepgina"/>
              <w:rFonts w:ascii="Arial" w:hAnsi="Arial" w:cs="Arial"/>
              <w:color w:val="004E55"/>
              <w:sz w:val="20"/>
              <w:szCs w:val="20"/>
            </w:rPr>
            <w:instrText xml:space="preserve"> PAGE </w:instrText>
          </w:r>
          <w:r>
            <w:rPr>
              <w:rStyle w:val="Nmerodepgina"/>
              <w:rFonts w:ascii="Arial" w:hAnsi="Arial" w:cs="Arial"/>
              <w:color w:val="004E55"/>
              <w:sz w:val="20"/>
              <w:szCs w:val="20"/>
            </w:rPr>
            <w:fldChar w:fldCharType="separate"/>
          </w:r>
          <w:r w:rsidR="00D839BC">
            <w:rPr>
              <w:rStyle w:val="Nmerodepgina"/>
              <w:rFonts w:ascii="Arial" w:hAnsi="Arial" w:cs="Arial"/>
              <w:noProof/>
              <w:color w:val="004E55"/>
              <w:sz w:val="20"/>
              <w:szCs w:val="20"/>
            </w:rPr>
            <w:t>2</w:t>
          </w:r>
          <w:r>
            <w:rPr>
              <w:rStyle w:val="Nmerodepgina"/>
              <w:rFonts w:ascii="Arial" w:hAnsi="Arial" w:cs="Arial"/>
              <w:color w:val="004E55"/>
              <w:sz w:val="20"/>
              <w:szCs w:val="20"/>
            </w:rPr>
            <w:fldChar w:fldCharType="end"/>
          </w:r>
        </w:p>
      </w:tc>
    </w:tr>
  </w:tbl>
  <w:p w14:paraId="25744CCF" w14:textId="77777777" w:rsidR="009C4927" w:rsidRPr="00A26E7C" w:rsidRDefault="009C4927" w:rsidP="00A26E7C">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B3226" w14:textId="77777777" w:rsidR="00487071" w:rsidRDefault="00487071">
      <w:r>
        <w:separator/>
      </w:r>
    </w:p>
  </w:footnote>
  <w:footnote w:type="continuationSeparator" w:id="0">
    <w:p w14:paraId="4519D24E" w14:textId="77777777" w:rsidR="00487071" w:rsidRDefault="00487071">
      <w:r>
        <w:continuationSeparator/>
      </w:r>
    </w:p>
  </w:footnote>
  <w:footnote w:id="1">
    <w:p w14:paraId="3079313C" w14:textId="77777777" w:rsidR="009C4927" w:rsidRPr="00A3774F" w:rsidRDefault="009C4927" w:rsidP="002C327C">
      <w:pPr>
        <w:pStyle w:val="Textonotapie"/>
        <w:tabs>
          <w:tab w:val="left" w:pos="426"/>
        </w:tabs>
        <w:spacing w:before="60"/>
        <w:ind w:left="425" w:hanging="425"/>
        <w:jc w:val="both"/>
        <w:rPr>
          <w:rFonts w:ascii="Arial" w:hAnsi="Arial" w:cs="Arial"/>
          <w:sz w:val="16"/>
          <w:szCs w:val="16"/>
          <w:lang w:val="en-US"/>
        </w:rPr>
      </w:pPr>
      <w:r w:rsidRPr="00101EA2">
        <w:rPr>
          <w:rStyle w:val="Refdenotaalpie"/>
          <w:rFonts w:ascii="Arial" w:hAnsi="Arial" w:cs="Arial"/>
          <w:sz w:val="16"/>
          <w:szCs w:val="16"/>
        </w:rPr>
        <w:footnoteRef/>
      </w:r>
      <w:r w:rsidRPr="00A3774F">
        <w:rPr>
          <w:rFonts w:ascii="Arial" w:hAnsi="Arial" w:cs="Arial"/>
          <w:sz w:val="16"/>
          <w:szCs w:val="16"/>
          <w:lang w:val="de-DE"/>
        </w:rPr>
        <w:t xml:space="preserve"> </w:t>
      </w:r>
      <w:r w:rsidRPr="00A3774F">
        <w:rPr>
          <w:rFonts w:ascii="Arial" w:hAnsi="Arial" w:cs="Arial"/>
          <w:sz w:val="16"/>
          <w:szCs w:val="16"/>
          <w:lang w:val="de-DE"/>
        </w:rPr>
        <w:tab/>
        <w:t xml:space="preserve">ERSE </w:t>
      </w:r>
      <w:r w:rsidRPr="00A3774F">
        <w:rPr>
          <w:rStyle w:val="Refdenotaalpie"/>
          <w:rFonts w:ascii="Arial" w:hAnsi="Arial" w:cs="Arial"/>
          <w:sz w:val="16"/>
          <w:szCs w:val="16"/>
          <w:vertAlign w:val="baseline"/>
          <w:lang w:val="de-DE"/>
        </w:rPr>
        <w:t>, « Diretiva n.º 14/2014 Aprova o Manual de Procedimentos de Acesso às Infraestruturas e os prazos de anúncio, solicitação e de atribuição de capacidade e prazos de previsão de consumo e utilização de capacidade para 2014-2015 »</w:t>
      </w:r>
      <w:r w:rsidRPr="00A3774F">
        <w:rPr>
          <w:rFonts w:ascii="Arial" w:hAnsi="Arial" w:cs="Arial"/>
          <w:sz w:val="16"/>
          <w:szCs w:val="16"/>
          <w:lang w:val="de-DE"/>
        </w:rPr>
        <w:t xml:space="preserve">. </w:t>
      </w:r>
      <w:r w:rsidRPr="00A3774F">
        <w:rPr>
          <w:rFonts w:ascii="Arial" w:hAnsi="Arial" w:cs="Arial"/>
          <w:sz w:val="16"/>
          <w:szCs w:val="16"/>
          <w:lang w:val="en-US"/>
        </w:rPr>
        <w:t>Available at :</w:t>
      </w:r>
      <w:r w:rsidRPr="00A3774F">
        <w:rPr>
          <w:rFonts w:ascii="Arial" w:hAnsi="Arial" w:cs="Arial"/>
          <w:sz w:val="16"/>
          <w:szCs w:val="16"/>
          <w:lang w:val="en-US"/>
        </w:rPr>
        <w:tab/>
        <w:t xml:space="preserve"> </w:t>
      </w:r>
      <w:hyperlink r:id="rId1" w:history="1">
        <w:r w:rsidRPr="00A3774F">
          <w:rPr>
            <w:rStyle w:val="Hipervnculo"/>
            <w:rFonts w:cs="Arial"/>
            <w:sz w:val="16"/>
            <w:lang w:val="en-US"/>
          </w:rPr>
          <w:t>http://www.erse.pt/pt/gasnatural/regulamentos/acessoasredesinfraestruturaseasinterligacoes/Documents/Diretiva%2014.2014%20MPAI.pdf</w:t>
        </w:r>
      </w:hyperlink>
    </w:p>
  </w:footnote>
  <w:footnote w:id="2">
    <w:p w14:paraId="34629B0C" w14:textId="77777777" w:rsidR="009C4927" w:rsidRDefault="009C4927" w:rsidP="002C327C">
      <w:pPr>
        <w:pStyle w:val="Textonotapie"/>
        <w:tabs>
          <w:tab w:val="left" w:pos="426"/>
        </w:tabs>
        <w:spacing w:before="60"/>
        <w:ind w:left="425" w:hanging="425"/>
        <w:jc w:val="both"/>
        <w:rPr>
          <w:rFonts w:ascii="Arial" w:hAnsi="Arial" w:cs="Arial"/>
          <w:sz w:val="16"/>
          <w:szCs w:val="16"/>
        </w:rPr>
      </w:pPr>
      <w:r w:rsidRPr="00101EA2">
        <w:rPr>
          <w:rStyle w:val="Refdenotaalpie"/>
          <w:rFonts w:ascii="Arial" w:hAnsi="Arial" w:cs="Arial"/>
          <w:sz w:val="16"/>
          <w:szCs w:val="16"/>
        </w:rPr>
        <w:footnoteRef/>
      </w:r>
      <w:r w:rsidRPr="00A3774F">
        <w:rPr>
          <w:rFonts w:ascii="Arial" w:hAnsi="Arial" w:cs="Arial"/>
          <w:sz w:val="16"/>
          <w:szCs w:val="16"/>
          <w:lang w:val="es-ES_tradnl"/>
        </w:rPr>
        <w:t xml:space="preserve"> </w:t>
      </w:r>
      <w:r w:rsidRPr="00A3774F">
        <w:rPr>
          <w:rFonts w:ascii="Arial" w:hAnsi="Arial" w:cs="Arial"/>
          <w:sz w:val="16"/>
          <w:szCs w:val="16"/>
          <w:lang w:val="es-ES_tradnl"/>
        </w:rPr>
        <w:tab/>
        <w:t xml:space="preserve">CNMC, «Circular 1/2013, de 18 de diciembre, de la Comisión Nacional de los Mercados y la Competencia, por la que se establecen los mecanismos de gestión de congestiones a aplicar en las conexiones internacionales por gasoducto con Europa ». </w:t>
      </w:r>
      <w:r w:rsidRPr="00101EA2">
        <w:rPr>
          <w:rFonts w:ascii="Arial" w:hAnsi="Arial" w:cs="Arial"/>
          <w:sz w:val="16"/>
          <w:szCs w:val="16"/>
        </w:rPr>
        <w:t>Available at :</w:t>
      </w:r>
    </w:p>
    <w:p w14:paraId="45E2E371" w14:textId="77777777" w:rsidR="009C4927" w:rsidRPr="00101EA2" w:rsidRDefault="009C4927" w:rsidP="002C327C">
      <w:pPr>
        <w:pStyle w:val="Textonotapie"/>
        <w:tabs>
          <w:tab w:val="left" w:pos="426"/>
        </w:tabs>
        <w:spacing w:before="60"/>
        <w:ind w:left="426" w:hanging="425"/>
        <w:jc w:val="both"/>
        <w:rPr>
          <w:sz w:val="16"/>
          <w:szCs w:val="16"/>
        </w:rPr>
      </w:pPr>
      <w:r>
        <w:rPr>
          <w:rFonts w:ascii="Arial" w:hAnsi="Arial" w:cs="Arial"/>
          <w:sz w:val="16"/>
          <w:szCs w:val="16"/>
        </w:rPr>
        <w:tab/>
      </w:r>
      <w:hyperlink r:id="rId2" w:history="1">
        <w:r w:rsidRPr="00101EA2">
          <w:rPr>
            <w:rStyle w:val="Hipervnculo"/>
            <w:rFonts w:cs="Arial"/>
            <w:sz w:val="16"/>
            <w:szCs w:val="16"/>
          </w:rPr>
          <w:t>http://www.cnmc.es/Portals/0/Ficheros/Energia/Circulares/CircularCNMC%201_2013.pdf</w:t>
        </w:r>
      </w:hyperlink>
      <w:r w:rsidRPr="00101EA2">
        <w:rPr>
          <w:rFonts w:ascii="Arial" w:hAnsi="Arial" w:cs="Arial"/>
          <w:sz w:val="16"/>
          <w:szCs w:val="16"/>
        </w:rPr>
        <w:t xml:space="preserve"> </w:t>
      </w:r>
    </w:p>
  </w:footnote>
  <w:footnote w:id="3">
    <w:p w14:paraId="2C3C35DA" w14:textId="77777777" w:rsidR="009C4927" w:rsidRPr="001A15F1" w:rsidRDefault="009C4927" w:rsidP="00867668">
      <w:pPr>
        <w:pStyle w:val="Textonotapie"/>
        <w:tabs>
          <w:tab w:val="left" w:pos="426"/>
        </w:tabs>
        <w:spacing w:before="60"/>
        <w:ind w:left="425" w:hanging="425"/>
        <w:jc w:val="both"/>
        <w:rPr>
          <w:rFonts w:ascii="Arial" w:hAnsi="Arial" w:cs="Arial"/>
          <w:sz w:val="16"/>
          <w:szCs w:val="16"/>
          <w:lang w:val="en-AU"/>
        </w:rPr>
      </w:pPr>
      <w:r w:rsidRPr="00101EA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CRE, «</w:t>
      </w:r>
      <w:r w:rsidRPr="00101EA2">
        <w:rPr>
          <w:rFonts w:ascii="Arial" w:hAnsi="Arial" w:cs="Arial"/>
          <w:sz w:val="16"/>
          <w:szCs w:val="16"/>
        </w:rPr>
        <w:t>Délibération de la Commission de régulation de l’énergie du 27 juin 2013 portant décision relative à la mise en œuvre de l’annexe I au règlement (CE) n° 715/2009 sur les procédures de gestion de la congestion</w:t>
      </w:r>
      <w:r>
        <w:rPr>
          <w:rFonts w:ascii="Arial" w:hAnsi="Arial" w:cs="Arial"/>
          <w:sz w:val="16"/>
          <w:szCs w:val="16"/>
        </w:rPr>
        <w:t>»</w:t>
      </w:r>
      <w:r w:rsidRPr="00101EA2">
        <w:rPr>
          <w:rFonts w:ascii="Arial" w:hAnsi="Arial" w:cs="Arial"/>
          <w:sz w:val="16"/>
          <w:szCs w:val="16"/>
        </w:rPr>
        <w:t xml:space="preserve">. </w:t>
      </w:r>
      <w:r>
        <w:rPr>
          <w:rFonts w:ascii="Arial" w:hAnsi="Arial" w:cs="Arial"/>
          <w:sz w:val="16"/>
          <w:szCs w:val="16"/>
        </w:rPr>
        <w:tab/>
      </w:r>
      <w:r w:rsidRPr="001A15F1">
        <w:rPr>
          <w:rFonts w:ascii="Arial" w:hAnsi="Arial" w:cs="Arial"/>
          <w:sz w:val="16"/>
          <w:szCs w:val="16"/>
          <w:lang w:val="en-AU"/>
        </w:rPr>
        <w:t>Available at :</w:t>
      </w:r>
    </w:p>
    <w:p w14:paraId="1CEAB0D5" w14:textId="77777777" w:rsidR="009C4927" w:rsidRPr="001A15F1" w:rsidRDefault="009C4927" w:rsidP="00867668">
      <w:pPr>
        <w:pStyle w:val="Textonotapie"/>
        <w:tabs>
          <w:tab w:val="left" w:pos="426"/>
        </w:tabs>
        <w:spacing w:before="60"/>
        <w:ind w:left="425" w:hanging="425"/>
        <w:jc w:val="both"/>
        <w:rPr>
          <w:rFonts w:ascii="Arial" w:hAnsi="Arial" w:cs="Arial"/>
          <w:sz w:val="16"/>
          <w:szCs w:val="16"/>
          <w:lang w:val="en-AU"/>
        </w:rPr>
      </w:pPr>
      <w:r w:rsidRPr="001A15F1">
        <w:rPr>
          <w:rFonts w:ascii="Arial" w:hAnsi="Arial" w:cs="Arial"/>
          <w:sz w:val="16"/>
          <w:szCs w:val="16"/>
          <w:lang w:val="en-AU"/>
        </w:rPr>
        <w:tab/>
        <w:t xml:space="preserve"> </w:t>
      </w:r>
      <w:hyperlink r:id="rId3" w:history="1">
        <w:r w:rsidRPr="001A15F1">
          <w:rPr>
            <w:rStyle w:val="Hipervnculo"/>
            <w:rFonts w:cs="Arial"/>
            <w:sz w:val="16"/>
            <w:szCs w:val="16"/>
            <w:lang w:val="en-AU"/>
          </w:rPr>
          <w:t>http://www.cre.fr/documents/deliberations/decision/gestion-de-la-congestion/consulter-la-deliberation</w:t>
        </w:r>
      </w:hyperlink>
      <w:r w:rsidRPr="001A15F1">
        <w:rPr>
          <w:rFonts w:ascii="Arial" w:hAnsi="Arial" w:cs="Arial"/>
          <w:sz w:val="16"/>
          <w:szCs w:val="16"/>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8" w:type="dxa"/>
      <w:tblBorders>
        <w:bottom w:val="single" w:sz="4" w:space="0" w:color="004E55"/>
      </w:tblBorders>
      <w:tblLayout w:type="fixed"/>
      <w:tblCellMar>
        <w:left w:w="28" w:type="dxa"/>
      </w:tblCellMar>
      <w:tblLook w:val="01E0" w:firstRow="1" w:lastRow="1" w:firstColumn="1" w:lastColumn="1" w:noHBand="0" w:noVBand="0"/>
    </w:tblPr>
    <w:tblGrid>
      <w:gridCol w:w="928"/>
      <w:gridCol w:w="1440"/>
      <w:gridCol w:w="4140"/>
      <w:gridCol w:w="2700"/>
    </w:tblGrid>
    <w:tr w:rsidR="009C4927" w14:paraId="0A788B23" w14:textId="77777777" w:rsidTr="00DC2C55">
      <w:trPr>
        <w:trHeight w:val="709"/>
      </w:trPr>
      <w:tc>
        <w:tcPr>
          <w:tcW w:w="928" w:type="dxa"/>
          <w:vAlign w:val="center"/>
        </w:tcPr>
        <w:p w14:paraId="2A15EEFC" w14:textId="77777777" w:rsidR="009C4927" w:rsidRDefault="009C4927">
          <w:pPr>
            <w:pStyle w:val="Encabezado"/>
            <w:jc w:val="both"/>
            <w:rPr>
              <w:rFonts w:ascii="Arial" w:hAnsi="Arial" w:cs="Arial"/>
              <w:sz w:val="18"/>
              <w:szCs w:val="18"/>
              <w:lang w:val="en-GB"/>
            </w:rPr>
          </w:pPr>
          <w:r w:rsidRPr="00407FB6">
            <w:rPr>
              <w:rFonts w:ascii="Arial" w:hAnsi="Arial" w:cs="Arial"/>
              <w:sz w:val="18"/>
              <w:szCs w:val="18"/>
              <w:lang w:val="en-GB"/>
            </w:rPr>
            <w:object w:dxaOrig="6466" w:dyaOrig="5039" w14:anchorId="2EFEE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1.8pt" o:ole="" o:allowoverlap="f">
                <v:imagedata r:id="rId1" o:title=""/>
              </v:shape>
              <o:OLEObject Type="Embed" ProgID="MSPhotoEd.3" ShapeID="_x0000_i1025" DrawAspect="Content" ObjectID="_1523366070" r:id="rId2"/>
            </w:object>
          </w:r>
        </w:p>
      </w:tc>
      <w:tc>
        <w:tcPr>
          <w:tcW w:w="1440" w:type="dxa"/>
          <w:vAlign w:val="center"/>
        </w:tcPr>
        <w:p w14:paraId="267DF844" w14:textId="77777777" w:rsidR="009C4927" w:rsidRDefault="009C4927">
          <w:pPr>
            <w:pStyle w:val="Encabezado"/>
            <w:jc w:val="center"/>
            <w:rPr>
              <w:rFonts w:ascii="Arial" w:hAnsi="Arial" w:cs="Arial"/>
              <w:sz w:val="18"/>
              <w:szCs w:val="18"/>
              <w:lang w:val="en-GB"/>
            </w:rPr>
          </w:pPr>
        </w:p>
      </w:tc>
      <w:tc>
        <w:tcPr>
          <w:tcW w:w="4140" w:type="dxa"/>
          <w:vAlign w:val="center"/>
        </w:tcPr>
        <w:p w14:paraId="49A9FD74" w14:textId="77777777" w:rsidR="009C4927" w:rsidRDefault="009C4927" w:rsidP="00DC2C55">
          <w:pPr>
            <w:pStyle w:val="Encabezado"/>
            <w:jc w:val="center"/>
            <w:rPr>
              <w:rFonts w:ascii="Arial" w:hAnsi="Arial" w:cs="Arial"/>
              <w:color w:val="003366"/>
              <w:sz w:val="17"/>
              <w:szCs w:val="17"/>
              <w:lang w:val="en-GB"/>
            </w:rPr>
          </w:pPr>
          <w:r w:rsidRPr="00634493">
            <w:rPr>
              <w:noProof/>
              <w:lang w:val="es-ES" w:eastAsia="es-ES"/>
            </w:rPr>
            <w:drawing>
              <wp:inline distT="0" distB="0" distL="0" distR="0" wp14:anchorId="0391064E" wp14:editId="6DAB7EDA">
                <wp:extent cx="838200" cy="32617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51688" t="9434" r="1688" b="9434"/>
                        <a:stretch/>
                      </pic:blipFill>
                      <pic:spPr bwMode="auto">
                        <a:xfrm>
                          <a:off x="0" y="0"/>
                          <a:ext cx="838717" cy="3263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0" w:type="dxa"/>
          <w:vAlign w:val="center"/>
        </w:tcPr>
        <w:p w14:paraId="196D2030" w14:textId="77777777" w:rsidR="009C4927" w:rsidRDefault="009C4927" w:rsidP="00DC0D35">
          <w:pPr>
            <w:pStyle w:val="Encabezado"/>
            <w:jc w:val="right"/>
            <w:rPr>
              <w:rFonts w:ascii="Arial" w:hAnsi="Arial" w:cs="Arial"/>
              <w:sz w:val="18"/>
              <w:szCs w:val="18"/>
              <w:lang w:val="en-GB"/>
            </w:rPr>
          </w:pPr>
          <w:r w:rsidRPr="00F646F4">
            <w:rPr>
              <w:rFonts w:ascii="Arial" w:hAnsi="Arial" w:cs="Arial"/>
              <w:noProof/>
              <w:sz w:val="18"/>
              <w:szCs w:val="18"/>
              <w:lang w:val="es-ES" w:eastAsia="es-ES"/>
            </w:rPr>
            <w:drawing>
              <wp:inline distT="0" distB="0" distL="0" distR="0" wp14:anchorId="672E6AF4" wp14:editId="7AC9F2EC">
                <wp:extent cx="614474" cy="285293"/>
                <wp:effectExtent l="0" t="0" r="0" b="0"/>
                <wp:docPr id="7" name="4 Imagen"/>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rotWithShape="1">
                        <a:blip r:embed="rId4">
                          <a:extLst>
                            <a:ext uri="{28A0092B-C50C-407E-A947-70E740481C1C}">
                              <a14:useLocalDpi xmlns:a14="http://schemas.microsoft.com/office/drawing/2010/main" val="0"/>
                            </a:ext>
                          </a:extLst>
                        </a:blip>
                        <a:srcRect l="57812"/>
                        <a:stretch/>
                      </pic:blipFill>
                      <pic:spPr bwMode="auto">
                        <a:xfrm>
                          <a:off x="0" y="0"/>
                          <a:ext cx="615136" cy="285600"/>
                        </a:xfrm>
                        <a:prstGeom prst="rect">
                          <a:avLst/>
                        </a:prstGeom>
                        <a:noFill/>
                      </pic:spPr>
                    </pic:pic>
                  </a:graphicData>
                </a:graphic>
              </wp:inline>
            </w:drawing>
          </w:r>
        </w:p>
      </w:tc>
    </w:tr>
    <w:tr w:rsidR="009C4927" w:rsidRPr="009419E5" w14:paraId="05FFFF88" w14:textId="77777777" w:rsidTr="009C4927">
      <w:trPr>
        <w:trHeight w:val="709"/>
      </w:trPr>
      <w:tc>
        <w:tcPr>
          <w:tcW w:w="9208" w:type="dxa"/>
          <w:gridSpan w:val="4"/>
          <w:vAlign w:val="center"/>
        </w:tcPr>
        <w:p w14:paraId="4D7E6BF2" w14:textId="2C4651FC" w:rsidR="009C4927" w:rsidRPr="00F646F4" w:rsidRDefault="00063A3D" w:rsidP="00F646F4">
          <w:pPr>
            <w:pStyle w:val="Encabezado"/>
            <w:jc w:val="center"/>
            <w:rPr>
              <w:noProof/>
              <w:lang w:val="en-US" w:eastAsia="es-ES"/>
            </w:rPr>
          </w:pPr>
          <w:r>
            <w:rPr>
              <w:rFonts w:ascii="Arial" w:hAnsi="Arial" w:cs="Arial"/>
              <w:color w:val="003366"/>
              <w:szCs w:val="17"/>
              <w:lang w:val="en-GB"/>
            </w:rPr>
            <w:t>O</w:t>
          </w:r>
          <w:r w:rsidR="009C4927" w:rsidRPr="00DC0D35">
            <w:rPr>
              <w:rFonts w:ascii="Arial" w:hAnsi="Arial" w:cs="Arial"/>
              <w:color w:val="003366"/>
              <w:szCs w:val="17"/>
              <w:lang w:val="en-GB"/>
            </w:rPr>
            <w:t>versubscription and buy-back scheme</w:t>
          </w:r>
        </w:p>
      </w:tc>
    </w:tr>
  </w:tbl>
  <w:p w14:paraId="48FAA500" w14:textId="77777777" w:rsidR="009C4927" w:rsidRPr="001A15F1" w:rsidRDefault="009C4927" w:rsidP="000F08CF">
    <w:pPr>
      <w:pStyle w:val="Encabezado"/>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35E"/>
    <w:multiLevelType w:val="hybridMultilevel"/>
    <w:tmpl w:val="2856D336"/>
    <w:lvl w:ilvl="0" w:tplc="CE841286">
      <w:start w:val="7"/>
      <w:numFmt w:val="bullet"/>
      <w:lvlText w:val="-"/>
      <w:lvlJc w:val="left"/>
      <w:pPr>
        <w:ind w:left="720" w:hanging="360"/>
      </w:pPr>
      <w:rPr>
        <w:rFonts w:ascii="Arial" w:eastAsia="Times New Roman" w:hAnsi="Arial" w:cs="Arial" w:hint="default"/>
      </w:rPr>
    </w:lvl>
    <w:lvl w:ilvl="1" w:tplc="CBF033C6">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E645F5"/>
    <w:multiLevelType w:val="hybridMultilevel"/>
    <w:tmpl w:val="B882CBEA"/>
    <w:lvl w:ilvl="0" w:tplc="241A4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D7EAD"/>
    <w:multiLevelType w:val="hybridMultilevel"/>
    <w:tmpl w:val="E82C88D4"/>
    <w:lvl w:ilvl="0" w:tplc="98F20EC4">
      <w:start w:val="1"/>
      <w:numFmt w:val="bullet"/>
      <w:lvlText w:val="•"/>
      <w:lvlJc w:val="left"/>
      <w:pPr>
        <w:tabs>
          <w:tab w:val="num" w:pos="720"/>
        </w:tabs>
        <w:ind w:left="720" w:hanging="360"/>
      </w:pPr>
      <w:rPr>
        <w:rFonts w:ascii="Arial" w:hAnsi="Arial" w:hint="default"/>
      </w:rPr>
    </w:lvl>
    <w:lvl w:ilvl="1" w:tplc="CB6A4A9C" w:tentative="1">
      <w:start w:val="1"/>
      <w:numFmt w:val="bullet"/>
      <w:lvlText w:val="•"/>
      <w:lvlJc w:val="left"/>
      <w:pPr>
        <w:tabs>
          <w:tab w:val="num" w:pos="1440"/>
        </w:tabs>
        <w:ind w:left="1440" w:hanging="360"/>
      </w:pPr>
      <w:rPr>
        <w:rFonts w:ascii="Arial" w:hAnsi="Arial" w:hint="default"/>
      </w:rPr>
    </w:lvl>
    <w:lvl w:ilvl="2" w:tplc="C080A8CC" w:tentative="1">
      <w:start w:val="1"/>
      <w:numFmt w:val="bullet"/>
      <w:lvlText w:val="•"/>
      <w:lvlJc w:val="left"/>
      <w:pPr>
        <w:tabs>
          <w:tab w:val="num" w:pos="2160"/>
        </w:tabs>
        <w:ind w:left="2160" w:hanging="360"/>
      </w:pPr>
      <w:rPr>
        <w:rFonts w:ascii="Arial" w:hAnsi="Arial" w:hint="default"/>
      </w:rPr>
    </w:lvl>
    <w:lvl w:ilvl="3" w:tplc="0BBEEDF0" w:tentative="1">
      <w:start w:val="1"/>
      <w:numFmt w:val="bullet"/>
      <w:lvlText w:val="•"/>
      <w:lvlJc w:val="left"/>
      <w:pPr>
        <w:tabs>
          <w:tab w:val="num" w:pos="2880"/>
        </w:tabs>
        <w:ind w:left="2880" w:hanging="360"/>
      </w:pPr>
      <w:rPr>
        <w:rFonts w:ascii="Arial" w:hAnsi="Arial" w:hint="default"/>
      </w:rPr>
    </w:lvl>
    <w:lvl w:ilvl="4" w:tplc="AD506B54" w:tentative="1">
      <w:start w:val="1"/>
      <w:numFmt w:val="bullet"/>
      <w:lvlText w:val="•"/>
      <w:lvlJc w:val="left"/>
      <w:pPr>
        <w:tabs>
          <w:tab w:val="num" w:pos="3600"/>
        </w:tabs>
        <w:ind w:left="3600" w:hanging="360"/>
      </w:pPr>
      <w:rPr>
        <w:rFonts w:ascii="Arial" w:hAnsi="Arial" w:hint="default"/>
      </w:rPr>
    </w:lvl>
    <w:lvl w:ilvl="5" w:tplc="E6D89062" w:tentative="1">
      <w:start w:val="1"/>
      <w:numFmt w:val="bullet"/>
      <w:lvlText w:val="•"/>
      <w:lvlJc w:val="left"/>
      <w:pPr>
        <w:tabs>
          <w:tab w:val="num" w:pos="4320"/>
        </w:tabs>
        <w:ind w:left="4320" w:hanging="360"/>
      </w:pPr>
      <w:rPr>
        <w:rFonts w:ascii="Arial" w:hAnsi="Arial" w:hint="default"/>
      </w:rPr>
    </w:lvl>
    <w:lvl w:ilvl="6" w:tplc="A88C6DDA" w:tentative="1">
      <w:start w:val="1"/>
      <w:numFmt w:val="bullet"/>
      <w:lvlText w:val="•"/>
      <w:lvlJc w:val="left"/>
      <w:pPr>
        <w:tabs>
          <w:tab w:val="num" w:pos="5040"/>
        </w:tabs>
        <w:ind w:left="5040" w:hanging="360"/>
      </w:pPr>
      <w:rPr>
        <w:rFonts w:ascii="Arial" w:hAnsi="Arial" w:hint="default"/>
      </w:rPr>
    </w:lvl>
    <w:lvl w:ilvl="7" w:tplc="CA3858A0" w:tentative="1">
      <w:start w:val="1"/>
      <w:numFmt w:val="bullet"/>
      <w:lvlText w:val="•"/>
      <w:lvlJc w:val="left"/>
      <w:pPr>
        <w:tabs>
          <w:tab w:val="num" w:pos="5760"/>
        </w:tabs>
        <w:ind w:left="5760" w:hanging="360"/>
      </w:pPr>
      <w:rPr>
        <w:rFonts w:ascii="Arial" w:hAnsi="Arial" w:hint="default"/>
      </w:rPr>
    </w:lvl>
    <w:lvl w:ilvl="8" w:tplc="7D28DB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AF056A"/>
    <w:multiLevelType w:val="multilevel"/>
    <w:tmpl w:val="C8C82C70"/>
    <w:lvl w:ilvl="0">
      <w:start w:val="1"/>
      <w:numFmt w:val="upperRoman"/>
      <w:pStyle w:val="Estilo1"/>
      <w:lvlText w:val="Appendix %1:"/>
      <w:lvlJc w:val="left"/>
      <w:pPr>
        <w:tabs>
          <w:tab w:val="num" w:pos="1800"/>
        </w:tabs>
        <w:ind w:left="0" w:firstLine="0"/>
      </w:pPr>
      <w:rPr>
        <w:rFonts w:hint="default"/>
        <w:u w:val="single"/>
      </w:rPr>
    </w:lvl>
    <w:lvl w:ilvl="1">
      <w:start w:val="1"/>
      <w:numFmt w:val="decimalZero"/>
      <w:isLgl/>
      <w:lvlText w:val="Secció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CD55594"/>
    <w:multiLevelType w:val="hybridMultilevel"/>
    <w:tmpl w:val="8DBC08B6"/>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5" w15:restartNumberingAfterBreak="0">
    <w:nsid w:val="1E526446"/>
    <w:multiLevelType w:val="hybridMultilevel"/>
    <w:tmpl w:val="DBEA26D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FD0CB0"/>
    <w:multiLevelType w:val="hybridMultilevel"/>
    <w:tmpl w:val="C2908AC8"/>
    <w:lvl w:ilvl="0" w:tplc="0C0A000F">
      <w:start w:val="1"/>
      <w:numFmt w:val="decimal"/>
      <w:lvlText w:val="%1."/>
      <w:lvlJc w:val="left"/>
      <w:pPr>
        <w:tabs>
          <w:tab w:val="num" w:pos="720"/>
        </w:tabs>
        <w:ind w:left="720" w:hanging="360"/>
      </w:pPr>
      <w:rPr>
        <w:rFonts w:hint="default"/>
      </w:rPr>
    </w:lvl>
    <w:lvl w:ilvl="1" w:tplc="4866DC0A">
      <w:start w:val="1"/>
      <w:numFmt w:val="bullet"/>
      <w:lvlText w:val=""/>
      <w:lvlJc w:val="left"/>
      <w:pPr>
        <w:tabs>
          <w:tab w:val="num" w:pos="1440"/>
        </w:tabs>
        <w:ind w:left="1440" w:hanging="360"/>
      </w:pPr>
      <w:rPr>
        <w:rFonts w:ascii="Symbol" w:hAnsi="Symbol" w:hint="default"/>
      </w:rPr>
    </w:lvl>
    <w:lvl w:ilvl="2" w:tplc="F1C81F7A" w:tentative="1">
      <w:start w:val="1"/>
      <w:numFmt w:val="bullet"/>
      <w:lvlText w:val=""/>
      <w:lvlJc w:val="left"/>
      <w:pPr>
        <w:tabs>
          <w:tab w:val="num" w:pos="2160"/>
        </w:tabs>
        <w:ind w:left="2160" w:hanging="360"/>
      </w:pPr>
      <w:rPr>
        <w:rFonts w:ascii="Symbol" w:hAnsi="Symbol" w:hint="default"/>
      </w:rPr>
    </w:lvl>
    <w:lvl w:ilvl="3" w:tplc="D0804E56" w:tentative="1">
      <w:start w:val="1"/>
      <w:numFmt w:val="bullet"/>
      <w:lvlText w:val=""/>
      <w:lvlJc w:val="left"/>
      <w:pPr>
        <w:tabs>
          <w:tab w:val="num" w:pos="2880"/>
        </w:tabs>
        <w:ind w:left="2880" w:hanging="360"/>
      </w:pPr>
      <w:rPr>
        <w:rFonts w:ascii="Symbol" w:hAnsi="Symbol" w:hint="default"/>
      </w:rPr>
    </w:lvl>
    <w:lvl w:ilvl="4" w:tplc="8FD08C4C" w:tentative="1">
      <w:start w:val="1"/>
      <w:numFmt w:val="bullet"/>
      <w:lvlText w:val=""/>
      <w:lvlJc w:val="left"/>
      <w:pPr>
        <w:tabs>
          <w:tab w:val="num" w:pos="3600"/>
        </w:tabs>
        <w:ind w:left="3600" w:hanging="360"/>
      </w:pPr>
      <w:rPr>
        <w:rFonts w:ascii="Symbol" w:hAnsi="Symbol" w:hint="default"/>
      </w:rPr>
    </w:lvl>
    <w:lvl w:ilvl="5" w:tplc="B8D0B970" w:tentative="1">
      <w:start w:val="1"/>
      <w:numFmt w:val="bullet"/>
      <w:lvlText w:val=""/>
      <w:lvlJc w:val="left"/>
      <w:pPr>
        <w:tabs>
          <w:tab w:val="num" w:pos="4320"/>
        </w:tabs>
        <w:ind w:left="4320" w:hanging="360"/>
      </w:pPr>
      <w:rPr>
        <w:rFonts w:ascii="Symbol" w:hAnsi="Symbol" w:hint="default"/>
      </w:rPr>
    </w:lvl>
    <w:lvl w:ilvl="6" w:tplc="B37E7BD4" w:tentative="1">
      <w:start w:val="1"/>
      <w:numFmt w:val="bullet"/>
      <w:lvlText w:val=""/>
      <w:lvlJc w:val="left"/>
      <w:pPr>
        <w:tabs>
          <w:tab w:val="num" w:pos="5040"/>
        </w:tabs>
        <w:ind w:left="5040" w:hanging="360"/>
      </w:pPr>
      <w:rPr>
        <w:rFonts w:ascii="Symbol" w:hAnsi="Symbol" w:hint="default"/>
      </w:rPr>
    </w:lvl>
    <w:lvl w:ilvl="7" w:tplc="DC289164" w:tentative="1">
      <w:start w:val="1"/>
      <w:numFmt w:val="bullet"/>
      <w:lvlText w:val=""/>
      <w:lvlJc w:val="left"/>
      <w:pPr>
        <w:tabs>
          <w:tab w:val="num" w:pos="5760"/>
        </w:tabs>
        <w:ind w:left="5760" w:hanging="360"/>
      </w:pPr>
      <w:rPr>
        <w:rFonts w:ascii="Symbol" w:hAnsi="Symbol" w:hint="default"/>
      </w:rPr>
    </w:lvl>
    <w:lvl w:ilvl="8" w:tplc="31FE670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39241F0"/>
    <w:multiLevelType w:val="hybridMultilevel"/>
    <w:tmpl w:val="B01EF066"/>
    <w:lvl w:ilvl="0" w:tplc="9C5A9FB8">
      <w:start w:val="1"/>
      <w:numFmt w:val="bullet"/>
      <w:lvlText w:val="•"/>
      <w:lvlJc w:val="left"/>
      <w:pPr>
        <w:tabs>
          <w:tab w:val="num" w:pos="720"/>
        </w:tabs>
        <w:ind w:left="720" w:hanging="360"/>
      </w:pPr>
      <w:rPr>
        <w:rFonts w:ascii="Arial" w:hAnsi="Arial" w:hint="default"/>
      </w:rPr>
    </w:lvl>
    <w:lvl w:ilvl="1" w:tplc="E8EC5F68">
      <w:start w:val="1"/>
      <w:numFmt w:val="bullet"/>
      <w:lvlText w:val="•"/>
      <w:lvlJc w:val="left"/>
      <w:pPr>
        <w:tabs>
          <w:tab w:val="num" w:pos="1440"/>
        </w:tabs>
        <w:ind w:left="1440" w:hanging="360"/>
      </w:pPr>
      <w:rPr>
        <w:rFonts w:ascii="Arial" w:hAnsi="Arial" w:hint="default"/>
      </w:rPr>
    </w:lvl>
    <w:lvl w:ilvl="2" w:tplc="72000698" w:tentative="1">
      <w:start w:val="1"/>
      <w:numFmt w:val="bullet"/>
      <w:lvlText w:val="•"/>
      <w:lvlJc w:val="left"/>
      <w:pPr>
        <w:tabs>
          <w:tab w:val="num" w:pos="2160"/>
        </w:tabs>
        <w:ind w:left="2160" w:hanging="360"/>
      </w:pPr>
      <w:rPr>
        <w:rFonts w:ascii="Arial" w:hAnsi="Arial" w:hint="default"/>
      </w:rPr>
    </w:lvl>
    <w:lvl w:ilvl="3" w:tplc="4E7A038E" w:tentative="1">
      <w:start w:val="1"/>
      <w:numFmt w:val="bullet"/>
      <w:lvlText w:val="•"/>
      <w:lvlJc w:val="left"/>
      <w:pPr>
        <w:tabs>
          <w:tab w:val="num" w:pos="2880"/>
        </w:tabs>
        <w:ind w:left="2880" w:hanging="360"/>
      </w:pPr>
      <w:rPr>
        <w:rFonts w:ascii="Arial" w:hAnsi="Arial" w:hint="default"/>
      </w:rPr>
    </w:lvl>
    <w:lvl w:ilvl="4" w:tplc="D3DE7FDA" w:tentative="1">
      <w:start w:val="1"/>
      <w:numFmt w:val="bullet"/>
      <w:lvlText w:val="•"/>
      <w:lvlJc w:val="left"/>
      <w:pPr>
        <w:tabs>
          <w:tab w:val="num" w:pos="3600"/>
        </w:tabs>
        <w:ind w:left="3600" w:hanging="360"/>
      </w:pPr>
      <w:rPr>
        <w:rFonts w:ascii="Arial" w:hAnsi="Arial" w:hint="default"/>
      </w:rPr>
    </w:lvl>
    <w:lvl w:ilvl="5" w:tplc="50C4FB22" w:tentative="1">
      <w:start w:val="1"/>
      <w:numFmt w:val="bullet"/>
      <w:lvlText w:val="•"/>
      <w:lvlJc w:val="left"/>
      <w:pPr>
        <w:tabs>
          <w:tab w:val="num" w:pos="4320"/>
        </w:tabs>
        <w:ind w:left="4320" w:hanging="360"/>
      </w:pPr>
      <w:rPr>
        <w:rFonts w:ascii="Arial" w:hAnsi="Arial" w:hint="default"/>
      </w:rPr>
    </w:lvl>
    <w:lvl w:ilvl="6" w:tplc="FB4078E4" w:tentative="1">
      <w:start w:val="1"/>
      <w:numFmt w:val="bullet"/>
      <w:lvlText w:val="•"/>
      <w:lvlJc w:val="left"/>
      <w:pPr>
        <w:tabs>
          <w:tab w:val="num" w:pos="5040"/>
        </w:tabs>
        <w:ind w:left="5040" w:hanging="360"/>
      </w:pPr>
      <w:rPr>
        <w:rFonts w:ascii="Arial" w:hAnsi="Arial" w:hint="default"/>
      </w:rPr>
    </w:lvl>
    <w:lvl w:ilvl="7" w:tplc="25CEC06A" w:tentative="1">
      <w:start w:val="1"/>
      <w:numFmt w:val="bullet"/>
      <w:lvlText w:val="•"/>
      <w:lvlJc w:val="left"/>
      <w:pPr>
        <w:tabs>
          <w:tab w:val="num" w:pos="5760"/>
        </w:tabs>
        <w:ind w:left="5760" w:hanging="360"/>
      </w:pPr>
      <w:rPr>
        <w:rFonts w:ascii="Arial" w:hAnsi="Arial" w:hint="default"/>
      </w:rPr>
    </w:lvl>
    <w:lvl w:ilvl="8" w:tplc="1FFA07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2B478C"/>
    <w:multiLevelType w:val="hybridMultilevel"/>
    <w:tmpl w:val="08F61A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4DC3991"/>
    <w:multiLevelType w:val="hybridMultilevel"/>
    <w:tmpl w:val="67C691F0"/>
    <w:lvl w:ilvl="0" w:tplc="1846BBEA">
      <w:start w:val="1"/>
      <w:numFmt w:val="bullet"/>
      <w:lvlText w:val=""/>
      <w:lvlJc w:val="left"/>
      <w:pPr>
        <w:ind w:left="1069" w:hanging="360"/>
      </w:pPr>
      <w:rPr>
        <w:rFonts w:ascii="Symbol" w:hAnsi="Symbol" w:hint="default"/>
      </w:rPr>
    </w:lvl>
    <w:lvl w:ilvl="1" w:tplc="AC3E3B1C">
      <w:start w:val="1"/>
      <w:numFmt w:val="bullet"/>
      <w:lvlText w:val="o"/>
      <w:lvlJc w:val="left"/>
      <w:pPr>
        <w:ind w:left="1789" w:hanging="360"/>
      </w:pPr>
      <w:rPr>
        <w:rFonts w:ascii="Courier New" w:hAnsi="Courier New" w:cs="Courier New" w:hint="default"/>
      </w:rPr>
    </w:lvl>
    <w:lvl w:ilvl="2" w:tplc="31F4B54C">
      <w:start w:val="1"/>
      <w:numFmt w:val="bullet"/>
      <w:lvlText w:val=""/>
      <w:lvlJc w:val="left"/>
      <w:pPr>
        <w:ind w:left="2509" w:hanging="360"/>
      </w:pPr>
      <w:rPr>
        <w:rFonts w:ascii="Wingdings" w:hAnsi="Wingdings" w:hint="default"/>
      </w:rPr>
    </w:lvl>
    <w:lvl w:ilvl="3" w:tplc="92BCD23E">
      <w:start w:val="1"/>
      <w:numFmt w:val="bullet"/>
      <w:lvlText w:val=""/>
      <w:lvlJc w:val="left"/>
      <w:pPr>
        <w:ind w:left="3229" w:hanging="360"/>
      </w:pPr>
      <w:rPr>
        <w:rFonts w:ascii="Symbol" w:hAnsi="Symbol" w:hint="default"/>
      </w:rPr>
    </w:lvl>
    <w:lvl w:ilvl="4" w:tplc="3A94BA7A">
      <w:start w:val="1"/>
      <w:numFmt w:val="bullet"/>
      <w:lvlText w:val="o"/>
      <w:lvlJc w:val="left"/>
      <w:pPr>
        <w:ind w:left="3949" w:hanging="360"/>
      </w:pPr>
      <w:rPr>
        <w:rFonts w:ascii="Courier New" w:hAnsi="Courier New" w:cs="Courier New" w:hint="default"/>
      </w:rPr>
    </w:lvl>
    <w:lvl w:ilvl="5" w:tplc="87D44828">
      <w:start w:val="1"/>
      <w:numFmt w:val="bullet"/>
      <w:lvlText w:val=""/>
      <w:lvlJc w:val="left"/>
      <w:pPr>
        <w:ind w:left="4669" w:hanging="360"/>
      </w:pPr>
      <w:rPr>
        <w:rFonts w:ascii="Wingdings" w:hAnsi="Wingdings" w:hint="default"/>
      </w:rPr>
    </w:lvl>
    <w:lvl w:ilvl="6" w:tplc="974E0114">
      <w:start w:val="1"/>
      <w:numFmt w:val="bullet"/>
      <w:lvlText w:val=""/>
      <w:lvlJc w:val="left"/>
      <w:pPr>
        <w:ind w:left="5389" w:hanging="360"/>
      </w:pPr>
      <w:rPr>
        <w:rFonts w:ascii="Symbol" w:hAnsi="Symbol" w:hint="default"/>
      </w:rPr>
    </w:lvl>
    <w:lvl w:ilvl="7" w:tplc="B560A61C">
      <w:start w:val="1"/>
      <w:numFmt w:val="bullet"/>
      <w:lvlText w:val="o"/>
      <w:lvlJc w:val="left"/>
      <w:pPr>
        <w:ind w:left="6109" w:hanging="360"/>
      </w:pPr>
      <w:rPr>
        <w:rFonts w:ascii="Courier New" w:hAnsi="Courier New" w:cs="Courier New" w:hint="default"/>
      </w:rPr>
    </w:lvl>
    <w:lvl w:ilvl="8" w:tplc="00528326">
      <w:start w:val="1"/>
      <w:numFmt w:val="bullet"/>
      <w:lvlText w:val=""/>
      <w:lvlJc w:val="left"/>
      <w:pPr>
        <w:ind w:left="6829" w:hanging="360"/>
      </w:pPr>
      <w:rPr>
        <w:rFonts w:ascii="Wingdings" w:hAnsi="Wingdings" w:hint="default"/>
      </w:rPr>
    </w:lvl>
  </w:abstractNum>
  <w:abstractNum w:abstractNumId="10" w15:restartNumberingAfterBreak="0">
    <w:nsid w:val="26055943"/>
    <w:multiLevelType w:val="hybridMultilevel"/>
    <w:tmpl w:val="EC562D84"/>
    <w:lvl w:ilvl="0" w:tplc="CE841286">
      <w:start w:val="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797683"/>
    <w:multiLevelType w:val="hybridMultilevel"/>
    <w:tmpl w:val="4D9E0E6A"/>
    <w:lvl w:ilvl="0" w:tplc="B01836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41239A"/>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A72DAF"/>
    <w:multiLevelType w:val="multilevel"/>
    <w:tmpl w:val="78E8EAC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816"/>
        </w:tabs>
        <w:ind w:left="816" w:hanging="576"/>
      </w:pPr>
      <w:rPr>
        <w:rFonts w:ascii="Arial" w:hAnsi="Arial" w:cs="Arial" w:hint="default"/>
        <w:b/>
        <w:i w:val="0"/>
        <w:sz w:val="26"/>
        <w:szCs w:val="26"/>
      </w:rPr>
    </w:lvl>
    <w:lvl w:ilvl="2">
      <w:start w:val="1"/>
      <w:numFmt w:val="decimal"/>
      <w:pStyle w:val="EstiloTtulo3ArialCursivaAutomticoAntes12ptoDespu1"/>
      <w:lvlText w:val="%2%1.1.%3"/>
      <w:lvlJc w:val="left"/>
      <w:pPr>
        <w:tabs>
          <w:tab w:val="num" w:pos="1080"/>
        </w:tabs>
        <w:ind w:left="720" w:hanging="720"/>
      </w:pPr>
      <w:rPr>
        <w:rFonts w:hint="default"/>
        <w:b/>
        <w:i/>
        <w:sz w:val="24"/>
        <w:szCs w:val="24"/>
        <w:lang w:val="en-GB"/>
      </w:rPr>
    </w:lvl>
    <w:lvl w:ilvl="3">
      <w:start w:val="1"/>
      <w:numFmt w:val="decimal"/>
      <w:lvlText w:val="%1.%2.%3.%4"/>
      <w:lvlJc w:val="left"/>
      <w:pPr>
        <w:tabs>
          <w:tab w:val="num" w:pos="864"/>
        </w:tabs>
        <w:ind w:left="864" w:hanging="864"/>
      </w:pPr>
      <w:rPr>
        <w:rFonts w:ascii="Arial" w:hAnsi="Arial" w:cs="Arial" w:hint="default"/>
        <w:sz w:val="22"/>
        <w:szCs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8A01791"/>
    <w:multiLevelType w:val="hybridMultilevel"/>
    <w:tmpl w:val="07FEEA6A"/>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7C0E5D"/>
    <w:multiLevelType w:val="hybridMultilevel"/>
    <w:tmpl w:val="640A4816"/>
    <w:lvl w:ilvl="0" w:tplc="AB600B9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AE23E9"/>
    <w:multiLevelType w:val="hybridMultilevel"/>
    <w:tmpl w:val="9F82D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790320"/>
    <w:multiLevelType w:val="hybridMultilevel"/>
    <w:tmpl w:val="B882CBEA"/>
    <w:lvl w:ilvl="0" w:tplc="241A4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8D68B2"/>
    <w:multiLevelType w:val="hybridMultilevel"/>
    <w:tmpl w:val="71126358"/>
    <w:lvl w:ilvl="0" w:tplc="16E6B806">
      <w:start w:val="1"/>
      <w:numFmt w:val="decimal"/>
      <w:lvlText w:val="(%1)"/>
      <w:lvlJc w:val="left"/>
      <w:pPr>
        <w:ind w:left="1113" w:hanging="4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0552003"/>
    <w:multiLevelType w:val="hybridMultilevel"/>
    <w:tmpl w:val="DBEA26D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D05EE0"/>
    <w:multiLevelType w:val="hybridMultilevel"/>
    <w:tmpl w:val="EAEC1D1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15:restartNumberingAfterBreak="0">
    <w:nsid w:val="52F96AE4"/>
    <w:multiLevelType w:val="hybridMultilevel"/>
    <w:tmpl w:val="1680A616"/>
    <w:lvl w:ilvl="0" w:tplc="CE841286">
      <w:start w:val="7"/>
      <w:numFmt w:val="bullet"/>
      <w:lvlText w:val="-"/>
      <w:lvlJc w:val="left"/>
      <w:pPr>
        <w:ind w:left="720" w:hanging="360"/>
      </w:pPr>
      <w:rPr>
        <w:rFonts w:ascii="Arial" w:eastAsia="Times New Roman"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E9260F"/>
    <w:multiLevelType w:val="multilevel"/>
    <w:tmpl w:val="53763842"/>
    <w:lvl w:ilvl="0">
      <w:start w:val="1"/>
      <w:numFmt w:val="upperRoman"/>
      <w:suff w:val="space"/>
      <w:lvlText w:val="Appendix %1:"/>
      <w:lvlJc w:val="left"/>
      <w:pPr>
        <w:ind w:left="-288" w:firstLine="0"/>
      </w:pPr>
      <w:rPr>
        <w:rFonts w:hint="default"/>
        <w:u w:val="single"/>
      </w:rPr>
    </w:lvl>
    <w:lvl w:ilvl="1">
      <w:start w:val="1"/>
      <w:numFmt w:val="decimal"/>
      <w:lvlText w:val="%1.%2"/>
      <w:lvlJc w:val="left"/>
      <w:pPr>
        <w:tabs>
          <w:tab w:val="num" w:pos="392"/>
        </w:tabs>
        <w:ind w:left="-288" w:firstLine="0"/>
      </w:pPr>
      <w:rPr>
        <w:rFonts w:hint="default"/>
      </w:rPr>
    </w:lvl>
    <w:lvl w:ilvl="2">
      <w:start w:val="1"/>
      <w:numFmt w:val="decimal"/>
      <w:pStyle w:val="Estilo4"/>
      <w:lvlText w:val="(%3)"/>
      <w:lvlJc w:val="left"/>
      <w:pPr>
        <w:tabs>
          <w:tab w:val="num" w:pos="432"/>
        </w:tabs>
        <w:ind w:left="432" w:hanging="432"/>
      </w:pPr>
      <w:rPr>
        <w:rFonts w:hint="default"/>
      </w:rPr>
    </w:lvl>
    <w:lvl w:ilvl="3">
      <w:start w:val="1"/>
      <w:numFmt w:val="lowerRoman"/>
      <w:lvlText w:val="(%4)"/>
      <w:lvlJc w:val="right"/>
      <w:pPr>
        <w:tabs>
          <w:tab w:val="num" w:pos="576"/>
        </w:tabs>
        <w:ind w:left="576" w:hanging="144"/>
      </w:pPr>
      <w:rPr>
        <w:rFonts w:hint="default"/>
      </w:rPr>
    </w:lvl>
    <w:lvl w:ilvl="4">
      <w:start w:val="1"/>
      <w:numFmt w:val="decimal"/>
      <w:lvlText w:val="%5)"/>
      <w:lvlJc w:val="left"/>
      <w:pPr>
        <w:tabs>
          <w:tab w:val="num" w:pos="720"/>
        </w:tabs>
        <w:ind w:left="720" w:hanging="432"/>
      </w:pPr>
      <w:rPr>
        <w:rFonts w:hint="default"/>
      </w:rPr>
    </w:lvl>
    <w:lvl w:ilvl="5">
      <w:start w:val="1"/>
      <w:numFmt w:val="lowerLetter"/>
      <w:lvlText w:val="%6)"/>
      <w:lvlJc w:val="left"/>
      <w:pPr>
        <w:tabs>
          <w:tab w:val="num" w:pos="864"/>
        </w:tabs>
        <w:ind w:left="864" w:hanging="432"/>
      </w:pPr>
      <w:rPr>
        <w:rFonts w:hint="default"/>
      </w:rPr>
    </w:lvl>
    <w:lvl w:ilvl="6">
      <w:start w:val="1"/>
      <w:numFmt w:val="lowerRoman"/>
      <w:lvlText w:val="%7)"/>
      <w:lvlJc w:val="right"/>
      <w:pPr>
        <w:tabs>
          <w:tab w:val="num" w:pos="1008"/>
        </w:tabs>
        <w:ind w:left="1008" w:hanging="288"/>
      </w:pPr>
      <w:rPr>
        <w:rFonts w:hint="default"/>
      </w:rPr>
    </w:lvl>
    <w:lvl w:ilvl="7">
      <w:start w:val="1"/>
      <w:numFmt w:val="lowerLetter"/>
      <w:lvlText w:val="%8."/>
      <w:lvlJc w:val="left"/>
      <w:pPr>
        <w:tabs>
          <w:tab w:val="num" w:pos="1152"/>
        </w:tabs>
        <w:ind w:left="1152" w:hanging="432"/>
      </w:pPr>
      <w:rPr>
        <w:rFonts w:hint="default"/>
      </w:rPr>
    </w:lvl>
    <w:lvl w:ilvl="8">
      <w:start w:val="1"/>
      <w:numFmt w:val="lowerRoman"/>
      <w:lvlText w:val="%9."/>
      <w:lvlJc w:val="right"/>
      <w:pPr>
        <w:tabs>
          <w:tab w:val="num" w:pos="1296"/>
        </w:tabs>
        <w:ind w:left="1296" w:hanging="144"/>
      </w:pPr>
      <w:rPr>
        <w:rFonts w:hint="default"/>
      </w:rPr>
    </w:lvl>
  </w:abstractNum>
  <w:abstractNum w:abstractNumId="23" w15:restartNumberingAfterBreak="0">
    <w:nsid w:val="56EF68F6"/>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F34DA4"/>
    <w:multiLevelType w:val="hybridMultilevel"/>
    <w:tmpl w:val="085C26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572402"/>
    <w:multiLevelType w:val="hybridMultilevel"/>
    <w:tmpl w:val="E2406432"/>
    <w:lvl w:ilvl="0" w:tplc="855217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A77CA0"/>
    <w:multiLevelType w:val="hybridMultilevel"/>
    <w:tmpl w:val="A57649D6"/>
    <w:lvl w:ilvl="0" w:tplc="EBE41A4A">
      <w:start w:val="1"/>
      <w:numFmt w:val="bullet"/>
      <w:lvlText w:val="•"/>
      <w:lvlJc w:val="left"/>
      <w:pPr>
        <w:tabs>
          <w:tab w:val="num" w:pos="720"/>
        </w:tabs>
        <w:ind w:left="720" w:hanging="360"/>
      </w:pPr>
      <w:rPr>
        <w:rFonts w:ascii="Arial" w:hAnsi="Arial" w:hint="default"/>
      </w:rPr>
    </w:lvl>
    <w:lvl w:ilvl="1" w:tplc="ECFE4C82">
      <w:start w:val="1059"/>
      <w:numFmt w:val="bullet"/>
      <w:lvlText w:val="•"/>
      <w:lvlJc w:val="left"/>
      <w:pPr>
        <w:tabs>
          <w:tab w:val="num" w:pos="1440"/>
        </w:tabs>
        <w:ind w:left="1440" w:hanging="360"/>
      </w:pPr>
      <w:rPr>
        <w:rFonts w:ascii="Arial" w:hAnsi="Arial" w:hint="default"/>
      </w:rPr>
    </w:lvl>
    <w:lvl w:ilvl="2" w:tplc="6504A5CA" w:tentative="1">
      <w:start w:val="1"/>
      <w:numFmt w:val="bullet"/>
      <w:lvlText w:val="•"/>
      <w:lvlJc w:val="left"/>
      <w:pPr>
        <w:tabs>
          <w:tab w:val="num" w:pos="2160"/>
        </w:tabs>
        <w:ind w:left="2160" w:hanging="360"/>
      </w:pPr>
      <w:rPr>
        <w:rFonts w:ascii="Arial" w:hAnsi="Arial" w:hint="default"/>
      </w:rPr>
    </w:lvl>
    <w:lvl w:ilvl="3" w:tplc="BD9A31E8" w:tentative="1">
      <w:start w:val="1"/>
      <w:numFmt w:val="bullet"/>
      <w:lvlText w:val="•"/>
      <w:lvlJc w:val="left"/>
      <w:pPr>
        <w:tabs>
          <w:tab w:val="num" w:pos="2880"/>
        </w:tabs>
        <w:ind w:left="2880" w:hanging="360"/>
      </w:pPr>
      <w:rPr>
        <w:rFonts w:ascii="Arial" w:hAnsi="Arial" w:hint="default"/>
      </w:rPr>
    </w:lvl>
    <w:lvl w:ilvl="4" w:tplc="E916904A" w:tentative="1">
      <w:start w:val="1"/>
      <w:numFmt w:val="bullet"/>
      <w:lvlText w:val="•"/>
      <w:lvlJc w:val="left"/>
      <w:pPr>
        <w:tabs>
          <w:tab w:val="num" w:pos="3600"/>
        </w:tabs>
        <w:ind w:left="3600" w:hanging="360"/>
      </w:pPr>
      <w:rPr>
        <w:rFonts w:ascii="Arial" w:hAnsi="Arial" w:hint="default"/>
      </w:rPr>
    </w:lvl>
    <w:lvl w:ilvl="5" w:tplc="00EA6A9E" w:tentative="1">
      <w:start w:val="1"/>
      <w:numFmt w:val="bullet"/>
      <w:lvlText w:val="•"/>
      <w:lvlJc w:val="left"/>
      <w:pPr>
        <w:tabs>
          <w:tab w:val="num" w:pos="4320"/>
        </w:tabs>
        <w:ind w:left="4320" w:hanging="360"/>
      </w:pPr>
      <w:rPr>
        <w:rFonts w:ascii="Arial" w:hAnsi="Arial" w:hint="default"/>
      </w:rPr>
    </w:lvl>
    <w:lvl w:ilvl="6" w:tplc="CDACC1F8" w:tentative="1">
      <w:start w:val="1"/>
      <w:numFmt w:val="bullet"/>
      <w:lvlText w:val="•"/>
      <w:lvlJc w:val="left"/>
      <w:pPr>
        <w:tabs>
          <w:tab w:val="num" w:pos="5040"/>
        </w:tabs>
        <w:ind w:left="5040" w:hanging="360"/>
      </w:pPr>
      <w:rPr>
        <w:rFonts w:ascii="Arial" w:hAnsi="Arial" w:hint="default"/>
      </w:rPr>
    </w:lvl>
    <w:lvl w:ilvl="7" w:tplc="CB481E34" w:tentative="1">
      <w:start w:val="1"/>
      <w:numFmt w:val="bullet"/>
      <w:lvlText w:val="•"/>
      <w:lvlJc w:val="left"/>
      <w:pPr>
        <w:tabs>
          <w:tab w:val="num" w:pos="5760"/>
        </w:tabs>
        <w:ind w:left="5760" w:hanging="360"/>
      </w:pPr>
      <w:rPr>
        <w:rFonts w:ascii="Arial" w:hAnsi="Arial" w:hint="default"/>
      </w:rPr>
    </w:lvl>
    <w:lvl w:ilvl="8" w:tplc="2C54E7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F34480"/>
    <w:multiLevelType w:val="hybridMultilevel"/>
    <w:tmpl w:val="5EC29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1C25B0"/>
    <w:multiLevelType w:val="multilevel"/>
    <w:tmpl w:val="F96A0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617368"/>
    <w:multiLevelType w:val="multilevel"/>
    <w:tmpl w:val="25B6FA08"/>
    <w:lvl w:ilvl="0">
      <w:start w:val="1"/>
      <w:numFmt w:val="decimal"/>
      <w:pStyle w:val="EstiloTtulo1Arial14ptSubrayado"/>
      <w:isLgl/>
      <w:lvlText w:val="%1"/>
      <w:lvlJc w:val="left"/>
      <w:pPr>
        <w:tabs>
          <w:tab w:val="num" w:pos="432"/>
        </w:tabs>
        <w:ind w:left="432" w:hanging="432"/>
      </w:pPr>
      <w:rPr>
        <w:rFonts w:hint="default"/>
      </w:rPr>
    </w:lvl>
    <w:lvl w:ilvl="1">
      <w:start w:val="1"/>
      <w:numFmt w:val="decimal"/>
      <w:pStyle w:val="EstiloTtulo2Arial13ptAntes12ptoDespus12pto"/>
      <w:lvlText w:val="%1.%2"/>
      <w:lvlJc w:val="left"/>
      <w:pPr>
        <w:tabs>
          <w:tab w:val="num" w:pos="816"/>
        </w:tabs>
        <w:ind w:left="816" w:hanging="816"/>
      </w:pPr>
      <w:rPr>
        <w:rFonts w:ascii="Arial" w:hAnsi="Arial" w:cs="Arial" w:hint="default"/>
        <w:b/>
        <w:i w:val="0"/>
        <w:sz w:val="26"/>
        <w:szCs w:val="26"/>
      </w:rPr>
    </w:lvl>
    <w:lvl w:ilvl="2">
      <w:start w:val="1"/>
      <w:numFmt w:val="decimal"/>
      <w:pStyle w:val="EstiloTtulo3ArialCursivaAutomticoAntes12ptoDespu"/>
      <w:lvlText w:val="%1.%2.%3"/>
      <w:lvlJc w:val="left"/>
      <w:pPr>
        <w:tabs>
          <w:tab w:val="num" w:pos="1080"/>
        </w:tabs>
        <w:ind w:left="720" w:hanging="720"/>
      </w:pPr>
      <w:rPr>
        <w:rFonts w:ascii="Arial" w:hAnsi="Arial" w:cs="Arial" w:hint="default"/>
        <w:b/>
        <w:i/>
        <w:sz w:val="24"/>
        <w:szCs w:val="24"/>
        <w:lang w:val="en-US"/>
      </w:rPr>
    </w:lvl>
    <w:lvl w:ilvl="3">
      <w:start w:val="1"/>
      <w:numFmt w:val="decimal"/>
      <w:pStyle w:val="Ttulo4"/>
      <w:lvlText w:val="%1.%2.%3.%4"/>
      <w:lvlJc w:val="left"/>
      <w:pPr>
        <w:tabs>
          <w:tab w:val="num" w:pos="864"/>
        </w:tabs>
        <w:ind w:left="864" w:hanging="864"/>
      </w:pPr>
      <w:rPr>
        <w:rFonts w:ascii="Arial" w:hAnsi="Arial" w:cs="Arial" w:hint="default"/>
        <w:color w:val="auto"/>
        <w:sz w:val="22"/>
        <w:szCs w:val="22"/>
      </w:rPr>
    </w:lvl>
    <w:lvl w:ilvl="4">
      <w:start w:val="1"/>
      <w:numFmt w:val="decimal"/>
      <w:pStyle w:val="Ttulo5"/>
      <w:lvlText w:val="%1.%2.%3.%4.%5"/>
      <w:lvlJc w:val="left"/>
      <w:pPr>
        <w:tabs>
          <w:tab w:val="num" w:pos="1440"/>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62953695"/>
    <w:multiLevelType w:val="hybridMultilevel"/>
    <w:tmpl w:val="7CD8EF7E"/>
    <w:lvl w:ilvl="0" w:tplc="3306D214">
      <w:start w:val="1"/>
      <w:numFmt w:val="bullet"/>
      <w:lvlText w:val="•"/>
      <w:lvlJc w:val="left"/>
      <w:pPr>
        <w:tabs>
          <w:tab w:val="num" w:pos="720"/>
        </w:tabs>
        <w:ind w:left="720" w:hanging="360"/>
      </w:pPr>
      <w:rPr>
        <w:rFonts w:ascii="Arial" w:hAnsi="Arial" w:hint="default"/>
      </w:rPr>
    </w:lvl>
    <w:lvl w:ilvl="1" w:tplc="05222A54" w:tentative="1">
      <w:start w:val="1"/>
      <w:numFmt w:val="bullet"/>
      <w:lvlText w:val="•"/>
      <w:lvlJc w:val="left"/>
      <w:pPr>
        <w:tabs>
          <w:tab w:val="num" w:pos="1440"/>
        </w:tabs>
        <w:ind w:left="1440" w:hanging="360"/>
      </w:pPr>
      <w:rPr>
        <w:rFonts w:ascii="Arial" w:hAnsi="Arial" w:hint="default"/>
      </w:rPr>
    </w:lvl>
    <w:lvl w:ilvl="2" w:tplc="48427A22" w:tentative="1">
      <w:start w:val="1"/>
      <w:numFmt w:val="bullet"/>
      <w:lvlText w:val="•"/>
      <w:lvlJc w:val="left"/>
      <w:pPr>
        <w:tabs>
          <w:tab w:val="num" w:pos="2160"/>
        </w:tabs>
        <w:ind w:left="2160" w:hanging="360"/>
      </w:pPr>
      <w:rPr>
        <w:rFonts w:ascii="Arial" w:hAnsi="Arial" w:hint="default"/>
      </w:rPr>
    </w:lvl>
    <w:lvl w:ilvl="3" w:tplc="D4185DA6" w:tentative="1">
      <w:start w:val="1"/>
      <w:numFmt w:val="bullet"/>
      <w:lvlText w:val="•"/>
      <w:lvlJc w:val="left"/>
      <w:pPr>
        <w:tabs>
          <w:tab w:val="num" w:pos="2880"/>
        </w:tabs>
        <w:ind w:left="2880" w:hanging="360"/>
      </w:pPr>
      <w:rPr>
        <w:rFonts w:ascii="Arial" w:hAnsi="Arial" w:hint="default"/>
      </w:rPr>
    </w:lvl>
    <w:lvl w:ilvl="4" w:tplc="38742D74" w:tentative="1">
      <w:start w:val="1"/>
      <w:numFmt w:val="bullet"/>
      <w:lvlText w:val="•"/>
      <w:lvlJc w:val="left"/>
      <w:pPr>
        <w:tabs>
          <w:tab w:val="num" w:pos="3600"/>
        </w:tabs>
        <w:ind w:left="3600" w:hanging="360"/>
      </w:pPr>
      <w:rPr>
        <w:rFonts w:ascii="Arial" w:hAnsi="Arial" w:hint="default"/>
      </w:rPr>
    </w:lvl>
    <w:lvl w:ilvl="5" w:tplc="1E9A469C" w:tentative="1">
      <w:start w:val="1"/>
      <w:numFmt w:val="bullet"/>
      <w:lvlText w:val="•"/>
      <w:lvlJc w:val="left"/>
      <w:pPr>
        <w:tabs>
          <w:tab w:val="num" w:pos="4320"/>
        </w:tabs>
        <w:ind w:left="4320" w:hanging="360"/>
      </w:pPr>
      <w:rPr>
        <w:rFonts w:ascii="Arial" w:hAnsi="Arial" w:hint="default"/>
      </w:rPr>
    </w:lvl>
    <w:lvl w:ilvl="6" w:tplc="4FAE3FB0" w:tentative="1">
      <w:start w:val="1"/>
      <w:numFmt w:val="bullet"/>
      <w:lvlText w:val="•"/>
      <w:lvlJc w:val="left"/>
      <w:pPr>
        <w:tabs>
          <w:tab w:val="num" w:pos="5040"/>
        </w:tabs>
        <w:ind w:left="5040" w:hanging="360"/>
      </w:pPr>
      <w:rPr>
        <w:rFonts w:ascii="Arial" w:hAnsi="Arial" w:hint="default"/>
      </w:rPr>
    </w:lvl>
    <w:lvl w:ilvl="7" w:tplc="C610EB74" w:tentative="1">
      <w:start w:val="1"/>
      <w:numFmt w:val="bullet"/>
      <w:lvlText w:val="•"/>
      <w:lvlJc w:val="left"/>
      <w:pPr>
        <w:tabs>
          <w:tab w:val="num" w:pos="5760"/>
        </w:tabs>
        <w:ind w:left="5760" w:hanging="360"/>
      </w:pPr>
      <w:rPr>
        <w:rFonts w:ascii="Arial" w:hAnsi="Arial" w:hint="default"/>
      </w:rPr>
    </w:lvl>
    <w:lvl w:ilvl="8" w:tplc="5D5600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145DC"/>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22CF4"/>
    <w:multiLevelType w:val="multilevel"/>
    <w:tmpl w:val="8DE4CDCC"/>
    <w:lvl w:ilvl="0">
      <w:start w:val="1"/>
      <w:numFmt w:val="upperRoman"/>
      <w:pStyle w:val="Estilo2"/>
      <w:suff w:val="space"/>
      <w:lvlText w:val="Appendix %1:"/>
      <w:lvlJc w:val="left"/>
      <w:pPr>
        <w:ind w:left="0" w:firstLine="0"/>
      </w:pPr>
      <w:rPr>
        <w:rFonts w:hint="default"/>
        <w:u w:val="single"/>
      </w:rPr>
    </w:lvl>
    <w:lvl w:ilvl="1">
      <w:start w:val="1"/>
      <w:numFmt w:val="decimal"/>
      <w:pStyle w:val="Estilo3"/>
      <w:lvlText w:val="%1.%2"/>
      <w:lvlJc w:val="left"/>
      <w:pPr>
        <w:tabs>
          <w:tab w:val="num" w:pos="6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67E21C6F"/>
    <w:multiLevelType w:val="hybridMultilevel"/>
    <w:tmpl w:val="398400F6"/>
    <w:lvl w:ilvl="0" w:tplc="9C5A9FB8">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253520"/>
    <w:multiLevelType w:val="hybridMultilevel"/>
    <w:tmpl w:val="6E80B22E"/>
    <w:lvl w:ilvl="0" w:tplc="04CEBA18">
      <w:start w:val="1"/>
      <w:numFmt w:val="decimal"/>
      <w:lvlText w:val="%1."/>
      <w:lvlJc w:val="left"/>
      <w:pPr>
        <w:ind w:left="1494" w:hanging="360"/>
      </w:pPr>
      <w:rPr>
        <w:rFonts w:ascii="Arial" w:eastAsia="Times New Roman" w:hAnsi="Arial" w:cs="Arial"/>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15:restartNumberingAfterBreak="0">
    <w:nsid w:val="6F3058FC"/>
    <w:multiLevelType w:val="hybridMultilevel"/>
    <w:tmpl w:val="E84C36C0"/>
    <w:lvl w:ilvl="0" w:tplc="D6DA1E62">
      <w:start w:val="1"/>
      <w:numFmt w:val="bullet"/>
      <w:lvlText w:val="•"/>
      <w:lvlJc w:val="left"/>
      <w:pPr>
        <w:tabs>
          <w:tab w:val="num" w:pos="720"/>
        </w:tabs>
        <w:ind w:left="720" w:hanging="360"/>
      </w:pPr>
      <w:rPr>
        <w:rFonts w:ascii="Arial" w:hAnsi="Arial" w:hint="default"/>
      </w:rPr>
    </w:lvl>
    <w:lvl w:ilvl="1" w:tplc="D9B45D42">
      <w:start w:val="1"/>
      <w:numFmt w:val="bullet"/>
      <w:lvlText w:val="•"/>
      <w:lvlJc w:val="left"/>
      <w:pPr>
        <w:tabs>
          <w:tab w:val="num" w:pos="1440"/>
        </w:tabs>
        <w:ind w:left="1440" w:hanging="360"/>
      </w:pPr>
      <w:rPr>
        <w:rFonts w:ascii="Arial" w:hAnsi="Arial" w:hint="default"/>
      </w:rPr>
    </w:lvl>
    <w:lvl w:ilvl="2" w:tplc="006A4444">
      <w:start w:val="1028"/>
      <w:numFmt w:val="bullet"/>
      <w:lvlText w:val="•"/>
      <w:lvlJc w:val="left"/>
      <w:pPr>
        <w:tabs>
          <w:tab w:val="num" w:pos="2160"/>
        </w:tabs>
        <w:ind w:left="2160" w:hanging="360"/>
      </w:pPr>
      <w:rPr>
        <w:rFonts w:ascii="Arial" w:hAnsi="Arial" w:hint="default"/>
      </w:rPr>
    </w:lvl>
    <w:lvl w:ilvl="3" w:tplc="68ECB1A8" w:tentative="1">
      <w:start w:val="1"/>
      <w:numFmt w:val="bullet"/>
      <w:lvlText w:val="•"/>
      <w:lvlJc w:val="left"/>
      <w:pPr>
        <w:tabs>
          <w:tab w:val="num" w:pos="2880"/>
        </w:tabs>
        <w:ind w:left="2880" w:hanging="360"/>
      </w:pPr>
      <w:rPr>
        <w:rFonts w:ascii="Arial" w:hAnsi="Arial" w:hint="default"/>
      </w:rPr>
    </w:lvl>
    <w:lvl w:ilvl="4" w:tplc="EA88EF14" w:tentative="1">
      <w:start w:val="1"/>
      <w:numFmt w:val="bullet"/>
      <w:lvlText w:val="•"/>
      <w:lvlJc w:val="left"/>
      <w:pPr>
        <w:tabs>
          <w:tab w:val="num" w:pos="3600"/>
        </w:tabs>
        <w:ind w:left="3600" w:hanging="360"/>
      </w:pPr>
      <w:rPr>
        <w:rFonts w:ascii="Arial" w:hAnsi="Arial" w:hint="default"/>
      </w:rPr>
    </w:lvl>
    <w:lvl w:ilvl="5" w:tplc="980A4830" w:tentative="1">
      <w:start w:val="1"/>
      <w:numFmt w:val="bullet"/>
      <w:lvlText w:val="•"/>
      <w:lvlJc w:val="left"/>
      <w:pPr>
        <w:tabs>
          <w:tab w:val="num" w:pos="4320"/>
        </w:tabs>
        <w:ind w:left="4320" w:hanging="360"/>
      </w:pPr>
      <w:rPr>
        <w:rFonts w:ascii="Arial" w:hAnsi="Arial" w:hint="default"/>
      </w:rPr>
    </w:lvl>
    <w:lvl w:ilvl="6" w:tplc="F14EC708" w:tentative="1">
      <w:start w:val="1"/>
      <w:numFmt w:val="bullet"/>
      <w:lvlText w:val="•"/>
      <w:lvlJc w:val="left"/>
      <w:pPr>
        <w:tabs>
          <w:tab w:val="num" w:pos="5040"/>
        </w:tabs>
        <w:ind w:left="5040" w:hanging="360"/>
      </w:pPr>
      <w:rPr>
        <w:rFonts w:ascii="Arial" w:hAnsi="Arial" w:hint="default"/>
      </w:rPr>
    </w:lvl>
    <w:lvl w:ilvl="7" w:tplc="273A5504" w:tentative="1">
      <w:start w:val="1"/>
      <w:numFmt w:val="bullet"/>
      <w:lvlText w:val="•"/>
      <w:lvlJc w:val="left"/>
      <w:pPr>
        <w:tabs>
          <w:tab w:val="num" w:pos="5760"/>
        </w:tabs>
        <w:ind w:left="5760" w:hanging="360"/>
      </w:pPr>
      <w:rPr>
        <w:rFonts w:ascii="Arial" w:hAnsi="Arial" w:hint="default"/>
      </w:rPr>
    </w:lvl>
    <w:lvl w:ilvl="8" w:tplc="E0E65D0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AC6BF0"/>
    <w:multiLevelType w:val="hybridMultilevel"/>
    <w:tmpl w:val="6D024850"/>
    <w:lvl w:ilvl="0" w:tplc="0C0A0001">
      <w:start w:val="1"/>
      <w:numFmt w:val="bullet"/>
      <w:lvlText w:val=""/>
      <w:lvlJc w:val="left"/>
      <w:pPr>
        <w:tabs>
          <w:tab w:val="num" w:pos="720"/>
        </w:tabs>
        <w:ind w:left="720" w:hanging="360"/>
      </w:pPr>
      <w:rPr>
        <w:rFonts w:ascii="Symbol" w:hAnsi="Symbol" w:hint="default"/>
      </w:rPr>
    </w:lvl>
    <w:lvl w:ilvl="1" w:tplc="4866DC0A">
      <w:start w:val="1"/>
      <w:numFmt w:val="bullet"/>
      <w:lvlText w:val=""/>
      <w:lvlJc w:val="left"/>
      <w:pPr>
        <w:tabs>
          <w:tab w:val="num" w:pos="1440"/>
        </w:tabs>
        <w:ind w:left="1440" w:hanging="360"/>
      </w:pPr>
      <w:rPr>
        <w:rFonts w:ascii="Symbol" w:hAnsi="Symbol" w:hint="default"/>
      </w:rPr>
    </w:lvl>
    <w:lvl w:ilvl="2" w:tplc="F1C81F7A" w:tentative="1">
      <w:start w:val="1"/>
      <w:numFmt w:val="bullet"/>
      <w:lvlText w:val=""/>
      <w:lvlJc w:val="left"/>
      <w:pPr>
        <w:tabs>
          <w:tab w:val="num" w:pos="2160"/>
        </w:tabs>
        <w:ind w:left="2160" w:hanging="360"/>
      </w:pPr>
      <w:rPr>
        <w:rFonts w:ascii="Symbol" w:hAnsi="Symbol" w:hint="default"/>
      </w:rPr>
    </w:lvl>
    <w:lvl w:ilvl="3" w:tplc="D0804E56" w:tentative="1">
      <w:start w:val="1"/>
      <w:numFmt w:val="bullet"/>
      <w:lvlText w:val=""/>
      <w:lvlJc w:val="left"/>
      <w:pPr>
        <w:tabs>
          <w:tab w:val="num" w:pos="2880"/>
        </w:tabs>
        <w:ind w:left="2880" w:hanging="360"/>
      </w:pPr>
      <w:rPr>
        <w:rFonts w:ascii="Symbol" w:hAnsi="Symbol" w:hint="default"/>
      </w:rPr>
    </w:lvl>
    <w:lvl w:ilvl="4" w:tplc="8FD08C4C" w:tentative="1">
      <w:start w:val="1"/>
      <w:numFmt w:val="bullet"/>
      <w:lvlText w:val=""/>
      <w:lvlJc w:val="left"/>
      <w:pPr>
        <w:tabs>
          <w:tab w:val="num" w:pos="3600"/>
        </w:tabs>
        <w:ind w:left="3600" w:hanging="360"/>
      </w:pPr>
      <w:rPr>
        <w:rFonts w:ascii="Symbol" w:hAnsi="Symbol" w:hint="default"/>
      </w:rPr>
    </w:lvl>
    <w:lvl w:ilvl="5" w:tplc="B8D0B970" w:tentative="1">
      <w:start w:val="1"/>
      <w:numFmt w:val="bullet"/>
      <w:lvlText w:val=""/>
      <w:lvlJc w:val="left"/>
      <w:pPr>
        <w:tabs>
          <w:tab w:val="num" w:pos="4320"/>
        </w:tabs>
        <w:ind w:left="4320" w:hanging="360"/>
      </w:pPr>
      <w:rPr>
        <w:rFonts w:ascii="Symbol" w:hAnsi="Symbol" w:hint="default"/>
      </w:rPr>
    </w:lvl>
    <w:lvl w:ilvl="6" w:tplc="B37E7BD4" w:tentative="1">
      <w:start w:val="1"/>
      <w:numFmt w:val="bullet"/>
      <w:lvlText w:val=""/>
      <w:lvlJc w:val="left"/>
      <w:pPr>
        <w:tabs>
          <w:tab w:val="num" w:pos="5040"/>
        </w:tabs>
        <w:ind w:left="5040" w:hanging="360"/>
      </w:pPr>
      <w:rPr>
        <w:rFonts w:ascii="Symbol" w:hAnsi="Symbol" w:hint="default"/>
      </w:rPr>
    </w:lvl>
    <w:lvl w:ilvl="7" w:tplc="DC289164" w:tentative="1">
      <w:start w:val="1"/>
      <w:numFmt w:val="bullet"/>
      <w:lvlText w:val=""/>
      <w:lvlJc w:val="left"/>
      <w:pPr>
        <w:tabs>
          <w:tab w:val="num" w:pos="5760"/>
        </w:tabs>
        <w:ind w:left="5760" w:hanging="360"/>
      </w:pPr>
      <w:rPr>
        <w:rFonts w:ascii="Symbol" w:hAnsi="Symbol" w:hint="default"/>
      </w:rPr>
    </w:lvl>
    <w:lvl w:ilvl="8" w:tplc="31FE670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2FE4CE6"/>
    <w:multiLevelType w:val="hybridMultilevel"/>
    <w:tmpl w:val="CF68634A"/>
    <w:lvl w:ilvl="0" w:tplc="0C0A0001">
      <w:start w:val="1"/>
      <w:numFmt w:val="bullet"/>
      <w:lvlText w:val=""/>
      <w:lvlJc w:val="left"/>
      <w:pPr>
        <w:ind w:left="1772" w:hanging="360"/>
      </w:pPr>
      <w:rPr>
        <w:rFonts w:ascii="Symbol" w:hAnsi="Symbol" w:hint="default"/>
      </w:rPr>
    </w:lvl>
    <w:lvl w:ilvl="1" w:tplc="0C0A0003" w:tentative="1">
      <w:start w:val="1"/>
      <w:numFmt w:val="bullet"/>
      <w:lvlText w:val="o"/>
      <w:lvlJc w:val="left"/>
      <w:pPr>
        <w:ind w:left="2492" w:hanging="360"/>
      </w:pPr>
      <w:rPr>
        <w:rFonts w:ascii="Courier New" w:hAnsi="Courier New" w:cs="Courier New" w:hint="default"/>
      </w:rPr>
    </w:lvl>
    <w:lvl w:ilvl="2" w:tplc="0C0A0005" w:tentative="1">
      <w:start w:val="1"/>
      <w:numFmt w:val="bullet"/>
      <w:lvlText w:val=""/>
      <w:lvlJc w:val="left"/>
      <w:pPr>
        <w:ind w:left="3212" w:hanging="360"/>
      </w:pPr>
      <w:rPr>
        <w:rFonts w:ascii="Wingdings" w:hAnsi="Wingdings" w:hint="default"/>
      </w:rPr>
    </w:lvl>
    <w:lvl w:ilvl="3" w:tplc="0C0A0001" w:tentative="1">
      <w:start w:val="1"/>
      <w:numFmt w:val="bullet"/>
      <w:lvlText w:val=""/>
      <w:lvlJc w:val="left"/>
      <w:pPr>
        <w:ind w:left="3932" w:hanging="360"/>
      </w:pPr>
      <w:rPr>
        <w:rFonts w:ascii="Symbol" w:hAnsi="Symbol" w:hint="default"/>
      </w:rPr>
    </w:lvl>
    <w:lvl w:ilvl="4" w:tplc="0C0A0003" w:tentative="1">
      <w:start w:val="1"/>
      <w:numFmt w:val="bullet"/>
      <w:lvlText w:val="o"/>
      <w:lvlJc w:val="left"/>
      <w:pPr>
        <w:ind w:left="4652" w:hanging="360"/>
      </w:pPr>
      <w:rPr>
        <w:rFonts w:ascii="Courier New" w:hAnsi="Courier New" w:cs="Courier New" w:hint="default"/>
      </w:rPr>
    </w:lvl>
    <w:lvl w:ilvl="5" w:tplc="0C0A0005" w:tentative="1">
      <w:start w:val="1"/>
      <w:numFmt w:val="bullet"/>
      <w:lvlText w:val=""/>
      <w:lvlJc w:val="left"/>
      <w:pPr>
        <w:ind w:left="5372" w:hanging="360"/>
      </w:pPr>
      <w:rPr>
        <w:rFonts w:ascii="Wingdings" w:hAnsi="Wingdings" w:hint="default"/>
      </w:rPr>
    </w:lvl>
    <w:lvl w:ilvl="6" w:tplc="0C0A0001" w:tentative="1">
      <w:start w:val="1"/>
      <w:numFmt w:val="bullet"/>
      <w:lvlText w:val=""/>
      <w:lvlJc w:val="left"/>
      <w:pPr>
        <w:ind w:left="6092" w:hanging="360"/>
      </w:pPr>
      <w:rPr>
        <w:rFonts w:ascii="Symbol" w:hAnsi="Symbol" w:hint="default"/>
      </w:rPr>
    </w:lvl>
    <w:lvl w:ilvl="7" w:tplc="0C0A0003" w:tentative="1">
      <w:start w:val="1"/>
      <w:numFmt w:val="bullet"/>
      <w:lvlText w:val="o"/>
      <w:lvlJc w:val="left"/>
      <w:pPr>
        <w:ind w:left="6812" w:hanging="360"/>
      </w:pPr>
      <w:rPr>
        <w:rFonts w:ascii="Courier New" w:hAnsi="Courier New" w:cs="Courier New" w:hint="default"/>
      </w:rPr>
    </w:lvl>
    <w:lvl w:ilvl="8" w:tplc="0C0A0005" w:tentative="1">
      <w:start w:val="1"/>
      <w:numFmt w:val="bullet"/>
      <w:lvlText w:val=""/>
      <w:lvlJc w:val="left"/>
      <w:pPr>
        <w:ind w:left="7532" w:hanging="360"/>
      </w:pPr>
      <w:rPr>
        <w:rFonts w:ascii="Wingdings" w:hAnsi="Wingdings" w:hint="default"/>
      </w:rPr>
    </w:lvl>
  </w:abstractNum>
  <w:abstractNum w:abstractNumId="38" w15:restartNumberingAfterBreak="0">
    <w:nsid w:val="75627AB4"/>
    <w:multiLevelType w:val="hybridMultilevel"/>
    <w:tmpl w:val="54A4830A"/>
    <w:lvl w:ilvl="0" w:tplc="CE8412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6B4E90"/>
    <w:multiLevelType w:val="hybridMultilevel"/>
    <w:tmpl w:val="25DE0D12"/>
    <w:lvl w:ilvl="0" w:tplc="CE8412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6D39F8"/>
    <w:multiLevelType w:val="hybridMultilevel"/>
    <w:tmpl w:val="3E4685F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1" w15:restartNumberingAfterBreak="0">
    <w:nsid w:val="771C322E"/>
    <w:multiLevelType w:val="hybridMultilevel"/>
    <w:tmpl w:val="7810956E"/>
    <w:lvl w:ilvl="0" w:tplc="8382BA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086023"/>
    <w:multiLevelType w:val="hybridMultilevel"/>
    <w:tmpl w:val="C680AA54"/>
    <w:lvl w:ilvl="0" w:tplc="B018361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805ECE"/>
    <w:multiLevelType w:val="hybridMultilevel"/>
    <w:tmpl w:val="3A74010E"/>
    <w:lvl w:ilvl="0" w:tplc="CE841286">
      <w:start w:val="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A42DA1"/>
    <w:multiLevelType w:val="hybridMultilevel"/>
    <w:tmpl w:val="9000B386"/>
    <w:lvl w:ilvl="0" w:tplc="CBF033C6">
      <w:start w:val="1"/>
      <w:numFmt w:val="decimal"/>
      <w:lvlText w:val="%1."/>
      <w:lvlJc w:val="left"/>
      <w:pPr>
        <w:tabs>
          <w:tab w:val="num" w:pos="720"/>
        </w:tabs>
        <w:ind w:left="720" w:hanging="360"/>
      </w:pPr>
    </w:lvl>
    <w:lvl w:ilvl="1" w:tplc="A61E5036">
      <w:start w:val="1"/>
      <w:numFmt w:val="decimal"/>
      <w:lvlText w:val="%2."/>
      <w:lvlJc w:val="left"/>
      <w:pPr>
        <w:tabs>
          <w:tab w:val="num" w:pos="1440"/>
        </w:tabs>
        <w:ind w:left="1440" w:hanging="360"/>
      </w:pPr>
    </w:lvl>
    <w:lvl w:ilvl="2" w:tplc="B0183612">
      <w:start w:val="1"/>
      <w:numFmt w:val="decimal"/>
      <w:lvlText w:val="(%3)"/>
      <w:lvlJc w:val="left"/>
      <w:pPr>
        <w:ind w:left="2160" w:hanging="360"/>
      </w:pPr>
      <w:rPr>
        <w:rFonts w:hint="default"/>
      </w:rPr>
    </w:lvl>
    <w:lvl w:ilvl="3" w:tplc="D1E25526" w:tentative="1">
      <w:start w:val="1"/>
      <w:numFmt w:val="decimal"/>
      <w:lvlText w:val="%4."/>
      <w:lvlJc w:val="left"/>
      <w:pPr>
        <w:tabs>
          <w:tab w:val="num" w:pos="2880"/>
        </w:tabs>
        <w:ind w:left="2880" w:hanging="360"/>
      </w:pPr>
    </w:lvl>
    <w:lvl w:ilvl="4" w:tplc="1518B906" w:tentative="1">
      <w:start w:val="1"/>
      <w:numFmt w:val="decimal"/>
      <w:lvlText w:val="%5."/>
      <w:lvlJc w:val="left"/>
      <w:pPr>
        <w:tabs>
          <w:tab w:val="num" w:pos="3600"/>
        </w:tabs>
        <w:ind w:left="3600" w:hanging="360"/>
      </w:pPr>
    </w:lvl>
    <w:lvl w:ilvl="5" w:tplc="A2947DC2" w:tentative="1">
      <w:start w:val="1"/>
      <w:numFmt w:val="decimal"/>
      <w:lvlText w:val="%6."/>
      <w:lvlJc w:val="left"/>
      <w:pPr>
        <w:tabs>
          <w:tab w:val="num" w:pos="4320"/>
        </w:tabs>
        <w:ind w:left="4320" w:hanging="360"/>
      </w:pPr>
    </w:lvl>
    <w:lvl w:ilvl="6" w:tplc="0F0A5E1A" w:tentative="1">
      <w:start w:val="1"/>
      <w:numFmt w:val="decimal"/>
      <w:lvlText w:val="%7."/>
      <w:lvlJc w:val="left"/>
      <w:pPr>
        <w:tabs>
          <w:tab w:val="num" w:pos="5040"/>
        </w:tabs>
        <w:ind w:left="5040" w:hanging="360"/>
      </w:pPr>
    </w:lvl>
    <w:lvl w:ilvl="7" w:tplc="813EACB6" w:tentative="1">
      <w:start w:val="1"/>
      <w:numFmt w:val="decimal"/>
      <w:lvlText w:val="%8."/>
      <w:lvlJc w:val="left"/>
      <w:pPr>
        <w:tabs>
          <w:tab w:val="num" w:pos="5760"/>
        </w:tabs>
        <w:ind w:left="5760" w:hanging="360"/>
      </w:pPr>
    </w:lvl>
    <w:lvl w:ilvl="8" w:tplc="484E2FDC" w:tentative="1">
      <w:start w:val="1"/>
      <w:numFmt w:val="decimal"/>
      <w:lvlText w:val="%9."/>
      <w:lvlJc w:val="left"/>
      <w:pPr>
        <w:tabs>
          <w:tab w:val="num" w:pos="6480"/>
        </w:tabs>
        <w:ind w:left="6480" w:hanging="360"/>
      </w:pPr>
    </w:lvl>
  </w:abstractNum>
  <w:abstractNum w:abstractNumId="45" w15:restartNumberingAfterBreak="0">
    <w:nsid w:val="7EBD61D5"/>
    <w:multiLevelType w:val="hybridMultilevel"/>
    <w:tmpl w:val="E07C82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9"/>
  </w:num>
  <w:num w:numId="2">
    <w:abstractNumId w:val="13"/>
  </w:num>
  <w:num w:numId="3">
    <w:abstractNumId w:val="3"/>
  </w:num>
  <w:num w:numId="4">
    <w:abstractNumId w:val="32"/>
  </w:num>
  <w:num w:numId="5">
    <w:abstractNumId w:val="22"/>
  </w:num>
  <w:num w:numId="6">
    <w:abstractNumId w:val="24"/>
  </w:num>
  <w:num w:numId="7">
    <w:abstractNumId w:val="6"/>
  </w:num>
  <w:num w:numId="8">
    <w:abstractNumId w:val="15"/>
  </w:num>
  <w:num w:numId="9">
    <w:abstractNumId w:val="36"/>
  </w:num>
  <w:num w:numId="10">
    <w:abstractNumId w:val="28"/>
  </w:num>
  <w:num w:numId="11">
    <w:abstractNumId w:val="29"/>
  </w:num>
  <w:num w:numId="12">
    <w:abstractNumId w:val="29"/>
  </w:num>
  <w:num w:numId="13">
    <w:abstractNumId w:val="35"/>
  </w:num>
  <w:num w:numId="14">
    <w:abstractNumId w:val="44"/>
  </w:num>
  <w:num w:numId="15">
    <w:abstractNumId w:val="27"/>
  </w:num>
  <w:num w:numId="16">
    <w:abstractNumId w:val="26"/>
  </w:num>
  <w:num w:numId="17">
    <w:abstractNumId w:val="18"/>
  </w:num>
  <w:num w:numId="18">
    <w:abstractNumId w:val="1"/>
  </w:num>
  <w:num w:numId="19">
    <w:abstractNumId w:val="34"/>
  </w:num>
  <w:num w:numId="20">
    <w:abstractNumId w:val="29"/>
  </w:num>
  <w:num w:numId="21">
    <w:abstractNumId w:val="10"/>
  </w:num>
  <w:num w:numId="22">
    <w:abstractNumId w:val="16"/>
  </w:num>
  <w:num w:numId="23">
    <w:abstractNumId w:val="39"/>
  </w:num>
  <w:num w:numId="24">
    <w:abstractNumId w:val="41"/>
  </w:num>
  <w:num w:numId="25">
    <w:abstractNumId w:val="25"/>
  </w:num>
  <w:num w:numId="26">
    <w:abstractNumId w:val="17"/>
  </w:num>
  <w:num w:numId="27">
    <w:abstractNumId w:val="14"/>
  </w:num>
  <w:num w:numId="28">
    <w:abstractNumId w:val="30"/>
  </w:num>
  <w:num w:numId="29">
    <w:abstractNumId w:val="43"/>
  </w:num>
  <w:num w:numId="30">
    <w:abstractNumId w:val="38"/>
  </w:num>
  <w:num w:numId="31">
    <w:abstractNumId w:val="11"/>
  </w:num>
  <w:num w:numId="32">
    <w:abstractNumId w:val="5"/>
  </w:num>
  <w:num w:numId="33">
    <w:abstractNumId w:val="42"/>
  </w:num>
  <w:num w:numId="34">
    <w:abstractNumId w:val="31"/>
  </w:num>
  <w:num w:numId="35">
    <w:abstractNumId w:val="23"/>
  </w:num>
  <w:num w:numId="36">
    <w:abstractNumId w:val="12"/>
  </w:num>
  <w:num w:numId="37">
    <w:abstractNumId w:val="0"/>
  </w:num>
  <w:num w:numId="38">
    <w:abstractNumId w:val="29"/>
  </w:num>
  <w:num w:numId="39">
    <w:abstractNumId w:val="21"/>
  </w:num>
  <w:num w:numId="40">
    <w:abstractNumId w:val="29"/>
  </w:num>
  <w:num w:numId="41">
    <w:abstractNumId w:val="20"/>
  </w:num>
  <w:num w:numId="42">
    <w:abstractNumId w:val="29"/>
  </w:num>
  <w:num w:numId="43">
    <w:abstractNumId w:val="40"/>
  </w:num>
  <w:num w:numId="44">
    <w:abstractNumId w:val="29"/>
  </w:num>
  <w:num w:numId="45">
    <w:abstractNumId w:val="29"/>
  </w:num>
  <w:num w:numId="46">
    <w:abstractNumId w:val="45"/>
  </w:num>
  <w:num w:numId="47">
    <w:abstractNumId w:val="29"/>
  </w:num>
  <w:num w:numId="48">
    <w:abstractNumId w:val="29"/>
  </w:num>
  <w:num w:numId="49">
    <w:abstractNumId w:val="19"/>
  </w:num>
  <w:num w:numId="50">
    <w:abstractNumId w:val="8"/>
  </w:num>
  <w:num w:numId="51">
    <w:abstractNumId w:val="4"/>
  </w:num>
  <w:num w:numId="52">
    <w:abstractNumId w:val="37"/>
  </w:num>
  <w:num w:numId="53">
    <w:abstractNumId w:val="9"/>
  </w:num>
  <w:num w:numId="54">
    <w:abstractNumId w:val="7"/>
  </w:num>
  <w:num w:numId="55">
    <w:abstractNumId w:val="33"/>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29"/>
  </w:num>
  <w:num w:numId="59">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7C"/>
    <w:rsid w:val="000046D0"/>
    <w:rsid w:val="00005A3C"/>
    <w:rsid w:val="000070C0"/>
    <w:rsid w:val="0001210F"/>
    <w:rsid w:val="00013B52"/>
    <w:rsid w:val="000154C4"/>
    <w:rsid w:val="000161A5"/>
    <w:rsid w:val="0002039F"/>
    <w:rsid w:val="00033885"/>
    <w:rsid w:val="00041E84"/>
    <w:rsid w:val="00046748"/>
    <w:rsid w:val="00052F37"/>
    <w:rsid w:val="0006205F"/>
    <w:rsid w:val="00063062"/>
    <w:rsid w:val="00063A3D"/>
    <w:rsid w:val="00064A3D"/>
    <w:rsid w:val="00065E51"/>
    <w:rsid w:val="00066AC7"/>
    <w:rsid w:val="00067FE5"/>
    <w:rsid w:val="00077DB7"/>
    <w:rsid w:val="00083DAC"/>
    <w:rsid w:val="00085AFC"/>
    <w:rsid w:val="00086B16"/>
    <w:rsid w:val="00093D54"/>
    <w:rsid w:val="0009622F"/>
    <w:rsid w:val="000A4CC3"/>
    <w:rsid w:val="000B36CD"/>
    <w:rsid w:val="000B5B35"/>
    <w:rsid w:val="000B658C"/>
    <w:rsid w:val="000B7E6C"/>
    <w:rsid w:val="000C3B74"/>
    <w:rsid w:val="000C54DD"/>
    <w:rsid w:val="000C6391"/>
    <w:rsid w:val="000D2300"/>
    <w:rsid w:val="000D33D0"/>
    <w:rsid w:val="000E1B55"/>
    <w:rsid w:val="000E233F"/>
    <w:rsid w:val="000E40F8"/>
    <w:rsid w:val="000E6DDE"/>
    <w:rsid w:val="000E70C6"/>
    <w:rsid w:val="000F08CF"/>
    <w:rsid w:val="000F219A"/>
    <w:rsid w:val="000F46EA"/>
    <w:rsid w:val="000F6921"/>
    <w:rsid w:val="000F74BF"/>
    <w:rsid w:val="00101EA2"/>
    <w:rsid w:val="00103762"/>
    <w:rsid w:val="001046D4"/>
    <w:rsid w:val="00115296"/>
    <w:rsid w:val="00115A3F"/>
    <w:rsid w:val="00122E04"/>
    <w:rsid w:val="0012739D"/>
    <w:rsid w:val="001301EC"/>
    <w:rsid w:val="0013402B"/>
    <w:rsid w:val="001353B9"/>
    <w:rsid w:val="00143C5B"/>
    <w:rsid w:val="001448E6"/>
    <w:rsid w:val="00144E9B"/>
    <w:rsid w:val="0015164A"/>
    <w:rsid w:val="001541E1"/>
    <w:rsid w:val="00155B1C"/>
    <w:rsid w:val="00156F8E"/>
    <w:rsid w:val="00157C16"/>
    <w:rsid w:val="00160592"/>
    <w:rsid w:val="001638CB"/>
    <w:rsid w:val="00163A30"/>
    <w:rsid w:val="001725E5"/>
    <w:rsid w:val="00173491"/>
    <w:rsid w:val="001739CB"/>
    <w:rsid w:val="00176BE7"/>
    <w:rsid w:val="00181364"/>
    <w:rsid w:val="00182D00"/>
    <w:rsid w:val="001855B3"/>
    <w:rsid w:val="0019015C"/>
    <w:rsid w:val="001919E2"/>
    <w:rsid w:val="001934E1"/>
    <w:rsid w:val="001A15F1"/>
    <w:rsid w:val="001A2773"/>
    <w:rsid w:val="001A2880"/>
    <w:rsid w:val="001A30F0"/>
    <w:rsid w:val="001A4700"/>
    <w:rsid w:val="001B1230"/>
    <w:rsid w:val="001B36D9"/>
    <w:rsid w:val="001B6D14"/>
    <w:rsid w:val="001C2340"/>
    <w:rsid w:val="001C4223"/>
    <w:rsid w:val="001C46FB"/>
    <w:rsid w:val="001C64F2"/>
    <w:rsid w:val="001D02C2"/>
    <w:rsid w:val="001D344C"/>
    <w:rsid w:val="001D67CA"/>
    <w:rsid w:val="001E20CF"/>
    <w:rsid w:val="001E4DE5"/>
    <w:rsid w:val="001F281B"/>
    <w:rsid w:val="00203F40"/>
    <w:rsid w:val="00204541"/>
    <w:rsid w:val="002131F5"/>
    <w:rsid w:val="0022095D"/>
    <w:rsid w:val="00221CA9"/>
    <w:rsid w:val="0022452A"/>
    <w:rsid w:val="00225DE3"/>
    <w:rsid w:val="002261CA"/>
    <w:rsid w:val="00230FC1"/>
    <w:rsid w:val="0023351D"/>
    <w:rsid w:val="0023444B"/>
    <w:rsid w:val="00247005"/>
    <w:rsid w:val="00257359"/>
    <w:rsid w:val="00264BD3"/>
    <w:rsid w:val="00264E67"/>
    <w:rsid w:val="00275BE2"/>
    <w:rsid w:val="00276D8D"/>
    <w:rsid w:val="00277C4E"/>
    <w:rsid w:val="002836B7"/>
    <w:rsid w:val="00284998"/>
    <w:rsid w:val="002876E8"/>
    <w:rsid w:val="002907E8"/>
    <w:rsid w:val="002A14AF"/>
    <w:rsid w:val="002A60B7"/>
    <w:rsid w:val="002A6CFD"/>
    <w:rsid w:val="002A7125"/>
    <w:rsid w:val="002B13EB"/>
    <w:rsid w:val="002B244D"/>
    <w:rsid w:val="002B46C4"/>
    <w:rsid w:val="002B733E"/>
    <w:rsid w:val="002C327C"/>
    <w:rsid w:val="002C4CC4"/>
    <w:rsid w:val="002C5A45"/>
    <w:rsid w:val="002C72FD"/>
    <w:rsid w:val="002D40CA"/>
    <w:rsid w:val="002E093A"/>
    <w:rsid w:val="002E3934"/>
    <w:rsid w:val="002E66D4"/>
    <w:rsid w:val="002F2B73"/>
    <w:rsid w:val="002F30C9"/>
    <w:rsid w:val="002F350A"/>
    <w:rsid w:val="002F3D04"/>
    <w:rsid w:val="00300DDD"/>
    <w:rsid w:val="00301A9C"/>
    <w:rsid w:val="00301E5C"/>
    <w:rsid w:val="00303966"/>
    <w:rsid w:val="00305D5B"/>
    <w:rsid w:val="00313D8B"/>
    <w:rsid w:val="00313F8F"/>
    <w:rsid w:val="003167BE"/>
    <w:rsid w:val="0031788B"/>
    <w:rsid w:val="00324717"/>
    <w:rsid w:val="00337275"/>
    <w:rsid w:val="00343B07"/>
    <w:rsid w:val="00343FB6"/>
    <w:rsid w:val="00345032"/>
    <w:rsid w:val="00345ABB"/>
    <w:rsid w:val="003472FA"/>
    <w:rsid w:val="003503BD"/>
    <w:rsid w:val="00351810"/>
    <w:rsid w:val="00352349"/>
    <w:rsid w:val="003563FD"/>
    <w:rsid w:val="003565ED"/>
    <w:rsid w:val="00364FC2"/>
    <w:rsid w:val="0036503E"/>
    <w:rsid w:val="00374403"/>
    <w:rsid w:val="003748F0"/>
    <w:rsid w:val="00376AFA"/>
    <w:rsid w:val="003776BD"/>
    <w:rsid w:val="00385239"/>
    <w:rsid w:val="0039040D"/>
    <w:rsid w:val="00394228"/>
    <w:rsid w:val="00394614"/>
    <w:rsid w:val="003958DA"/>
    <w:rsid w:val="00397497"/>
    <w:rsid w:val="003A03AD"/>
    <w:rsid w:val="003A095E"/>
    <w:rsid w:val="003A14AB"/>
    <w:rsid w:val="003A22A6"/>
    <w:rsid w:val="003A4CE2"/>
    <w:rsid w:val="003A5980"/>
    <w:rsid w:val="003C1193"/>
    <w:rsid w:val="003C1804"/>
    <w:rsid w:val="003C19E5"/>
    <w:rsid w:val="003C55EF"/>
    <w:rsid w:val="003D29FD"/>
    <w:rsid w:val="003D4BA0"/>
    <w:rsid w:val="003F340E"/>
    <w:rsid w:val="003F721F"/>
    <w:rsid w:val="00401247"/>
    <w:rsid w:val="00402359"/>
    <w:rsid w:val="00404B70"/>
    <w:rsid w:val="00406A1A"/>
    <w:rsid w:val="00407389"/>
    <w:rsid w:val="00407FB6"/>
    <w:rsid w:val="00417273"/>
    <w:rsid w:val="004259E9"/>
    <w:rsid w:val="00426DE7"/>
    <w:rsid w:val="00427CD0"/>
    <w:rsid w:val="00432A51"/>
    <w:rsid w:val="00435F92"/>
    <w:rsid w:val="00440938"/>
    <w:rsid w:val="00441B2B"/>
    <w:rsid w:val="00441C7D"/>
    <w:rsid w:val="00442CD4"/>
    <w:rsid w:val="0044477D"/>
    <w:rsid w:val="004451BB"/>
    <w:rsid w:val="00447939"/>
    <w:rsid w:val="00450775"/>
    <w:rsid w:val="00451A0F"/>
    <w:rsid w:val="00452265"/>
    <w:rsid w:val="00453C12"/>
    <w:rsid w:val="0045419F"/>
    <w:rsid w:val="00457536"/>
    <w:rsid w:val="00461129"/>
    <w:rsid w:val="00474337"/>
    <w:rsid w:val="004758FA"/>
    <w:rsid w:val="00476E14"/>
    <w:rsid w:val="004778BE"/>
    <w:rsid w:val="004840B1"/>
    <w:rsid w:val="00487071"/>
    <w:rsid w:val="004918F6"/>
    <w:rsid w:val="00492C7C"/>
    <w:rsid w:val="004949BF"/>
    <w:rsid w:val="00495859"/>
    <w:rsid w:val="00495A03"/>
    <w:rsid w:val="004977FF"/>
    <w:rsid w:val="00497AAE"/>
    <w:rsid w:val="004A4833"/>
    <w:rsid w:val="004B2E41"/>
    <w:rsid w:val="004B44A8"/>
    <w:rsid w:val="004C4403"/>
    <w:rsid w:val="004D0F39"/>
    <w:rsid w:val="004D1840"/>
    <w:rsid w:val="004D6EFB"/>
    <w:rsid w:val="004F0CD7"/>
    <w:rsid w:val="004F0F17"/>
    <w:rsid w:val="004F367C"/>
    <w:rsid w:val="00505FAA"/>
    <w:rsid w:val="00506BF6"/>
    <w:rsid w:val="00512684"/>
    <w:rsid w:val="00512D64"/>
    <w:rsid w:val="005130BB"/>
    <w:rsid w:val="005156C3"/>
    <w:rsid w:val="00520F6D"/>
    <w:rsid w:val="005215BA"/>
    <w:rsid w:val="005223B6"/>
    <w:rsid w:val="00525E90"/>
    <w:rsid w:val="0053363C"/>
    <w:rsid w:val="00536A03"/>
    <w:rsid w:val="00536BA9"/>
    <w:rsid w:val="00540E2D"/>
    <w:rsid w:val="005438C3"/>
    <w:rsid w:val="0054797B"/>
    <w:rsid w:val="00556174"/>
    <w:rsid w:val="005621D1"/>
    <w:rsid w:val="00565A3B"/>
    <w:rsid w:val="00567DF5"/>
    <w:rsid w:val="00570E55"/>
    <w:rsid w:val="00571DB7"/>
    <w:rsid w:val="00572559"/>
    <w:rsid w:val="00581612"/>
    <w:rsid w:val="00593F98"/>
    <w:rsid w:val="005A59D9"/>
    <w:rsid w:val="005B01C9"/>
    <w:rsid w:val="005C193C"/>
    <w:rsid w:val="005C1E07"/>
    <w:rsid w:val="005C3183"/>
    <w:rsid w:val="005C3DEC"/>
    <w:rsid w:val="005C60E5"/>
    <w:rsid w:val="005D5B49"/>
    <w:rsid w:val="005D5CA6"/>
    <w:rsid w:val="005D6F92"/>
    <w:rsid w:val="005D7B67"/>
    <w:rsid w:val="005E35D1"/>
    <w:rsid w:val="005E3A11"/>
    <w:rsid w:val="005F28B7"/>
    <w:rsid w:val="005F409B"/>
    <w:rsid w:val="0060006E"/>
    <w:rsid w:val="006004A6"/>
    <w:rsid w:val="006034C4"/>
    <w:rsid w:val="00603B7D"/>
    <w:rsid w:val="00605ACE"/>
    <w:rsid w:val="00605C0D"/>
    <w:rsid w:val="006170EB"/>
    <w:rsid w:val="006209AA"/>
    <w:rsid w:val="00621FDC"/>
    <w:rsid w:val="00624D9F"/>
    <w:rsid w:val="00630B0D"/>
    <w:rsid w:val="00630DE9"/>
    <w:rsid w:val="00631EF7"/>
    <w:rsid w:val="0064539B"/>
    <w:rsid w:val="0064610C"/>
    <w:rsid w:val="00651B29"/>
    <w:rsid w:val="00653508"/>
    <w:rsid w:val="0065360F"/>
    <w:rsid w:val="00654709"/>
    <w:rsid w:val="006557E8"/>
    <w:rsid w:val="00657769"/>
    <w:rsid w:val="00663439"/>
    <w:rsid w:val="00664305"/>
    <w:rsid w:val="00664E89"/>
    <w:rsid w:val="00665069"/>
    <w:rsid w:val="00665797"/>
    <w:rsid w:val="006660C7"/>
    <w:rsid w:val="00667973"/>
    <w:rsid w:val="00674655"/>
    <w:rsid w:val="00674DFD"/>
    <w:rsid w:val="0067673F"/>
    <w:rsid w:val="006816D4"/>
    <w:rsid w:val="006879FB"/>
    <w:rsid w:val="006938B4"/>
    <w:rsid w:val="006963FB"/>
    <w:rsid w:val="0069658F"/>
    <w:rsid w:val="00696D52"/>
    <w:rsid w:val="00697036"/>
    <w:rsid w:val="006A73DF"/>
    <w:rsid w:val="006B29F5"/>
    <w:rsid w:val="006B752C"/>
    <w:rsid w:val="006B7916"/>
    <w:rsid w:val="006C40A5"/>
    <w:rsid w:val="006C4979"/>
    <w:rsid w:val="006D183E"/>
    <w:rsid w:val="006E247F"/>
    <w:rsid w:val="006E67B4"/>
    <w:rsid w:val="006E7CC2"/>
    <w:rsid w:val="006F4130"/>
    <w:rsid w:val="006F5BEB"/>
    <w:rsid w:val="006F777E"/>
    <w:rsid w:val="006F7B74"/>
    <w:rsid w:val="00701B62"/>
    <w:rsid w:val="00705E53"/>
    <w:rsid w:val="00717CA8"/>
    <w:rsid w:val="00720701"/>
    <w:rsid w:val="0072247C"/>
    <w:rsid w:val="00727E0B"/>
    <w:rsid w:val="00727E57"/>
    <w:rsid w:val="007303B5"/>
    <w:rsid w:val="00735557"/>
    <w:rsid w:val="0073580D"/>
    <w:rsid w:val="007362F4"/>
    <w:rsid w:val="00737B88"/>
    <w:rsid w:val="00743BEF"/>
    <w:rsid w:val="007463CF"/>
    <w:rsid w:val="00747554"/>
    <w:rsid w:val="00751622"/>
    <w:rsid w:val="00755D3E"/>
    <w:rsid w:val="007662EF"/>
    <w:rsid w:val="00770006"/>
    <w:rsid w:val="00772713"/>
    <w:rsid w:val="0077299A"/>
    <w:rsid w:val="00774DD7"/>
    <w:rsid w:val="007753FE"/>
    <w:rsid w:val="00777645"/>
    <w:rsid w:val="00781512"/>
    <w:rsid w:val="00782AB8"/>
    <w:rsid w:val="007832B8"/>
    <w:rsid w:val="007832CF"/>
    <w:rsid w:val="00784864"/>
    <w:rsid w:val="00784A13"/>
    <w:rsid w:val="00784D8E"/>
    <w:rsid w:val="0078587E"/>
    <w:rsid w:val="00786E12"/>
    <w:rsid w:val="007945CF"/>
    <w:rsid w:val="00795F7E"/>
    <w:rsid w:val="007A217B"/>
    <w:rsid w:val="007A3F45"/>
    <w:rsid w:val="007A783C"/>
    <w:rsid w:val="007B2B60"/>
    <w:rsid w:val="007B5F92"/>
    <w:rsid w:val="007C08F5"/>
    <w:rsid w:val="007C4713"/>
    <w:rsid w:val="007C4CA2"/>
    <w:rsid w:val="007D23FB"/>
    <w:rsid w:val="007D334B"/>
    <w:rsid w:val="007D48A4"/>
    <w:rsid w:val="007D78D8"/>
    <w:rsid w:val="007E0530"/>
    <w:rsid w:val="007E1F22"/>
    <w:rsid w:val="007E5696"/>
    <w:rsid w:val="007F4726"/>
    <w:rsid w:val="007F6E20"/>
    <w:rsid w:val="007F7DCA"/>
    <w:rsid w:val="00801D7F"/>
    <w:rsid w:val="00805EE2"/>
    <w:rsid w:val="00805FDE"/>
    <w:rsid w:val="0081057C"/>
    <w:rsid w:val="00810BE9"/>
    <w:rsid w:val="008128A5"/>
    <w:rsid w:val="008134CA"/>
    <w:rsid w:val="00814955"/>
    <w:rsid w:val="00814E5A"/>
    <w:rsid w:val="0082087A"/>
    <w:rsid w:val="00821717"/>
    <w:rsid w:val="008250AC"/>
    <w:rsid w:val="00825202"/>
    <w:rsid w:val="008271E7"/>
    <w:rsid w:val="00827BC5"/>
    <w:rsid w:val="00833F47"/>
    <w:rsid w:val="00847F4D"/>
    <w:rsid w:val="008508C6"/>
    <w:rsid w:val="008519B1"/>
    <w:rsid w:val="00856906"/>
    <w:rsid w:val="00860174"/>
    <w:rsid w:val="008607EB"/>
    <w:rsid w:val="00860F84"/>
    <w:rsid w:val="008614A2"/>
    <w:rsid w:val="0086330F"/>
    <w:rsid w:val="00864B10"/>
    <w:rsid w:val="00867668"/>
    <w:rsid w:val="0087006F"/>
    <w:rsid w:val="008717EF"/>
    <w:rsid w:val="0088477E"/>
    <w:rsid w:val="00885F55"/>
    <w:rsid w:val="00886009"/>
    <w:rsid w:val="0089789E"/>
    <w:rsid w:val="008A1FE5"/>
    <w:rsid w:val="008B414D"/>
    <w:rsid w:val="008B7F28"/>
    <w:rsid w:val="008D2744"/>
    <w:rsid w:val="008D591C"/>
    <w:rsid w:val="008E001E"/>
    <w:rsid w:val="008F7E6D"/>
    <w:rsid w:val="00902AEC"/>
    <w:rsid w:val="009128C7"/>
    <w:rsid w:val="009153E9"/>
    <w:rsid w:val="009163FF"/>
    <w:rsid w:val="009229F1"/>
    <w:rsid w:val="00924958"/>
    <w:rsid w:val="00925256"/>
    <w:rsid w:val="00925F4E"/>
    <w:rsid w:val="00930B5D"/>
    <w:rsid w:val="009342D0"/>
    <w:rsid w:val="009419E5"/>
    <w:rsid w:val="00943CB0"/>
    <w:rsid w:val="00945750"/>
    <w:rsid w:val="009471F8"/>
    <w:rsid w:val="00954D45"/>
    <w:rsid w:val="00955B30"/>
    <w:rsid w:val="00957D3E"/>
    <w:rsid w:val="009603E9"/>
    <w:rsid w:val="00962CBE"/>
    <w:rsid w:val="00964042"/>
    <w:rsid w:val="00971F6C"/>
    <w:rsid w:val="009744D3"/>
    <w:rsid w:val="0097654A"/>
    <w:rsid w:val="00981684"/>
    <w:rsid w:val="00983035"/>
    <w:rsid w:val="00991830"/>
    <w:rsid w:val="009939F0"/>
    <w:rsid w:val="009945AD"/>
    <w:rsid w:val="009948DC"/>
    <w:rsid w:val="009A1335"/>
    <w:rsid w:val="009A1B09"/>
    <w:rsid w:val="009A1EA5"/>
    <w:rsid w:val="009A6DAA"/>
    <w:rsid w:val="009A6E9D"/>
    <w:rsid w:val="009B23CE"/>
    <w:rsid w:val="009B531D"/>
    <w:rsid w:val="009C216E"/>
    <w:rsid w:val="009C4927"/>
    <w:rsid w:val="009C492F"/>
    <w:rsid w:val="009C4F23"/>
    <w:rsid w:val="009C706F"/>
    <w:rsid w:val="009C7A0E"/>
    <w:rsid w:val="009D28DE"/>
    <w:rsid w:val="009D2A0C"/>
    <w:rsid w:val="009D4556"/>
    <w:rsid w:val="009D4A5B"/>
    <w:rsid w:val="009D5919"/>
    <w:rsid w:val="009F18B3"/>
    <w:rsid w:val="00A05285"/>
    <w:rsid w:val="00A13AA6"/>
    <w:rsid w:val="00A13E73"/>
    <w:rsid w:val="00A22EAD"/>
    <w:rsid w:val="00A23A64"/>
    <w:rsid w:val="00A255D5"/>
    <w:rsid w:val="00A26E7C"/>
    <w:rsid w:val="00A30C28"/>
    <w:rsid w:val="00A372C2"/>
    <w:rsid w:val="00A3774F"/>
    <w:rsid w:val="00A40886"/>
    <w:rsid w:val="00A44F73"/>
    <w:rsid w:val="00A624A5"/>
    <w:rsid w:val="00A6405C"/>
    <w:rsid w:val="00A6622D"/>
    <w:rsid w:val="00A6694C"/>
    <w:rsid w:val="00A74A7A"/>
    <w:rsid w:val="00A86CA1"/>
    <w:rsid w:val="00A91D26"/>
    <w:rsid w:val="00A925B0"/>
    <w:rsid w:val="00A95DA3"/>
    <w:rsid w:val="00A96FA2"/>
    <w:rsid w:val="00AA0C85"/>
    <w:rsid w:val="00AA3EAE"/>
    <w:rsid w:val="00AB176F"/>
    <w:rsid w:val="00AB69A1"/>
    <w:rsid w:val="00AC17A5"/>
    <w:rsid w:val="00AC274D"/>
    <w:rsid w:val="00AC5F29"/>
    <w:rsid w:val="00AD13F8"/>
    <w:rsid w:val="00AD1E25"/>
    <w:rsid w:val="00AD637E"/>
    <w:rsid w:val="00AE2FEC"/>
    <w:rsid w:val="00AF09E2"/>
    <w:rsid w:val="00AF381F"/>
    <w:rsid w:val="00AF6D49"/>
    <w:rsid w:val="00B01A08"/>
    <w:rsid w:val="00B02064"/>
    <w:rsid w:val="00B0489E"/>
    <w:rsid w:val="00B04901"/>
    <w:rsid w:val="00B04AE0"/>
    <w:rsid w:val="00B06448"/>
    <w:rsid w:val="00B07497"/>
    <w:rsid w:val="00B07DDE"/>
    <w:rsid w:val="00B12996"/>
    <w:rsid w:val="00B129F2"/>
    <w:rsid w:val="00B17D90"/>
    <w:rsid w:val="00B20036"/>
    <w:rsid w:val="00B20C58"/>
    <w:rsid w:val="00B21D05"/>
    <w:rsid w:val="00B23414"/>
    <w:rsid w:val="00B25944"/>
    <w:rsid w:val="00B25C92"/>
    <w:rsid w:val="00B30816"/>
    <w:rsid w:val="00B36BE0"/>
    <w:rsid w:val="00B428D8"/>
    <w:rsid w:val="00B45211"/>
    <w:rsid w:val="00B460F4"/>
    <w:rsid w:val="00B46F03"/>
    <w:rsid w:val="00B53361"/>
    <w:rsid w:val="00B539A5"/>
    <w:rsid w:val="00B55561"/>
    <w:rsid w:val="00B55F15"/>
    <w:rsid w:val="00B617BF"/>
    <w:rsid w:val="00B637F1"/>
    <w:rsid w:val="00B65080"/>
    <w:rsid w:val="00B667E7"/>
    <w:rsid w:val="00B726E9"/>
    <w:rsid w:val="00B763C5"/>
    <w:rsid w:val="00B768EC"/>
    <w:rsid w:val="00BA26BF"/>
    <w:rsid w:val="00BA2AD2"/>
    <w:rsid w:val="00BA5295"/>
    <w:rsid w:val="00BB11A9"/>
    <w:rsid w:val="00BB1EB7"/>
    <w:rsid w:val="00BB25DD"/>
    <w:rsid w:val="00BB5A7C"/>
    <w:rsid w:val="00BB5B36"/>
    <w:rsid w:val="00BC1C41"/>
    <w:rsid w:val="00BC2240"/>
    <w:rsid w:val="00BC4876"/>
    <w:rsid w:val="00BC5D0C"/>
    <w:rsid w:val="00BD2DA5"/>
    <w:rsid w:val="00BD59F0"/>
    <w:rsid w:val="00BD5D1E"/>
    <w:rsid w:val="00BE5D29"/>
    <w:rsid w:val="00BE6B89"/>
    <w:rsid w:val="00BF01A0"/>
    <w:rsid w:val="00BF07B4"/>
    <w:rsid w:val="00BF2A06"/>
    <w:rsid w:val="00BF49D9"/>
    <w:rsid w:val="00BF6578"/>
    <w:rsid w:val="00C05DA1"/>
    <w:rsid w:val="00C1101E"/>
    <w:rsid w:val="00C136E9"/>
    <w:rsid w:val="00C14C83"/>
    <w:rsid w:val="00C1665D"/>
    <w:rsid w:val="00C20DF7"/>
    <w:rsid w:val="00C22B23"/>
    <w:rsid w:val="00C26EBA"/>
    <w:rsid w:val="00C31261"/>
    <w:rsid w:val="00C32820"/>
    <w:rsid w:val="00C44527"/>
    <w:rsid w:val="00C46305"/>
    <w:rsid w:val="00C5009E"/>
    <w:rsid w:val="00C521A6"/>
    <w:rsid w:val="00C62397"/>
    <w:rsid w:val="00C63D89"/>
    <w:rsid w:val="00C66B0F"/>
    <w:rsid w:val="00C77DED"/>
    <w:rsid w:val="00C855CD"/>
    <w:rsid w:val="00C87148"/>
    <w:rsid w:val="00C9662F"/>
    <w:rsid w:val="00CA0DAF"/>
    <w:rsid w:val="00CA2ED1"/>
    <w:rsid w:val="00CA6409"/>
    <w:rsid w:val="00CB3139"/>
    <w:rsid w:val="00CC1363"/>
    <w:rsid w:val="00CC3995"/>
    <w:rsid w:val="00CC3EDA"/>
    <w:rsid w:val="00CC4947"/>
    <w:rsid w:val="00CC7D38"/>
    <w:rsid w:val="00CE0F3F"/>
    <w:rsid w:val="00CE2CB9"/>
    <w:rsid w:val="00CF73AB"/>
    <w:rsid w:val="00D048E3"/>
    <w:rsid w:val="00D0693F"/>
    <w:rsid w:val="00D11183"/>
    <w:rsid w:val="00D143FB"/>
    <w:rsid w:val="00D15950"/>
    <w:rsid w:val="00D20AD8"/>
    <w:rsid w:val="00D2486F"/>
    <w:rsid w:val="00D26329"/>
    <w:rsid w:val="00D36D45"/>
    <w:rsid w:val="00D3780A"/>
    <w:rsid w:val="00D4376A"/>
    <w:rsid w:val="00D5365E"/>
    <w:rsid w:val="00D62557"/>
    <w:rsid w:val="00D6297C"/>
    <w:rsid w:val="00D654D5"/>
    <w:rsid w:val="00D65B68"/>
    <w:rsid w:val="00D66C58"/>
    <w:rsid w:val="00D72A52"/>
    <w:rsid w:val="00D74E11"/>
    <w:rsid w:val="00D8205B"/>
    <w:rsid w:val="00D839BC"/>
    <w:rsid w:val="00D842CB"/>
    <w:rsid w:val="00D910C5"/>
    <w:rsid w:val="00D92C85"/>
    <w:rsid w:val="00D93A0E"/>
    <w:rsid w:val="00D9442A"/>
    <w:rsid w:val="00DA01CE"/>
    <w:rsid w:val="00DA1D04"/>
    <w:rsid w:val="00DB771C"/>
    <w:rsid w:val="00DC0D35"/>
    <w:rsid w:val="00DC1858"/>
    <w:rsid w:val="00DC2C55"/>
    <w:rsid w:val="00DC498B"/>
    <w:rsid w:val="00DD0A79"/>
    <w:rsid w:val="00DD3631"/>
    <w:rsid w:val="00DD3C2C"/>
    <w:rsid w:val="00DD7096"/>
    <w:rsid w:val="00DE221A"/>
    <w:rsid w:val="00DF07D3"/>
    <w:rsid w:val="00E05652"/>
    <w:rsid w:val="00E07F68"/>
    <w:rsid w:val="00E118E5"/>
    <w:rsid w:val="00E11BA7"/>
    <w:rsid w:val="00E13583"/>
    <w:rsid w:val="00E135C2"/>
    <w:rsid w:val="00E22AC8"/>
    <w:rsid w:val="00E22DB1"/>
    <w:rsid w:val="00E3340A"/>
    <w:rsid w:val="00E354FD"/>
    <w:rsid w:val="00E4463E"/>
    <w:rsid w:val="00E475AD"/>
    <w:rsid w:val="00E51B83"/>
    <w:rsid w:val="00E61F33"/>
    <w:rsid w:val="00E62665"/>
    <w:rsid w:val="00E628B2"/>
    <w:rsid w:val="00E667F8"/>
    <w:rsid w:val="00E67061"/>
    <w:rsid w:val="00E73DBF"/>
    <w:rsid w:val="00E76BB8"/>
    <w:rsid w:val="00E83267"/>
    <w:rsid w:val="00E86003"/>
    <w:rsid w:val="00E86EA7"/>
    <w:rsid w:val="00E910EA"/>
    <w:rsid w:val="00E9231B"/>
    <w:rsid w:val="00E9296D"/>
    <w:rsid w:val="00E95266"/>
    <w:rsid w:val="00E97EB0"/>
    <w:rsid w:val="00EA0AC4"/>
    <w:rsid w:val="00EA1304"/>
    <w:rsid w:val="00EA77FC"/>
    <w:rsid w:val="00EC5FD9"/>
    <w:rsid w:val="00EC68B2"/>
    <w:rsid w:val="00ED37EE"/>
    <w:rsid w:val="00ED3810"/>
    <w:rsid w:val="00ED4998"/>
    <w:rsid w:val="00ED507B"/>
    <w:rsid w:val="00EE1944"/>
    <w:rsid w:val="00EE3175"/>
    <w:rsid w:val="00EE630B"/>
    <w:rsid w:val="00EE6E8A"/>
    <w:rsid w:val="00EF0CBC"/>
    <w:rsid w:val="00F01056"/>
    <w:rsid w:val="00F02901"/>
    <w:rsid w:val="00F02AC4"/>
    <w:rsid w:val="00F073EE"/>
    <w:rsid w:val="00F11D0D"/>
    <w:rsid w:val="00F16652"/>
    <w:rsid w:val="00F16AE8"/>
    <w:rsid w:val="00F225B8"/>
    <w:rsid w:val="00F26492"/>
    <w:rsid w:val="00F371C7"/>
    <w:rsid w:val="00F40147"/>
    <w:rsid w:val="00F527E3"/>
    <w:rsid w:val="00F541DF"/>
    <w:rsid w:val="00F55B2F"/>
    <w:rsid w:val="00F5792B"/>
    <w:rsid w:val="00F622F4"/>
    <w:rsid w:val="00F646F4"/>
    <w:rsid w:val="00F76595"/>
    <w:rsid w:val="00F9152E"/>
    <w:rsid w:val="00F917DE"/>
    <w:rsid w:val="00FA302A"/>
    <w:rsid w:val="00FA3981"/>
    <w:rsid w:val="00FB163B"/>
    <w:rsid w:val="00FB1E2E"/>
    <w:rsid w:val="00FB2AEB"/>
    <w:rsid w:val="00FB4829"/>
    <w:rsid w:val="00FB5123"/>
    <w:rsid w:val="00FC188C"/>
    <w:rsid w:val="00FC3416"/>
    <w:rsid w:val="00FC448D"/>
    <w:rsid w:val="00FC6480"/>
    <w:rsid w:val="00FD136B"/>
    <w:rsid w:val="00FD5D26"/>
    <w:rsid w:val="00FE3E4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91FFDFD"/>
  <w15:docId w15:val="{D910B157-92FB-4428-B17B-CAE25B65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tulo1">
    <w:name w:val="heading 1"/>
    <w:basedOn w:val="Normal"/>
    <w:next w:val="Normal"/>
    <w:qFormat/>
    <w:pPr>
      <w:keepNext/>
      <w:jc w:val="center"/>
      <w:outlineLvl w:val="0"/>
    </w:pPr>
    <w:rPr>
      <w:b/>
      <w:bCs/>
      <w:lang w:val="en-GB"/>
    </w:rPr>
  </w:style>
  <w:style w:type="paragraph" w:styleId="Ttulo2">
    <w:name w:val="heading 2"/>
    <w:basedOn w:val="Normal"/>
    <w:next w:val="Normal"/>
    <w:qFormat/>
    <w:pPr>
      <w:keepNext/>
      <w:outlineLvl w:val="1"/>
    </w:pPr>
    <w:rPr>
      <w:b/>
      <w:bCs/>
      <w:lang w:val="en-GB"/>
    </w:rPr>
  </w:style>
  <w:style w:type="paragraph" w:styleId="Ttulo3">
    <w:name w:val="heading 3"/>
    <w:basedOn w:val="Normal"/>
    <w:next w:val="Normal"/>
    <w:qFormat/>
    <w:rsid w:val="00801D7F"/>
    <w:pPr>
      <w:keepNext/>
      <w:spacing w:before="240" w:after="240"/>
      <w:outlineLvl w:val="2"/>
    </w:pPr>
    <w:rPr>
      <w:rFonts w:ascii="Arial" w:hAnsi="Arial"/>
      <w:bCs/>
      <w:i/>
    </w:rPr>
  </w:style>
  <w:style w:type="paragraph" w:styleId="Ttulo4">
    <w:name w:val="heading 4"/>
    <w:basedOn w:val="Normal"/>
    <w:next w:val="Normal"/>
    <w:qFormat/>
    <w:rsid w:val="00AA3EAE"/>
    <w:pPr>
      <w:keepNext/>
      <w:numPr>
        <w:ilvl w:val="3"/>
        <w:numId w:val="1"/>
      </w:numPr>
      <w:outlineLvl w:val="3"/>
    </w:pPr>
    <w:rPr>
      <w:rFonts w:ascii="Arial" w:hAnsi="Arial"/>
      <w:b/>
      <w:bCs/>
    </w:rPr>
  </w:style>
  <w:style w:type="paragraph" w:styleId="Ttulo5">
    <w:name w:val="heading 5"/>
    <w:basedOn w:val="Normal"/>
    <w:next w:val="Normal"/>
    <w:qFormat/>
    <w:pPr>
      <w:keepNext/>
      <w:numPr>
        <w:ilvl w:val="4"/>
        <w:numId w:val="1"/>
      </w:numPr>
      <w:jc w:val="center"/>
      <w:outlineLvl w:val="4"/>
    </w:pPr>
    <w:rPr>
      <w:b/>
      <w:bCs/>
      <w:color w:val="FF99CC"/>
    </w:rPr>
  </w:style>
  <w:style w:type="paragraph" w:styleId="Ttulo6">
    <w:name w:val="heading 6"/>
    <w:basedOn w:val="Normal"/>
    <w:next w:val="Normal"/>
    <w:qFormat/>
    <w:pPr>
      <w:keepNext/>
      <w:numPr>
        <w:ilvl w:val="5"/>
        <w:numId w:val="1"/>
      </w:numPr>
      <w:outlineLvl w:val="5"/>
    </w:pPr>
    <w:rPr>
      <w:b/>
      <w:bCs/>
      <w:sz w:val="28"/>
      <w:lang w:val="en-GB"/>
    </w:rPr>
  </w:style>
  <w:style w:type="paragraph" w:styleId="Ttulo7">
    <w:name w:val="heading 7"/>
    <w:basedOn w:val="Normal"/>
    <w:next w:val="Normal"/>
    <w:qFormat/>
    <w:pPr>
      <w:keepNext/>
      <w:numPr>
        <w:ilvl w:val="6"/>
        <w:numId w:val="1"/>
      </w:numPr>
      <w:autoSpaceDE w:val="0"/>
      <w:autoSpaceDN w:val="0"/>
      <w:adjustRightInd w:val="0"/>
      <w:jc w:val="center"/>
      <w:outlineLvl w:val="6"/>
    </w:pPr>
    <w:rPr>
      <w:b/>
      <w:bCs/>
      <w:color w:val="00FFFF"/>
      <w:sz w:val="22"/>
    </w:rPr>
  </w:style>
  <w:style w:type="paragraph" w:styleId="Ttulo8">
    <w:name w:val="heading 8"/>
    <w:basedOn w:val="Normal"/>
    <w:next w:val="Normal"/>
    <w:qFormat/>
    <w:pPr>
      <w:keepNext/>
      <w:numPr>
        <w:ilvl w:val="7"/>
        <w:numId w:val="1"/>
      </w:numPr>
      <w:outlineLvl w:val="7"/>
    </w:pPr>
    <w:rPr>
      <w:lang w:val="en-GB"/>
    </w:rPr>
  </w:style>
  <w:style w:type="paragraph" w:styleId="Ttulo9">
    <w:name w:val="heading 9"/>
    <w:basedOn w:val="Normal"/>
    <w:next w:val="Normal"/>
    <w:qFormat/>
    <w:pPr>
      <w:keepNext/>
      <w:numPr>
        <w:ilvl w:val="8"/>
        <w:numId w:val="1"/>
      </w:numPr>
      <w:spacing w:before="240" w:after="240"/>
      <w:jc w:val="both"/>
      <w:outlineLvl w:val="8"/>
    </w:pPr>
    <w:rPr>
      <w:rFonts w:ascii="Arial" w:hAnsi="Arial" w:cs="Arial"/>
      <w:b/>
      <w:color w:val="FF0000"/>
      <w:sz w:val="28"/>
      <w:szCs w:val="28"/>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rPr>
  </w:style>
  <w:style w:type="paragraph" w:styleId="TDC1">
    <w:name w:val="toc 1"/>
    <w:next w:val="Normal"/>
    <w:autoRedefine/>
    <w:uiPriority w:val="39"/>
    <w:pPr>
      <w:spacing w:before="120" w:after="120"/>
    </w:pPr>
    <w:rPr>
      <w:rFonts w:ascii="Arial" w:hAnsi="Arial" w:cs="Arial"/>
      <w:b/>
      <w:sz w:val="24"/>
      <w:szCs w:val="24"/>
      <w:lang w:val="en-GB" w:eastAsia="fr-FR"/>
    </w:rPr>
  </w:style>
  <w:style w:type="paragraph" w:styleId="TDC2">
    <w:name w:val="toc 2"/>
    <w:basedOn w:val="Normal"/>
    <w:next w:val="Normal"/>
    <w:autoRedefine/>
    <w:uiPriority w:val="39"/>
    <w:pPr>
      <w:spacing w:before="120"/>
      <w:ind w:left="397"/>
    </w:pPr>
    <w:rPr>
      <w:rFonts w:ascii="Arial" w:hAnsi="Arial"/>
      <w:bCs/>
      <w:szCs w:val="20"/>
    </w:rPr>
  </w:style>
  <w:style w:type="paragraph" w:styleId="TDC3">
    <w:name w:val="toc 3"/>
    <w:basedOn w:val="Normal"/>
    <w:next w:val="Normal"/>
    <w:autoRedefine/>
    <w:semiHidden/>
    <w:pPr>
      <w:ind w:left="240"/>
    </w:pPr>
    <w:rPr>
      <w:sz w:val="20"/>
      <w:szCs w:val="20"/>
    </w:rPr>
  </w:style>
  <w:style w:type="paragraph" w:styleId="TDC4">
    <w:name w:val="toc 4"/>
    <w:basedOn w:val="Normal"/>
    <w:next w:val="Normal"/>
    <w:autoRedefine/>
    <w:semiHidden/>
    <w:pPr>
      <w:ind w:left="480"/>
    </w:pPr>
    <w:rPr>
      <w:sz w:val="20"/>
      <w:szCs w:val="20"/>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character" w:styleId="Hipervnculo">
    <w:name w:val="Hyperlink"/>
    <w:basedOn w:val="Fuentedeprrafopredeter"/>
    <w:uiPriority w:val="99"/>
    <w:rPr>
      <w:rFonts w:ascii="Arial" w:hAnsi="Arial"/>
      <w:color w:val="0000FF"/>
      <w:sz w:val="20"/>
      <w:u w:val="single"/>
    </w:rPr>
  </w:style>
  <w:style w:type="paragraph" w:styleId="Textoindependiente2">
    <w:name w:val="Body Text 2"/>
    <w:basedOn w:val="Normal"/>
    <w:rPr>
      <w:sz w:val="20"/>
      <w:lang w:val="en-GB"/>
    </w:rPr>
  </w:style>
  <w:style w:type="paragraph" w:customStyle="1" w:styleId="TitreOS">
    <w:name w:val="Titre OS"/>
    <w:basedOn w:val="Normal"/>
    <w:pPr>
      <w:spacing w:before="360" w:line="360" w:lineRule="auto"/>
      <w:jc w:val="center"/>
    </w:pPr>
    <w:rPr>
      <w:rFonts w:ascii="Comic Sans MS" w:hAnsi="Comic Sans MS"/>
      <w:b/>
      <w:bCs/>
      <w:smallCaps/>
      <w:sz w:val="28"/>
      <w:szCs w:val="28"/>
      <w:lang w:val="en-GB"/>
      <w14:shadow w14:blurRad="50800" w14:dist="38100" w14:dir="2700000" w14:sx="100000" w14:sy="100000" w14:kx="0" w14:ky="0" w14:algn="tl">
        <w14:srgbClr w14:val="000000">
          <w14:alpha w14:val="60000"/>
        </w14:srgbClr>
      </w14:shadow>
    </w:rPr>
  </w:style>
  <w:style w:type="paragraph" w:customStyle="1" w:styleId="Titre2OS">
    <w:name w:val="Titre2 OS"/>
    <w:basedOn w:val="TitreOS"/>
    <w:pPr>
      <w:spacing w:before="120"/>
      <w:jc w:val="left"/>
    </w:pPr>
    <w:rPr>
      <w:b w:val="0"/>
      <w:i/>
      <w:smallCaps w:val="0"/>
      <w:sz w:val="24"/>
      <w14:shadow w14:blurRad="0" w14:dist="0" w14:dir="0" w14:sx="0" w14:sy="0" w14:kx="0" w14:ky="0" w14:algn="none">
        <w14:srgbClr w14:val="000000"/>
      </w14:shadow>
    </w:rPr>
  </w:style>
  <w:style w:type="paragraph" w:styleId="Textoindependiente3">
    <w:name w:val="Body Text 3"/>
    <w:basedOn w:val="Normal"/>
    <w:pPr>
      <w:jc w:val="both"/>
    </w:pPr>
    <w:rPr>
      <w:lang w:val="en-GB"/>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customStyle="1" w:styleId="Normalpersonal">
    <w:name w:val="Normal (personal)"/>
    <w:basedOn w:val="Normal"/>
    <w:pPr>
      <w:spacing w:before="120" w:after="240"/>
      <w:jc w:val="both"/>
    </w:pPr>
    <w:rPr>
      <w:rFonts w:ascii="Verdana" w:hAnsi="Verdana"/>
      <w:lang w:val="es-ES" w:eastAsia="es-ES"/>
    </w:rPr>
  </w:style>
  <w:style w:type="character" w:styleId="Nmerodepgina">
    <w:name w:val="page number"/>
    <w:basedOn w:val="Fuentedeprrafopredeter"/>
  </w:style>
  <w:style w:type="paragraph" w:styleId="Sangradetextonormal">
    <w:name w:val="Body Text Indent"/>
    <w:basedOn w:val="Normal"/>
    <w:pPr>
      <w:spacing w:before="240" w:after="240"/>
      <w:ind w:left="708"/>
      <w:jc w:val="both"/>
    </w:pPr>
    <w:rPr>
      <w:lang w:val="en-GB"/>
    </w:rPr>
  </w:style>
  <w:style w:type="paragraph" w:styleId="Textonotapie">
    <w:name w:val="footnote text"/>
    <w:basedOn w:val="Normal"/>
    <w:semiHidden/>
    <w:rPr>
      <w:sz w:val="20"/>
      <w:szCs w:val="20"/>
    </w:rPr>
  </w:style>
  <w:style w:type="paragraph" w:styleId="Descripcin">
    <w:name w:val="caption"/>
    <w:basedOn w:val="Normal"/>
    <w:next w:val="Normal"/>
    <w:qFormat/>
    <w:rPr>
      <w:b/>
      <w:bCs/>
      <w:sz w:val="20"/>
      <w:szCs w:val="20"/>
    </w:rPr>
  </w:style>
  <w:style w:type="character" w:styleId="Refdenotaalpie">
    <w:name w:val="footnote reference"/>
    <w:basedOn w:val="Fuentedeprrafopredeter"/>
    <w:semiHidden/>
    <w:rPr>
      <w:vertAlign w:val="superscript"/>
    </w:rPr>
  </w:style>
  <w:style w:type="character" w:customStyle="1" w:styleId="TitreOSCar">
    <w:name w:val="Titre OS Car"/>
    <w:basedOn w:val="Fuentedeprrafopredeter"/>
    <w:rPr>
      <w:rFonts w:ascii="Comic Sans MS" w:hAnsi="Comic Sans MS"/>
      <w:b/>
      <w:bCs/>
      <w:smallCaps/>
      <w:sz w:val="28"/>
      <w:szCs w:val="28"/>
      <w:lang w:val="en-GB" w:eastAsia="fr-FR" w:bidi="ar-SA"/>
      <w14:shadow w14:blurRad="50800" w14:dist="38100" w14:dir="2700000" w14:sx="100000" w14:sy="100000" w14:kx="0" w14:ky="0" w14:algn="tl">
        <w14:srgbClr w14:val="000000">
          <w14:alpha w14:val="60000"/>
        </w14:srgbClr>
      </w14:shadow>
    </w:rPr>
  </w:style>
  <w:style w:type="paragraph" w:styleId="Textodeglobo">
    <w:name w:val="Balloon Text"/>
    <w:basedOn w:val="Normal"/>
    <w:semiHidden/>
    <w:rPr>
      <w:rFonts w:ascii="Tahoma" w:hAnsi="Tahoma" w:cs="Tahoma"/>
      <w:sz w:val="16"/>
      <w:szCs w:val="16"/>
    </w:rPr>
  </w:style>
  <w:style w:type="character" w:styleId="Hipervnculovisitado">
    <w:name w:val="FollowedHyperlink"/>
    <w:basedOn w:val="Fuentedeprrafopredeter"/>
    <w:rPr>
      <w:color w:val="800080"/>
      <w:u w:val="single"/>
    </w:rPr>
  </w:style>
  <w:style w:type="paragraph" w:styleId="Sangra2detindependiente">
    <w:name w:val="Body Text Indent 2"/>
    <w:basedOn w:val="Normal"/>
    <w:pPr>
      <w:spacing w:before="120" w:after="120"/>
      <w:ind w:left="191" w:hanging="191"/>
    </w:pPr>
    <w:rPr>
      <w:sz w:val="20"/>
      <w:szCs w:val="20"/>
      <w:lang w:val="en-US"/>
    </w:rPr>
  </w:style>
  <w:style w:type="paragraph" w:customStyle="1" w:styleId="EstiloTtulo1Arial14ptSubrayado">
    <w:name w:val="Estilo Título 1 + Arial 14 pt Subrayado"/>
    <w:basedOn w:val="Ttulo1"/>
    <w:autoRedefine/>
    <w:rsid w:val="00303966"/>
    <w:pPr>
      <w:keepNext w:val="0"/>
      <w:pageBreakBefore/>
      <w:numPr>
        <w:numId w:val="1"/>
      </w:numPr>
      <w:spacing w:before="240" w:after="240"/>
      <w:jc w:val="both"/>
    </w:pPr>
    <w:rPr>
      <w:rFonts w:ascii="Arial" w:hAnsi="Arial"/>
      <w:sz w:val="28"/>
      <w:u w:val="single"/>
    </w:rPr>
  </w:style>
  <w:style w:type="paragraph" w:customStyle="1" w:styleId="EstiloTtulo2Arial13ptAntes12ptoDespus12pto">
    <w:name w:val="Estilo Título 2 + Arial 13 pt Antes:  12 pto Después:  12 pto"/>
    <w:basedOn w:val="Ttulo2"/>
    <w:autoRedefine/>
    <w:pPr>
      <w:numPr>
        <w:ilvl w:val="1"/>
        <w:numId w:val="1"/>
      </w:numPr>
      <w:spacing w:before="240" w:after="240"/>
    </w:pPr>
    <w:rPr>
      <w:rFonts w:ascii="Arial" w:hAnsi="Arial"/>
      <w:sz w:val="26"/>
      <w:szCs w:val="20"/>
    </w:rPr>
  </w:style>
  <w:style w:type="paragraph" w:customStyle="1" w:styleId="EstiloTtulo3ArialCursivaAutomticoAntes12ptoDespu">
    <w:name w:val="Estilo Título 3 + Arial Cursiva Automático Antes:  12 pto Despué..."/>
    <w:basedOn w:val="Ttulo3"/>
    <w:pPr>
      <w:numPr>
        <w:ilvl w:val="2"/>
        <w:numId w:val="1"/>
      </w:numPr>
    </w:pPr>
    <w:rPr>
      <w:i w:val="0"/>
      <w:iCs/>
      <w:szCs w:val="20"/>
    </w:rPr>
  </w:style>
  <w:style w:type="paragraph" w:customStyle="1" w:styleId="EstiloTtulo3ArialCursivaAutomticoAntes12ptoDespu1">
    <w:name w:val="Estilo Título 3 + Arial Cursiva Automático Antes:  12 pto Despué...1"/>
    <w:basedOn w:val="Ttulo3"/>
    <w:pPr>
      <w:numPr>
        <w:ilvl w:val="2"/>
        <w:numId w:val="2"/>
      </w:numPr>
    </w:pPr>
    <w:rPr>
      <w:i w:val="0"/>
      <w:iCs/>
      <w:szCs w:val="20"/>
    </w:rPr>
  </w:style>
  <w:style w:type="paragraph" w:customStyle="1" w:styleId="Rvision1">
    <w:name w:val="Révision1"/>
    <w:hidden/>
    <w:semiHidden/>
    <w:rPr>
      <w:sz w:val="24"/>
      <w:szCs w:val="24"/>
      <w:lang w:val="fr-FR" w:eastAsia="fr-FR"/>
    </w:rPr>
  </w:style>
  <w:style w:type="paragraph" w:customStyle="1" w:styleId="Estilo1">
    <w:name w:val="Estilo1"/>
    <w:basedOn w:val="EstiloTtulo1Arial14ptSubrayado"/>
    <w:pPr>
      <w:numPr>
        <w:numId w:val="3"/>
      </w:numPr>
    </w:pPr>
    <w:rPr>
      <w:lang w:eastAsia="es-ES"/>
    </w:rPr>
  </w:style>
  <w:style w:type="paragraph" w:customStyle="1" w:styleId="Estilo2">
    <w:name w:val="Estilo2"/>
    <w:basedOn w:val="EstiloTtulo1Arial14ptSubrayado"/>
    <w:pPr>
      <w:numPr>
        <w:numId w:val="4"/>
      </w:numPr>
    </w:pPr>
    <w:rPr>
      <w:lang w:eastAsia="es-ES"/>
    </w:rPr>
  </w:style>
  <w:style w:type="paragraph" w:customStyle="1" w:styleId="Estilo3">
    <w:name w:val="Estilo3"/>
    <w:basedOn w:val="EstiloTtulo2Arial13ptAntes12ptoDespus12pto"/>
    <w:next w:val="EstiloTtulo3ArialCursivaAutomticoAntes12ptoDespu"/>
    <w:pPr>
      <w:numPr>
        <w:numId w:val="4"/>
      </w:numPr>
      <w:tabs>
        <w:tab w:val="left" w:pos="816"/>
      </w:tabs>
    </w:pPr>
    <w:rPr>
      <w:lang w:eastAsia="es-ES"/>
    </w:rPr>
  </w:style>
  <w:style w:type="paragraph" w:customStyle="1" w:styleId="Estilo4">
    <w:name w:val="Estilo4"/>
    <w:basedOn w:val="EstiloTtulo3ArialCursivaAutomticoAntes12ptoDespu"/>
    <w:pPr>
      <w:numPr>
        <w:numId w:val="5"/>
      </w:numPr>
    </w:pPr>
    <w:rPr>
      <w:lang w:val="en-US" w:eastAsia="es-ES"/>
    </w:rPr>
  </w:style>
  <w:style w:type="paragraph" w:styleId="Textonotaalfinal">
    <w:name w:val="endnote text"/>
    <w:basedOn w:val="Normal"/>
    <w:link w:val="TextonotaalfinalCar"/>
    <w:rsid w:val="007A217B"/>
    <w:rPr>
      <w:sz w:val="20"/>
      <w:szCs w:val="20"/>
    </w:rPr>
  </w:style>
  <w:style w:type="character" w:customStyle="1" w:styleId="TextonotaalfinalCar">
    <w:name w:val="Texto nota al final Car"/>
    <w:basedOn w:val="Fuentedeprrafopredeter"/>
    <w:link w:val="Textonotaalfinal"/>
    <w:rsid w:val="007A217B"/>
    <w:rPr>
      <w:lang w:val="fr-FR" w:eastAsia="fr-FR"/>
    </w:rPr>
  </w:style>
  <w:style w:type="character" w:styleId="Refdenotaalfinal">
    <w:name w:val="endnote reference"/>
    <w:basedOn w:val="Fuentedeprrafopredeter"/>
    <w:rsid w:val="007A217B"/>
    <w:rPr>
      <w:vertAlign w:val="superscript"/>
    </w:rPr>
  </w:style>
  <w:style w:type="character" w:styleId="Refdecomentario">
    <w:name w:val="annotation reference"/>
    <w:basedOn w:val="Fuentedeprrafopredeter"/>
    <w:semiHidden/>
    <w:rsid w:val="00727E57"/>
    <w:rPr>
      <w:sz w:val="16"/>
      <w:szCs w:val="16"/>
    </w:rPr>
  </w:style>
  <w:style w:type="paragraph" w:styleId="Textocomentario">
    <w:name w:val="annotation text"/>
    <w:basedOn w:val="Normal"/>
    <w:semiHidden/>
    <w:rsid w:val="00727E57"/>
    <w:rPr>
      <w:sz w:val="20"/>
      <w:szCs w:val="20"/>
    </w:rPr>
  </w:style>
  <w:style w:type="paragraph" w:styleId="Asuntodelcomentario">
    <w:name w:val="annotation subject"/>
    <w:basedOn w:val="Textocomentario"/>
    <w:next w:val="Textocomentario"/>
    <w:semiHidden/>
    <w:rsid w:val="00727E57"/>
    <w:rPr>
      <w:b/>
      <w:bCs/>
    </w:rPr>
  </w:style>
  <w:style w:type="character" w:styleId="Textoennegrita">
    <w:name w:val="Strong"/>
    <w:basedOn w:val="Fuentedeprrafopredeter"/>
    <w:qFormat/>
    <w:rsid w:val="00AF381F"/>
    <w:rPr>
      <w:b/>
      <w:bCs/>
    </w:rPr>
  </w:style>
  <w:style w:type="paragraph" w:styleId="Prrafodelista">
    <w:name w:val="List Paragraph"/>
    <w:basedOn w:val="Normal"/>
    <w:uiPriority w:val="34"/>
    <w:qFormat/>
    <w:rsid w:val="00AC274D"/>
    <w:pPr>
      <w:ind w:left="720"/>
      <w:contextualSpacing/>
    </w:pPr>
  </w:style>
  <w:style w:type="paragraph" w:customStyle="1" w:styleId="Default">
    <w:name w:val="Default"/>
    <w:rsid w:val="00F9152E"/>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F9152E"/>
    <w:rPr>
      <w:rFonts w:cs="Times New Roman"/>
      <w:color w:val="auto"/>
    </w:rPr>
  </w:style>
  <w:style w:type="paragraph" w:customStyle="1" w:styleId="CM3">
    <w:name w:val="CM3"/>
    <w:basedOn w:val="Default"/>
    <w:next w:val="Default"/>
    <w:uiPriority w:val="99"/>
    <w:rsid w:val="00F9152E"/>
    <w:rPr>
      <w:rFonts w:cs="Times New Roman"/>
      <w:color w:val="auto"/>
    </w:rPr>
  </w:style>
  <w:style w:type="paragraph" w:customStyle="1" w:styleId="CM4">
    <w:name w:val="CM4"/>
    <w:basedOn w:val="Default"/>
    <w:next w:val="Default"/>
    <w:uiPriority w:val="99"/>
    <w:rsid w:val="00AD1E25"/>
    <w:rPr>
      <w:rFonts w:cs="Times New Roman"/>
      <w:color w:val="auto"/>
    </w:rPr>
  </w:style>
  <w:style w:type="paragraph" w:styleId="NormalWeb">
    <w:name w:val="Normal (Web)"/>
    <w:basedOn w:val="Normal"/>
    <w:uiPriority w:val="99"/>
    <w:unhideWhenUsed/>
    <w:rsid w:val="0022452A"/>
    <w:pPr>
      <w:spacing w:before="100" w:beforeAutospacing="1" w:after="100" w:afterAutospacing="1"/>
    </w:pPr>
    <w:rPr>
      <w:lang w:val="es-ES" w:eastAsia="es-ES"/>
    </w:rPr>
  </w:style>
  <w:style w:type="character" w:styleId="Textodelmarcadordeposicin">
    <w:name w:val="Placeholder Text"/>
    <w:basedOn w:val="Fuentedeprrafopredeter"/>
    <w:uiPriority w:val="99"/>
    <w:semiHidden/>
    <w:rsid w:val="00805EE2"/>
    <w:rPr>
      <w:color w:val="808080"/>
    </w:rPr>
  </w:style>
  <w:style w:type="paragraph" w:styleId="Revisin">
    <w:name w:val="Revision"/>
    <w:hidden/>
    <w:uiPriority w:val="99"/>
    <w:semiHidden/>
    <w:rsid w:val="00D839B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60">
      <w:bodyDiv w:val="1"/>
      <w:marLeft w:val="0"/>
      <w:marRight w:val="0"/>
      <w:marTop w:val="0"/>
      <w:marBottom w:val="0"/>
      <w:divBdr>
        <w:top w:val="none" w:sz="0" w:space="0" w:color="auto"/>
        <w:left w:val="none" w:sz="0" w:space="0" w:color="auto"/>
        <w:bottom w:val="none" w:sz="0" w:space="0" w:color="auto"/>
        <w:right w:val="none" w:sz="0" w:space="0" w:color="auto"/>
      </w:divBdr>
    </w:div>
    <w:div w:id="190921179">
      <w:bodyDiv w:val="1"/>
      <w:marLeft w:val="0"/>
      <w:marRight w:val="0"/>
      <w:marTop w:val="0"/>
      <w:marBottom w:val="0"/>
      <w:divBdr>
        <w:top w:val="none" w:sz="0" w:space="0" w:color="auto"/>
        <w:left w:val="none" w:sz="0" w:space="0" w:color="auto"/>
        <w:bottom w:val="none" w:sz="0" w:space="0" w:color="auto"/>
        <w:right w:val="none" w:sz="0" w:space="0" w:color="auto"/>
      </w:divBdr>
    </w:div>
    <w:div w:id="255750602">
      <w:bodyDiv w:val="1"/>
      <w:marLeft w:val="0"/>
      <w:marRight w:val="0"/>
      <w:marTop w:val="0"/>
      <w:marBottom w:val="0"/>
      <w:divBdr>
        <w:top w:val="none" w:sz="0" w:space="0" w:color="auto"/>
        <w:left w:val="none" w:sz="0" w:space="0" w:color="auto"/>
        <w:bottom w:val="none" w:sz="0" w:space="0" w:color="auto"/>
        <w:right w:val="none" w:sz="0" w:space="0" w:color="auto"/>
      </w:divBdr>
    </w:div>
    <w:div w:id="400057389">
      <w:bodyDiv w:val="1"/>
      <w:marLeft w:val="0"/>
      <w:marRight w:val="0"/>
      <w:marTop w:val="0"/>
      <w:marBottom w:val="0"/>
      <w:divBdr>
        <w:top w:val="none" w:sz="0" w:space="0" w:color="auto"/>
        <w:left w:val="none" w:sz="0" w:space="0" w:color="auto"/>
        <w:bottom w:val="none" w:sz="0" w:space="0" w:color="auto"/>
        <w:right w:val="none" w:sz="0" w:space="0" w:color="auto"/>
      </w:divBdr>
      <w:divsChild>
        <w:div w:id="454982783">
          <w:marLeft w:val="547"/>
          <w:marRight w:val="0"/>
          <w:marTop w:val="120"/>
          <w:marBottom w:val="120"/>
          <w:divBdr>
            <w:top w:val="none" w:sz="0" w:space="0" w:color="auto"/>
            <w:left w:val="none" w:sz="0" w:space="0" w:color="auto"/>
            <w:bottom w:val="none" w:sz="0" w:space="0" w:color="auto"/>
            <w:right w:val="none" w:sz="0" w:space="0" w:color="auto"/>
          </w:divBdr>
        </w:div>
        <w:div w:id="626664415">
          <w:marLeft w:val="547"/>
          <w:marRight w:val="0"/>
          <w:marTop w:val="120"/>
          <w:marBottom w:val="120"/>
          <w:divBdr>
            <w:top w:val="none" w:sz="0" w:space="0" w:color="auto"/>
            <w:left w:val="none" w:sz="0" w:space="0" w:color="auto"/>
            <w:bottom w:val="none" w:sz="0" w:space="0" w:color="auto"/>
            <w:right w:val="none" w:sz="0" w:space="0" w:color="auto"/>
          </w:divBdr>
        </w:div>
        <w:div w:id="180555397">
          <w:marLeft w:val="547"/>
          <w:marRight w:val="0"/>
          <w:marTop w:val="120"/>
          <w:marBottom w:val="120"/>
          <w:divBdr>
            <w:top w:val="none" w:sz="0" w:space="0" w:color="auto"/>
            <w:left w:val="none" w:sz="0" w:space="0" w:color="auto"/>
            <w:bottom w:val="none" w:sz="0" w:space="0" w:color="auto"/>
            <w:right w:val="none" w:sz="0" w:space="0" w:color="auto"/>
          </w:divBdr>
        </w:div>
        <w:div w:id="958606692">
          <w:marLeft w:val="1267"/>
          <w:marRight w:val="0"/>
          <w:marTop w:val="120"/>
          <w:marBottom w:val="120"/>
          <w:divBdr>
            <w:top w:val="none" w:sz="0" w:space="0" w:color="auto"/>
            <w:left w:val="none" w:sz="0" w:space="0" w:color="auto"/>
            <w:bottom w:val="none" w:sz="0" w:space="0" w:color="auto"/>
            <w:right w:val="none" w:sz="0" w:space="0" w:color="auto"/>
          </w:divBdr>
        </w:div>
        <w:div w:id="1180662453">
          <w:marLeft w:val="1267"/>
          <w:marRight w:val="0"/>
          <w:marTop w:val="120"/>
          <w:marBottom w:val="120"/>
          <w:divBdr>
            <w:top w:val="none" w:sz="0" w:space="0" w:color="auto"/>
            <w:left w:val="none" w:sz="0" w:space="0" w:color="auto"/>
            <w:bottom w:val="none" w:sz="0" w:space="0" w:color="auto"/>
            <w:right w:val="none" w:sz="0" w:space="0" w:color="auto"/>
          </w:divBdr>
        </w:div>
        <w:div w:id="412625839">
          <w:marLeft w:val="1267"/>
          <w:marRight w:val="0"/>
          <w:marTop w:val="120"/>
          <w:marBottom w:val="120"/>
          <w:divBdr>
            <w:top w:val="none" w:sz="0" w:space="0" w:color="auto"/>
            <w:left w:val="none" w:sz="0" w:space="0" w:color="auto"/>
            <w:bottom w:val="none" w:sz="0" w:space="0" w:color="auto"/>
            <w:right w:val="none" w:sz="0" w:space="0" w:color="auto"/>
          </w:divBdr>
        </w:div>
        <w:div w:id="1035546511">
          <w:marLeft w:val="1267"/>
          <w:marRight w:val="0"/>
          <w:marTop w:val="120"/>
          <w:marBottom w:val="120"/>
          <w:divBdr>
            <w:top w:val="none" w:sz="0" w:space="0" w:color="auto"/>
            <w:left w:val="none" w:sz="0" w:space="0" w:color="auto"/>
            <w:bottom w:val="none" w:sz="0" w:space="0" w:color="auto"/>
            <w:right w:val="none" w:sz="0" w:space="0" w:color="auto"/>
          </w:divBdr>
        </w:div>
      </w:divsChild>
    </w:div>
    <w:div w:id="402334777">
      <w:bodyDiv w:val="1"/>
      <w:marLeft w:val="0"/>
      <w:marRight w:val="0"/>
      <w:marTop w:val="0"/>
      <w:marBottom w:val="0"/>
      <w:divBdr>
        <w:top w:val="none" w:sz="0" w:space="0" w:color="auto"/>
        <w:left w:val="none" w:sz="0" w:space="0" w:color="auto"/>
        <w:bottom w:val="none" w:sz="0" w:space="0" w:color="auto"/>
        <w:right w:val="none" w:sz="0" w:space="0" w:color="auto"/>
      </w:divBdr>
      <w:divsChild>
        <w:div w:id="501746804">
          <w:marLeft w:val="1570"/>
          <w:marRight w:val="0"/>
          <w:marTop w:val="94"/>
          <w:marBottom w:val="94"/>
          <w:divBdr>
            <w:top w:val="none" w:sz="0" w:space="0" w:color="auto"/>
            <w:left w:val="none" w:sz="0" w:space="0" w:color="auto"/>
            <w:bottom w:val="none" w:sz="0" w:space="0" w:color="auto"/>
            <w:right w:val="none" w:sz="0" w:space="0" w:color="auto"/>
          </w:divBdr>
        </w:div>
        <w:div w:id="1372075766">
          <w:marLeft w:val="1570"/>
          <w:marRight w:val="0"/>
          <w:marTop w:val="94"/>
          <w:marBottom w:val="94"/>
          <w:divBdr>
            <w:top w:val="none" w:sz="0" w:space="0" w:color="auto"/>
            <w:left w:val="none" w:sz="0" w:space="0" w:color="auto"/>
            <w:bottom w:val="none" w:sz="0" w:space="0" w:color="auto"/>
            <w:right w:val="none" w:sz="0" w:space="0" w:color="auto"/>
          </w:divBdr>
        </w:div>
        <w:div w:id="890582878">
          <w:marLeft w:val="1570"/>
          <w:marRight w:val="0"/>
          <w:marTop w:val="94"/>
          <w:marBottom w:val="94"/>
          <w:divBdr>
            <w:top w:val="none" w:sz="0" w:space="0" w:color="auto"/>
            <w:left w:val="none" w:sz="0" w:space="0" w:color="auto"/>
            <w:bottom w:val="none" w:sz="0" w:space="0" w:color="auto"/>
            <w:right w:val="none" w:sz="0" w:space="0" w:color="auto"/>
          </w:divBdr>
        </w:div>
      </w:divsChild>
    </w:div>
    <w:div w:id="406148170">
      <w:bodyDiv w:val="1"/>
      <w:marLeft w:val="0"/>
      <w:marRight w:val="0"/>
      <w:marTop w:val="0"/>
      <w:marBottom w:val="0"/>
      <w:divBdr>
        <w:top w:val="none" w:sz="0" w:space="0" w:color="auto"/>
        <w:left w:val="none" w:sz="0" w:space="0" w:color="auto"/>
        <w:bottom w:val="none" w:sz="0" w:space="0" w:color="auto"/>
        <w:right w:val="none" w:sz="0" w:space="0" w:color="auto"/>
      </w:divBdr>
      <w:divsChild>
        <w:div w:id="1762868879">
          <w:marLeft w:val="446"/>
          <w:marRight w:val="0"/>
          <w:marTop w:val="120"/>
          <w:marBottom w:val="120"/>
          <w:divBdr>
            <w:top w:val="none" w:sz="0" w:space="0" w:color="auto"/>
            <w:left w:val="none" w:sz="0" w:space="0" w:color="auto"/>
            <w:bottom w:val="none" w:sz="0" w:space="0" w:color="auto"/>
            <w:right w:val="none" w:sz="0" w:space="0" w:color="auto"/>
          </w:divBdr>
        </w:div>
      </w:divsChild>
    </w:div>
    <w:div w:id="526137434">
      <w:bodyDiv w:val="1"/>
      <w:marLeft w:val="0"/>
      <w:marRight w:val="0"/>
      <w:marTop w:val="0"/>
      <w:marBottom w:val="0"/>
      <w:divBdr>
        <w:top w:val="none" w:sz="0" w:space="0" w:color="auto"/>
        <w:left w:val="none" w:sz="0" w:space="0" w:color="auto"/>
        <w:bottom w:val="none" w:sz="0" w:space="0" w:color="auto"/>
        <w:right w:val="none" w:sz="0" w:space="0" w:color="auto"/>
      </w:divBdr>
      <w:divsChild>
        <w:div w:id="202056689">
          <w:marLeft w:val="547"/>
          <w:marRight w:val="0"/>
          <w:marTop w:val="120"/>
          <w:marBottom w:val="0"/>
          <w:divBdr>
            <w:top w:val="none" w:sz="0" w:space="0" w:color="auto"/>
            <w:left w:val="none" w:sz="0" w:space="0" w:color="auto"/>
            <w:bottom w:val="none" w:sz="0" w:space="0" w:color="auto"/>
            <w:right w:val="none" w:sz="0" w:space="0" w:color="auto"/>
          </w:divBdr>
        </w:div>
        <w:div w:id="216935440">
          <w:marLeft w:val="1166"/>
          <w:marRight w:val="0"/>
          <w:marTop w:val="120"/>
          <w:marBottom w:val="0"/>
          <w:divBdr>
            <w:top w:val="none" w:sz="0" w:space="0" w:color="auto"/>
            <w:left w:val="none" w:sz="0" w:space="0" w:color="auto"/>
            <w:bottom w:val="none" w:sz="0" w:space="0" w:color="auto"/>
            <w:right w:val="none" w:sz="0" w:space="0" w:color="auto"/>
          </w:divBdr>
        </w:div>
        <w:div w:id="1504977537">
          <w:marLeft w:val="1166"/>
          <w:marRight w:val="0"/>
          <w:marTop w:val="120"/>
          <w:marBottom w:val="0"/>
          <w:divBdr>
            <w:top w:val="none" w:sz="0" w:space="0" w:color="auto"/>
            <w:left w:val="none" w:sz="0" w:space="0" w:color="auto"/>
            <w:bottom w:val="none" w:sz="0" w:space="0" w:color="auto"/>
            <w:right w:val="none" w:sz="0" w:space="0" w:color="auto"/>
          </w:divBdr>
        </w:div>
        <w:div w:id="1109278847">
          <w:marLeft w:val="547"/>
          <w:marRight w:val="0"/>
          <w:marTop w:val="120"/>
          <w:marBottom w:val="0"/>
          <w:divBdr>
            <w:top w:val="none" w:sz="0" w:space="0" w:color="auto"/>
            <w:left w:val="none" w:sz="0" w:space="0" w:color="auto"/>
            <w:bottom w:val="none" w:sz="0" w:space="0" w:color="auto"/>
            <w:right w:val="none" w:sz="0" w:space="0" w:color="auto"/>
          </w:divBdr>
        </w:div>
        <w:div w:id="2054037610">
          <w:marLeft w:val="1166"/>
          <w:marRight w:val="0"/>
          <w:marTop w:val="120"/>
          <w:marBottom w:val="0"/>
          <w:divBdr>
            <w:top w:val="none" w:sz="0" w:space="0" w:color="auto"/>
            <w:left w:val="none" w:sz="0" w:space="0" w:color="auto"/>
            <w:bottom w:val="none" w:sz="0" w:space="0" w:color="auto"/>
            <w:right w:val="none" w:sz="0" w:space="0" w:color="auto"/>
          </w:divBdr>
        </w:div>
        <w:div w:id="1857769493">
          <w:marLeft w:val="1166"/>
          <w:marRight w:val="0"/>
          <w:marTop w:val="120"/>
          <w:marBottom w:val="0"/>
          <w:divBdr>
            <w:top w:val="none" w:sz="0" w:space="0" w:color="auto"/>
            <w:left w:val="none" w:sz="0" w:space="0" w:color="auto"/>
            <w:bottom w:val="none" w:sz="0" w:space="0" w:color="auto"/>
            <w:right w:val="none" w:sz="0" w:space="0" w:color="auto"/>
          </w:divBdr>
        </w:div>
        <w:div w:id="327292346">
          <w:marLeft w:val="1166"/>
          <w:marRight w:val="0"/>
          <w:marTop w:val="120"/>
          <w:marBottom w:val="0"/>
          <w:divBdr>
            <w:top w:val="none" w:sz="0" w:space="0" w:color="auto"/>
            <w:left w:val="none" w:sz="0" w:space="0" w:color="auto"/>
            <w:bottom w:val="none" w:sz="0" w:space="0" w:color="auto"/>
            <w:right w:val="none" w:sz="0" w:space="0" w:color="auto"/>
          </w:divBdr>
        </w:div>
      </w:divsChild>
    </w:div>
    <w:div w:id="821317048">
      <w:bodyDiv w:val="1"/>
      <w:marLeft w:val="0"/>
      <w:marRight w:val="0"/>
      <w:marTop w:val="0"/>
      <w:marBottom w:val="0"/>
      <w:divBdr>
        <w:top w:val="none" w:sz="0" w:space="0" w:color="auto"/>
        <w:left w:val="none" w:sz="0" w:space="0" w:color="auto"/>
        <w:bottom w:val="none" w:sz="0" w:space="0" w:color="auto"/>
        <w:right w:val="none" w:sz="0" w:space="0" w:color="auto"/>
      </w:divBdr>
    </w:div>
    <w:div w:id="964040061">
      <w:bodyDiv w:val="1"/>
      <w:marLeft w:val="0"/>
      <w:marRight w:val="0"/>
      <w:marTop w:val="0"/>
      <w:marBottom w:val="0"/>
      <w:divBdr>
        <w:top w:val="none" w:sz="0" w:space="0" w:color="auto"/>
        <w:left w:val="none" w:sz="0" w:space="0" w:color="auto"/>
        <w:bottom w:val="none" w:sz="0" w:space="0" w:color="auto"/>
        <w:right w:val="none" w:sz="0" w:space="0" w:color="auto"/>
      </w:divBdr>
      <w:divsChild>
        <w:div w:id="1620794080">
          <w:marLeft w:val="0"/>
          <w:marRight w:val="0"/>
          <w:marTop w:val="0"/>
          <w:marBottom w:val="0"/>
          <w:divBdr>
            <w:top w:val="none" w:sz="0" w:space="0" w:color="auto"/>
            <w:left w:val="none" w:sz="0" w:space="0" w:color="auto"/>
            <w:bottom w:val="none" w:sz="0" w:space="0" w:color="auto"/>
            <w:right w:val="none" w:sz="0" w:space="0" w:color="auto"/>
          </w:divBdr>
        </w:div>
        <w:div w:id="1812599247">
          <w:marLeft w:val="0"/>
          <w:marRight w:val="0"/>
          <w:marTop w:val="0"/>
          <w:marBottom w:val="0"/>
          <w:divBdr>
            <w:top w:val="none" w:sz="0" w:space="0" w:color="auto"/>
            <w:left w:val="none" w:sz="0" w:space="0" w:color="auto"/>
            <w:bottom w:val="none" w:sz="0" w:space="0" w:color="auto"/>
            <w:right w:val="none" w:sz="0" w:space="0" w:color="auto"/>
          </w:divBdr>
        </w:div>
      </w:divsChild>
    </w:div>
    <w:div w:id="1127045709">
      <w:bodyDiv w:val="1"/>
      <w:marLeft w:val="0"/>
      <w:marRight w:val="0"/>
      <w:marTop w:val="0"/>
      <w:marBottom w:val="0"/>
      <w:divBdr>
        <w:top w:val="none" w:sz="0" w:space="0" w:color="auto"/>
        <w:left w:val="none" w:sz="0" w:space="0" w:color="auto"/>
        <w:bottom w:val="none" w:sz="0" w:space="0" w:color="auto"/>
        <w:right w:val="none" w:sz="0" w:space="0" w:color="auto"/>
      </w:divBdr>
    </w:div>
    <w:div w:id="1240866113">
      <w:bodyDiv w:val="1"/>
      <w:marLeft w:val="0"/>
      <w:marRight w:val="0"/>
      <w:marTop w:val="0"/>
      <w:marBottom w:val="0"/>
      <w:divBdr>
        <w:top w:val="none" w:sz="0" w:space="0" w:color="auto"/>
        <w:left w:val="none" w:sz="0" w:space="0" w:color="auto"/>
        <w:bottom w:val="none" w:sz="0" w:space="0" w:color="auto"/>
        <w:right w:val="none" w:sz="0" w:space="0" w:color="auto"/>
      </w:divBdr>
    </w:div>
    <w:div w:id="1366520856">
      <w:bodyDiv w:val="1"/>
      <w:marLeft w:val="0"/>
      <w:marRight w:val="0"/>
      <w:marTop w:val="0"/>
      <w:marBottom w:val="0"/>
      <w:divBdr>
        <w:top w:val="none" w:sz="0" w:space="0" w:color="auto"/>
        <w:left w:val="none" w:sz="0" w:space="0" w:color="auto"/>
        <w:bottom w:val="none" w:sz="0" w:space="0" w:color="auto"/>
        <w:right w:val="none" w:sz="0" w:space="0" w:color="auto"/>
      </w:divBdr>
    </w:div>
    <w:div w:id="1518345703">
      <w:bodyDiv w:val="1"/>
      <w:marLeft w:val="0"/>
      <w:marRight w:val="0"/>
      <w:marTop w:val="0"/>
      <w:marBottom w:val="0"/>
      <w:divBdr>
        <w:top w:val="none" w:sz="0" w:space="0" w:color="auto"/>
        <w:left w:val="none" w:sz="0" w:space="0" w:color="auto"/>
        <w:bottom w:val="none" w:sz="0" w:space="0" w:color="auto"/>
        <w:right w:val="none" w:sz="0" w:space="0" w:color="auto"/>
      </w:divBdr>
    </w:div>
    <w:div w:id="1549754794">
      <w:bodyDiv w:val="1"/>
      <w:marLeft w:val="0"/>
      <w:marRight w:val="0"/>
      <w:marTop w:val="0"/>
      <w:marBottom w:val="0"/>
      <w:divBdr>
        <w:top w:val="none" w:sz="0" w:space="0" w:color="auto"/>
        <w:left w:val="none" w:sz="0" w:space="0" w:color="auto"/>
        <w:bottom w:val="none" w:sz="0" w:space="0" w:color="auto"/>
        <w:right w:val="none" w:sz="0" w:space="0" w:color="auto"/>
      </w:divBdr>
      <w:divsChild>
        <w:div w:id="2049452731">
          <w:marLeft w:val="446"/>
          <w:marRight w:val="0"/>
          <w:marTop w:val="0"/>
          <w:marBottom w:val="0"/>
          <w:divBdr>
            <w:top w:val="none" w:sz="0" w:space="0" w:color="auto"/>
            <w:left w:val="none" w:sz="0" w:space="0" w:color="auto"/>
            <w:bottom w:val="none" w:sz="0" w:space="0" w:color="auto"/>
            <w:right w:val="none" w:sz="0" w:space="0" w:color="auto"/>
          </w:divBdr>
        </w:div>
        <w:div w:id="326250648">
          <w:marLeft w:val="446"/>
          <w:marRight w:val="0"/>
          <w:marTop w:val="0"/>
          <w:marBottom w:val="0"/>
          <w:divBdr>
            <w:top w:val="none" w:sz="0" w:space="0" w:color="auto"/>
            <w:left w:val="none" w:sz="0" w:space="0" w:color="auto"/>
            <w:bottom w:val="none" w:sz="0" w:space="0" w:color="auto"/>
            <w:right w:val="none" w:sz="0" w:space="0" w:color="auto"/>
          </w:divBdr>
        </w:div>
        <w:div w:id="744836778">
          <w:marLeft w:val="446"/>
          <w:marRight w:val="0"/>
          <w:marTop w:val="0"/>
          <w:marBottom w:val="0"/>
          <w:divBdr>
            <w:top w:val="none" w:sz="0" w:space="0" w:color="auto"/>
            <w:left w:val="none" w:sz="0" w:space="0" w:color="auto"/>
            <w:bottom w:val="none" w:sz="0" w:space="0" w:color="auto"/>
            <w:right w:val="none" w:sz="0" w:space="0" w:color="auto"/>
          </w:divBdr>
        </w:div>
        <w:div w:id="230701052">
          <w:marLeft w:val="446"/>
          <w:marRight w:val="0"/>
          <w:marTop w:val="0"/>
          <w:marBottom w:val="0"/>
          <w:divBdr>
            <w:top w:val="none" w:sz="0" w:space="0" w:color="auto"/>
            <w:left w:val="none" w:sz="0" w:space="0" w:color="auto"/>
            <w:bottom w:val="none" w:sz="0" w:space="0" w:color="auto"/>
            <w:right w:val="none" w:sz="0" w:space="0" w:color="auto"/>
          </w:divBdr>
        </w:div>
      </w:divsChild>
    </w:div>
    <w:div w:id="1768114982">
      <w:bodyDiv w:val="1"/>
      <w:marLeft w:val="0"/>
      <w:marRight w:val="0"/>
      <w:marTop w:val="0"/>
      <w:marBottom w:val="0"/>
      <w:divBdr>
        <w:top w:val="none" w:sz="0" w:space="0" w:color="auto"/>
        <w:left w:val="none" w:sz="0" w:space="0" w:color="auto"/>
        <w:bottom w:val="none" w:sz="0" w:space="0" w:color="auto"/>
        <w:right w:val="none" w:sz="0" w:space="0" w:color="auto"/>
      </w:divBdr>
    </w:div>
    <w:div w:id="1783256903">
      <w:bodyDiv w:val="1"/>
      <w:marLeft w:val="0"/>
      <w:marRight w:val="0"/>
      <w:marTop w:val="0"/>
      <w:marBottom w:val="0"/>
      <w:divBdr>
        <w:top w:val="none" w:sz="0" w:space="0" w:color="auto"/>
        <w:left w:val="none" w:sz="0" w:space="0" w:color="auto"/>
        <w:bottom w:val="none" w:sz="0" w:space="0" w:color="auto"/>
        <w:right w:val="none" w:sz="0" w:space="0" w:color="auto"/>
      </w:divBdr>
    </w:div>
    <w:div w:id="1785419507">
      <w:bodyDiv w:val="1"/>
      <w:marLeft w:val="0"/>
      <w:marRight w:val="0"/>
      <w:marTop w:val="0"/>
      <w:marBottom w:val="0"/>
      <w:divBdr>
        <w:top w:val="none" w:sz="0" w:space="0" w:color="auto"/>
        <w:left w:val="none" w:sz="0" w:space="0" w:color="auto"/>
        <w:bottom w:val="none" w:sz="0" w:space="0" w:color="auto"/>
        <w:right w:val="none" w:sz="0" w:space="0" w:color="auto"/>
      </w:divBdr>
    </w:div>
    <w:div w:id="1939292284">
      <w:bodyDiv w:val="1"/>
      <w:marLeft w:val="0"/>
      <w:marRight w:val="0"/>
      <w:marTop w:val="0"/>
      <w:marBottom w:val="0"/>
      <w:divBdr>
        <w:top w:val="none" w:sz="0" w:space="0" w:color="auto"/>
        <w:left w:val="none" w:sz="0" w:space="0" w:color="auto"/>
        <w:bottom w:val="none" w:sz="0" w:space="0" w:color="auto"/>
        <w:right w:val="none" w:sz="0" w:space="0" w:color="auto"/>
      </w:divBdr>
    </w:div>
    <w:div w:id="1967007387">
      <w:bodyDiv w:val="1"/>
      <w:marLeft w:val="0"/>
      <w:marRight w:val="0"/>
      <w:marTop w:val="0"/>
      <w:marBottom w:val="0"/>
      <w:divBdr>
        <w:top w:val="none" w:sz="0" w:space="0" w:color="auto"/>
        <w:left w:val="none" w:sz="0" w:space="0" w:color="auto"/>
        <w:bottom w:val="none" w:sz="0" w:space="0" w:color="auto"/>
        <w:right w:val="none" w:sz="0" w:space="0" w:color="auto"/>
      </w:divBdr>
    </w:div>
    <w:div w:id="1986279609">
      <w:bodyDiv w:val="1"/>
      <w:marLeft w:val="0"/>
      <w:marRight w:val="0"/>
      <w:marTop w:val="0"/>
      <w:marBottom w:val="0"/>
      <w:divBdr>
        <w:top w:val="none" w:sz="0" w:space="0" w:color="auto"/>
        <w:left w:val="none" w:sz="0" w:space="0" w:color="auto"/>
        <w:bottom w:val="none" w:sz="0" w:space="0" w:color="auto"/>
        <w:right w:val="none" w:sz="0" w:space="0" w:color="auto"/>
      </w:divBdr>
      <w:divsChild>
        <w:div w:id="1638493288">
          <w:marLeft w:val="446"/>
          <w:marRight w:val="0"/>
          <w:marTop w:val="120"/>
          <w:marBottom w:val="120"/>
          <w:divBdr>
            <w:top w:val="none" w:sz="0" w:space="0" w:color="auto"/>
            <w:left w:val="none" w:sz="0" w:space="0" w:color="auto"/>
            <w:bottom w:val="none" w:sz="0" w:space="0" w:color="auto"/>
            <w:right w:val="none" w:sz="0" w:space="0" w:color="auto"/>
          </w:divBdr>
        </w:div>
      </w:divsChild>
    </w:div>
    <w:div w:id="2097171608">
      <w:bodyDiv w:val="1"/>
      <w:marLeft w:val="0"/>
      <w:marRight w:val="0"/>
      <w:marTop w:val="0"/>
      <w:marBottom w:val="0"/>
      <w:divBdr>
        <w:top w:val="none" w:sz="0" w:space="0" w:color="auto"/>
        <w:left w:val="none" w:sz="0" w:space="0" w:color="auto"/>
        <w:bottom w:val="none" w:sz="0" w:space="0" w:color="auto"/>
        <w:right w:val="none" w:sz="0" w:space="0" w:color="auto"/>
      </w:divBdr>
      <w:divsChild>
        <w:div w:id="939485508">
          <w:marLeft w:val="547"/>
          <w:marRight w:val="0"/>
          <w:marTop w:val="120"/>
          <w:marBottom w:val="0"/>
          <w:divBdr>
            <w:top w:val="none" w:sz="0" w:space="0" w:color="auto"/>
            <w:left w:val="none" w:sz="0" w:space="0" w:color="auto"/>
            <w:bottom w:val="none" w:sz="0" w:space="0" w:color="auto"/>
            <w:right w:val="none" w:sz="0" w:space="0" w:color="auto"/>
          </w:divBdr>
        </w:div>
        <w:div w:id="310837272">
          <w:marLeft w:val="547"/>
          <w:marRight w:val="0"/>
          <w:marTop w:val="120"/>
          <w:marBottom w:val="0"/>
          <w:divBdr>
            <w:top w:val="none" w:sz="0" w:space="0" w:color="auto"/>
            <w:left w:val="none" w:sz="0" w:space="0" w:color="auto"/>
            <w:bottom w:val="none" w:sz="0" w:space="0" w:color="auto"/>
            <w:right w:val="none" w:sz="0" w:space="0" w:color="auto"/>
          </w:divBdr>
        </w:div>
        <w:div w:id="1477600625">
          <w:marLeft w:val="1267"/>
          <w:marRight w:val="0"/>
          <w:marTop w:val="120"/>
          <w:marBottom w:val="0"/>
          <w:divBdr>
            <w:top w:val="none" w:sz="0" w:space="0" w:color="auto"/>
            <w:left w:val="none" w:sz="0" w:space="0" w:color="auto"/>
            <w:bottom w:val="none" w:sz="0" w:space="0" w:color="auto"/>
            <w:right w:val="none" w:sz="0" w:space="0" w:color="auto"/>
          </w:divBdr>
        </w:div>
        <w:div w:id="2061053924">
          <w:marLeft w:val="1267"/>
          <w:marRight w:val="0"/>
          <w:marTop w:val="120"/>
          <w:marBottom w:val="0"/>
          <w:divBdr>
            <w:top w:val="none" w:sz="0" w:space="0" w:color="auto"/>
            <w:left w:val="none" w:sz="0" w:space="0" w:color="auto"/>
            <w:bottom w:val="none" w:sz="0" w:space="0" w:color="auto"/>
            <w:right w:val="none" w:sz="0" w:space="0" w:color="auto"/>
          </w:divBdr>
        </w:div>
        <w:div w:id="908806672">
          <w:marLeft w:val="1267"/>
          <w:marRight w:val="0"/>
          <w:marTop w:val="120"/>
          <w:marBottom w:val="0"/>
          <w:divBdr>
            <w:top w:val="none" w:sz="0" w:space="0" w:color="auto"/>
            <w:left w:val="none" w:sz="0" w:space="0" w:color="auto"/>
            <w:bottom w:val="none" w:sz="0" w:space="0" w:color="auto"/>
            <w:right w:val="none" w:sz="0" w:space="0" w:color="auto"/>
          </w:divBdr>
        </w:div>
        <w:div w:id="1942104285">
          <w:marLeft w:val="1267"/>
          <w:marRight w:val="0"/>
          <w:marTop w:val="120"/>
          <w:marBottom w:val="0"/>
          <w:divBdr>
            <w:top w:val="none" w:sz="0" w:space="0" w:color="auto"/>
            <w:left w:val="none" w:sz="0" w:space="0" w:color="auto"/>
            <w:bottom w:val="none" w:sz="0" w:space="0" w:color="auto"/>
            <w:right w:val="none" w:sz="0" w:space="0" w:color="auto"/>
          </w:divBdr>
        </w:div>
        <w:div w:id="1525753639">
          <w:marLeft w:val="1267"/>
          <w:marRight w:val="0"/>
          <w:marTop w:val="120"/>
          <w:marBottom w:val="0"/>
          <w:divBdr>
            <w:top w:val="none" w:sz="0" w:space="0" w:color="auto"/>
            <w:left w:val="none" w:sz="0" w:space="0" w:color="auto"/>
            <w:bottom w:val="none" w:sz="0" w:space="0" w:color="auto"/>
            <w:right w:val="none" w:sz="0" w:space="0" w:color="auto"/>
          </w:divBdr>
        </w:div>
        <w:div w:id="2127429953">
          <w:marLeft w:val="547"/>
          <w:marRight w:val="0"/>
          <w:marTop w:val="120"/>
          <w:marBottom w:val="0"/>
          <w:divBdr>
            <w:top w:val="none" w:sz="0" w:space="0" w:color="auto"/>
            <w:left w:val="none" w:sz="0" w:space="0" w:color="auto"/>
            <w:bottom w:val="none" w:sz="0" w:space="0" w:color="auto"/>
            <w:right w:val="none" w:sz="0" w:space="0" w:color="auto"/>
          </w:divBdr>
        </w:div>
        <w:div w:id="838081381">
          <w:marLeft w:val="547"/>
          <w:marRight w:val="0"/>
          <w:marTop w:val="120"/>
          <w:marBottom w:val="0"/>
          <w:divBdr>
            <w:top w:val="none" w:sz="0" w:space="0" w:color="auto"/>
            <w:left w:val="none" w:sz="0" w:space="0" w:color="auto"/>
            <w:bottom w:val="none" w:sz="0" w:space="0" w:color="auto"/>
            <w:right w:val="none" w:sz="0" w:space="0" w:color="auto"/>
          </w:divBdr>
        </w:div>
      </w:divsChild>
    </w:div>
    <w:div w:id="21173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mc.es/Portals/0/Ficheros/Energia/Circulares/CircularCNMC%201_2013.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hyperlink" Target="http://www.cre.fr/documents/deliberations/decision/gestion-de-la-congestion/consulter-la-deliber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LexUriServ/LexUriServ.do?uri=OJ:L:2009:211:0036:0054:en:PDF" TargetMode="External"/><Relationship Id="rId14" Type="http://schemas.openxmlformats.org/officeDocument/2006/relationships/image" Target="media/image4.emf"/><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cre.fr/documents/deliberations/decision/gestion-de-la-congestion/consulter-la-deliberation" TargetMode="External"/><Relationship Id="rId2" Type="http://schemas.openxmlformats.org/officeDocument/2006/relationships/hyperlink" Target="http://www.cnmc.es/Portals/0/Ficheros/Energia/Circulares/CircularCNMC%201_2013.pdf" TargetMode="External"/><Relationship Id="rId1" Type="http://schemas.openxmlformats.org/officeDocument/2006/relationships/hyperlink" Target="http://www.erse.pt/pt/gasnatural/regulamentos/acessoasredesinfraestruturaseasinterligacoes/Documents/Diretiva%2014.2014%20MPAI.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7EBAEF7B68B845AB6976F6B66CEFFF" ma:contentTypeVersion="20" ma:contentTypeDescription="Create a new document." ma:contentTypeScope="" ma:versionID="45add2acd6457034b15ae15b1ac42330">
  <xsd:schema xmlns:xsd="http://www.w3.org/2001/XMLSchema" xmlns:xs="http://www.w3.org/2001/XMLSchema" xmlns:p="http://schemas.microsoft.com/office/2006/metadata/properties" xmlns:ns2="985daa2e-53d8-4475-82b8-9c7d25324e34" xmlns:ns3="f7790cd7-0b6d-411a-bb53-aed0e3ed9d50" targetNamespace="http://schemas.microsoft.com/office/2006/metadata/properties" ma:root="true" ma:fieldsID="e142b0e81dce69cfa038074973fbd6fd" ns2:_="" ns3:_="">
    <xsd:import namespace="985daa2e-53d8-4475-82b8-9c7d25324e34"/>
    <xsd:import namespace="f7790cd7-0b6d-411a-bb53-aed0e3ed9d50"/>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90cd7-0b6d-411a-bb53-aed0e3ed9d50"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f7790cd7-0b6d-411a-bb53-aed0e3ed9d50">20160428_OSBB_France_Portugal_Spain.docx</AcerDocumentName>
    <_dlc_DocId xmlns="985daa2e-53d8-4475-82b8-9c7d25324e34">ACER-2016-41005</_dlc_DocId>
    <_dlc_DocIdUrl xmlns="985daa2e-53d8-4475-82b8-9c7d25324e34">
      <Url>https://extranet.acer.europa.eu/Events/36th-IG-Meeting/_layouts/DocIdRedir.aspx?ID=ACER-2016-41005</Url>
      <Description>ACER-2016-41005</Description>
    </_dlc_DocIdUrl>
    <ACER_Abstract xmlns="985daa2e-53d8-4475-82b8-9c7d25324e34" xsi:nil="true"/>
  </documentManagement>
</p:properties>
</file>

<file path=customXml/itemProps1.xml><?xml version="1.0" encoding="utf-8"?>
<ds:datastoreItem xmlns:ds="http://schemas.openxmlformats.org/officeDocument/2006/customXml" ds:itemID="{F6167392-B88E-4140-B484-652524165DBB}"/>
</file>

<file path=customXml/itemProps2.xml><?xml version="1.0" encoding="utf-8"?>
<ds:datastoreItem xmlns:ds="http://schemas.openxmlformats.org/officeDocument/2006/customXml" ds:itemID="{F9D3B810-1D58-4073-8983-AD06F9B3504D}"/>
</file>

<file path=customXml/itemProps3.xml><?xml version="1.0" encoding="utf-8"?>
<ds:datastoreItem xmlns:ds="http://schemas.openxmlformats.org/officeDocument/2006/customXml" ds:itemID="{F7910D9D-A52E-4748-BD52-4C29249F7E71}"/>
</file>

<file path=customXml/itemProps4.xml><?xml version="1.0" encoding="utf-8"?>
<ds:datastoreItem xmlns:ds="http://schemas.openxmlformats.org/officeDocument/2006/customXml" ds:itemID="{AF914584-57EB-44F6-ABF9-68D926C76FBD}"/>
</file>

<file path=customXml/itemProps5.xml><?xml version="1.0" encoding="utf-8"?>
<ds:datastoreItem xmlns:ds="http://schemas.openxmlformats.org/officeDocument/2006/customXml" ds:itemID="{19964ED2-8C8D-415A-A707-8C72F59B2BDB}"/>
</file>

<file path=docProps/app.xml><?xml version="1.0" encoding="utf-8"?>
<Properties xmlns="http://schemas.openxmlformats.org/officeDocument/2006/extended-properties" xmlns:vt="http://schemas.openxmlformats.org/officeDocument/2006/docPropsVTypes">
  <Template>Normal</Template>
  <TotalTime>0</TotalTime>
  <Pages>18</Pages>
  <Words>4562</Words>
  <Characters>24998</Characters>
  <Application>Microsoft Office Word</Application>
  <DocSecurity>0</DocSecurity>
  <Lines>208</Lines>
  <Paragraphs>59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ENAGAS</Company>
  <LinksUpToDate>false</LinksUpToDate>
  <CharactersWithSpaces>29501</CharactersWithSpaces>
  <SharedDoc>false</SharedDoc>
  <HLinks>
    <vt:vector size="216" baseType="variant">
      <vt:variant>
        <vt:i4>1179700</vt:i4>
      </vt:variant>
      <vt:variant>
        <vt:i4>188</vt:i4>
      </vt:variant>
      <vt:variant>
        <vt:i4>0</vt:i4>
      </vt:variant>
      <vt:variant>
        <vt:i4>5</vt:i4>
      </vt:variant>
      <vt:variant>
        <vt:lpwstr/>
      </vt:variant>
      <vt:variant>
        <vt:lpwstr>_Toc236200043</vt:lpwstr>
      </vt:variant>
      <vt:variant>
        <vt:i4>1179700</vt:i4>
      </vt:variant>
      <vt:variant>
        <vt:i4>182</vt:i4>
      </vt:variant>
      <vt:variant>
        <vt:i4>0</vt:i4>
      </vt:variant>
      <vt:variant>
        <vt:i4>5</vt:i4>
      </vt:variant>
      <vt:variant>
        <vt:lpwstr/>
      </vt:variant>
      <vt:variant>
        <vt:lpwstr>_Toc236200042</vt:lpwstr>
      </vt:variant>
      <vt:variant>
        <vt:i4>1179700</vt:i4>
      </vt:variant>
      <vt:variant>
        <vt:i4>176</vt:i4>
      </vt:variant>
      <vt:variant>
        <vt:i4>0</vt:i4>
      </vt:variant>
      <vt:variant>
        <vt:i4>5</vt:i4>
      </vt:variant>
      <vt:variant>
        <vt:lpwstr/>
      </vt:variant>
      <vt:variant>
        <vt:lpwstr>_Toc236200041</vt:lpwstr>
      </vt:variant>
      <vt:variant>
        <vt:i4>1179700</vt:i4>
      </vt:variant>
      <vt:variant>
        <vt:i4>170</vt:i4>
      </vt:variant>
      <vt:variant>
        <vt:i4>0</vt:i4>
      </vt:variant>
      <vt:variant>
        <vt:i4>5</vt:i4>
      </vt:variant>
      <vt:variant>
        <vt:lpwstr/>
      </vt:variant>
      <vt:variant>
        <vt:lpwstr>_Toc236200040</vt:lpwstr>
      </vt:variant>
      <vt:variant>
        <vt:i4>1376308</vt:i4>
      </vt:variant>
      <vt:variant>
        <vt:i4>164</vt:i4>
      </vt:variant>
      <vt:variant>
        <vt:i4>0</vt:i4>
      </vt:variant>
      <vt:variant>
        <vt:i4>5</vt:i4>
      </vt:variant>
      <vt:variant>
        <vt:lpwstr/>
      </vt:variant>
      <vt:variant>
        <vt:lpwstr>_Toc236200039</vt:lpwstr>
      </vt:variant>
      <vt:variant>
        <vt:i4>1376308</vt:i4>
      </vt:variant>
      <vt:variant>
        <vt:i4>158</vt:i4>
      </vt:variant>
      <vt:variant>
        <vt:i4>0</vt:i4>
      </vt:variant>
      <vt:variant>
        <vt:i4>5</vt:i4>
      </vt:variant>
      <vt:variant>
        <vt:lpwstr/>
      </vt:variant>
      <vt:variant>
        <vt:lpwstr>_Toc236200038</vt:lpwstr>
      </vt:variant>
      <vt:variant>
        <vt:i4>1376308</vt:i4>
      </vt:variant>
      <vt:variant>
        <vt:i4>152</vt:i4>
      </vt:variant>
      <vt:variant>
        <vt:i4>0</vt:i4>
      </vt:variant>
      <vt:variant>
        <vt:i4>5</vt:i4>
      </vt:variant>
      <vt:variant>
        <vt:lpwstr/>
      </vt:variant>
      <vt:variant>
        <vt:lpwstr>_Toc236200037</vt:lpwstr>
      </vt:variant>
      <vt:variant>
        <vt:i4>1376308</vt:i4>
      </vt:variant>
      <vt:variant>
        <vt:i4>146</vt:i4>
      </vt:variant>
      <vt:variant>
        <vt:i4>0</vt:i4>
      </vt:variant>
      <vt:variant>
        <vt:i4>5</vt:i4>
      </vt:variant>
      <vt:variant>
        <vt:lpwstr/>
      </vt:variant>
      <vt:variant>
        <vt:lpwstr>_Toc236200036</vt:lpwstr>
      </vt:variant>
      <vt:variant>
        <vt:i4>1376308</vt:i4>
      </vt:variant>
      <vt:variant>
        <vt:i4>140</vt:i4>
      </vt:variant>
      <vt:variant>
        <vt:i4>0</vt:i4>
      </vt:variant>
      <vt:variant>
        <vt:i4>5</vt:i4>
      </vt:variant>
      <vt:variant>
        <vt:lpwstr/>
      </vt:variant>
      <vt:variant>
        <vt:lpwstr>_Toc236200035</vt:lpwstr>
      </vt:variant>
      <vt:variant>
        <vt:i4>1376308</vt:i4>
      </vt:variant>
      <vt:variant>
        <vt:i4>134</vt:i4>
      </vt:variant>
      <vt:variant>
        <vt:i4>0</vt:i4>
      </vt:variant>
      <vt:variant>
        <vt:i4>5</vt:i4>
      </vt:variant>
      <vt:variant>
        <vt:lpwstr/>
      </vt:variant>
      <vt:variant>
        <vt:lpwstr>_Toc236200034</vt:lpwstr>
      </vt:variant>
      <vt:variant>
        <vt:i4>1376308</vt:i4>
      </vt:variant>
      <vt:variant>
        <vt:i4>128</vt:i4>
      </vt:variant>
      <vt:variant>
        <vt:i4>0</vt:i4>
      </vt:variant>
      <vt:variant>
        <vt:i4>5</vt:i4>
      </vt:variant>
      <vt:variant>
        <vt:lpwstr/>
      </vt:variant>
      <vt:variant>
        <vt:lpwstr>_Toc236200033</vt:lpwstr>
      </vt:variant>
      <vt:variant>
        <vt:i4>1376308</vt:i4>
      </vt:variant>
      <vt:variant>
        <vt:i4>122</vt:i4>
      </vt:variant>
      <vt:variant>
        <vt:i4>0</vt:i4>
      </vt:variant>
      <vt:variant>
        <vt:i4>5</vt:i4>
      </vt:variant>
      <vt:variant>
        <vt:lpwstr/>
      </vt:variant>
      <vt:variant>
        <vt:lpwstr>_Toc236200032</vt:lpwstr>
      </vt:variant>
      <vt:variant>
        <vt:i4>1376308</vt:i4>
      </vt:variant>
      <vt:variant>
        <vt:i4>116</vt:i4>
      </vt:variant>
      <vt:variant>
        <vt:i4>0</vt:i4>
      </vt:variant>
      <vt:variant>
        <vt:i4>5</vt:i4>
      </vt:variant>
      <vt:variant>
        <vt:lpwstr/>
      </vt:variant>
      <vt:variant>
        <vt:lpwstr>_Toc236200031</vt:lpwstr>
      </vt:variant>
      <vt:variant>
        <vt:i4>1376308</vt:i4>
      </vt:variant>
      <vt:variant>
        <vt:i4>110</vt:i4>
      </vt:variant>
      <vt:variant>
        <vt:i4>0</vt:i4>
      </vt:variant>
      <vt:variant>
        <vt:i4>5</vt:i4>
      </vt:variant>
      <vt:variant>
        <vt:lpwstr/>
      </vt:variant>
      <vt:variant>
        <vt:lpwstr>_Toc236200030</vt:lpwstr>
      </vt:variant>
      <vt:variant>
        <vt:i4>1310772</vt:i4>
      </vt:variant>
      <vt:variant>
        <vt:i4>104</vt:i4>
      </vt:variant>
      <vt:variant>
        <vt:i4>0</vt:i4>
      </vt:variant>
      <vt:variant>
        <vt:i4>5</vt:i4>
      </vt:variant>
      <vt:variant>
        <vt:lpwstr/>
      </vt:variant>
      <vt:variant>
        <vt:lpwstr>_Toc236200029</vt:lpwstr>
      </vt:variant>
      <vt:variant>
        <vt:i4>1310772</vt:i4>
      </vt:variant>
      <vt:variant>
        <vt:i4>98</vt:i4>
      </vt:variant>
      <vt:variant>
        <vt:i4>0</vt:i4>
      </vt:variant>
      <vt:variant>
        <vt:i4>5</vt:i4>
      </vt:variant>
      <vt:variant>
        <vt:lpwstr/>
      </vt:variant>
      <vt:variant>
        <vt:lpwstr>_Toc236200028</vt:lpwstr>
      </vt:variant>
      <vt:variant>
        <vt:i4>1310772</vt:i4>
      </vt:variant>
      <vt:variant>
        <vt:i4>92</vt:i4>
      </vt:variant>
      <vt:variant>
        <vt:i4>0</vt:i4>
      </vt:variant>
      <vt:variant>
        <vt:i4>5</vt:i4>
      </vt:variant>
      <vt:variant>
        <vt:lpwstr/>
      </vt:variant>
      <vt:variant>
        <vt:lpwstr>_Toc236200027</vt:lpwstr>
      </vt:variant>
      <vt:variant>
        <vt:i4>1310772</vt:i4>
      </vt:variant>
      <vt:variant>
        <vt:i4>86</vt:i4>
      </vt:variant>
      <vt:variant>
        <vt:i4>0</vt:i4>
      </vt:variant>
      <vt:variant>
        <vt:i4>5</vt:i4>
      </vt:variant>
      <vt:variant>
        <vt:lpwstr/>
      </vt:variant>
      <vt:variant>
        <vt:lpwstr>_Toc236200026</vt:lpwstr>
      </vt:variant>
      <vt:variant>
        <vt:i4>1310772</vt:i4>
      </vt:variant>
      <vt:variant>
        <vt:i4>80</vt:i4>
      </vt:variant>
      <vt:variant>
        <vt:i4>0</vt:i4>
      </vt:variant>
      <vt:variant>
        <vt:i4>5</vt:i4>
      </vt:variant>
      <vt:variant>
        <vt:lpwstr/>
      </vt:variant>
      <vt:variant>
        <vt:lpwstr>_Toc236200025</vt:lpwstr>
      </vt:variant>
      <vt:variant>
        <vt:i4>1310772</vt:i4>
      </vt:variant>
      <vt:variant>
        <vt:i4>74</vt:i4>
      </vt:variant>
      <vt:variant>
        <vt:i4>0</vt:i4>
      </vt:variant>
      <vt:variant>
        <vt:i4>5</vt:i4>
      </vt:variant>
      <vt:variant>
        <vt:lpwstr/>
      </vt:variant>
      <vt:variant>
        <vt:lpwstr>_Toc236200024</vt:lpwstr>
      </vt:variant>
      <vt:variant>
        <vt:i4>1310772</vt:i4>
      </vt:variant>
      <vt:variant>
        <vt:i4>68</vt:i4>
      </vt:variant>
      <vt:variant>
        <vt:i4>0</vt:i4>
      </vt:variant>
      <vt:variant>
        <vt:i4>5</vt:i4>
      </vt:variant>
      <vt:variant>
        <vt:lpwstr/>
      </vt:variant>
      <vt:variant>
        <vt:lpwstr>_Toc236200023</vt:lpwstr>
      </vt:variant>
      <vt:variant>
        <vt:i4>1310772</vt:i4>
      </vt:variant>
      <vt:variant>
        <vt:i4>62</vt:i4>
      </vt:variant>
      <vt:variant>
        <vt:i4>0</vt:i4>
      </vt:variant>
      <vt:variant>
        <vt:i4>5</vt:i4>
      </vt:variant>
      <vt:variant>
        <vt:lpwstr/>
      </vt:variant>
      <vt:variant>
        <vt:lpwstr>_Toc236200022</vt:lpwstr>
      </vt:variant>
      <vt:variant>
        <vt:i4>1310772</vt:i4>
      </vt:variant>
      <vt:variant>
        <vt:i4>56</vt:i4>
      </vt:variant>
      <vt:variant>
        <vt:i4>0</vt:i4>
      </vt:variant>
      <vt:variant>
        <vt:i4>5</vt:i4>
      </vt:variant>
      <vt:variant>
        <vt:lpwstr/>
      </vt:variant>
      <vt:variant>
        <vt:lpwstr>_Toc236200021</vt:lpwstr>
      </vt:variant>
      <vt:variant>
        <vt:i4>1310772</vt:i4>
      </vt:variant>
      <vt:variant>
        <vt:i4>50</vt:i4>
      </vt:variant>
      <vt:variant>
        <vt:i4>0</vt:i4>
      </vt:variant>
      <vt:variant>
        <vt:i4>5</vt:i4>
      </vt:variant>
      <vt:variant>
        <vt:lpwstr/>
      </vt:variant>
      <vt:variant>
        <vt:lpwstr>_Toc236200020</vt:lpwstr>
      </vt:variant>
      <vt:variant>
        <vt:i4>1507380</vt:i4>
      </vt:variant>
      <vt:variant>
        <vt:i4>44</vt:i4>
      </vt:variant>
      <vt:variant>
        <vt:i4>0</vt:i4>
      </vt:variant>
      <vt:variant>
        <vt:i4>5</vt:i4>
      </vt:variant>
      <vt:variant>
        <vt:lpwstr/>
      </vt:variant>
      <vt:variant>
        <vt:lpwstr>_Toc236200019</vt:lpwstr>
      </vt:variant>
      <vt:variant>
        <vt:i4>1507380</vt:i4>
      </vt:variant>
      <vt:variant>
        <vt:i4>38</vt:i4>
      </vt:variant>
      <vt:variant>
        <vt:i4>0</vt:i4>
      </vt:variant>
      <vt:variant>
        <vt:i4>5</vt:i4>
      </vt:variant>
      <vt:variant>
        <vt:lpwstr/>
      </vt:variant>
      <vt:variant>
        <vt:lpwstr>_Toc236200018</vt:lpwstr>
      </vt:variant>
      <vt:variant>
        <vt:i4>1507380</vt:i4>
      </vt:variant>
      <vt:variant>
        <vt:i4>32</vt:i4>
      </vt:variant>
      <vt:variant>
        <vt:i4>0</vt:i4>
      </vt:variant>
      <vt:variant>
        <vt:i4>5</vt:i4>
      </vt:variant>
      <vt:variant>
        <vt:lpwstr/>
      </vt:variant>
      <vt:variant>
        <vt:lpwstr>_Toc236200017</vt:lpwstr>
      </vt:variant>
      <vt:variant>
        <vt:i4>1507380</vt:i4>
      </vt:variant>
      <vt:variant>
        <vt:i4>26</vt:i4>
      </vt:variant>
      <vt:variant>
        <vt:i4>0</vt:i4>
      </vt:variant>
      <vt:variant>
        <vt:i4>5</vt:i4>
      </vt:variant>
      <vt:variant>
        <vt:lpwstr/>
      </vt:variant>
      <vt:variant>
        <vt:lpwstr>_Toc236200016</vt:lpwstr>
      </vt:variant>
      <vt:variant>
        <vt:i4>1507380</vt:i4>
      </vt:variant>
      <vt:variant>
        <vt:i4>20</vt:i4>
      </vt:variant>
      <vt:variant>
        <vt:i4>0</vt:i4>
      </vt:variant>
      <vt:variant>
        <vt:i4>5</vt:i4>
      </vt:variant>
      <vt:variant>
        <vt:lpwstr/>
      </vt:variant>
      <vt:variant>
        <vt:lpwstr>_Toc236200015</vt:lpwstr>
      </vt:variant>
      <vt:variant>
        <vt:i4>1507380</vt:i4>
      </vt:variant>
      <vt:variant>
        <vt:i4>14</vt:i4>
      </vt:variant>
      <vt:variant>
        <vt:i4>0</vt:i4>
      </vt:variant>
      <vt:variant>
        <vt:i4>5</vt:i4>
      </vt:variant>
      <vt:variant>
        <vt:lpwstr/>
      </vt:variant>
      <vt:variant>
        <vt:lpwstr>_Toc236200014</vt:lpwstr>
      </vt:variant>
      <vt:variant>
        <vt:i4>1507380</vt:i4>
      </vt:variant>
      <vt:variant>
        <vt:i4>8</vt:i4>
      </vt:variant>
      <vt:variant>
        <vt:i4>0</vt:i4>
      </vt:variant>
      <vt:variant>
        <vt:i4>5</vt:i4>
      </vt:variant>
      <vt:variant>
        <vt:lpwstr/>
      </vt:variant>
      <vt:variant>
        <vt:lpwstr>_Toc236200013</vt:lpwstr>
      </vt:variant>
      <vt:variant>
        <vt:i4>1507380</vt:i4>
      </vt:variant>
      <vt:variant>
        <vt:i4>2</vt:i4>
      </vt:variant>
      <vt:variant>
        <vt:i4>0</vt:i4>
      </vt:variant>
      <vt:variant>
        <vt:i4>5</vt:i4>
      </vt:variant>
      <vt:variant>
        <vt:lpwstr/>
      </vt:variant>
      <vt:variant>
        <vt:lpwstr>_Toc236200012</vt:lpwstr>
      </vt:variant>
      <vt:variant>
        <vt:i4>5636162</vt:i4>
      </vt:variant>
      <vt:variant>
        <vt:i4>15</vt:i4>
      </vt:variant>
      <vt:variant>
        <vt:i4>0</vt:i4>
      </vt:variant>
      <vt:variant>
        <vt:i4>5</vt:i4>
      </vt:variant>
      <vt:variant>
        <vt:lpwstr>http://ec.europa.eu/energy/grants/docs/eepr/eepr_call_for_proposals_annex1.pdf</vt:lpwstr>
      </vt:variant>
      <vt:variant>
        <vt:lpwstr/>
      </vt:variant>
      <vt:variant>
        <vt:i4>262171</vt:i4>
      </vt:variant>
      <vt:variant>
        <vt:i4>12</vt:i4>
      </vt:variant>
      <vt:variant>
        <vt:i4>0</vt:i4>
      </vt:variant>
      <vt:variant>
        <vt:i4>5</vt:i4>
      </vt:variant>
      <vt:variant>
        <vt:lpwstr>http://ec.europa.eu/commission_barroso/president/pdf/Comm_20081126.pdf</vt:lpwstr>
      </vt:variant>
      <vt:variant>
        <vt:lpwstr/>
      </vt:variant>
      <vt:variant>
        <vt:i4>3866695</vt:i4>
      </vt:variant>
      <vt:variant>
        <vt:i4>3</vt:i4>
      </vt:variant>
      <vt:variant>
        <vt:i4>0</vt:i4>
      </vt:variant>
      <vt:variant>
        <vt:i4>5</vt:i4>
      </vt:variant>
      <vt:variant>
        <vt:lpwstr>http://www.cre.fr/en/content/download/8749/154432/file/090702StructureTransportIntercoEspagne_en.pdf</vt:lpwstr>
      </vt:variant>
      <vt:variant>
        <vt:lpwstr/>
      </vt:variant>
      <vt:variant>
        <vt:i4>4390976</vt:i4>
      </vt:variant>
      <vt:variant>
        <vt:i4>0</vt:i4>
      </vt:variant>
      <vt:variant>
        <vt:i4>0</vt:i4>
      </vt:variant>
      <vt:variant>
        <vt:i4>5</vt:i4>
      </vt:variant>
      <vt:variant>
        <vt:lpwstr>http://www.concertationgaz.com/default.aspx?langue=2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Izquierdo Fernandez, Paloma</dc:creator>
  <cp:lastModifiedBy>Yunta Huete, Raúl</cp:lastModifiedBy>
  <cp:revision>2</cp:revision>
  <cp:lastPrinted>2015-07-15T13:02:00Z</cp:lastPrinted>
  <dcterms:created xsi:type="dcterms:W3CDTF">2016-04-28T14:28:00Z</dcterms:created>
  <dcterms:modified xsi:type="dcterms:W3CDTF">2016-04-28T14:28:00Z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0x010100DB7EBAEF7B68B845AB6976F6B66CEFFF</vt:lpwstr>
  </property>
  <property fmtid="{D5CDD505-2E9C-101B-9397-08002B2CF9AE}" pid="3" name="_dlc_DocIdItemGuid">
    <vt:lpwstr>41ebbde2-6514-4747-8804-4589e00247da</vt:lpwstr>
  </property>
</Properties>
</file>