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06FC7" w14:textId="1FBC2278" w:rsidR="00DD018D" w:rsidRPr="007E68EA" w:rsidRDefault="001C2A99" w:rsidP="00CC6BDF">
      <w:pPr>
        <w:tabs>
          <w:tab w:val="left" w:pos="4545"/>
        </w:tabs>
        <w:rPr>
          <w:lang w:val="en-GB"/>
        </w:rPr>
      </w:pPr>
      <w:bookmarkStart w:id="0" w:name="_GoBack"/>
      <w:bookmarkEnd w:id="0"/>
      <w:r>
        <w:rPr>
          <w:lang w:val="en-GB"/>
        </w:rPr>
        <w:t xml:space="preserve"> </w:t>
      </w:r>
    </w:p>
    <w:p w14:paraId="6EBCF5C3" w14:textId="354649CF" w:rsidR="00DD018D" w:rsidRDefault="000144E8" w:rsidP="00DD018D">
      <w:pPr>
        <w:jc w:val="center"/>
        <w:rPr>
          <w:b/>
          <w:color w:val="FF0000"/>
          <w:sz w:val="32"/>
          <w:lang w:val="en-GB"/>
        </w:rPr>
      </w:pPr>
      <w:r>
        <w:rPr>
          <w:noProof/>
          <w:lang w:val="es-ES" w:eastAsia="es-ES"/>
        </w:rPr>
        <w:drawing>
          <wp:inline distT="0" distB="0" distL="0" distR="0" wp14:anchorId="0A02D25A" wp14:editId="6226D3F1">
            <wp:extent cx="5359180" cy="656474"/>
            <wp:effectExtent l="0" t="0" r="0" b="0"/>
            <wp:docPr id="6931059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5359180" cy="656474"/>
                    </a:xfrm>
                    <a:prstGeom prst="rect">
                      <a:avLst/>
                    </a:prstGeom>
                  </pic:spPr>
                </pic:pic>
              </a:graphicData>
            </a:graphic>
          </wp:inline>
        </w:drawing>
      </w:r>
    </w:p>
    <w:p w14:paraId="622D3D30" w14:textId="77777777" w:rsidR="00C03133" w:rsidRDefault="00C03133" w:rsidP="00DD018D">
      <w:pPr>
        <w:jc w:val="center"/>
        <w:rPr>
          <w:b/>
          <w:color w:val="FF0000"/>
          <w:sz w:val="32"/>
          <w:lang w:val="en-GB"/>
        </w:rPr>
      </w:pPr>
    </w:p>
    <w:p w14:paraId="7C91444F" w14:textId="77777777" w:rsidR="00C03133" w:rsidRDefault="00997D25" w:rsidP="00DD018D">
      <w:pPr>
        <w:jc w:val="center"/>
        <w:rPr>
          <w:b/>
          <w:color w:val="FF0000"/>
          <w:sz w:val="32"/>
          <w:lang w:val="en-GB"/>
        </w:rPr>
      </w:pPr>
      <w:r>
        <w:rPr>
          <w:b/>
          <w:color w:val="FF0000"/>
          <w:sz w:val="32"/>
          <w:lang w:val="en-GB"/>
        </w:rPr>
        <w:t>South Gas Regional Initiative</w:t>
      </w:r>
    </w:p>
    <w:p w14:paraId="6BF67DC9" w14:textId="77777777" w:rsidR="00997D25" w:rsidRDefault="00997D25" w:rsidP="00DD018D">
      <w:pPr>
        <w:jc w:val="center"/>
        <w:rPr>
          <w:b/>
          <w:color w:val="FF0000"/>
          <w:sz w:val="32"/>
          <w:lang w:val="en-GB"/>
        </w:rPr>
      </w:pPr>
      <w:r>
        <w:rPr>
          <w:b/>
          <w:color w:val="FF0000"/>
          <w:sz w:val="32"/>
          <w:lang w:val="en-GB"/>
        </w:rPr>
        <w:t>Work Plan</w:t>
      </w:r>
    </w:p>
    <w:p w14:paraId="6A448838" w14:textId="77777777" w:rsidR="00DD018D" w:rsidRDefault="00DD018D" w:rsidP="00DD018D">
      <w:pPr>
        <w:rPr>
          <w:lang w:val="en-GB"/>
        </w:rPr>
      </w:pPr>
    </w:p>
    <w:p w14:paraId="622AC474" w14:textId="77777777" w:rsidR="00DD018D" w:rsidRPr="00E37F9F" w:rsidRDefault="00C03133" w:rsidP="00DD018D">
      <w:pPr>
        <w:jc w:val="center"/>
        <w:rPr>
          <w:rFonts w:cs="Arial"/>
          <w:b/>
          <w:bCs/>
          <w:color w:val="264D74"/>
          <w:sz w:val="44"/>
          <w:szCs w:val="44"/>
          <w:lang w:val="en-GB"/>
        </w:rPr>
      </w:pPr>
      <w:r>
        <w:rPr>
          <w:rFonts w:cs="Arial"/>
          <w:b/>
          <w:bCs/>
          <w:color w:val="264D74"/>
          <w:sz w:val="44"/>
          <w:szCs w:val="44"/>
          <w:lang w:val="en-GB"/>
        </w:rPr>
        <w:t>1</w:t>
      </w:r>
      <w:r w:rsidR="00997D25" w:rsidRPr="00997D25">
        <w:rPr>
          <w:rFonts w:cs="Arial"/>
          <w:b/>
          <w:bCs/>
          <w:color w:val="264D74"/>
          <w:sz w:val="44"/>
          <w:szCs w:val="44"/>
          <w:vertAlign w:val="superscript"/>
          <w:lang w:val="en-GB"/>
        </w:rPr>
        <w:t>st</w:t>
      </w:r>
      <w:r w:rsidR="00997D25">
        <w:rPr>
          <w:rFonts w:cs="Arial"/>
          <w:b/>
          <w:bCs/>
          <w:color w:val="264D74"/>
          <w:sz w:val="44"/>
          <w:szCs w:val="44"/>
          <w:lang w:val="en-GB"/>
        </w:rPr>
        <w:t xml:space="preserve"> Target</w:t>
      </w:r>
      <w:r>
        <w:rPr>
          <w:rFonts w:cs="Arial"/>
          <w:b/>
          <w:bCs/>
          <w:color w:val="264D74"/>
          <w:sz w:val="44"/>
          <w:szCs w:val="44"/>
          <w:lang w:val="en-GB"/>
        </w:rPr>
        <w:t xml:space="preserve">: </w:t>
      </w:r>
      <w:r w:rsidRPr="00C03133">
        <w:rPr>
          <w:rFonts w:cs="Arial"/>
          <w:b/>
          <w:bCs/>
          <w:color w:val="264D74"/>
          <w:sz w:val="44"/>
          <w:szCs w:val="44"/>
          <w:lang w:val="en-GB"/>
        </w:rPr>
        <w:t>Use of interconnections</w:t>
      </w:r>
    </w:p>
    <w:p w14:paraId="1DBF7680" w14:textId="77777777" w:rsidR="00DD018D" w:rsidRPr="008E146C" w:rsidRDefault="00DD018D" w:rsidP="00DD018D">
      <w:pPr>
        <w:pStyle w:val="Textoindependiente3"/>
        <w:jc w:val="center"/>
        <w:rPr>
          <w:rFonts w:cs="Arial"/>
          <w:b/>
          <w:bCs/>
          <w:color w:val="007AAE"/>
          <w:sz w:val="44"/>
          <w:szCs w:val="44"/>
          <w:lang w:val="en-GB" w:eastAsia="es-ES"/>
        </w:rPr>
      </w:pPr>
    </w:p>
    <w:p w14:paraId="5531D69A" w14:textId="77777777" w:rsidR="00DD018D" w:rsidRDefault="00997D25" w:rsidP="00DD018D">
      <w:pPr>
        <w:tabs>
          <w:tab w:val="left" w:pos="2310"/>
          <w:tab w:val="left" w:pos="5910"/>
        </w:tabs>
        <w:spacing w:after="240"/>
        <w:jc w:val="center"/>
        <w:rPr>
          <w:rFonts w:cs="Arial"/>
          <w:b/>
          <w:color w:val="9CB700"/>
          <w:sz w:val="44"/>
          <w:szCs w:val="44"/>
          <w:lang w:val="en-GB"/>
        </w:rPr>
      </w:pPr>
      <w:r>
        <w:rPr>
          <w:rFonts w:cs="Arial"/>
          <w:b/>
          <w:color w:val="9CB700"/>
          <w:sz w:val="44"/>
          <w:szCs w:val="44"/>
          <w:lang w:val="en-GB"/>
        </w:rPr>
        <w:t>Period of analysis</w:t>
      </w:r>
    </w:p>
    <w:p w14:paraId="7402C46F" w14:textId="02C865A7" w:rsidR="00997D25" w:rsidRDefault="00997D25" w:rsidP="00DD018D">
      <w:pPr>
        <w:tabs>
          <w:tab w:val="left" w:pos="2310"/>
          <w:tab w:val="left" w:pos="5910"/>
        </w:tabs>
        <w:spacing w:after="240"/>
        <w:jc w:val="center"/>
        <w:rPr>
          <w:rFonts w:cs="Arial"/>
          <w:b/>
          <w:color w:val="9CB700"/>
          <w:sz w:val="44"/>
          <w:szCs w:val="44"/>
          <w:lang w:val="en-GB"/>
        </w:rPr>
      </w:pPr>
      <w:r>
        <w:rPr>
          <w:rFonts w:cs="Arial"/>
          <w:b/>
          <w:color w:val="9CB700"/>
          <w:sz w:val="44"/>
          <w:szCs w:val="44"/>
          <w:lang w:val="en-GB"/>
        </w:rPr>
        <w:t>[October 201</w:t>
      </w:r>
      <w:r w:rsidR="00EB4CBB">
        <w:rPr>
          <w:rFonts w:cs="Arial"/>
          <w:b/>
          <w:color w:val="9CB700"/>
          <w:sz w:val="44"/>
          <w:szCs w:val="44"/>
          <w:lang w:val="en-GB"/>
        </w:rPr>
        <w:t>6</w:t>
      </w:r>
      <w:r>
        <w:rPr>
          <w:rFonts w:cs="Arial"/>
          <w:b/>
          <w:color w:val="9CB700"/>
          <w:sz w:val="44"/>
          <w:szCs w:val="44"/>
          <w:lang w:val="en-GB"/>
        </w:rPr>
        <w:t xml:space="preserve"> to September 201</w:t>
      </w:r>
      <w:r w:rsidR="00EB4CBB">
        <w:rPr>
          <w:rFonts w:cs="Arial"/>
          <w:b/>
          <w:color w:val="9CB700"/>
          <w:sz w:val="44"/>
          <w:szCs w:val="44"/>
          <w:lang w:val="en-GB"/>
        </w:rPr>
        <w:t>9</w:t>
      </w:r>
      <w:r>
        <w:rPr>
          <w:rFonts w:cs="Arial"/>
          <w:b/>
          <w:color w:val="9CB700"/>
          <w:sz w:val="44"/>
          <w:szCs w:val="44"/>
          <w:lang w:val="en-GB"/>
        </w:rPr>
        <w:t>]</w:t>
      </w:r>
    </w:p>
    <w:p w14:paraId="2936C525" w14:textId="77777777" w:rsidR="00DD018D" w:rsidRDefault="00DD018D" w:rsidP="00DD018D">
      <w:pPr>
        <w:rPr>
          <w:lang w:val="en-GB"/>
        </w:rPr>
      </w:pPr>
    </w:p>
    <w:p w14:paraId="3535E8CB" w14:textId="77777777" w:rsidR="002964CC" w:rsidRDefault="002964CC" w:rsidP="00DD018D">
      <w:pPr>
        <w:rPr>
          <w:lang w:val="en-GB"/>
        </w:rPr>
      </w:pPr>
    </w:p>
    <w:p w14:paraId="7030911B" w14:textId="77777777" w:rsidR="00DD018D" w:rsidRDefault="00DD018D" w:rsidP="00DD018D">
      <w:pPr>
        <w:rPr>
          <w:lang w:val="en-GB"/>
        </w:rPr>
      </w:pPr>
    </w:p>
    <w:p w14:paraId="123B9F17" w14:textId="77777777" w:rsidR="00DD018D" w:rsidRDefault="00DD018D" w:rsidP="00DD018D">
      <w:pPr>
        <w:rPr>
          <w:lang w:val="en-GB"/>
        </w:rPr>
      </w:pPr>
    </w:p>
    <w:p w14:paraId="1452E696" w14:textId="1CF9D600" w:rsidR="00DD018D" w:rsidRDefault="00A91FE8" w:rsidP="00DD018D">
      <w:pPr>
        <w:pStyle w:val="Normalpersonal"/>
        <w:spacing w:before="0"/>
        <w:jc w:val="center"/>
        <w:rPr>
          <w:rFonts w:ascii="Arial" w:hAnsi="Arial" w:cs="Arial"/>
          <w:color w:val="004E55"/>
          <w:sz w:val="28"/>
          <w:lang w:val="en-GB"/>
        </w:rPr>
      </w:pPr>
      <w:r>
        <w:rPr>
          <w:rFonts w:ascii="Arial" w:hAnsi="Arial" w:cs="Arial"/>
          <w:color w:val="004E55"/>
          <w:sz w:val="28"/>
          <w:lang w:val="en-GB"/>
        </w:rPr>
        <w:t>August</w:t>
      </w:r>
      <w:r w:rsidR="00A92CB2">
        <w:rPr>
          <w:rFonts w:ascii="Arial" w:hAnsi="Arial" w:cs="Arial"/>
          <w:color w:val="004E55"/>
          <w:sz w:val="28"/>
          <w:lang w:val="en-GB"/>
        </w:rPr>
        <w:t xml:space="preserve"> 2020</w:t>
      </w:r>
    </w:p>
    <w:p w14:paraId="4B64C8EE" w14:textId="77777777" w:rsidR="008F0384" w:rsidRPr="00993480" w:rsidRDefault="002752CF" w:rsidP="008C1192">
      <w:pPr>
        <w:rPr>
          <w:rFonts w:cs="Arial"/>
          <w:bCs/>
          <w:color w:val="000000" w:themeColor="text1"/>
          <w:szCs w:val="22"/>
          <w:lang w:val="en-US"/>
        </w:rPr>
      </w:pPr>
      <w:r w:rsidRPr="00993480">
        <w:rPr>
          <w:rFonts w:cs="Arial"/>
          <w:color w:val="000000" w:themeColor="text1"/>
          <w:szCs w:val="22"/>
          <w:lang w:val="en-US"/>
        </w:rPr>
        <w:br w:type="page"/>
      </w:r>
    </w:p>
    <w:p w14:paraId="747D3464" w14:textId="5B426424" w:rsidR="008F0384" w:rsidRPr="00993480" w:rsidRDefault="008F0384" w:rsidP="00CC6BDF">
      <w:pPr>
        <w:pStyle w:val="Textoindependiente3"/>
        <w:pageBreakBefore/>
        <w:jc w:val="center"/>
        <w:rPr>
          <w:rFonts w:cs="Arial"/>
          <w:b/>
          <w:smallCaps/>
          <w:color w:val="000000" w:themeColor="text1"/>
          <w:sz w:val="32"/>
          <w:szCs w:val="22"/>
          <w:lang w:val="en-US"/>
        </w:rPr>
      </w:pPr>
      <w:r w:rsidRPr="00993480">
        <w:rPr>
          <w:rFonts w:cs="Arial"/>
          <w:b/>
          <w:smallCaps/>
          <w:color w:val="000000" w:themeColor="text1"/>
          <w:sz w:val="32"/>
          <w:szCs w:val="22"/>
          <w:lang w:val="en-US"/>
        </w:rPr>
        <w:lastRenderedPageBreak/>
        <w:t>INDEX</w:t>
      </w:r>
    </w:p>
    <w:p w14:paraId="0283748E" w14:textId="77777777" w:rsidR="00761785" w:rsidRDefault="00510CE2">
      <w:pPr>
        <w:pStyle w:val="TDC1"/>
        <w:rPr>
          <w:rFonts w:asciiTheme="minorHAnsi" w:eastAsiaTheme="minorEastAsia" w:hAnsiTheme="minorHAnsi" w:cstheme="minorBidi"/>
          <w:bCs w:val="0"/>
          <w:noProof/>
          <w:szCs w:val="22"/>
          <w:lang w:val="es-ES" w:eastAsia="es-ES"/>
        </w:rPr>
      </w:pPr>
      <w:r>
        <w:rPr>
          <w:rFonts w:cs="Arial"/>
          <w:b/>
          <w:color w:val="000000" w:themeColor="text1"/>
          <w:szCs w:val="22"/>
          <w:lang w:val="en-GB"/>
        </w:rPr>
        <w:fldChar w:fldCharType="begin"/>
      </w:r>
      <w:r>
        <w:rPr>
          <w:rFonts w:cs="Arial"/>
          <w:b/>
          <w:color w:val="000000" w:themeColor="text1"/>
          <w:szCs w:val="22"/>
          <w:lang w:val="en-GB"/>
        </w:rPr>
        <w:instrText xml:space="preserve"> TOC \o "1-2" \h \z \u </w:instrText>
      </w:r>
      <w:r>
        <w:rPr>
          <w:rFonts w:cs="Arial"/>
          <w:b/>
          <w:color w:val="000000" w:themeColor="text1"/>
          <w:szCs w:val="22"/>
          <w:lang w:val="en-GB"/>
        </w:rPr>
        <w:fldChar w:fldCharType="separate"/>
      </w:r>
      <w:hyperlink w:anchor="_Toc49770585" w:history="1">
        <w:r w:rsidR="00761785" w:rsidRPr="00833FAB">
          <w:rPr>
            <w:rStyle w:val="Hipervnculo"/>
            <w:noProof/>
            <w:lang w:val="en-AU"/>
          </w:rPr>
          <w:t>Background</w:t>
        </w:r>
        <w:r w:rsidR="00761785">
          <w:rPr>
            <w:noProof/>
            <w:webHidden/>
          </w:rPr>
          <w:tab/>
        </w:r>
        <w:r w:rsidR="00761785">
          <w:rPr>
            <w:noProof/>
            <w:webHidden/>
          </w:rPr>
          <w:fldChar w:fldCharType="begin"/>
        </w:r>
        <w:r w:rsidR="00761785">
          <w:rPr>
            <w:noProof/>
            <w:webHidden/>
          </w:rPr>
          <w:instrText xml:space="preserve"> PAGEREF _Toc49770585 \h </w:instrText>
        </w:r>
        <w:r w:rsidR="00761785">
          <w:rPr>
            <w:noProof/>
            <w:webHidden/>
          </w:rPr>
        </w:r>
        <w:r w:rsidR="00761785">
          <w:rPr>
            <w:noProof/>
            <w:webHidden/>
          </w:rPr>
          <w:fldChar w:fldCharType="separate"/>
        </w:r>
        <w:r w:rsidR="00E859C7">
          <w:rPr>
            <w:noProof/>
            <w:webHidden/>
          </w:rPr>
          <w:t>4</w:t>
        </w:r>
        <w:r w:rsidR="00761785">
          <w:rPr>
            <w:noProof/>
            <w:webHidden/>
          </w:rPr>
          <w:fldChar w:fldCharType="end"/>
        </w:r>
      </w:hyperlink>
    </w:p>
    <w:p w14:paraId="081B2054" w14:textId="77777777" w:rsidR="00761785" w:rsidRDefault="00813AEC">
      <w:pPr>
        <w:pStyle w:val="TDC1"/>
        <w:rPr>
          <w:rFonts w:asciiTheme="minorHAnsi" w:eastAsiaTheme="minorEastAsia" w:hAnsiTheme="minorHAnsi" w:cstheme="minorBidi"/>
          <w:bCs w:val="0"/>
          <w:noProof/>
          <w:szCs w:val="22"/>
          <w:lang w:val="es-ES" w:eastAsia="es-ES"/>
        </w:rPr>
      </w:pPr>
      <w:hyperlink w:anchor="_Toc49770586" w:history="1">
        <w:r w:rsidR="00761785" w:rsidRPr="00833FAB">
          <w:rPr>
            <w:rStyle w:val="Hipervnculo"/>
            <w:noProof/>
            <w:lang w:val="en-US"/>
          </w:rPr>
          <w:t>Executive summary</w:t>
        </w:r>
        <w:r w:rsidR="00761785">
          <w:rPr>
            <w:noProof/>
            <w:webHidden/>
          </w:rPr>
          <w:tab/>
        </w:r>
        <w:r w:rsidR="00761785">
          <w:rPr>
            <w:noProof/>
            <w:webHidden/>
          </w:rPr>
          <w:fldChar w:fldCharType="begin"/>
        </w:r>
        <w:r w:rsidR="00761785">
          <w:rPr>
            <w:noProof/>
            <w:webHidden/>
          </w:rPr>
          <w:instrText xml:space="preserve"> PAGEREF _Toc49770586 \h </w:instrText>
        </w:r>
        <w:r w:rsidR="00761785">
          <w:rPr>
            <w:noProof/>
            <w:webHidden/>
          </w:rPr>
        </w:r>
        <w:r w:rsidR="00761785">
          <w:rPr>
            <w:noProof/>
            <w:webHidden/>
          </w:rPr>
          <w:fldChar w:fldCharType="separate"/>
        </w:r>
        <w:r w:rsidR="00E859C7">
          <w:rPr>
            <w:noProof/>
            <w:webHidden/>
          </w:rPr>
          <w:t>5</w:t>
        </w:r>
        <w:r w:rsidR="00761785">
          <w:rPr>
            <w:noProof/>
            <w:webHidden/>
          </w:rPr>
          <w:fldChar w:fldCharType="end"/>
        </w:r>
      </w:hyperlink>
    </w:p>
    <w:p w14:paraId="13B3FC4F" w14:textId="77777777" w:rsidR="00761785" w:rsidRDefault="00813AEC">
      <w:pPr>
        <w:pStyle w:val="TDC1"/>
        <w:rPr>
          <w:rFonts w:asciiTheme="minorHAnsi" w:eastAsiaTheme="minorEastAsia" w:hAnsiTheme="minorHAnsi" w:cstheme="minorBidi"/>
          <w:bCs w:val="0"/>
          <w:noProof/>
          <w:szCs w:val="22"/>
          <w:lang w:val="es-ES" w:eastAsia="es-ES"/>
        </w:rPr>
      </w:pPr>
      <w:hyperlink w:anchor="_Toc49770587" w:history="1">
        <w:r w:rsidR="00761785" w:rsidRPr="00833FAB">
          <w:rPr>
            <w:rStyle w:val="Hipervnculo"/>
            <w:noProof/>
            <w:lang w:val="en-US"/>
          </w:rPr>
          <w:t>1</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Current situation of gas interconnections in the Region</w:t>
        </w:r>
        <w:r w:rsidR="00761785">
          <w:rPr>
            <w:noProof/>
            <w:webHidden/>
          </w:rPr>
          <w:tab/>
        </w:r>
        <w:r w:rsidR="00761785">
          <w:rPr>
            <w:noProof/>
            <w:webHidden/>
          </w:rPr>
          <w:fldChar w:fldCharType="begin"/>
        </w:r>
        <w:r w:rsidR="00761785">
          <w:rPr>
            <w:noProof/>
            <w:webHidden/>
          </w:rPr>
          <w:instrText xml:space="preserve"> PAGEREF _Toc49770587 \h </w:instrText>
        </w:r>
        <w:r w:rsidR="00761785">
          <w:rPr>
            <w:noProof/>
            <w:webHidden/>
          </w:rPr>
        </w:r>
        <w:r w:rsidR="00761785">
          <w:rPr>
            <w:noProof/>
            <w:webHidden/>
          </w:rPr>
          <w:fldChar w:fldCharType="separate"/>
        </w:r>
        <w:r w:rsidR="00E859C7">
          <w:rPr>
            <w:noProof/>
            <w:webHidden/>
          </w:rPr>
          <w:t>7</w:t>
        </w:r>
        <w:r w:rsidR="00761785">
          <w:rPr>
            <w:noProof/>
            <w:webHidden/>
          </w:rPr>
          <w:fldChar w:fldCharType="end"/>
        </w:r>
      </w:hyperlink>
    </w:p>
    <w:p w14:paraId="7AE31255"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588" w:history="1">
        <w:r w:rsidR="00761785" w:rsidRPr="00833FAB">
          <w:rPr>
            <w:rStyle w:val="Hipervnculo"/>
            <w:noProof/>
            <w:lang w:val="en-US"/>
          </w:rPr>
          <w:t>1.1</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Capacities</w:t>
        </w:r>
        <w:r w:rsidR="00761785">
          <w:rPr>
            <w:noProof/>
            <w:webHidden/>
          </w:rPr>
          <w:tab/>
        </w:r>
        <w:r w:rsidR="00761785">
          <w:rPr>
            <w:noProof/>
            <w:webHidden/>
          </w:rPr>
          <w:fldChar w:fldCharType="begin"/>
        </w:r>
        <w:r w:rsidR="00761785">
          <w:rPr>
            <w:noProof/>
            <w:webHidden/>
          </w:rPr>
          <w:instrText xml:space="preserve"> PAGEREF _Toc49770588 \h </w:instrText>
        </w:r>
        <w:r w:rsidR="00761785">
          <w:rPr>
            <w:noProof/>
            <w:webHidden/>
          </w:rPr>
        </w:r>
        <w:r w:rsidR="00761785">
          <w:rPr>
            <w:noProof/>
            <w:webHidden/>
          </w:rPr>
          <w:fldChar w:fldCharType="separate"/>
        </w:r>
        <w:r w:rsidR="00E859C7">
          <w:rPr>
            <w:noProof/>
            <w:webHidden/>
          </w:rPr>
          <w:t>7</w:t>
        </w:r>
        <w:r w:rsidR="00761785">
          <w:rPr>
            <w:noProof/>
            <w:webHidden/>
          </w:rPr>
          <w:fldChar w:fldCharType="end"/>
        </w:r>
      </w:hyperlink>
    </w:p>
    <w:p w14:paraId="74433CA5"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589" w:history="1">
        <w:r w:rsidR="00761785" w:rsidRPr="00833FAB">
          <w:rPr>
            <w:rStyle w:val="Hipervnculo"/>
            <w:noProof/>
            <w:lang w:val="en-US"/>
          </w:rPr>
          <w:t>1.2</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Capacity calculation methodology</w:t>
        </w:r>
        <w:r w:rsidR="00761785">
          <w:rPr>
            <w:noProof/>
            <w:webHidden/>
          </w:rPr>
          <w:tab/>
        </w:r>
        <w:r w:rsidR="00761785">
          <w:rPr>
            <w:noProof/>
            <w:webHidden/>
          </w:rPr>
          <w:fldChar w:fldCharType="begin"/>
        </w:r>
        <w:r w:rsidR="00761785">
          <w:rPr>
            <w:noProof/>
            <w:webHidden/>
          </w:rPr>
          <w:instrText xml:space="preserve"> PAGEREF _Toc49770589 \h </w:instrText>
        </w:r>
        <w:r w:rsidR="00761785">
          <w:rPr>
            <w:noProof/>
            <w:webHidden/>
          </w:rPr>
        </w:r>
        <w:r w:rsidR="00761785">
          <w:rPr>
            <w:noProof/>
            <w:webHidden/>
          </w:rPr>
          <w:fldChar w:fldCharType="separate"/>
        </w:r>
        <w:r w:rsidR="00E859C7">
          <w:rPr>
            <w:noProof/>
            <w:webHidden/>
          </w:rPr>
          <w:t>11</w:t>
        </w:r>
        <w:r w:rsidR="00761785">
          <w:rPr>
            <w:noProof/>
            <w:webHidden/>
          </w:rPr>
          <w:fldChar w:fldCharType="end"/>
        </w:r>
      </w:hyperlink>
    </w:p>
    <w:p w14:paraId="527A7C67"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590" w:history="1">
        <w:r w:rsidR="00761785" w:rsidRPr="00833FAB">
          <w:rPr>
            <w:rStyle w:val="Hipervnculo"/>
            <w:noProof/>
            <w:lang w:val="en-US"/>
          </w:rPr>
          <w:t>1.3</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Flows</w:t>
        </w:r>
        <w:r w:rsidR="00761785">
          <w:rPr>
            <w:noProof/>
            <w:webHidden/>
          </w:rPr>
          <w:tab/>
        </w:r>
        <w:r w:rsidR="00761785">
          <w:rPr>
            <w:noProof/>
            <w:webHidden/>
          </w:rPr>
          <w:fldChar w:fldCharType="begin"/>
        </w:r>
        <w:r w:rsidR="00761785">
          <w:rPr>
            <w:noProof/>
            <w:webHidden/>
          </w:rPr>
          <w:instrText xml:space="preserve"> PAGEREF _Toc49770590 \h </w:instrText>
        </w:r>
        <w:r w:rsidR="00761785">
          <w:rPr>
            <w:noProof/>
            <w:webHidden/>
          </w:rPr>
        </w:r>
        <w:r w:rsidR="00761785">
          <w:rPr>
            <w:noProof/>
            <w:webHidden/>
          </w:rPr>
          <w:fldChar w:fldCharType="separate"/>
        </w:r>
        <w:r w:rsidR="00E859C7">
          <w:rPr>
            <w:noProof/>
            <w:webHidden/>
          </w:rPr>
          <w:t>13</w:t>
        </w:r>
        <w:r w:rsidR="00761785">
          <w:rPr>
            <w:noProof/>
            <w:webHidden/>
          </w:rPr>
          <w:fldChar w:fldCharType="end"/>
        </w:r>
      </w:hyperlink>
    </w:p>
    <w:p w14:paraId="40035C00"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591" w:history="1">
        <w:r w:rsidR="00761785" w:rsidRPr="00833FAB">
          <w:rPr>
            <w:rStyle w:val="Hipervnculo"/>
            <w:noProof/>
            <w:lang w:val="en-US"/>
          </w:rPr>
          <w:t>1.4</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Available capacity to be auctioned via PRISMA</w:t>
        </w:r>
        <w:r w:rsidR="00761785">
          <w:rPr>
            <w:noProof/>
            <w:webHidden/>
          </w:rPr>
          <w:tab/>
        </w:r>
        <w:r w:rsidR="00761785">
          <w:rPr>
            <w:noProof/>
            <w:webHidden/>
          </w:rPr>
          <w:fldChar w:fldCharType="begin"/>
        </w:r>
        <w:r w:rsidR="00761785">
          <w:rPr>
            <w:noProof/>
            <w:webHidden/>
          </w:rPr>
          <w:instrText xml:space="preserve"> PAGEREF _Toc49770591 \h </w:instrText>
        </w:r>
        <w:r w:rsidR="00761785">
          <w:rPr>
            <w:noProof/>
            <w:webHidden/>
          </w:rPr>
        </w:r>
        <w:r w:rsidR="00761785">
          <w:rPr>
            <w:noProof/>
            <w:webHidden/>
          </w:rPr>
          <w:fldChar w:fldCharType="separate"/>
        </w:r>
        <w:r w:rsidR="00E859C7">
          <w:rPr>
            <w:noProof/>
            <w:webHidden/>
          </w:rPr>
          <w:t>19</w:t>
        </w:r>
        <w:r w:rsidR="00761785">
          <w:rPr>
            <w:noProof/>
            <w:webHidden/>
          </w:rPr>
          <w:fldChar w:fldCharType="end"/>
        </w:r>
      </w:hyperlink>
    </w:p>
    <w:p w14:paraId="5BED4B02" w14:textId="77777777" w:rsidR="00761785" w:rsidRDefault="00813AEC">
      <w:pPr>
        <w:pStyle w:val="TDC1"/>
        <w:rPr>
          <w:rFonts w:asciiTheme="minorHAnsi" w:eastAsiaTheme="minorEastAsia" w:hAnsiTheme="minorHAnsi" w:cstheme="minorBidi"/>
          <w:bCs w:val="0"/>
          <w:noProof/>
          <w:szCs w:val="22"/>
          <w:lang w:val="es-ES" w:eastAsia="es-ES"/>
        </w:rPr>
      </w:pPr>
      <w:hyperlink w:anchor="_Toc49770592" w:history="1">
        <w:r w:rsidR="00761785" w:rsidRPr="00833FAB">
          <w:rPr>
            <w:rStyle w:val="Hipervnculo"/>
            <w:noProof/>
          </w:rPr>
          <w:t>2</w:t>
        </w:r>
        <w:r w:rsidR="00761785">
          <w:rPr>
            <w:rFonts w:asciiTheme="minorHAnsi" w:eastAsiaTheme="minorEastAsia" w:hAnsiTheme="minorHAnsi" w:cstheme="minorBidi"/>
            <w:bCs w:val="0"/>
            <w:noProof/>
            <w:szCs w:val="22"/>
            <w:lang w:val="es-ES" w:eastAsia="es-ES"/>
          </w:rPr>
          <w:tab/>
        </w:r>
        <w:r w:rsidR="00761785" w:rsidRPr="00833FAB">
          <w:rPr>
            <w:rStyle w:val="Hipervnculo"/>
            <w:noProof/>
          </w:rPr>
          <w:t>Assessment of capacity bookings</w:t>
        </w:r>
        <w:r w:rsidR="00761785">
          <w:rPr>
            <w:noProof/>
            <w:webHidden/>
          </w:rPr>
          <w:tab/>
        </w:r>
        <w:r w:rsidR="00761785">
          <w:rPr>
            <w:noProof/>
            <w:webHidden/>
          </w:rPr>
          <w:fldChar w:fldCharType="begin"/>
        </w:r>
        <w:r w:rsidR="00761785">
          <w:rPr>
            <w:noProof/>
            <w:webHidden/>
          </w:rPr>
          <w:instrText xml:space="preserve"> PAGEREF _Toc49770592 \h </w:instrText>
        </w:r>
        <w:r w:rsidR="00761785">
          <w:rPr>
            <w:noProof/>
            <w:webHidden/>
          </w:rPr>
        </w:r>
        <w:r w:rsidR="00761785">
          <w:rPr>
            <w:noProof/>
            <w:webHidden/>
          </w:rPr>
          <w:fldChar w:fldCharType="separate"/>
        </w:r>
        <w:r w:rsidR="00E859C7">
          <w:rPr>
            <w:noProof/>
            <w:webHidden/>
          </w:rPr>
          <w:t>24</w:t>
        </w:r>
        <w:r w:rsidR="00761785">
          <w:rPr>
            <w:noProof/>
            <w:webHidden/>
          </w:rPr>
          <w:fldChar w:fldCharType="end"/>
        </w:r>
      </w:hyperlink>
    </w:p>
    <w:p w14:paraId="396371DB"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593" w:history="1">
        <w:r w:rsidR="00761785" w:rsidRPr="00833FAB">
          <w:rPr>
            <w:rStyle w:val="Hipervnculo"/>
            <w:noProof/>
            <w:lang w:val="en-US"/>
          </w:rPr>
          <w:t>2.1</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Firm booked capacities (bundled/unbundled)</w:t>
        </w:r>
        <w:r w:rsidR="00761785">
          <w:rPr>
            <w:noProof/>
            <w:webHidden/>
          </w:rPr>
          <w:tab/>
        </w:r>
        <w:r w:rsidR="00761785">
          <w:rPr>
            <w:noProof/>
            <w:webHidden/>
          </w:rPr>
          <w:fldChar w:fldCharType="begin"/>
        </w:r>
        <w:r w:rsidR="00761785">
          <w:rPr>
            <w:noProof/>
            <w:webHidden/>
          </w:rPr>
          <w:instrText xml:space="preserve"> PAGEREF _Toc49770593 \h </w:instrText>
        </w:r>
        <w:r w:rsidR="00761785">
          <w:rPr>
            <w:noProof/>
            <w:webHidden/>
          </w:rPr>
        </w:r>
        <w:r w:rsidR="00761785">
          <w:rPr>
            <w:noProof/>
            <w:webHidden/>
          </w:rPr>
          <w:fldChar w:fldCharType="separate"/>
        </w:r>
        <w:r w:rsidR="00E859C7">
          <w:rPr>
            <w:noProof/>
            <w:webHidden/>
          </w:rPr>
          <w:t>24</w:t>
        </w:r>
        <w:r w:rsidR="00761785">
          <w:rPr>
            <w:noProof/>
            <w:webHidden/>
          </w:rPr>
          <w:fldChar w:fldCharType="end"/>
        </w:r>
      </w:hyperlink>
    </w:p>
    <w:p w14:paraId="3713A824"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594" w:history="1">
        <w:r w:rsidR="00761785" w:rsidRPr="00833FAB">
          <w:rPr>
            <w:rStyle w:val="Hipervnculo"/>
            <w:noProof/>
            <w:lang w:val="en-US"/>
          </w:rPr>
          <w:t>2.2</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Allocated firm capacity in different time horizons (auctions)</w:t>
        </w:r>
        <w:r w:rsidR="00761785">
          <w:rPr>
            <w:noProof/>
            <w:webHidden/>
          </w:rPr>
          <w:tab/>
        </w:r>
        <w:r w:rsidR="00761785">
          <w:rPr>
            <w:noProof/>
            <w:webHidden/>
          </w:rPr>
          <w:fldChar w:fldCharType="begin"/>
        </w:r>
        <w:r w:rsidR="00761785">
          <w:rPr>
            <w:noProof/>
            <w:webHidden/>
          </w:rPr>
          <w:instrText xml:space="preserve"> PAGEREF _Toc49770594 \h </w:instrText>
        </w:r>
        <w:r w:rsidR="00761785">
          <w:rPr>
            <w:noProof/>
            <w:webHidden/>
          </w:rPr>
        </w:r>
        <w:r w:rsidR="00761785">
          <w:rPr>
            <w:noProof/>
            <w:webHidden/>
          </w:rPr>
          <w:fldChar w:fldCharType="separate"/>
        </w:r>
        <w:r w:rsidR="00E859C7">
          <w:rPr>
            <w:noProof/>
            <w:webHidden/>
          </w:rPr>
          <w:t>35</w:t>
        </w:r>
        <w:r w:rsidR="00761785">
          <w:rPr>
            <w:noProof/>
            <w:webHidden/>
          </w:rPr>
          <w:fldChar w:fldCharType="end"/>
        </w:r>
      </w:hyperlink>
    </w:p>
    <w:p w14:paraId="08262ECB"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595" w:history="1">
        <w:r w:rsidR="00761785" w:rsidRPr="00833FAB">
          <w:rPr>
            <w:rStyle w:val="Hipervnculo"/>
            <w:noProof/>
            <w:lang w:val="en-US"/>
          </w:rPr>
          <w:t>2.3</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Interruptible capacity</w:t>
        </w:r>
        <w:r w:rsidR="00761785">
          <w:rPr>
            <w:noProof/>
            <w:webHidden/>
          </w:rPr>
          <w:tab/>
        </w:r>
        <w:r w:rsidR="00761785">
          <w:rPr>
            <w:noProof/>
            <w:webHidden/>
          </w:rPr>
          <w:fldChar w:fldCharType="begin"/>
        </w:r>
        <w:r w:rsidR="00761785">
          <w:rPr>
            <w:noProof/>
            <w:webHidden/>
          </w:rPr>
          <w:instrText xml:space="preserve"> PAGEREF _Toc49770595 \h </w:instrText>
        </w:r>
        <w:r w:rsidR="00761785">
          <w:rPr>
            <w:noProof/>
            <w:webHidden/>
          </w:rPr>
        </w:r>
        <w:r w:rsidR="00761785">
          <w:rPr>
            <w:noProof/>
            <w:webHidden/>
          </w:rPr>
          <w:fldChar w:fldCharType="separate"/>
        </w:r>
        <w:r w:rsidR="00E859C7">
          <w:rPr>
            <w:noProof/>
            <w:webHidden/>
          </w:rPr>
          <w:t>46</w:t>
        </w:r>
        <w:r w:rsidR="00761785">
          <w:rPr>
            <w:noProof/>
            <w:webHidden/>
          </w:rPr>
          <w:fldChar w:fldCharType="end"/>
        </w:r>
      </w:hyperlink>
    </w:p>
    <w:p w14:paraId="3BDDE0B0"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596" w:history="1">
        <w:r w:rsidR="00761785" w:rsidRPr="00833FAB">
          <w:rPr>
            <w:rStyle w:val="Hipervnculo"/>
            <w:noProof/>
            <w:lang w:val="en-US"/>
          </w:rPr>
          <w:t>2.4</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Secondary capacity trade</w:t>
        </w:r>
        <w:r w:rsidR="00761785">
          <w:rPr>
            <w:noProof/>
            <w:webHidden/>
          </w:rPr>
          <w:tab/>
        </w:r>
        <w:r w:rsidR="00761785">
          <w:rPr>
            <w:noProof/>
            <w:webHidden/>
          </w:rPr>
          <w:fldChar w:fldCharType="begin"/>
        </w:r>
        <w:r w:rsidR="00761785">
          <w:rPr>
            <w:noProof/>
            <w:webHidden/>
          </w:rPr>
          <w:instrText xml:space="preserve"> PAGEREF _Toc49770596 \h </w:instrText>
        </w:r>
        <w:r w:rsidR="00761785">
          <w:rPr>
            <w:noProof/>
            <w:webHidden/>
          </w:rPr>
        </w:r>
        <w:r w:rsidR="00761785">
          <w:rPr>
            <w:noProof/>
            <w:webHidden/>
          </w:rPr>
          <w:fldChar w:fldCharType="separate"/>
        </w:r>
        <w:r w:rsidR="00E859C7">
          <w:rPr>
            <w:noProof/>
            <w:webHidden/>
          </w:rPr>
          <w:t>50</w:t>
        </w:r>
        <w:r w:rsidR="00761785">
          <w:rPr>
            <w:noProof/>
            <w:webHidden/>
          </w:rPr>
          <w:fldChar w:fldCharType="end"/>
        </w:r>
      </w:hyperlink>
    </w:p>
    <w:p w14:paraId="4A018997" w14:textId="77777777" w:rsidR="00761785" w:rsidRDefault="00813AEC">
      <w:pPr>
        <w:pStyle w:val="TDC1"/>
        <w:rPr>
          <w:rFonts w:asciiTheme="minorHAnsi" w:eastAsiaTheme="minorEastAsia" w:hAnsiTheme="minorHAnsi" w:cstheme="minorBidi"/>
          <w:bCs w:val="0"/>
          <w:noProof/>
          <w:szCs w:val="22"/>
          <w:lang w:val="es-ES" w:eastAsia="es-ES"/>
        </w:rPr>
      </w:pPr>
      <w:hyperlink w:anchor="_Toc49770597" w:history="1">
        <w:r w:rsidR="00761785" w:rsidRPr="00833FAB">
          <w:rPr>
            <w:rStyle w:val="Hipervnculo"/>
            <w:noProof/>
            <w:lang w:val="en-GB"/>
          </w:rPr>
          <w:t>3</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GB"/>
          </w:rPr>
          <w:t>Assessment of the use of the interconnections for the period October 2016 – September 2019</w:t>
        </w:r>
        <w:r w:rsidR="00761785">
          <w:rPr>
            <w:noProof/>
            <w:webHidden/>
          </w:rPr>
          <w:tab/>
        </w:r>
        <w:r w:rsidR="00761785">
          <w:rPr>
            <w:noProof/>
            <w:webHidden/>
          </w:rPr>
          <w:fldChar w:fldCharType="begin"/>
        </w:r>
        <w:r w:rsidR="00761785">
          <w:rPr>
            <w:noProof/>
            <w:webHidden/>
          </w:rPr>
          <w:instrText xml:space="preserve"> PAGEREF _Toc49770597 \h </w:instrText>
        </w:r>
        <w:r w:rsidR="00761785">
          <w:rPr>
            <w:noProof/>
            <w:webHidden/>
          </w:rPr>
        </w:r>
        <w:r w:rsidR="00761785">
          <w:rPr>
            <w:noProof/>
            <w:webHidden/>
          </w:rPr>
          <w:fldChar w:fldCharType="separate"/>
        </w:r>
        <w:r w:rsidR="00E859C7">
          <w:rPr>
            <w:noProof/>
            <w:webHidden/>
          </w:rPr>
          <w:t>52</w:t>
        </w:r>
        <w:r w:rsidR="00761785">
          <w:rPr>
            <w:noProof/>
            <w:webHidden/>
          </w:rPr>
          <w:fldChar w:fldCharType="end"/>
        </w:r>
      </w:hyperlink>
    </w:p>
    <w:p w14:paraId="380854E6"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598" w:history="1">
        <w:r w:rsidR="00761785" w:rsidRPr="00833FAB">
          <w:rPr>
            <w:rStyle w:val="Hipervnculo"/>
            <w:noProof/>
            <w:lang w:val="en-GB"/>
          </w:rPr>
          <w:t>3.1</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GB"/>
          </w:rPr>
          <w:t>Relationship between technical capacity, capacity bookings, use of the booked capacity and flows</w:t>
        </w:r>
        <w:r w:rsidR="00761785">
          <w:rPr>
            <w:noProof/>
            <w:webHidden/>
          </w:rPr>
          <w:tab/>
        </w:r>
        <w:r w:rsidR="00761785">
          <w:rPr>
            <w:noProof/>
            <w:webHidden/>
          </w:rPr>
          <w:fldChar w:fldCharType="begin"/>
        </w:r>
        <w:r w:rsidR="00761785">
          <w:rPr>
            <w:noProof/>
            <w:webHidden/>
          </w:rPr>
          <w:instrText xml:space="preserve"> PAGEREF _Toc49770598 \h </w:instrText>
        </w:r>
        <w:r w:rsidR="00761785">
          <w:rPr>
            <w:noProof/>
            <w:webHidden/>
          </w:rPr>
        </w:r>
        <w:r w:rsidR="00761785">
          <w:rPr>
            <w:noProof/>
            <w:webHidden/>
          </w:rPr>
          <w:fldChar w:fldCharType="separate"/>
        </w:r>
        <w:r w:rsidR="00E859C7">
          <w:rPr>
            <w:noProof/>
            <w:webHidden/>
          </w:rPr>
          <w:t>52</w:t>
        </w:r>
        <w:r w:rsidR="00761785">
          <w:rPr>
            <w:noProof/>
            <w:webHidden/>
          </w:rPr>
          <w:fldChar w:fldCharType="end"/>
        </w:r>
      </w:hyperlink>
    </w:p>
    <w:p w14:paraId="32ADDCBD" w14:textId="77777777" w:rsidR="00761785" w:rsidRDefault="00813AEC">
      <w:pPr>
        <w:pStyle w:val="TDC1"/>
        <w:rPr>
          <w:rFonts w:asciiTheme="minorHAnsi" w:eastAsiaTheme="minorEastAsia" w:hAnsiTheme="minorHAnsi" w:cstheme="minorBidi"/>
          <w:bCs w:val="0"/>
          <w:noProof/>
          <w:szCs w:val="22"/>
          <w:lang w:val="es-ES" w:eastAsia="es-ES"/>
        </w:rPr>
      </w:pPr>
      <w:hyperlink w:anchor="_Toc49770599" w:history="1">
        <w:r w:rsidR="00761785" w:rsidRPr="00833FAB">
          <w:rPr>
            <w:rStyle w:val="Hipervnculo"/>
            <w:iCs/>
            <w:noProof/>
            <w:lang w:val="en-US"/>
          </w:rPr>
          <w:t>4</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AU"/>
          </w:rPr>
          <w:t>Assessment of the gas flows and the congestion status</w:t>
        </w:r>
        <w:r w:rsidR="00761785">
          <w:rPr>
            <w:noProof/>
            <w:webHidden/>
          </w:rPr>
          <w:tab/>
        </w:r>
        <w:r w:rsidR="00761785">
          <w:rPr>
            <w:noProof/>
            <w:webHidden/>
          </w:rPr>
          <w:fldChar w:fldCharType="begin"/>
        </w:r>
        <w:r w:rsidR="00761785">
          <w:rPr>
            <w:noProof/>
            <w:webHidden/>
          </w:rPr>
          <w:instrText xml:space="preserve"> PAGEREF _Toc49770599 \h </w:instrText>
        </w:r>
        <w:r w:rsidR="00761785">
          <w:rPr>
            <w:noProof/>
            <w:webHidden/>
          </w:rPr>
        </w:r>
        <w:r w:rsidR="00761785">
          <w:rPr>
            <w:noProof/>
            <w:webHidden/>
          </w:rPr>
          <w:fldChar w:fldCharType="separate"/>
        </w:r>
        <w:r w:rsidR="00E859C7">
          <w:rPr>
            <w:noProof/>
            <w:webHidden/>
          </w:rPr>
          <w:t>64</w:t>
        </w:r>
        <w:r w:rsidR="00761785">
          <w:rPr>
            <w:noProof/>
            <w:webHidden/>
          </w:rPr>
          <w:fldChar w:fldCharType="end"/>
        </w:r>
      </w:hyperlink>
    </w:p>
    <w:p w14:paraId="52FA08B0"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00" w:history="1">
        <w:r w:rsidR="00761785" w:rsidRPr="00833FAB">
          <w:rPr>
            <w:rStyle w:val="Hipervnculo"/>
            <w:noProof/>
            <w:lang w:val="en-US"/>
          </w:rPr>
          <w:t>4.1</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Analysis of the VIP’s congestion status</w:t>
        </w:r>
        <w:r w:rsidR="00761785">
          <w:rPr>
            <w:noProof/>
            <w:webHidden/>
          </w:rPr>
          <w:tab/>
        </w:r>
        <w:r w:rsidR="00761785">
          <w:rPr>
            <w:noProof/>
            <w:webHidden/>
          </w:rPr>
          <w:fldChar w:fldCharType="begin"/>
        </w:r>
        <w:r w:rsidR="00761785">
          <w:rPr>
            <w:noProof/>
            <w:webHidden/>
          </w:rPr>
          <w:instrText xml:space="preserve"> PAGEREF _Toc49770600 \h </w:instrText>
        </w:r>
        <w:r w:rsidR="00761785">
          <w:rPr>
            <w:noProof/>
            <w:webHidden/>
          </w:rPr>
        </w:r>
        <w:r w:rsidR="00761785">
          <w:rPr>
            <w:noProof/>
            <w:webHidden/>
          </w:rPr>
          <w:fldChar w:fldCharType="separate"/>
        </w:r>
        <w:r w:rsidR="00E859C7">
          <w:rPr>
            <w:noProof/>
            <w:webHidden/>
          </w:rPr>
          <w:t>64</w:t>
        </w:r>
        <w:r w:rsidR="00761785">
          <w:rPr>
            <w:noProof/>
            <w:webHidden/>
          </w:rPr>
          <w:fldChar w:fldCharType="end"/>
        </w:r>
      </w:hyperlink>
    </w:p>
    <w:p w14:paraId="5D2C3375"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01" w:history="1">
        <w:r w:rsidR="00761785" w:rsidRPr="00833FAB">
          <w:rPr>
            <w:rStyle w:val="Hipervnculo"/>
            <w:noProof/>
            <w:lang w:val="en-US"/>
          </w:rPr>
          <w:t>4.2</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Use of anti-hoarding mechanisms in the region</w:t>
        </w:r>
        <w:r w:rsidR="00761785">
          <w:rPr>
            <w:noProof/>
            <w:webHidden/>
          </w:rPr>
          <w:tab/>
        </w:r>
        <w:r w:rsidR="00761785">
          <w:rPr>
            <w:noProof/>
            <w:webHidden/>
          </w:rPr>
          <w:fldChar w:fldCharType="begin"/>
        </w:r>
        <w:r w:rsidR="00761785">
          <w:rPr>
            <w:noProof/>
            <w:webHidden/>
          </w:rPr>
          <w:instrText xml:space="preserve"> PAGEREF _Toc49770601 \h </w:instrText>
        </w:r>
        <w:r w:rsidR="00761785">
          <w:rPr>
            <w:noProof/>
            <w:webHidden/>
          </w:rPr>
        </w:r>
        <w:r w:rsidR="00761785">
          <w:rPr>
            <w:noProof/>
            <w:webHidden/>
          </w:rPr>
          <w:fldChar w:fldCharType="separate"/>
        </w:r>
        <w:r w:rsidR="00E859C7">
          <w:rPr>
            <w:noProof/>
            <w:webHidden/>
          </w:rPr>
          <w:t>66</w:t>
        </w:r>
        <w:r w:rsidR="00761785">
          <w:rPr>
            <w:noProof/>
            <w:webHidden/>
          </w:rPr>
          <w:fldChar w:fldCharType="end"/>
        </w:r>
      </w:hyperlink>
    </w:p>
    <w:p w14:paraId="03BF0273" w14:textId="77777777" w:rsidR="00761785" w:rsidRDefault="00813AEC">
      <w:pPr>
        <w:pStyle w:val="TDC1"/>
        <w:rPr>
          <w:rFonts w:asciiTheme="minorHAnsi" w:eastAsiaTheme="minorEastAsia" w:hAnsiTheme="minorHAnsi" w:cstheme="minorBidi"/>
          <w:bCs w:val="0"/>
          <w:noProof/>
          <w:szCs w:val="22"/>
          <w:lang w:val="es-ES" w:eastAsia="es-ES"/>
        </w:rPr>
      </w:pPr>
      <w:hyperlink w:anchor="_Toc49770602" w:history="1">
        <w:r w:rsidR="00761785" w:rsidRPr="00833FAB">
          <w:rPr>
            <w:rStyle w:val="Hipervnculo"/>
            <w:noProof/>
            <w:lang w:val="en-GB"/>
          </w:rPr>
          <w:t>5</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GB"/>
          </w:rPr>
          <w:t>Gas prices in the South Region</w:t>
        </w:r>
        <w:r w:rsidR="00761785">
          <w:rPr>
            <w:noProof/>
            <w:webHidden/>
          </w:rPr>
          <w:tab/>
        </w:r>
        <w:r w:rsidR="00761785">
          <w:rPr>
            <w:noProof/>
            <w:webHidden/>
          </w:rPr>
          <w:fldChar w:fldCharType="begin"/>
        </w:r>
        <w:r w:rsidR="00761785">
          <w:rPr>
            <w:noProof/>
            <w:webHidden/>
          </w:rPr>
          <w:instrText xml:space="preserve"> PAGEREF _Toc49770602 \h </w:instrText>
        </w:r>
        <w:r w:rsidR="00761785">
          <w:rPr>
            <w:noProof/>
            <w:webHidden/>
          </w:rPr>
        </w:r>
        <w:r w:rsidR="00761785">
          <w:rPr>
            <w:noProof/>
            <w:webHidden/>
          </w:rPr>
          <w:fldChar w:fldCharType="separate"/>
        </w:r>
        <w:r w:rsidR="00E859C7">
          <w:rPr>
            <w:noProof/>
            <w:webHidden/>
          </w:rPr>
          <w:t>69</w:t>
        </w:r>
        <w:r w:rsidR="00761785">
          <w:rPr>
            <w:noProof/>
            <w:webHidden/>
          </w:rPr>
          <w:fldChar w:fldCharType="end"/>
        </w:r>
      </w:hyperlink>
    </w:p>
    <w:p w14:paraId="51CD9B51"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03" w:history="1">
        <w:r w:rsidR="00761785" w:rsidRPr="00833FAB">
          <w:rPr>
            <w:rStyle w:val="Hipervnculo"/>
            <w:noProof/>
            <w:lang w:val="en-US" w:eastAsia="ja-JP"/>
          </w:rPr>
          <w:t>5.1</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Gas prices overview</w:t>
        </w:r>
        <w:r w:rsidR="00761785">
          <w:rPr>
            <w:noProof/>
            <w:webHidden/>
          </w:rPr>
          <w:tab/>
        </w:r>
        <w:r w:rsidR="00761785">
          <w:rPr>
            <w:noProof/>
            <w:webHidden/>
          </w:rPr>
          <w:fldChar w:fldCharType="begin"/>
        </w:r>
        <w:r w:rsidR="00761785">
          <w:rPr>
            <w:noProof/>
            <w:webHidden/>
          </w:rPr>
          <w:instrText xml:space="preserve"> PAGEREF _Toc49770603 \h </w:instrText>
        </w:r>
        <w:r w:rsidR="00761785">
          <w:rPr>
            <w:noProof/>
            <w:webHidden/>
          </w:rPr>
        </w:r>
        <w:r w:rsidR="00761785">
          <w:rPr>
            <w:noProof/>
            <w:webHidden/>
          </w:rPr>
          <w:fldChar w:fldCharType="separate"/>
        </w:r>
        <w:r w:rsidR="00E859C7">
          <w:rPr>
            <w:noProof/>
            <w:webHidden/>
          </w:rPr>
          <w:t>69</w:t>
        </w:r>
        <w:r w:rsidR="00761785">
          <w:rPr>
            <w:noProof/>
            <w:webHidden/>
          </w:rPr>
          <w:fldChar w:fldCharType="end"/>
        </w:r>
      </w:hyperlink>
    </w:p>
    <w:p w14:paraId="57CC4C57"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04" w:history="1">
        <w:r w:rsidR="00761785" w:rsidRPr="00833FAB">
          <w:rPr>
            <w:rStyle w:val="Hipervnculo"/>
            <w:noProof/>
            <w:lang w:val="en-US"/>
          </w:rPr>
          <w:t>5.2</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Period 1: January - April 2018 – Low bookings despite the attractive price spread –“Beast from the East”</w:t>
        </w:r>
        <w:r w:rsidR="00761785">
          <w:rPr>
            <w:noProof/>
            <w:webHidden/>
          </w:rPr>
          <w:tab/>
        </w:r>
        <w:r w:rsidR="00761785">
          <w:rPr>
            <w:noProof/>
            <w:webHidden/>
          </w:rPr>
          <w:fldChar w:fldCharType="begin"/>
        </w:r>
        <w:r w:rsidR="00761785">
          <w:rPr>
            <w:noProof/>
            <w:webHidden/>
          </w:rPr>
          <w:instrText xml:space="preserve"> PAGEREF _Toc49770604 \h </w:instrText>
        </w:r>
        <w:r w:rsidR="00761785">
          <w:rPr>
            <w:noProof/>
            <w:webHidden/>
          </w:rPr>
        </w:r>
        <w:r w:rsidR="00761785">
          <w:rPr>
            <w:noProof/>
            <w:webHidden/>
          </w:rPr>
          <w:fldChar w:fldCharType="separate"/>
        </w:r>
        <w:r w:rsidR="00E859C7">
          <w:rPr>
            <w:noProof/>
            <w:webHidden/>
          </w:rPr>
          <w:t>71</w:t>
        </w:r>
        <w:r w:rsidR="00761785">
          <w:rPr>
            <w:noProof/>
            <w:webHidden/>
          </w:rPr>
          <w:fldChar w:fldCharType="end"/>
        </w:r>
      </w:hyperlink>
    </w:p>
    <w:p w14:paraId="53997E3F"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05" w:history="1">
        <w:r w:rsidR="00761785" w:rsidRPr="00833FAB">
          <w:rPr>
            <w:rStyle w:val="Hipervnculo"/>
            <w:noProof/>
            <w:lang w:val="en-US"/>
          </w:rPr>
          <w:t>5.3</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Period 2: May - October 2018 – Flows from Spain to France</w:t>
        </w:r>
        <w:r w:rsidR="00761785">
          <w:rPr>
            <w:noProof/>
            <w:webHidden/>
          </w:rPr>
          <w:tab/>
        </w:r>
        <w:r w:rsidR="00761785">
          <w:rPr>
            <w:noProof/>
            <w:webHidden/>
          </w:rPr>
          <w:fldChar w:fldCharType="begin"/>
        </w:r>
        <w:r w:rsidR="00761785">
          <w:rPr>
            <w:noProof/>
            <w:webHidden/>
          </w:rPr>
          <w:instrText xml:space="preserve"> PAGEREF _Toc49770605 \h </w:instrText>
        </w:r>
        <w:r w:rsidR="00761785">
          <w:rPr>
            <w:noProof/>
            <w:webHidden/>
          </w:rPr>
        </w:r>
        <w:r w:rsidR="00761785">
          <w:rPr>
            <w:noProof/>
            <w:webHidden/>
          </w:rPr>
          <w:fldChar w:fldCharType="separate"/>
        </w:r>
        <w:r w:rsidR="00E859C7">
          <w:rPr>
            <w:noProof/>
            <w:webHidden/>
          </w:rPr>
          <w:t>74</w:t>
        </w:r>
        <w:r w:rsidR="00761785">
          <w:rPr>
            <w:noProof/>
            <w:webHidden/>
          </w:rPr>
          <w:fldChar w:fldCharType="end"/>
        </w:r>
      </w:hyperlink>
    </w:p>
    <w:p w14:paraId="428D0C28"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06" w:history="1">
        <w:r w:rsidR="00761785" w:rsidRPr="00833FAB">
          <w:rPr>
            <w:rStyle w:val="Hipervnculo"/>
            <w:noProof/>
            <w:lang w:val="en-US"/>
          </w:rPr>
          <w:t>5.4</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Period 3: November - March 2019 – High increase in daily and within-day bookings due to the price spread</w:t>
        </w:r>
        <w:r w:rsidR="00761785">
          <w:rPr>
            <w:noProof/>
            <w:webHidden/>
          </w:rPr>
          <w:tab/>
        </w:r>
        <w:r w:rsidR="00761785">
          <w:rPr>
            <w:noProof/>
            <w:webHidden/>
          </w:rPr>
          <w:fldChar w:fldCharType="begin"/>
        </w:r>
        <w:r w:rsidR="00761785">
          <w:rPr>
            <w:noProof/>
            <w:webHidden/>
          </w:rPr>
          <w:instrText xml:space="preserve"> PAGEREF _Toc49770606 \h </w:instrText>
        </w:r>
        <w:r w:rsidR="00761785">
          <w:rPr>
            <w:noProof/>
            <w:webHidden/>
          </w:rPr>
        </w:r>
        <w:r w:rsidR="00761785">
          <w:rPr>
            <w:noProof/>
            <w:webHidden/>
          </w:rPr>
          <w:fldChar w:fldCharType="separate"/>
        </w:r>
        <w:r w:rsidR="00E859C7">
          <w:rPr>
            <w:noProof/>
            <w:webHidden/>
          </w:rPr>
          <w:t>77</w:t>
        </w:r>
        <w:r w:rsidR="00761785">
          <w:rPr>
            <w:noProof/>
            <w:webHidden/>
          </w:rPr>
          <w:fldChar w:fldCharType="end"/>
        </w:r>
      </w:hyperlink>
    </w:p>
    <w:p w14:paraId="38182922"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07" w:history="1">
        <w:r w:rsidR="00761785" w:rsidRPr="00833FAB">
          <w:rPr>
            <w:rStyle w:val="Hipervnculo"/>
            <w:noProof/>
            <w:lang w:val="en-US"/>
          </w:rPr>
          <w:t>5.5</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Period 4: April – May 2019 Low use of the LT contracts but daily/within-day bookings due to the price spread</w:t>
        </w:r>
        <w:r w:rsidR="00761785">
          <w:rPr>
            <w:noProof/>
            <w:webHidden/>
          </w:rPr>
          <w:tab/>
        </w:r>
        <w:r w:rsidR="00761785">
          <w:rPr>
            <w:noProof/>
            <w:webHidden/>
          </w:rPr>
          <w:fldChar w:fldCharType="begin"/>
        </w:r>
        <w:r w:rsidR="00761785">
          <w:rPr>
            <w:noProof/>
            <w:webHidden/>
          </w:rPr>
          <w:instrText xml:space="preserve"> PAGEREF _Toc49770607 \h </w:instrText>
        </w:r>
        <w:r w:rsidR="00761785">
          <w:rPr>
            <w:noProof/>
            <w:webHidden/>
          </w:rPr>
        </w:r>
        <w:r w:rsidR="00761785">
          <w:rPr>
            <w:noProof/>
            <w:webHidden/>
          </w:rPr>
          <w:fldChar w:fldCharType="separate"/>
        </w:r>
        <w:r w:rsidR="00E859C7">
          <w:rPr>
            <w:noProof/>
            <w:webHidden/>
          </w:rPr>
          <w:t>80</w:t>
        </w:r>
        <w:r w:rsidR="00761785">
          <w:rPr>
            <w:noProof/>
            <w:webHidden/>
          </w:rPr>
          <w:fldChar w:fldCharType="end"/>
        </w:r>
      </w:hyperlink>
    </w:p>
    <w:p w14:paraId="11EEC596"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08" w:history="1">
        <w:r w:rsidR="00761785" w:rsidRPr="00833FAB">
          <w:rPr>
            <w:rStyle w:val="Hipervnculo"/>
            <w:noProof/>
            <w:lang w:val="en-GB"/>
          </w:rPr>
          <w:t>5.6</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GB"/>
          </w:rPr>
          <w:t>Period 5: June – September 2019 - High daily and within-day bookings despite the LNG oversupply in Spain</w:t>
        </w:r>
        <w:r w:rsidR="00761785">
          <w:rPr>
            <w:noProof/>
            <w:webHidden/>
          </w:rPr>
          <w:tab/>
        </w:r>
        <w:r w:rsidR="00761785">
          <w:rPr>
            <w:noProof/>
            <w:webHidden/>
          </w:rPr>
          <w:fldChar w:fldCharType="begin"/>
        </w:r>
        <w:r w:rsidR="00761785">
          <w:rPr>
            <w:noProof/>
            <w:webHidden/>
          </w:rPr>
          <w:instrText xml:space="preserve"> PAGEREF _Toc49770608 \h </w:instrText>
        </w:r>
        <w:r w:rsidR="00761785">
          <w:rPr>
            <w:noProof/>
            <w:webHidden/>
          </w:rPr>
        </w:r>
        <w:r w:rsidR="00761785">
          <w:rPr>
            <w:noProof/>
            <w:webHidden/>
          </w:rPr>
          <w:fldChar w:fldCharType="separate"/>
        </w:r>
        <w:r w:rsidR="00E859C7">
          <w:rPr>
            <w:noProof/>
            <w:webHidden/>
          </w:rPr>
          <w:t>82</w:t>
        </w:r>
        <w:r w:rsidR="00761785">
          <w:rPr>
            <w:noProof/>
            <w:webHidden/>
          </w:rPr>
          <w:fldChar w:fldCharType="end"/>
        </w:r>
      </w:hyperlink>
    </w:p>
    <w:p w14:paraId="101EC2DE" w14:textId="77777777" w:rsidR="00761785" w:rsidRDefault="00813AEC">
      <w:pPr>
        <w:pStyle w:val="TDC1"/>
        <w:rPr>
          <w:rFonts w:asciiTheme="minorHAnsi" w:eastAsiaTheme="minorEastAsia" w:hAnsiTheme="minorHAnsi" w:cstheme="minorBidi"/>
          <w:bCs w:val="0"/>
          <w:noProof/>
          <w:szCs w:val="22"/>
          <w:lang w:val="es-ES" w:eastAsia="es-ES"/>
        </w:rPr>
      </w:pPr>
      <w:hyperlink w:anchor="_Toc49770609" w:history="1">
        <w:r w:rsidR="00761785" w:rsidRPr="00833FAB">
          <w:rPr>
            <w:rStyle w:val="Hipervnculo"/>
            <w:noProof/>
            <w:lang w:val="en-GB"/>
          </w:rPr>
          <w:t>6</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Conclusions</w:t>
        </w:r>
        <w:r w:rsidR="00761785">
          <w:rPr>
            <w:noProof/>
            <w:webHidden/>
          </w:rPr>
          <w:tab/>
        </w:r>
        <w:r w:rsidR="00761785">
          <w:rPr>
            <w:noProof/>
            <w:webHidden/>
          </w:rPr>
          <w:fldChar w:fldCharType="begin"/>
        </w:r>
        <w:r w:rsidR="00761785">
          <w:rPr>
            <w:noProof/>
            <w:webHidden/>
          </w:rPr>
          <w:instrText xml:space="preserve"> PAGEREF _Toc49770609 \h </w:instrText>
        </w:r>
        <w:r w:rsidR="00761785">
          <w:rPr>
            <w:noProof/>
            <w:webHidden/>
          </w:rPr>
        </w:r>
        <w:r w:rsidR="00761785">
          <w:rPr>
            <w:noProof/>
            <w:webHidden/>
          </w:rPr>
          <w:fldChar w:fldCharType="separate"/>
        </w:r>
        <w:r w:rsidR="00E859C7">
          <w:rPr>
            <w:noProof/>
            <w:webHidden/>
          </w:rPr>
          <w:t>85</w:t>
        </w:r>
        <w:r w:rsidR="00761785">
          <w:rPr>
            <w:noProof/>
            <w:webHidden/>
          </w:rPr>
          <w:fldChar w:fldCharType="end"/>
        </w:r>
      </w:hyperlink>
    </w:p>
    <w:p w14:paraId="07267B0B"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10" w:history="1">
        <w:r w:rsidR="00761785" w:rsidRPr="00833FAB">
          <w:rPr>
            <w:rStyle w:val="Hipervnculo"/>
            <w:noProof/>
            <w:lang w:val="en-GB"/>
          </w:rPr>
          <w:t>6.1</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GB"/>
          </w:rPr>
          <w:t>VIP Pirineos</w:t>
        </w:r>
        <w:r w:rsidR="00761785">
          <w:rPr>
            <w:noProof/>
            <w:webHidden/>
          </w:rPr>
          <w:tab/>
        </w:r>
        <w:r w:rsidR="00761785">
          <w:rPr>
            <w:noProof/>
            <w:webHidden/>
          </w:rPr>
          <w:fldChar w:fldCharType="begin"/>
        </w:r>
        <w:r w:rsidR="00761785">
          <w:rPr>
            <w:noProof/>
            <w:webHidden/>
          </w:rPr>
          <w:instrText xml:space="preserve"> PAGEREF _Toc49770610 \h </w:instrText>
        </w:r>
        <w:r w:rsidR="00761785">
          <w:rPr>
            <w:noProof/>
            <w:webHidden/>
          </w:rPr>
        </w:r>
        <w:r w:rsidR="00761785">
          <w:rPr>
            <w:noProof/>
            <w:webHidden/>
          </w:rPr>
          <w:fldChar w:fldCharType="separate"/>
        </w:r>
        <w:r w:rsidR="00E859C7">
          <w:rPr>
            <w:noProof/>
            <w:webHidden/>
          </w:rPr>
          <w:t>85</w:t>
        </w:r>
        <w:r w:rsidR="00761785">
          <w:rPr>
            <w:noProof/>
            <w:webHidden/>
          </w:rPr>
          <w:fldChar w:fldCharType="end"/>
        </w:r>
      </w:hyperlink>
    </w:p>
    <w:p w14:paraId="6A4B17E8"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11" w:history="1">
        <w:r w:rsidR="00761785" w:rsidRPr="00833FAB">
          <w:rPr>
            <w:rStyle w:val="Hipervnculo"/>
            <w:noProof/>
            <w:lang w:val="en-GB"/>
          </w:rPr>
          <w:t>6.2</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GB"/>
          </w:rPr>
          <w:t>VIP Ibérico</w:t>
        </w:r>
        <w:r w:rsidR="00761785">
          <w:rPr>
            <w:noProof/>
            <w:webHidden/>
          </w:rPr>
          <w:tab/>
        </w:r>
        <w:r w:rsidR="00761785">
          <w:rPr>
            <w:noProof/>
            <w:webHidden/>
          </w:rPr>
          <w:fldChar w:fldCharType="begin"/>
        </w:r>
        <w:r w:rsidR="00761785">
          <w:rPr>
            <w:noProof/>
            <w:webHidden/>
          </w:rPr>
          <w:instrText xml:space="preserve"> PAGEREF _Toc49770611 \h </w:instrText>
        </w:r>
        <w:r w:rsidR="00761785">
          <w:rPr>
            <w:noProof/>
            <w:webHidden/>
          </w:rPr>
        </w:r>
        <w:r w:rsidR="00761785">
          <w:rPr>
            <w:noProof/>
            <w:webHidden/>
          </w:rPr>
          <w:fldChar w:fldCharType="separate"/>
        </w:r>
        <w:r w:rsidR="00E859C7">
          <w:rPr>
            <w:noProof/>
            <w:webHidden/>
          </w:rPr>
          <w:t>86</w:t>
        </w:r>
        <w:r w:rsidR="00761785">
          <w:rPr>
            <w:noProof/>
            <w:webHidden/>
          </w:rPr>
          <w:fldChar w:fldCharType="end"/>
        </w:r>
      </w:hyperlink>
    </w:p>
    <w:p w14:paraId="5DE100FC" w14:textId="77777777" w:rsidR="00761785" w:rsidRDefault="00813AEC">
      <w:pPr>
        <w:pStyle w:val="TDC2"/>
        <w:rPr>
          <w:rFonts w:asciiTheme="minorHAnsi" w:eastAsiaTheme="minorEastAsia" w:hAnsiTheme="minorHAnsi" w:cstheme="minorBidi"/>
          <w:bCs w:val="0"/>
          <w:noProof/>
          <w:szCs w:val="22"/>
          <w:lang w:val="es-ES" w:eastAsia="es-ES"/>
        </w:rPr>
      </w:pPr>
      <w:hyperlink w:anchor="_Toc49770612" w:history="1">
        <w:r w:rsidR="00761785" w:rsidRPr="00833FAB">
          <w:rPr>
            <w:rStyle w:val="Hipervnculo"/>
            <w:noProof/>
            <w:lang w:val="en-GB"/>
          </w:rPr>
          <w:t>6.3</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GB"/>
          </w:rPr>
          <w:t>North-South link</w:t>
        </w:r>
        <w:r w:rsidR="00761785">
          <w:rPr>
            <w:noProof/>
            <w:webHidden/>
          </w:rPr>
          <w:tab/>
        </w:r>
        <w:r w:rsidR="00761785">
          <w:rPr>
            <w:noProof/>
            <w:webHidden/>
          </w:rPr>
          <w:fldChar w:fldCharType="begin"/>
        </w:r>
        <w:r w:rsidR="00761785">
          <w:rPr>
            <w:noProof/>
            <w:webHidden/>
          </w:rPr>
          <w:instrText xml:space="preserve"> PAGEREF _Toc49770612 \h </w:instrText>
        </w:r>
        <w:r w:rsidR="00761785">
          <w:rPr>
            <w:noProof/>
            <w:webHidden/>
          </w:rPr>
        </w:r>
        <w:r w:rsidR="00761785">
          <w:rPr>
            <w:noProof/>
            <w:webHidden/>
          </w:rPr>
          <w:fldChar w:fldCharType="separate"/>
        </w:r>
        <w:r w:rsidR="00E859C7">
          <w:rPr>
            <w:noProof/>
            <w:webHidden/>
          </w:rPr>
          <w:t>86</w:t>
        </w:r>
        <w:r w:rsidR="00761785">
          <w:rPr>
            <w:noProof/>
            <w:webHidden/>
          </w:rPr>
          <w:fldChar w:fldCharType="end"/>
        </w:r>
      </w:hyperlink>
    </w:p>
    <w:p w14:paraId="1BEFBE5B" w14:textId="77777777" w:rsidR="00761785" w:rsidRDefault="00813AEC">
      <w:pPr>
        <w:pStyle w:val="TDC1"/>
        <w:rPr>
          <w:rFonts w:asciiTheme="minorHAnsi" w:eastAsiaTheme="minorEastAsia" w:hAnsiTheme="minorHAnsi" w:cstheme="minorBidi"/>
          <w:bCs w:val="0"/>
          <w:noProof/>
          <w:szCs w:val="22"/>
          <w:lang w:val="es-ES" w:eastAsia="es-ES"/>
        </w:rPr>
      </w:pPr>
      <w:hyperlink w:anchor="_Toc49770613" w:history="1">
        <w:r w:rsidR="00761785" w:rsidRPr="00833FAB">
          <w:rPr>
            <w:rStyle w:val="Hipervnculo"/>
            <w:noProof/>
            <w:lang w:val="en-US"/>
          </w:rPr>
          <w:t>7</w:t>
        </w:r>
        <w:r w:rsidR="00761785">
          <w:rPr>
            <w:rFonts w:asciiTheme="minorHAnsi" w:eastAsiaTheme="minorEastAsia" w:hAnsiTheme="minorHAnsi" w:cstheme="minorBidi"/>
            <w:bCs w:val="0"/>
            <w:noProof/>
            <w:szCs w:val="22"/>
            <w:lang w:val="es-ES" w:eastAsia="es-ES"/>
          </w:rPr>
          <w:tab/>
        </w:r>
        <w:r w:rsidR="00761785" w:rsidRPr="00833FAB">
          <w:rPr>
            <w:rStyle w:val="Hipervnculo"/>
            <w:noProof/>
            <w:lang w:val="en-US"/>
          </w:rPr>
          <w:t>Annex: Nomination/renominations procedures</w:t>
        </w:r>
        <w:r w:rsidR="00761785">
          <w:rPr>
            <w:noProof/>
            <w:webHidden/>
          </w:rPr>
          <w:tab/>
        </w:r>
        <w:r w:rsidR="00761785">
          <w:rPr>
            <w:noProof/>
            <w:webHidden/>
          </w:rPr>
          <w:fldChar w:fldCharType="begin"/>
        </w:r>
        <w:r w:rsidR="00761785">
          <w:rPr>
            <w:noProof/>
            <w:webHidden/>
          </w:rPr>
          <w:instrText xml:space="preserve"> PAGEREF _Toc49770613 \h </w:instrText>
        </w:r>
        <w:r w:rsidR="00761785">
          <w:rPr>
            <w:noProof/>
            <w:webHidden/>
          </w:rPr>
        </w:r>
        <w:r w:rsidR="00761785">
          <w:rPr>
            <w:noProof/>
            <w:webHidden/>
          </w:rPr>
          <w:fldChar w:fldCharType="separate"/>
        </w:r>
        <w:r w:rsidR="00E859C7">
          <w:rPr>
            <w:noProof/>
            <w:webHidden/>
          </w:rPr>
          <w:t>87</w:t>
        </w:r>
        <w:r w:rsidR="00761785">
          <w:rPr>
            <w:noProof/>
            <w:webHidden/>
          </w:rPr>
          <w:fldChar w:fldCharType="end"/>
        </w:r>
      </w:hyperlink>
    </w:p>
    <w:p w14:paraId="7F7F66CB" w14:textId="77777777" w:rsidR="008F0384" w:rsidRPr="001F74A6" w:rsidRDefault="00510CE2" w:rsidP="006E05C1">
      <w:pPr>
        <w:spacing w:before="120" w:line="240" w:lineRule="auto"/>
        <w:rPr>
          <w:rFonts w:cs="Arial"/>
          <w:color w:val="000000" w:themeColor="text1"/>
          <w:szCs w:val="22"/>
          <w:lang w:val="es-ES_tradnl"/>
        </w:rPr>
      </w:pPr>
      <w:r>
        <w:rPr>
          <w:rFonts w:cs="Arial"/>
          <w:b/>
          <w:bCs/>
          <w:color w:val="000000" w:themeColor="text1"/>
          <w:szCs w:val="22"/>
          <w:lang w:val="en-GB"/>
        </w:rPr>
        <w:fldChar w:fldCharType="end"/>
      </w:r>
    </w:p>
    <w:p w14:paraId="5597711B" w14:textId="77777777" w:rsidR="001906DF" w:rsidRDefault="001906DF">
      <w:pPr>
        <w:rPr>
          <w:rFonts w:cs="Arial"/>
          <w:b/>
          <w:bCs/>
        </w:rPr>
      </w:pPr>
      <w:bookmarkStart w:id="1" w:name="_Toc327532077"/>
      <w:bookmarkStart w:id="2" w:name="_Toc223439017"/>
      <w:bookmarkStart w:id="3" w:name="_Toc223439308"/>
      <w:bookmarkStart w:id="4" w:name="_Toc223439424"/>
      <w:bookmarkStart w:id="5" w:name="_Toc223439520"/>
      <w:bookmarkStart w:id="6" w:name="_Ref224019136"/>
      <w:bookmarkStart w:id="7" w:name="_Ref224019144"/>
      <w:bookmarkStart w:id="8" w:name="_Ref224019147"/>
      <w:bookmarkStart w:id="9" w:name="_Ref259614426"/>
      <w:bookmarkStart w:id="10" w:name="_Ref259638295"/>
      <w:bookmarkStart w:id="11" w:name="_Ref259638301"/>
      <w:bookmarkStart w:id="12" w:name="_Toc260755812"/>
      <w:r>
        <w:br w:type="page"/>
      </w:r>
    </w:p>
    <w:p w14:paraId="2DDB0049" w14:textId="77777777" w:rsidR="008F0384" w:rsidRPr="00684FC7" w:rsidRDefault="008F0384" w:rsidP="00277506">
      <w:pPr>
        <w:pStyle w:val="Ttulo1"/>
        <w:numPr>
          <w:ilvl w:val="0"/>
          <w:numId w:val="0"/>
        </w:numPr>
        <w:jc w:val="center"/>
        <w:rPr>
          <w:lang w:val="en-AU"/>
        </w:rPr>
      </w:pPr>
      <w:bookmarkStart w:id="13" w:name="_Ref327381027"/>
      <w:bookmarkStart w:id="14" w:name="_Toc327532078"/>
      <w:bookmarkStart w:id="15" w:name="_Toc49770585"/>
      <w:bookmarkEnd w:id="1"/>
      <w:r w:rsidRPr="00684FC7">
        <w:rPr>
          <w:lang w:val="en-AU"/>
        </w:rPr>
        <w:t>Background</w:t>
      </w:r>
      <w:bookmarkEnd w:id="2"/>
      <w:bookmarkEnd w:id="3"/>
      <w:bookmarkEnd w:id="4"/>
      <w:bookmarkEnd w:id="5"/>
      <w:bookmarkEnd w:id="6"/>
      <w:bookmarkEnd w:id="7"/>
      <w:bookmarkEnd w:id="8"/>
      <w:bookmarkEnd w:id="9"/>
      <w:bookmarkEnd w:id="10"/>
      <w:bookmarkEnd w:id="11"/>
      <w:bookmarkEnd w:id="12"/>
      <w:bookmarkEnd w:id="13"/>
      <w:bookmarkEnd w:id="14"/>
      <w:bookmarkEnd w:id="15"/>
    </w:p>
    <w:p w14:paraId="45A6C470" w14:textId="77777777" w:rsidR="00864362" w:rsidRPr="00307E9C" w:rsidRDefault="00864362" w:rsidP="00D06621">
      <w:pPr>
        <w:spacing w:line="312" w:lineRule="auto"/>
        <w:rPr>
          <w:lang w:val="en-US"/>
        </w:rPr>
      </w:pPr>
      <w:bookmarkStart w:id="16" w:name="OLE_LINK3"/>
      <w:r w:rsidRPr="00307E9C">
        <w:rPr>
          <w:lang w:val="en-US"/>
        </w:rPr>
        <w:t xml:space="preserve">The South Gas Regional Initiative </w:t>
      </w:r>
      <w:r w:rsidR="00C4381B" w:rsidRPr="00307E9C">
        <w:rPr>
          <w:lang w:val="en-US"/>
        </w:rPr>
        <w:t xml:space="preserve">(`SGRI`) </w:t>
      </w:r>
      <w:r w:rsidRPr="00307E9C">
        <w:rPr>
          <w:lang w:val="en-US"/>
        </w:rPr>
        <w:t xml:space="preserve">has developed Work Plans since 2011 in order to facilitate the compliance with the provisions of the EU 3rd </w:t>
      </w:r>
      <w:r w:rsidR="008024FA">
        <w:rPr>
          <w:lang w:val="en-US"/>
        </w:rPr>
        <w:t xml:space="preserve">Energy </w:t>
      </w:r>
      <w:r w:rsidRPr="00307E9C">
        <w:rPr>
          <w:lang w:val="en-US"/>
        </w:rPr>
        <w:t>Package and to promote the early implementation of Network Codes.</w:t>
      </w:r>
    </w:p>
    <w:p w14:paraId="29CAE750" w14:textId="79C75A9C" w:rsidR="00864362" w:rsidRPr="00307E9C" w:rsidRDefault="00864362" w:rsidP="00D06621">
      <w:pPr>
        <w:spacing w:line="312" w:lineRule="auto"/>
        <w:rPr>
          <w:lang w:val="en-US"/>
        </w:rPr>
      </w:pPr>
      <w:r w:rsidRPr="00307E9C">
        <w:rPr>
          <w:lang w:val="en-US"/>
        </w:rPr>
        <w:t xml:space="preserve">In 2011, TSOs of the SGRI committed to develop an early implementation of the </w:t>
      </w:r>
      <w:hyperlink r:id="rId12" w:history="1">
        <w:r w:rsidRPr="00307E9C">
          <w:rPr>
            <w:rStyle w:val="Hipervnculo"/>
            <w:lang w:val="en-US"/>
          </w:rPr>
          <w:t>Commission Regulation 984/2013 of 14 October 2013 establishing a Network Code on Capacity Allocation Mechanisms in Gas Transmission Systems and supplementing Regulation (EC) 715/2009 of the European Parliame</w:t>
        </w:r>
        <w:r w:rsidR="00FD31DD" w:rsidRPr="00307E9C">
          <w:rPr>
            <w:rStyle w:val="Hipervnculo"/>
            <w:lang w:val="en-US"/>
          </w:rPr>
          <w:t>nt and of the Council</w:t>
        </w:r>
      </w:hyperlink>
      <w:r w:rsidR="00FD31DD" w:rsidRPr="00307E9C">
        <w:rPr>
          <w:lang w:val="en-US"/>
        </w:rPr>
        <w:t xml:space="preserve"> </w:t>
      </w:r>
      <w:r w:rsidR="00C4381B" w:rsidRPr="00307E9C">
        <w:rPr>
          <w:lang w:val="en-US"/>
        </w:rPr>
        <w:t>(`CAM NC`)</w:t>
      </w:r>
      <w:r w:rsidR="00A57A49" w:rsidRPr="00307E9C">
        <w:rPr>
          <w:rStyle w:val="Refdenotaalpie"/>
          <w:lang w:val="en-US"/>
        </w:rPr>
        <w:footnoteReference w:id="2"/>
      </w:r>
      <w:r w:rsidR="00C4381B" w:rsidRPr="00307E9C">
        <w:rPr>
          <w:lang w:val="en-US"/>
        </w:rPr>
        <w:t xml:space="preserve"> on conditions for access to the natural gas transmission networks</w:t>
      </w:r>
      <w:r w:rsidRPr="00307E9C">
        <w:rPr>
          <w:lang w:val="en-US"/>
        </w:rPr>
        <w:t xml:space="preserve">. The first CAM NC auctions were carried out in March 2014 for capacities to be used in October 2014. </w:t>
      </w:r>
      <w:r w:rsidR="008024FA">
        <w:rPr>
          <w:lang w:val="en-US"/>
        </w:rPr>
        <w:t>T</w:t>
      </w:r>
      <w:r w:rsidR="008024FA" w:rsidRPr="00307E9C">
        <w:rPr>
          <w:lang w:val="en-US"/>
        </w:rPr>
        <w:t>he</w:t>
      </w:r>
      <w:r w:rsidRPr="00307E9C">
        <w:rPr>
          <w:lang w:val="en-US"/>
        </w:rPr>
        <w:t xml:space="preserve"> full implementation of the CAM NC was successfully reached on November 2015.</w:t>
      </w:r>
    </w:p>
    <w:p w14:paraId="5FAEC42E" w14:textId="6BA9CC22" w:rsidR="00307E9C" w:rsidRPr="00307E9C" w:rsidRDefault="00307E9C" w:rsidP="00D06621">
      <w:pPr>
        <w:spacing w:line="312" w:lineRule="auto"/>
        <w:rPr>
          <w:lang w:val="en-US"/>
        </w:rPr>
      </w:pPr>
      <w:r w:rsidRPr="00307E9C">
        <w:rPr>
          <w:lang w:val="en-US"/>
        </w:rPr>
        <w:t xml:space="preserve">In </w:t>
      </w:r>
      <w:r>
        <w:rPr>
          <w:lang w:val="en-US"/>
        </w:rPr>
        <w:t>2017</w:t>
      </w:r>
      <w:r w:rsidR="00E90717">
        <w:rPr>
          <w:lang w:val="en-US"/>
        </w:rPr>
        <w:t>,</w:t>
      </w:r>
      <w:r w:rsidRPr="00307E9C">
        <w:rPr>
          <w:lang w:val="en-US"/>
        </w:rPr>
        <w:t xml:space="preserve"> TSOs provided a complete document monitoring the </w:t>
      </w:r>
      <w:r w:rsidR="00864362" w:rsidRPr="00307E9C">
        <w:rPr>
          <w:lang w:val="en-US"/>
        </w:rPr>
        <w:t xml:space="preserve">implementation of the Network Codes, in particular </w:t>
      </w:r>
      <w:r w:rsidR="003F0600" w:rsidRPr="00307E9C">
        <w:rPr>
          <w:lang w:val="en-US"/>
        </w:rPr>
        <w:t>the</w:t>
      </w:r>
      <w:r w:rsidR="00864362" w:rsidRPr="00307E9C">
        <w:rPr>
          <w:lang w:val="en-US"/>
        </w:rPr>
        <w:t xml:space="preserve"> CAM NC and </w:t>
      </w:r>
      <w:r w:rsidR="003F0600" w:rsidRPr="00307E9C">
        <w:rPr>
          <w:lang w:val="en-US"/>
        </w:rPr>
        <w:t xml:space="preserve">the </w:t>
      </w:r>
      <w:r w:rsidR="00864362" w:rsidRPr="00307E9C">
        <w:rPr>
          <w:lang w:val="en-US"/>
        </w:rPr>
        <w:t>C</w:t>
      </w:r>
      <w:r w:rsidR="003F0600" w:rsidRPr="00307E9C">
        <w:rPr>
          <w:lang w:val="en-US"/>
        </w:rPr>
        <w:t xml:space="preserve">ongestion </w:t>
      </w:r>
      <w:r w:rsidR="00864362" w:rsidRPr="00307E9C">
        <w:rPr>
          <w:lang w:val="en-US"/>
        </w:rPr>
        <w:t>M</w:t>
      </w:r>
      <w:r w:rsidR="003F0600" w:rsidRPr="00307E9C">
        <w:rPr>
          <w:lang w:val="en-US"/>
        </w:rPr>
        <w:t xml:space="preserve">anagement </w:t>
      </w:r>
      <w:r w:rsidR="00864362" w:rsidRPr="00307E9C">
        <w:rPr>
          <w:lang w:val="en-US"/>
        </w:rPr>
        <w:t>P</w:t>
      </w:r>
      <w:r w:rsidR="003F0600" w:rsidRPr="00307E9C">
        <w:rPr>
          <w:lang w:val="en-US"/>
        </w:rPr>
        <w:t>rocedures</w:t>
      </w:r>
      <w:r w:rsidR="00864362" w:rsidRPr="00307E9C">
        <w:rPr>
          <w:lang w:val="en-US"/>
        </w:rPr>
        <w:t xml:space="preserve"> Guidelines</w:t>
      </w:r>
      <w:r w:rsidR="0029601E" w:rsidRPr="00307E9C">
        <w:rPr>
          <w:lang w:val="en-US"/>
        </w:rPr>
        <w:t xml:space="preserve"> (CMP Guidelines)</w:t>
      </w:r>
      <w:r w:rsidR="0029601E" w:rsidRPr="00307E9C">
        <w:rPr>
          <w:rStyle w:val="Refdenotaalpie"/>
          <w:lang w:val="en-US"/>
        </w:rPr>
        <w:footnoteReference w:id="3"/>
      </w:r>
      <w:r w:rsidR="003F0600" w:rsidRPr="00307E9C">
        <w:rPr>
          <w:lang w:val="en-US"/>
        </w:rPr>
        <w:t>.</w:t>
      </w:r>
      <w:r w:rsidRPr="00307E9C">
        <w:rPr>
          <w:lang w:val="en-US"/>
        </w:rPr>
        <w:t xml:space="preserve"> In particular, the document assessed </w:t>
      </w:r>
      <w:r w:rsidR="00864362" w:rsidRPr="00307E9C">
        <w:rPr>
          <w:lang w:val="en-US"/>
        </w:rPr>
        <w:t>the use of interconnections in the region starting from the</w:t>
      </w:r>
      <w:r w:rsidR="003F0600" w:rsidRPr="00307E9C">
        <w:rPr>
          <w:lang w:val="en-US"/>
        </w:rPr>
        <w:t xml:space="preserve"> date of</w:t>
      </w:r>
      <w:r w:rsidR="00864362" w:rsidRPr="00307E9C">
        <w:rPr>
          <w:lang w:val="en-US"/>
        </w:rPr>
        <w:t xml:space="preserve"> implementation of the CAM </w:t>
      </w:r>
      <w:r w:rsidR="0029601E" w:rsidRPr="00307E9C">
        <w:rPr>
          <w:lang w:val="en-US"/>
        </w:rPr>
        <w:t>NC</w:t>
      </w:r>
      <w:r w:rsidR="00864362" w:rsidRPr="00307E9C">
        <w:rPr>
          <w:lang w:val="en-US"/>
        </w:rPr>
        <w:t xml:space="preserve"> up to 30 September 2016. </w:t>
      </w:r>
    </w:p>
    <w:p w14:paraId="15CE4F62" w14:textId="6FEBF965" w:rsidR="00166C66" w:rsidRPr="008C1192" w:rsidRDefault="00307E9C" w:rsidP="00D06621">
      <w:pPr>
        <w:spacing w:line="312" w:lineRule="auto"/>
        <w:rPr>
          <w:rFonts w:cs="Arial"/>
          <w:color w:val="000000" w:themeColor="text1"/>
          <w:szCs w:val="22"/>
          <w:lang w:val="en-GB"/>
        </w:rPr>
      </w:pPr>
      <w:r w:rsidRPr="00307E9C">
        <w:rPr>
          <w:lang w:val="en-US"/>
        </w:rPr>
        <w:t xml:space="preserve">Due to the success of the monitoring report done by the TSOs, </w:t>
      </w:r>
      <w:r w:rsidR="001826B8" w:rsidRPr="00307E9C">
        <w:rPr>
          <w:lang w:val="en-US"/>
        </w:rPr>
        <w:t xml:space="preserve">again in 2019 </w:t>
      </w:r>
      <w:r w:rsidRPr="00307E9C">
        <w:rPr>
          <w:lang w:val="en-US"/>
        </w:rPr>
        <w:t xml:space="preserve">NRAs asked the TSOs to </w:t>
      </w:r>
      <w:r w:rsidR="00864362" w:rsidRPr="00307E9C">
        <w:rPr>
          <w:lang w:val="en-US"/>
        </w:rPr>
        <w:t>address the current situation of gas interconnection in the region, its usage, the assessment of the capacity allocated, gas flows and the congestion status.</w:t>
      </w:r>
      <w:r w:rsidR="00864362">
        <w:rPr>
          <w:lang w:val="en-US"/>
        </w:rPr>
        <w:t xml:space="preserve"> </w:t>
      </w:r>
    </w:p>
    <w:p w14:paraId="26C811A9" w14:textId="77777777" w:rsidR="001906DF" w:rsidRPr="00684FC7" w:rsidRDefault="001906DF">
      <w:pPr>
        <w:rPr>
          <w:rFonts w:cs="Arial"/>
          <w:b/>
          <w:bCs/>
          <w:sz w:val="28"/>
          <w:u w:val="single"/>
          <w:lang w:val="en-AU"/>
        </w:rPr>
      </w:pPr>
      <w:bookmarkStart w:id="17" w:name="_Toc325629569"/>
      <w:bookmarkStart w:id="18" w:name="_Toc325629571"/>
      <w:bookmarkStart w:id="19" w:name="_Toc325629572"/>
      <w:bookmarkStart w:id="20" w:name="_Ref326186821"/>
      <w:bookmarkStart w:id="21" w:name="_Ref326186831"/>
      <w:bookmarkStart w:id="22" w:name="_Toc327532079"/>
      <w:bookmarkEnd w:id="16"/>
      <w:bookmarkEnd w:id="17"/>
      <w:bookmarkEnd w:id="18"/>
      <w:bookmarkEnd w:id="19"/>
      <w:r w:rsidRPr="00684FC7">
        <w:rPr>
          <w:lang w:val="en-AU"/>
        </w:rPr>
        <w:br w:type="page"/>
      </w:r>
    </w:p>
    <w:p w14:paraId="645A3691" w14:textId="77777777" w:rsidR="00A66F15" w:rsidRPr="00307E9C" w:rsidRDefault="00A66F15" w:rsidP="001F74A6">
      <w:pPr>
        <w:pStyle w:val="Ttulo1"/>
        <w:numPr>
          <w:ilvl w:val="0"/>
          <w:numId w:val="0"/>
        </w:numPr>
        <w:ind w:left="432" w:hanging="432"/>
        <w:jc w:val="center"/>
        <w:rPr>
          <w:lang w:val="en-US"/>
        </w:rPr>
      </w:pPr>
      <w:bookmarkStart w:id="23" w:name="_Toc49770586"/>
      <w:bookmarkEnd w:id="20"/>
      <w:bookmarkEnd w:id="21"/>
      <w:bookmarkEnd w:id="22"/>
      <w:r w:rsidRPr="00307E9C">
        <w:rPr>
          <w:lang w:val="en-US"/>
        </w:rPr>
        <w:t>Executive summary</w:t>
      </w:r>
      <w:bookmarkEnd w:id="23"/>
    </w:p>
    <w:tbl>
      <w:tblPr>
        <w:tblW w:w="8956" w:type="dxa"/>
        <w:tblBorders>
          <w:top w:val="single" w:sz="12" w:space="0" w:color="808080"/>
          <w:left w:val="single" w:sz="12" w:space="0" w:color="808080"/>
          <w:bottom w:val="single" w:sz="12" w:space="0" w:color="808080"/>
          <w:right w:val="single" w:sz="12" w:space="0" w:color="808080"/>
        </w:tblBorders>
        <w:tblLayout w:type="fixed"/>
        <w:tblLook w:val="04A0" w:firstRow="1" w:lastRow="0" w:firstColumn="1" w:lastColumn="0" w:noHBand="0" w:noVBand="1"/>
      </w:tblPr>
      <w:tblGrid>
        <w:gridCol w:w="2329"/>
        <w:gridCol w:w="6627"/>
      </w:tblGrid>
      <w:tr w:rsidR="00A66F15" w:rsidRPr="00637598" w14:paraId="1AD889EA" w14:textId="77777777" w:rsidTr="00C0497A">
        <w:trPr>
          <w:trHeight w:val="1107"/>
        </w:trPr>
        <w:tc>
          <w:tcPr>
            <w:tcW w:w="2329" w:type="dxa"/>
            <w:tcBorders>
              <w:top w:val="single" w:sz="12" w:space="0" w:color="808080"/>
              <w:left w:val="single" w:sz="12" w:space="0" w:color="808080"/>
              <w:bottom w:val="single" w:sz="4" w:space="0" w:color="auto"/>
              <w:right w:val="double" w:sz="4" w:space="0" w:color="808080"/>
            </w:tcBorders>
            <w:shd w:val="clear" w:color="auto" w:fill="F2F2F2"/>
            <w:hideMark/>
          </w:tcPr>
          <w:p w14:paraId="73EC3F06" w14:textId="77777777" w:rsidR="00A66F15" w:rsidRPr="00307E9C" w:rsidRDefault="00A66F15" w:rsidP="00A91FE8">
            <w:pPr>
              <w:spacing w:line="312" w:lineRule="auto"/>
              <w:rPr>
                <w:b/>
                <w:lang w:val="en-GB"/>
              </w:rPr>
            </w:pPr>
            <w:r w:rsidRPr="00307E9C">
              <w:rPr>
                <w:b/>
                <w:lang w:val="en-GB"/>
              </w:rPr>
              <w:t>Name</w:t>
            </w:r>
          </w:p>
        </w:tc>
        <w:tc>
          <w:tcPr>
            <w:tcW w:w="6627" w:type="dxa"/>
            <w:tcBorders>
              <w:top w:val="single" w:sz="12" w:space="0" w:color="808080"/>
              <w:left w:val="double" w:sz="4" w:space="0" w:color="808080"/>
              <w:bottom w:val="single" w:sz="4" w:space="0" w:color="auto"/>
              <w:right w:val="single" w:sz="12" w:space="0" w:color="808080"/>
            </w:tcBorders>
            <w:shd w:val="clear" w:color="auto" w:fill="auto"/>
            <w:vAlign w:val="center"/>
            <w:hideMark/>
          </w:tcPr>
          <w:p w14:paraId="6FFEBE54" w14:textId="7CAD6E48" w:rsidR="00A66F15" w:rsidRPr="00307E9C" w:rsidRDefault="00A66F15" w:rsidP="00A91FE8">
            <w:pPr>
              <w:spacing w:line="312" w:lineRule="auto"/>
              <w:rPr>
                <w:b/>
                <w:lang w:val="en-GB"/>
              </w:rPr>
            </w:pPr>
            <w:r w:rsidRPr="00307E9C">
              <w:rPr>
                <w:lang w:val="en-GB"/>
              </w:rPr>
              <w:t>Use of Infrastructures in the Region</w:t>
            </w:r>
            <w:r w:rsidR="00A91FE8">
              <w:rPr>
                <w:lang w:val="en-GB"/>
              </w:rPr>
              <w:t xml:space="preserve">. </w:t>
            </w:r>
            <w:r w:rsidRPr="00307E9C">
              <w:rPr>
                <w:lang w:val="en-GB"/>
              </w:rPr>
              <w:t>South Gas Regional Initiative Work Plan 201</w:t>
            </w:r>
            <w:r w:rsidR="00307E9C" w:rsidRPr="00307E9C">
              <w:rPr>
                <w:lang w:val="en-GB"/>
              </w:rPr>
              <w:t>9</w:t>
            </w:r>
            <w:r w:rsidRPr="00307E9C">
              <w:rPr>
                <w:lang w:val="en-GB"/>
              </w:rPr>
              <w:t>/</w:t>
            </w:r>
            <w:r w:rsidR="00307E9C" w:rsidRPr="00307E9C">
              <w:rPr>
                <w:lang w:val="en-GB"/>
              </w:rPr>
              <w:t>20</w:t>
            </w:r>
          </w:p>
        </w:tc>
      </w:tr>
      <w:tr w:rsidR="00A66F15" w:rsidRPr="00993480" w14:paraId="26AD684E" w14:textId="77777777" w:rsidTr="00C0497A">
        <w:tc>
          <w:tcPr>
            <w:tcW w:w="2329" w:type="dxa"/>
            <w:tcBorders>
              <w:top w:val="single" w:sz="4" w:space="0" w:color="auto"/>
              <w:left w:val="single" w:sz="12" w:space="0" w:color="808080"/>
              <w:bottom w:val="single" w:sz="4" w:space="0" w:color="auto"/>
              <w:right w:val="double" w:sz="4" w:space="0" w:color="808080"/>
            </w:tcBorders>
            <w:shd w:val="clear" w:color="auto" w:fill="F2F2F2"/>
            <w:hideMark/>
          </w:tcPr>
          <w:p w14:paraId="002F90FB" w14:textId="77777777" w:rsidR="00A66F15" w:rsidRPr="00307E9C" w:rsidRDefault="00A66F15" w:rsidP="00A91FE8">
            <w:pPr>
              <w:spacing w:line="312" w:lineRule="auto"/>
              <w:rPr>
                <w:b/>
                <w:lang w:val="en-GB"/>
              </w:rPr>
            </w:pPr>
            <w:r w:rsidRPr="00307E9C">
              <w:rPr>
                <w:b/>
                <w:lang w:val="en-GB"/>
              </w:rPr>
              <w:t>Date</w:t>
            </w:r>
          </w:p>
        </w:tc>
        <w:tc>
          <w:tcPr>
            <w:tcW w:w="6627" w:type="dxa"/>
            <w:tcBorders>
              <w:top w:val="single" w:sz="4" w:space="0" w:color="auto"/>
              <w:left w:val="double" w:sz="4" w:space="0" w:color="808080"/>
              <w:bottom w:val="single" w:sz="4" w:space="0" w:color="auto"/>
              <w:right w:val="single" w:sz="12" w:space="0" w:color="808080"/>
            </w:tcBorders>
            <w:shd w:val="clear" w:color="auto" w:fill="auto"/>
            <w:vAlign w:val="center"/>
            <w:hideMark/>
          </w:tcPr>
          <w:p w14:paraId="3BD99EC9" w14:textId="3BD89129" w:rsidR="00A66F15" w:rsidRPr="00307E9C" w:rsidRDefault="0094225E" w:rsidP="0094225E">
            <w:pPr>
              <w:spacing w:line="312" w:lineRule="auto"/>
              <w:rPr>
                <w:lang w:val="en-GB"/>
              </w:rPr>
            </w:pPr>
            <w:r>
              <w:rPr>
                <w:lang w:val="en-GB"/>
              </w:rPr>
              <w:t>August</w:t>
            </w:r>
            <w:r w:rsidR="00307E9C" w:rsidRPr="00307E9C">
              <w:rPr>
                <w:lang w:val="en-GB"/>
              </w:rPr>
              <w:t xml:space="preserve"> 20</w:t>
            </w:r>
            <w:r>
              <w:rPr>
                <w:lang w:val="en-GB"/>
              </w:rPr>
              <w:t>20</w:t>
            </w:r>
          </w:p>
        </w:tc>
      </w:tr>
      <w:tr w:rsidR="00A66F15" w:rsidRPr="00637598" w14:paraId="6E04CBBC" w14:textId="77777777" w:rsidTr="00C0497A">
        <w:tc>
          <w:tcPr>
            <w:tcW w:w="2329" w:type="dxa"/>
            <w:tcBorders>
              <w:top w:val="single" w:sz="4" w:space="0" w:color="auto"/>
              <w:left w:val="single" w:sz="12" w:space="0" w:color="808080"/>
              <w:bottom w:val="single" w:sz="4" w:space="0" w:color="auto"/>
              <w:right w:val="double" w:sz="4" w:space="0" w:color="808080"/>
            </w:tcBorders>
            <w:shd w:val="clear" w:color="auto" w:fill="F2F2F2"/>
            <w:hideMark/>
          </w:tcPr>
          <w:p w14:paraId="65872DAF" w14:textId="77777777" w:rsidR="00A66F15" w:rsidRPr="00307E9C" w:rsidRDefault="00A66F15" w:rsidP="00A91FE8">
            <w:pPr>
              <w:spacing w:line="312" w:lineRule="auto"/>
              <w:rPr>
                <w:b/>
                <w:lang w:val="en-GB"/>
              </w:rPr>
            </w:pPr>
            <w:r w:rsidRPr="00307E9C">
              <w:rPr>
                <w:b/>
                <w:lang w:val="en-GB"/>
              </w:rPr>
              <w:t>Background</w:t>
            </w:r>
          </w:p>
        </w:tc>
        <w:tc>
          <w:tcPr>
            <w:tcW w:w="6627" w:type="dxa"/>
            <w:tcBorders>
              <w:top w:val="single" w:sz="4" w:space="0" w:color="auto"/>
              <w:bottom w:val="single" w:sz="4" w:space="0" w:color="auto"/>
            </w:tcBorders>
            <w:vAlign w:val="center"/>
          </w:tcPr>
          <w:p w14:paraId="0DF07901" w14:textId="18292A64" w:rsidR="00A66F15" w:rsidRPr="00307E9C" w:rsidRDefault="00A66F15" w:rsidP="00A91FE8">
            <w:pPr>
              <w:spacing w:line="312" w:lineRule="auto"/>
              <w:rPr>
                <w:lang w:val="en-US"/>
              </w:rPr>
            </w:pPr>
            <w:r w:rsidRPr="00307E9C">
              <w:rPr>
                <w:lang w:val="en-US"/>
              </w:rPr>
              <w:t xml:space="preserve">During the </w:t>
            </w:r>
            <w:r w:rsidR="00307E9C" w:rsidRPr="00307E9C">
              <w:rPr>
                <w:lang w:val="en-US"/>
              </w:rPr>
              <w:t>early 2019</w:t>
            </w:r>
            <w:r w:rsidRPr="00307E9C">
              <w:rPr>
                <w:lang w:val="en-US"/>
              </w:rPr>
              <w:t>, NRAs and TSOs from the South Region developed the South Gas Regional Initiative</w:t>
            </w:r>
            <w:r w:rsidRPr="00307E9C">
              <w:rPr>
                <w:b/>
                <w:lang w:val="en-US"/>
              </w:rPr>
              <w:t xml:space="preserve"> </w:t>
            </w:r>
            <w:r w:rsidRPr="00307E9C">
              <w:rPr>
                <w:lang w:val="en-US"/>
              </w:rPr>
              <w:t>Work Plan 20</w:t>
            </w:r>
            <w:r w:rsidR="00307E9C" w:rsidRPr="00307E9C">
              <w:rPr>
                <w:lang w:val="en-US"/>
              </w:rPr>
              <w:t>19</w:t>
            </w:r>
            <w:r w:rsidRPr="00307E9C">
              <w:rPr>
                <w:lang w:val="en-US"/>
              </w:rPr>
              <w:t>/</w:t>
            </w:r>
            <w:r w:rsidR="00307E9C" w:rsidRPr="00307E9C">
              <w:rPr>
                <w:lang w:val="en-US"/>
              </w:rPr>
              <w:t>20</w:t>
            </w:r>
            <w:r w:rsidR="00A91FE8">
              <w:rPr>
                <w:lang w:val="en-US"/>
              </w:rPr>
              <w:t xml:space="preserve"> </w:t>
            </w:r>
            <w:r w:rsidRPr="00307E9C">
              <w:rPr>
                <w:lang w:val="en-US"/>
              </w:rPr>
              <w:t>that intend</w:t>
            </w:r>
            <w:r w:rsidR="00D71FB2" w:rsidRPr="00307E9C">
              <w:rPr>
                <w:lang w:val="en-US"/>
              </w:rPr>
              <w:t>s</w:t>
            </w:r>
            <w:r w:rsidRPr="00307E9C">
              <w:rPr>
                <w:lang w:val="en-US"/>
              </w:rPr>
              <w:t xml:space="preserve"> to explore 5 different targets.</w:t>
            </w:r>
          </w:p>
          <w:p w14:paraId="5D5EDA74" w14:textId="20047203" w:rsidR="00A66F15" w:rsidRPr="00307E9C" w:rsidRDefault="00A66F15" w:rsidP="00A91FE8">
            <w:pPr>
              <w:spacing w:line="312" w:lineRule="auto"/>
              <w:rPr>
                <w:lang w:val="en-US"/>
              </w:rPr>
            </w:pPr>
            <w:r w:rsidRPr="00307E9C">
              <w:rPr>
                <w:lang w:val="en-US"/>
              </w:rPr>
              <w:t>The first of those targets is entitled “Use of infrastructures in the Region”, focusing on the use of concerned IPs for the specific window</w:t>
            </w:r>
            <w:r w:rsidR="00E90717">
              <w:rPr>
                <w:lang w:val="en-US"/>
              </w:rPr>
              <w:t>:</w:t>
            </w:r>
            <w:r w:rsidRPr="00307E9C">
              <w:rPr>
                <w:lang w:val="en-US"/>
              </w:rPr>
              <w:t xml:space="preserve"> October 201</w:t>
            </w:r>
            <w:r w:rsidR="00307E9C" w:rsidRPr="00307E9C">
              <w:rPr>
                <w:lang w:val="en-US"/>
              </w:rPr>
              <w:t>6</w:t>
            </w:r>
            <w:r w:rsidRPr="00307E9C">
              <w:rPr>
                <w:lang w:val="en-US"/>
              </w:rPr>
              <w:t xml:space="preserve"> to </w:t>
            </w:r>
            <w:r w:rsidR="00307E9C" w:rsidRPr="00307E9C">
              <w:rPr>
                <w:lang w:val="en-US"/>
              </w:rPr>
              <w:t>September</w:t>
            </w:r>
            <w:r w:rsidRPr="00307E9C">
              <w:rPr>
                <w:lang w:val="en-US"/>
              </w:rPr>
              <w:t xml:space="preserve"> 201</w:t>
            </w:r>
            <w:r w:rsidR="00307E9C" w:rsidRPr="00307E9C">
              <w:rPr>
                <w:lang w:val="en-US"/>
              </w:rPr>
              <w:t>9</w:t>
            </w:r>
            <w:r w:rsidRPr="00307E9C">
              <w:rPr>
                <w:lang w:val="en-US"/>
              </w:rPr>
              <w:t xml:space="preserve">. </w:t>
            </w:r>
          </w:p>
          <w:p w14:paraId="1AEF6BBC" w14:textId="5EC9FE9A" w:rsidR="00A66F15" w:rsidRPr="00622FE0" w:rsidRDefault="00A66F15" w:rsidP="00A91FE8">
            <w:pPr>
              <w:spacing w:line="312" w:lineRule="auto"/>
              <w:rPr>
                <w:highlight w:val="yellow"/>
                <w:lang w:val="en-US"/>
              </w:rPr>
            </w:pPr>
            <w:r w:rsidRPr="00307E9C">
              <w:rPr>
                <w:lang w:val="en-US"/>
              </w:rPr>
              <w:t>The report developed by the involved TSOs (</w:t>
            </w:r>
            <w:r w:rsidR="00EA22D3" w:rsidRPr="00307E9C">
              <w:rPr>
                <w:lang w:val="en-US"/>
              </w:rPr>
              <w:t>Teréga</w:t>
            </w:r>
            <w:r w:rsidRPr="00307E9C">
              <w:rPr>
                <w:lang w:val="en-US"/>
              </w:rPr>
              <w:t xml:space="preserve">, Enagas, REN and GRTgaz) includes an exhaustive range of technical and commercial pieces of information from: Liaison Nord Sud, VIP </w:t>
            </w:r>
            <w:r w:rsidR="000673CD" w:rsidRPr="00307E9C">
              <w:rPr>
                <w:lang w:val="en-US"/>
              </w:rPr>
              <w:t>P</w:t>
            </w:r>
            <w:r w:rsidR="000673CD">
              <w:rPr>
                <w:lang w:val="en-US"/>
              </w:rPr>
              <w:t>irineos</w:t>
            </w:r>
            <w:r w:rsidR="000673CD" w:rsidRPr="00307E9C">
              <w:rPr>
                <w:lang w:val="en-US"/>
              </w:rPr>
              <w:t xml:space="preserve"> </w:t>
            </w:r>
            <w:r w:rsidRPr="00307E9C">
              <w:rPr>
                <w:lang w:val="en-US"/>
              </w:rPr>
              <w:t xml:space="preserve">and VIP </w:t>
            </w:r>
            <w:r w:rsidR="000673CD" w:rsidRPr="00307E9C">
              <w:rPr>
                <w:lang w:val="en-US"/>
              </w:rPr>
              <w:t>I</w:t>
            </w:r>
            <w:r w:rsidR="000673CD">
              <w:rPr>
                <w:lang w:val="en-US"/>
              </w:rPr>
              <w:t>bérico</w:t>
            </w:r>
            <w:r w:rsidR="00831964">
              <w:rPr>
                <w:lang w:val="en-US"/>
              </w:rPr>
              <w:t>,</w:t>
            </w:r>
            <w:r w:rsidRPr="00307E9C">
              <w:rPr>
                <w:lang w:val="en-US"/>
              </w:rPr>
              <w:t xml:space="preserve"> such as technical capacities, booked capacities, nomination / </w:t>
            </w:r>
            <w:r w:rsidR="00831964">
              <w:rPr>
                <w:lang w:val="en-US"/>
              </w:rPr>
              <w:t>r</w:t>
            </w:r>
            <w:r w:rsidRPr="00307E9C">
              <w:rPr>
                <w:lang w:val="en-US"/>
              </w:rPr>
              <w:t>enomination levels, physical flows, secondary trades, CMP application and assessment.</w:t>
            </w:r>
          </w:p>
        </w:tc>
      </w:tr>
      <w:tr w:rsidR="00C0497A" w:rsidRPr="00637598" w14:paraId="57F51A1B" w14:textId="77777777" w:rsidTr="00C0497A">
        <w:tc>
          <w:tcPr>
            <w:tcW w:w="2329" w:type="dxa"/>
            <w:tcBorders>
              <w:top w:val="single" w:sz="4" w:space="0" w:color="auto"/>
              <w:left w:val="single" w:sz="12" w:space="0" w:color="808080"/>
              <w:bottom w:val="single" w:sz="4" w:space="0" w:color="auto"/>
              <w:right w:val="double" w:sz="4" w:space="0" w:color="808080"/>
            </w:tcBorders>
            <w:shd w:val="clear" w:color="auto" w:fill="F2F2F2"/>
          </w:tcPr>
          <w:p w14:paraId="78F6AA30" w14:textId="70F75F36" w:rsidR="00C0497A" w:rsidRPr="00307E9C" w:rsidRDefault="00C0497A" w:rsidP="00A91FE8">
            <w:pPr>
              <w:spacing w:line="312" w:lineRule="auto"/>
              <w:rPr>
                <w:b/>
                <w:lang w:val="en-GB"/>
              </w:rPr>
            </w:pPr>
            <w:r>
              <w:rPr>
                <w:b/>
                <w:lang w:val="en-GB"/>
              </w:rPr>
              <w:t>Conclusions</w:t>
            </w:r>
          </w:p>
        </w:tc>
        <w:tc>
          <w:tcPr>
            <w:tcW w:w="6627" w:type="dxa"/>
            <w:tcBorders>
              <w:top w:val="single" w:sz="4" w:space="0" w:color="auto"/>
              <w:bottom w:val="single" w:sz="4" w:space="0" w:color="auto"/>
            </w:tcBorders>
            <w:vAlign w:val="center"/>
          </w:tcPr>
          <w:p w14:paraId="098B5D90" w14:textId="77777777" w:rsidR="00C0497A" w:rsidRPr="00C0497A" w:rsidRDefault="00C0497A" w:rsidP="00A91FE8">
            <w:pPr>
              <w:spacing w:line="312" w:lineRule="auto"/>
              <w:rPr>
                <w:b/>
                <w:lang w:val="en-GB"/>
              </w:rPr>
            </w:pPr>
            <w:r w:rsidRPr="00C0497A">
              <w:rPr>
                <w:b/>
                <w:lang w:val="en-US"/>
              </w:rPr>
              <w:t>VIP Pirineos</w:t>
            </w:r>
          </w:p>
          <w:p w14:paraId="043804D6" w14:textId="77777777" w:rsidR="005D6AD0" w:rsidRPr="005D6AD0" w:rsidRDefault="005D6AD0" w:rsidP="00A91FE8">
            <w:pPr>
              <w:spacing w:line="312" w:lineRule="auto"/>
              <w:rPr>
                <w:rFonts w:cs="Arial"/>
                <w:color w:val="000000"/>
                <w:lang w:val="en-GB"/>
              </w:rPr>
            </w:pPr>
            <w:r w:rsidRPr="005D6AD0">
              <w:rPr>
                <w:rFonts w:cs="Arial"/>
                <w:color w:val="000000"/>
                <w:lang w:val="en-GB"/>
              </w:rPr>
              <w:t>New market conditions changed the booking and usage behaviour.</w:t>
            </w:r>
          </w:p>
          <w:p w14:paraId="741E2C7A" w14:textId="77777777" w:rsidR="005D6AD0" w:rsidRPr="005D6AD0" w:rsidRDefault="005D6AD0" w:rsidP="00A91FE8">
            <w:pPr>
              <w:spacing w:line="312" w:lineRule="auto"/>
              <w:rPr>
                <w:rFonts w:cs="Arial"/>
                <w:color w:val="000000"/>
                <w:lang w:val="en-GB"/>
              </w:rPr>
            </w:pPr>
            <w:r w:rsidRPr="005D6AD0">
              <w:rPr>
                <w:rFonts w:cs="Arial"/>
                <w:color w:val="000000"/>
                <w:lang w:val="en-GB"/>
              </w:rPr>
              <w:t>The creation of the Trading Region France induced, since 01/11/2018, a single gas price in France. The price spread takes now place at the VIP Pirineos instead of occurring at the north south link which disappeared;</w:t>
            </w:r>
          </w:p>
          <w:p w14:paraId="5FD3806E" w14:textId="77777777" w:rsidR="005D6AD0" w:rsidRPr="005D6AD0" w:rsidRDefault="005D6AD0" w:rsidP="00A91FE8">
            <w:pPr>
              <w:spacing w:line="312" w:lineRule="auto"/>
              <w:rPr>
                <w:rFonts w:cs="Arial"/>
                <w:color w:val="000000"/>
                <w:lang w:val="en-GB"/>
              </w:rPr>
            </w:pPr>
            <w:r w:rsidRPr="005D6AD0">
              <w:rPr>
                <w:rFonts w:cs="Arial"/>
                <w:color w:val="000000"/>
                <w:lang w:val="en-GB"/>
              </w:rPr>
              <w:t>The PEG price decreased below 8 €/MWh with a decreasing trend under the effect of:</w:t>
            </w:r>
          </w:p>
          <w:p w14:paraId="323788B0" w14:textId="06393E94" w:rsidR="005D6AD0" w:rsidRPr="005D6AD0" w:rsidRDefault="005D6AD0" w:rsidP="00A91FE8">
            <w:pPr>
              <w:spacing w:line="312" w:lineRule="auto"/>
              <w:rPr>
                <w:rFonts w:cs="Arial"/>
                <w:color w:val="000000"/>
                <w:lang w:val="en-GB"/>
              </w:rPr>
            </w:pPr>
            <w:r w:rsidRPr="005D6AD0">
              <w:rPr>
                <w:rFonts w:cs="Arial"/>
                <w:color w:val="000000"/>
                <w:lang w:val="en-GB"/>
              </w:rPr>
              <w:t>Mainly: the abundance of LNG delivered to the European markets at low price;</w:t>
            </w:r>
          </w:p>
          <w:p w14:paraId="2F948475" w14:textId="5D226511" w:rsidR="005D6AD0" w:rsidRPr="005D6AD0" w:rsidRDefault="005D6AD0" w:rsidP="00A91FE8">
            <w:pPr>
              <w:spacing w:line="312" w:lineRule="auto"/>
              <w:rPr>
                <w:rFonts w:cs="Arial"/>
                <w:color w:val="000000"/>
                <w:lang w:val="en-GB"/>
              </w:rPr>
            </w:pPr>
            <w:r w:rsidRPr="005D6AD0">
              <w:rPr>
                <w:rFonts w:cs="Arial"/>
                <w:color w:val="000000"/>
                <w:lang w:val="en-GB"/>
              </w:rPr>
              <w:t>At a lower scale: the French storage regulation increased the number of market players on the PEG</w:t>
            </w:r>
            <w:r w:rsidR="008024FA">
              <w:rPr>
                <w:rFonts w:cs="Arial"/>
                <w:color w:val="000000"/>
                <w:lang w:val="en-GB"/>
              </w:rPr>
              <w:t>,</w:t>
            </w:r>
            <w:r w:rsidRPr="005D6AD0">
              <w:rPr>
                <w:rFonts w:cs="Arial"/>
                <w:color w:val="000000"/>
                <w:lang w:val="en-GB"/>
              </w:rPr>
              <w:t xml:space="preserve"> which helped in increasing the HUB liquidity;</w:t>
            </w:r>
          </w:p>
          <w:p w14:paraId="741B6702" w14:textId="77777777" w:rsidR="005D6AD0" w:rsidRPr="005D6AD0" w:rsidRDefault="005D6AD0" w:rsidP="00A91FE8">
            <w:pPr>
              <w:spacing w:line="312" w:lineRule="auto"/>
              <w:rPr>
                <w:rFonts w:cs="Arial"/>
                <w:color w:val="000000"/>
                <w:lang w:val="en-GB"/>
              </w:rPr>
            </w:pPr>
            <w:r w:rsidRPr="005D6AD0">
              <w:rPr>
                <w:rFonts w:cs="Arial"/>
                <w:color w:val="000000"/>
                <w:lang w:val="en-GB"/>
              </w:rPr>
              <w:t>Such price signals have influence on gas routes as observed on analysis shown in this report. Transit quantities can be boosted or reversed, punctually or over long period;</w:t>
            </w:r>
          </w:p>
          <w:p w14:paraId="50B39625" w14:textId="77777777" w:rsidR="00C0497A" w:rsidRPr="000621D4" w:rsidRDefault="00C0497A" w:rsidP="00A91FE8">
            <w:pPr>
              <w:spacing w:line="312" w:lineRule="auto"/>
              <w:rPr>
                <w:b/>
                <w:lang w:val="en-US"/>
              </w:rPr>
            </w:pPr>
            <w:r w:rsidRPr="00E345E9">
              <w:rPr>
                <w:b/>
                <w:lang w:val="en-US"/>
              </w:rPr>
              <w:t>VIP Ibérico</w:t>
            </w:r>
          </w:p>
          <w:p w14:paraId="0746DAA4" w14:textId="1B5863BA" w:rsidR="008208B1" w:rsidRPr="000621D4" w:rsidRDefault="008208B1" w:rsidP="00A91FE8">
            <w:pPr>
              <w:spacing w:line="312" w:lineRule="auto"/>
              <w:rPr>
                <w:rFonts w:cs="Arial"/>
                <w:color w:val="000000"/>
                <w:lang w:val="en-GB"/>
              </w:rPr>
            </w:pPr>
            <w:r w:rsidRPr="000621D4">
              <w:rPr>
                <w:rFonts w:cs="Arial"/>
                <w:color w:val="000000"/>
                <w:lang w:val="en-GB"/>
              </w:rPr>
              <w:t xml:space="preserve">Technical capacities kept constant at both directions of the interconnection for the </w:t>
            </w:r>
            <w:r w:rsidR="002F5F35">
              <w:rPr>
                <w:rFonts w:cs="Arial"/>
                <w:color w:val="000000"/>
                <w:lang w:val="en-GB"/>
              </w:rPr>
              <w:t>whole</w:t>
            </w:r>
            <w:r w:rsidRPr="000621D4">
              <w:rPr>
                <w:rFonts w:cs="Arial"/>
                <w:color w:val="000000"/>
                <w:lang w:val="en-GB"/>
              </w:rPr>
              <w:t xml:space="preserve"> period under analysis.</w:t>
            </w:r>
          </w:p>
          <w:p w14:paraId="443E7A8D" w14:textId="77777777" w:rsidR="008208B1" w:rsidRPr="000621D4" w:rsidRDefault="008208B1" w:rsidP="00A91FE8">
            <w:pPr>
              <w:spacing w:line="312" w:lineRule="auto"/>
              <w:rPr>
                <w:rFonts w:cs="Arial"/>
                <w:color w:val="000000"/>
                <w:lang w:val="en-GB"/>
              </w:rPr>
            </w:pPr>
            <w:r w:rsidRPr="000621D4">
              <w:rPr>
                <w:rFonts w:cs="Arial"/>
                <w:color w:val="000000"/>
                <w:lang w:val="en-GB"/>
              </w:rPr>
              <w:t>The abundance of LNG delivered to Europe also took effect in the behaviour of usage of the interconnection between Portugal and Spain:</w:t>
            </w:r>
          </w:p>
          <w:p w14:paraId="2BF05D2C" w14:textId="7A879A29" w:rsidR="008208B1" w:rsidRPr="000621D4" w:rsidRDefault="00221200" w:rsidP="00A91FE8">
            <w:pPr>
              <w:pStyle w:val="Prrafodelista"/>
              <w:numPr>
                <w:ilvl w:val="0"/>
                <w:numId w:val="20"/>
              </w:numPr>
              <w:spacing w:line="312" w:lineRule="auto"/>
              <w:rPr>
                <w:rFonts w:cs="Arial"/>
                <w:color w:val="000000"/>
                <w:lang w:val="en-GB"/>
              </w:rPr>
            </w:pPr>
            <w:r>
              <w:rPr>
                <w:rFonts w:cs="Arial"/>
                <w:color w:val="000000"/>
                <w:lang w:val="en-GB"/>
              </w:rPr>
              <w:t xml:space="preserve">The utilization in the </w:t>
            </w:r>
            <w:r w:rsidR="0027479F">
              <w:rPr>
                <w:rFonts w:cs="Arial"/>
                <w:color w:val="000000"/>
                <w:lang w:val="en-GB"/>
              </w:rPr>
              <w:t>d</w:t>
            </w:r>
            <w:r w:rsidR="008208B1" w:rsidRPr="000621D4">
              <w:rPr>
                <w:rFonts w:cs="Arial"/>
                <w:color w:val="000000"/>
                <w:lang w:val="en-GB"/>
              </w:rPr>
              <w:t>irection Spain</w:t>
            </w:r>
            <w:r w:rsidR="006F0226">
              <w:rPr>
                <w:rFonts w:cs="Arial"/>
                <w:color w:val="000000"/>
                <w:lang w:val="en-GB"/>
              </w:rPr>
              <w:t xml:space="preserve"> </w:t>
            </w:r>
            <w:r w:rsidR="008208B1" w:rsidRPr="000621D4">
              <w:rPr>
                <w:rFonts w:cs="Arial"/>
                <w:color w:val="000000"/>
                <w:lang w:val="en-GB"/>
              </w:rPr>
              <w:t>to Portugal prevailed over Portugal to</w:t>
            </w:r>
            <w:r w:rsidR="006F0226">
              <w:rPr>
                <w:rFonts w:cs="Arial"/>
                <w:color w:val="000000"/>
                <w:lang w:val="en-GB"/>
              </w:rPr>
              <w:t xml:space="preserve"> </w:t>
            </w:r>
            <w:r w:rsidR="008208B1" w:rsidRPr="000621D4">
              <w:rPr>
                <w:rFonts w:cs="Arial"/>
                <w:color w:val="000000"/>
                <w:lang w:val="en-GB"/>
              </w:rPr>
              <w:t xml:space="preserve">Spain direction until December 2018. </w:t>
            </w:r>
            <w:r w:rsidR="00A91FE8">
              <w:rPr>
                <w:rFonts w:cs="Arial"/>
                <w:color w:val="000000"/>
                <w:lang w:val="en-GB"/>
              </w:rPr>
              <w:t xml:space="preserve">A </w:t>
            </w:r>
            <w:r w:rsidR="00A91FE8" w:rsidRPr="000621D4">
              <w:rPr>
                <w:rFonts w:cs="Arial"/>
                <w:color w:val="000000"/>
                <w:lang w:val="en-GB"/>
              </w:rPr>
              <w:t>seasonal</w:t>
            </w:r>
            <w:r w:rsidR="008208B1" w:rsidRPr="000621D4">
              <w:rPr>
                <w:rFonts w:cs="Arial"/>
                <w:color w:val="000000"/>
                <w:lang w:val="en-GB"/>
              </w:rPr>
              <w:t xml:space="preserve"> booking and use during the summer months </w:t>
            </w:r>
            <w:r w:rsidR="002F5F35">
              <w:rPr>
                <w:rFonts w:cs="Arial"/>
                <w:color w:val="000000"/>
                <w:lang w:val="en-GB"/>
              </w:rPr>
              <w:t>in</w:t>
            </w:r>
            <w:r w:rsidR="002F5F35" w:rsidRPr="000621D4">
              <w:rPr>
                <w:rFonts w:cs="Arial"/>
                <w:color w:val="000000"/>
                <w:lang w:val="en-GB"/>
              </w:rPr>
              <w:t xml:space="preserve"> </w:t>
            </w:r>
            <w:r w:rsidR="008208B1" w:rsidRPr="000621D4">
              <w:rPr>
                <w:rFonts w:cs="Arial"/>
                <w:color w:val="000000"/>
                <w:lang w:val="en-GB"/>
              </w:rPr>
              <w:t>Spain</w:t>
            </w:r>
            <w:r w:rsidR="006F0226">
              <w:rPr>
                <w:rFonts w:cs="Arial"/>
                <w:color w:val="000000"/>
                <w:lang w:val="en-GB"/>
              </w:rPr>
              <w:t xml:space="preserve"> </w:t>
            </w:r>
            <w:r w:rsidR="008208B1" w:rsidRPr="000621D4">
              <w:rPr>
                <w:rFonts w:cs="Arial"/>
                <w:color w:val="000000"/>
                <w:lang w:val="en-GB"/>
              </w:rPr>
              <w:t>to</w:t>
            </w:r>
            <w:r w:rsidR="006F0226">
              <w:rPr>
                <w:rFonts w:cs="Arial"/>
                <w:color w:val="000000"/>
                <w:lang w:val="en-GB"/>
              </w:rPr>
              <w:t xml:space="preserve"> </w:t>
            </w:r>
            <w:r w:rsidR="008208B1" w:rsidRPr="000621D4">
              <w:rPr>
                <w:rFonts w:cs="Arial"/>
                <w:color w:val="000000"/>
                <w:lang w:val="en-GB"/>
              </w:rPr>
              <w:t xml:space="preserve">Portugal direction </w:t>
            </w:r>
            <w:r w:rsidRPr="000621D4">
              <w:rPr>
                <w:rFonts w:cs="Arial"/>
                <w:color w:val="000000"/>
                <w:lang w:val="en-GB"/>
              </w:rPr>
              <w:t>was observed</w:t>
            </w:r>
            <w:r>
              <w:rPr>
                <w:rFonts w:cs="Arial"/>
                <w:color w:val="000000"/>
                <w:lang w:val="en-GB"/>
              </w:rPr>
              <w:t xml:space="preserve">, </w:t>
            </w:r>
            <w:r w:rsidR="008829DA">
              <w:rPr>
                <w:rFonts w:cs="Arial"/>
                <w:color w:val="000000"/>
                <w:lang w:val="en-GB"/>
              </w:rPr>
              <w:t>although</w:t>
            </w:r>
            <w:r w:rsidR="008208B1" w:rsidRPr="000621D4">
              <w:rPr>
                <w:rFonts w:cs="Arial"/>
                <w:color w:val="000000"/>
                <w:lang w:val="en-GB"/>
              </w:rPr>
              <w:t xml:space="preserve"> less evident during the studied period in respect to the previous exercises. In this direction, booked capacity was practically fully used, and every type of product utilized</w:t>
            </w:r>
            <w:r>
              <w:rPr>
                <w:rFonts w:cs="Arial"/>
                <w:color w:val="000000"/>
                <w:lang w:val="en-GB"/>
              </w:rPr>
              <w:t>,</w:t>
            </w:r>
            <w:r w:rsidR="008208B1" w:rsidRPr="000621D4">
              <w:rPr>
                <w:rFonts w:cs="Arial"/>
                <w:color w:val="000000"/>
                <w:lang w:val="en-GB"/>
              </w:rPr>
              <w:t xml:space="preserve"> </w:t>
            </w:r>
            <w:r w:rsidR="008829DA">
              <w:rPr>
                <w:rFonts w:cs="Arial"/>
                <w:color w:val="000000"/>
                <w:lang w:val="en-GB"/>
              </w:rPr>
              <w:t>until</w:t>
            </w:r>
            <w:r w:rsidR="008208B1" w:rsidRPr="000621D4">
              <w:rPr>
                <w:rFonts w:cs="Arial"/>
                <w:color w:val="000000"/>
                <w:lang w:val="en-GB"/>
              </w:rPr>
              <w:t xml:space="preserve"> January </w:t>
            </w:r>
            <w:r w:rsidR="008829DA">
              <w:rPr>
                <w:rFonts w:cs="Arial"/>
                <w:color w:val="000000"/>
                <w:lang w:val="en-GB"/>
              </w:rPr>
              <w:t>2019, when gas started to flow from  Portugal to Spain and maintained this direction until</w:t>
            </w:r>
            <w:r w:rsidR="008208B1" w:rsidRPr="000621D4">
              <w:rPr>
                <w:rFonts w:cs="Arial"/>
                <w:color w:val="000000"/>
                <w:lang w:val="en-GB"/>
              </w:rPr>
              <w:t xml:space="preserve"> June 2019;</w:t>
            </w:r>
          </w:p>
          <w:p w14:paraId="3F3334AE" w14:textId="44131189" w:rsidR="008208B1" w:rsidRPr="000621D4" w:rsidRDefault="008208B1" w:rsidP="00A91FE8">
            <w:pPr>
              <w:pStyle w:val="Prrafodelista"/>
              <w:numPr>
                <w:ilvl w:val="0"/>
                <w:numId w:val="20"/>
              </w:numPr>
              <w:spacing w:line="312" w:lineRule="auto"/>
              <w:rPr>
                <w:rFonts w:cs="Arial"/>
                <w:color w:val="000000"/>
                <w:lang w:val="en-GB"/>
              </w:rPr>
            </w:pPr>
            <w:r w:rsidRPr="000621D4">
              <w:rPr>
                <w:rFonts w:cs="Arial"/>
                <w:color w:val="000000"/>
                <w:lang w:val="en-GB"/>
              </w:rPr>
              <w:t xml:space="preserve">In the direction Portugal to Spain, a changing behaviour </w:t>
            </w:r>
            <w:r w:rsidR="008829DA" w:rsidRPr="000621D4">
              <w:rPr>
                <w:rFonts w:cs="Arial"/>
                <w:color w:val="000000"/>
                <w:lang w:val="en-GB"/>
              </w:rPr>
              <w:t xml:space="preserve">could be observed </w:t>
            </w:r>
            <w:r w:rsidRPr="000621D4">
              <w:rPr>
                <w:rFonts w:cs="Arial"/>
                <w:color w:val="000000"/>
                <w:lang w:val="en-GB"/>
              </w:rPr>
              <w:t xml:space="preserve">during 2019, where bookings </w:t>
            </w:r>
            <w:r w:rsidR="0027479F">
              <w:rPr>
                <w:rFonts w:cs="Arial"/>
                <w:color w:val="000000"/>
                <w:lang w:val="en-GB"/>
              </w:rPr>
              <w:t>reached</w:t>
            </w:r>
            <w:r w:rsidRPr="000621D4">
              <w:rPr>
                <w:rFonts w:cs="Arial"/>
                <w:color w:val="000000"/>
                <w:lang w:val="en-GB"/>
              </w:rPr>
              <w:t xml:space="preserve"> levels close to the 63% of the daily technical capacity. </w:t>
            </w:r>
          </w:p>
          <w:p w14:paraId="647CB533" w14:textId="77777777" w:rsidR="00C0497A" w:rsidRPr="00C0497A" w:rsidRDefault="00C0497A" w:rsidP="00A91FE8">
            <w:pPr>
              <w:spacing w:line="312" w:lineRule="auto"/>
              <w:rPr>
                <w:b/>
                <w:lang w:val="en-GB"/>
              </w:rPr>
            </w:pPr>
            <w:r w:rsidRPr="00C0497A">
              <w:rPr>
                <w:b/>
                <w:lang w:val="en-US"/>
              </w:rPr>
              <w:t>North-South link</w:t>
            </w:r>
          </w:p>
          <w:p w14:paraId="29EBD91E" w14:textId="79369119" w:rsidR="00C0497A" w:rsidRPr="00307E9C" w:rsidRDefault="00C0497A" w:rsidP="00A91FE8">
            <w:pPr>
              <w:spacing w:line="312" w:lineRule="auto"/>
              <w:rPr>
                <w:lang w:val="en-US"/>
              </w:rPr>
            </w:pPr>
            <w:r w:rsidRPr="00AB6B65">
              <w:rPr>
                <w:lang w:val="en-US"/>
              </w:rPr>
              <w:t>The North-South link was physically</w:t>
            </w:r>
            <w:r>
              <w:rPr>
                <w:lang w:val="en-US"/>
              </w:rPr>
              <w:t xml:space="preserve"> </w:t>
            </w:r>
            <w:r w:rsidRPr="00AB6B65">
              <w:rPr>
                <w:lang w:val="en-US"/>
              </w:rPr>
              <w:t>congested. Merger of zones as from 1</w:t>
            </w:r>
            <w:r w:rsidRPr="00AB6B65">
              <w:rPr>
                <w:vertAlign w:val="superscript"/>
                <w:lang w:val="en-US"/>
              </w:rPr>
              <w:t>st</w:t>
            </w:r>
            <w:r>
              <w:rPr>
                <w:lang w:val="en-US"/>
              </w:rPr>
              <w:t xml:space="preserve"> </w:t>
            </w:r>
            <w:r w:rsidRPr="00AB6B65">
              <w:rPr>
                <w:lang w:val="en-US"/>
              </w:rPr>
              <w:t xml:space="preserve">November 2018 has </w:t>
            </w:r>
            <w:r w:rsidR="00331709">
              <w:rPr>
                <w:lang w:val="en-US"/>
              </w:rPr>
              <w:t xml:space="preserve">partially </w:t>
            </w:r>
            <w:r w:rsidRPr="00AB6B65">
              <w:rPr>
                <w:lang w:val="en-US"/>
              </w:rPr>
              <w:t>solved the physical congestion issue, thus allowing the removal of the North-South link.</w:t>
            </w:r>
            <w:r w:rsidRPr="00AB6B65">
              <w:rPr>
                <w:rFonts w:cs="Arial"/>
                <w:lang w:val="en-GB"/>
              </w:rPr>
              <w:t xml:space="preserve"> Market coupling offer was increased on a daily basis </w:t>
            </w:r>
            <w:r>
              <w:rPr>
                <w:rFonts w:cs="Arial"/>
                <w:color w:val="000000"/>
                <w:lang w:val="en-GB"/>
              </w:rPr>
              <w:t>according to available daily capacities in order to anticipate the removal of this link.</w:t>
            </w:r>
            <w:r w:rsidR="00A91FE8">
              <w:rPr>
                <w:rFonts w:cs="Arial"/>
                <w:color w:val="000000"/>
                <w:lang w:val="en-GB"/>
              </w:rPr>
              <w:t xml:space="preserve"> </w:t>
            </w:r>
            <w:r>
              <w:rPr>
                <w:rFonts w:cs="Arial"/>
                <w:color w:val="000000"/>
                <w:lang w:val="en-GB"/>
              </w:rPr>
              <w:t>Since the North-South link does not exist anymore, no further observations need to be made.</w:t>
            </w:r>
          </w:p>
        </w:tc>
      </w:tr>
    </w:tbl>
    <w:p w14:paraId="6F3DD911" w14:textId="2C21F182" w:rsidR="008F0384" w:rsidRPr="00DB0038" w:rsidRDefault="001B0007" w:rsidP="001B0007">
      <w:pPr>
        <w:pStyle w:val="Ttulo1"/>
        <w:rPr>
          <w:lang w:val="en-US"/>
        </w:rPr>
      </w:pPr>
      <w:bookmarkStart w:id="24" w:name="_Toc49770587"/>
      <w:r w:rsidRPr="00DB0038">
        <w:rPr>
          <w:lang w:val="en-US"/>
        </w:rPr>
        <w:t>Current situation of gas interconnections in the Region</w:t>
      </w:r>
      <w:bookmarkEnd w:id="24"/>
    </w:p>
    <w:p w14:paraId="32BD43B5" w14:textId="77777777" w:rsidR="001E5F6D" w:rsidRDefault="001E5F6D" w:rsidP="001E5F6D">
      <w:pPr>
        <w:pStyle w:val="Ttulo2"/>
        <w:spacing w:after="0"/>
        <w:rPr>
          <w:lang w:val="en-US"/>
        </w:rPr>
      </w:pPr>
      <w:bookmarkStart w:id="25" w:name="_Toc432583974"/>
      <w:bookmarkStart w:id="26" w:name="_Toc433270659"/>
      <w:bookmarkStart w:id="27" w:name="_Toc432583975"/>
      <w:bookmarkStart w:id="28" w:name="_Toc433270660"/>
      <w:bookmarkStart w:id="29" w:name="_Toc432583976"/>
      <w:bookmarkStart w:id="30" w:name="_Toc433270661"/>
      <w:bookmarkStart w:id="31" w:name="_Toc432583977"/>
      <w:bookmarkStart w:id="32" w:name="_Toc433270662"/>
      <w:bookmarkStart w:id="33" w:name="_Toc432583978"/>
      <w:bookmarkStart w:id="34" w:name="_Toc433270663"/>
      <w:bookmarkStart w:id="35" w:name="_Toc432583979"/>
      <w:bookmarkStart w:id="36" w:name="_Toc433270664"/>
      <w:bookmarkStart w:id="37" w:name="_Toc432583980"/>
      <w:bookmarkStart w:id="38" w:name="_Toc433270665"/>
      <w:bookmarkStart w:id="39" w:name="_Toc432583981"/>
      <w:bookmarkStart w:id="40" w:name="_Toc433270666"/>
      <w:bookmarkStart w:id="41" w:name="_Toc433270667"/>
      <w:bookmarkStart w:id="42" w:name="_Toc433270668"/>
      <w:bookmarkStart w:id="43" w:name="_Toc4977058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DB0038">
        <w:rPr>
          <w:lang w:val="en-US"/>
        </w:rPr>
        <w:t>Capacities</w:t>
      </w:r>
      <w:bookmarkEnd w:id="43"/>
    </w:p>
    <w:p w14:paraId="21DB4B33" w14:textId="77777777" w:rsidR="0037098B" w:rsidRDefault="0037098B" w:rsidP="0037098B">
      <w:pPr>
        <w:pStyle w:val="Ttulo3"/>
        <w:jc w:val="left"/>
        <w:rPr>
          <w:lang w:val="en-US"/>
        </w:rPr>
      </w:pPr>
      <w:r>
        <w:rPr>
          <w:lang w:val="en-US"/>
        </w:rPr>
        <w:t>Cross-border interconnections points within the South Region</w:t>
      </w:r>
    </w:p>
    <w:p w14:paraId="74E0B233" w14:textId="2A947BF4" w:rsidR="000F23BA" w:rsidRDefault="000F23BA" w:rsidP="00D06621">
      <w:pPr>
        <w:spacing w:line="312" w:lineRule="auto"/>
        <w:rPr>
          <w:rFonts w:cs="Arial"/>
          <w:color w:val="000000" w:themeColor="text1"/>
          <w:szCs w:val="22"/>
          <w:lang w:val="en-GB"/>
        </w:rPr>
      </w:pPr>
      <w:r>
        <w:rPr>
          <w:rFonts w:cs="Arial"/>
          <w:color w:val="000000" w:themeColor="text1"/>
          <w:szCs w:val="22"/>
          <w:lang w:val="en-GB"/>
        </w:rPr>
        <w:t>In the South Region there are several relevant interconnection points, both</w:t>
      </w:r>
      <w:r w:rsidR="003F0600">
        <w:rPr>
          <w:rFonts w:cs="Arial"/>
          <w:color w:val="000000" w:themeColor="text1"/>
          <w:szCs w:val="22"/>
          <w:lang w:val="en-GB"/>
        </w:rPr>
        <w:t xml:space="preserve"> at</w:t>
      </w:r>
      <w:r>
        <w:rPr>
          <w:rFonts w:cs="Arial"/>
          <w:color w:val="000000" w:themeColor="text1"/>
          <w:szCs w:val="22"/>
          <w:lang w:val="en-GB"/>
        </w:rPr>
        <w:t xml:space="preserve"> country level and balancing zone level.</w:t>
      </w:r>
    </w:p>
    <w:p w14:paraId="6B214416" w14:textId="07D94F55" w:rsidR="000F23BA" w:rsidRPr="00934B23" w:rsidRDefault="000F23BA" w:rsidP="00D06621">
      <w:pPr>
        <w:spacing w:line="312" w:lineRule="auto"/>
        <w:rPr>
          <w:rFonts w:cs="Arial"/>
          <w:color w:val="000000" w:themeColor="text1"/>
          <w:szCs w:val="22"/>
          <w:lang w:val="en-GB"/>
        </w:rPr>
      </w:pPr>
      <w:r>
        <w:rPr>
          <w:rFonts w:cs="Arial"/>
          <w:color w:val="000000" w:themeColor="text1"/>
          <w:szCs w:val="22"/>
          <w:lang w:val="en-GB"/>
        </w:rPr>
        <w:t xml:space="preserve">In October 2014, within the scope of </w:t>
      </w:r>
      <w:r w:rsidR="0027479F">
        <w:rPr>
          <w:rFonts w:cs="Arial"/>
          <w:color w:val="000000" w:themeColor="text1"/>
          <w:szCs w:val="22"/>
          <w:lang w:val="en-GB"/>
        </w:rPr>
        <w:t xml:space="preserve">the </w:t>
      </w:r>
      <w:r>
        <w:rPr>
          <w:rFonts w:cs="Arial"/>
          <w:color w:val="000000" w:themeColor="text1"/>
          <w:szCs w:val="22"/>
          <w:lang w:val="en-GB"/>
        </w:rPr>
        <w:t>South Gas Regional Initiative</w:t>
      </w:r>
      <w:r w:rsidR="00AE2000">
        <w:rPr>
          <w:rFonts w:cs="Arial"/>
          <w:color w:val="000000" w:themeColor="text1"/>
          <w:szCs w:val="22"/>
          <w:lang w:val="en-GB"/>
        </w:rPr>
        <w:t>, under the</w:t>
      </w:r>
      <w:r>
        <w:rPr>
          <w:rFonts w:cs="Arial"/>
          <w:color w:val="000000" w:themeColor="text1"/>
          <w:szCs w:val="22"/>
          <w:lang w:val="en-GB"/>
        </w:rPr>
        <w:t xml:space="preserve"> early CAM </w:t>
      </w:r>
      <w:r w:rsidR="0029601E">
        <w:rPr>
          <w:rFonts w:cs="Arial"/>
          <w:color w:val="000000" w:themeColor="text1"/>
          <w:szCs w:val="22"/>
          <w:lang w:val="en-GB"/>
        </w:rPr>
        <w:t xml:space="preserve">NC </w:t>
      </w:r>
      <w:r>
        <w:rPr>
          <w:rFonts w:cs="Arial"/>
          <w:color w:val="000000" w:themeColor="text1"/>
          <w:szCs w:val="22"/>
          <w:lang w:val="en-GB"/>
        </w:rPr>
        <w:t>implementation, two ‘virtual interconnection points’ (VIP) were created in order to allocate capacity on an aggregated basis. These VIPs are:</w:t>
      </w:r>
    </w:p>
    <w:p w14:paraId="763E000B" w14:textId="0EC78CC0" w:rsidR="000F23BA" w:rsidRPr="001C7A6E" w:rsidRDefault="000F23BA" w:rsidP="00D06621">
      <w:pPr>
        <w:pStyle w:val="Prrafodelista"/>
        <w:numPr>
          <w:ilvl w:val="0"/>
          <w:numId w:val="18"/>
        </w:numPr>
        <w:spacing w:line="312" w:lineRule="auto"/>
        <w:contextualSpacing w:val="0"/>
        <w:rPr>
          <w:rFonts w:cs="Arial"/>
          <w:color w:val="000000" w:themeColor="text1"/>
          <w:szCs w:val="22"/>
          <w:lang w:val="en-GB"/>
        </w:rPr>
      </w:pPr>
      <w:r w:rsidRPr="001C7A6E">
        <w:rPr>
          <w:rFonts w:cs="Arial"/>
          <w:color w:val="000000" w:themeColor="text1"/>
          <w:lang w:val="en-GB"/>
        </w:rPr>
        <w:t>a virtual interconnection point between Portugal and Spain called ”VIP Ib</w:t>
      </w:r>
      <w:r w:rsidR="004317BF" w:rsidRPr="001C7A6E">
        <w:rPr>
          <w:rFonts w:cs="Arial"/>
          <w:color w:val="000000" w:themeColor="text1"/>
          <w:lang w:val="en-GB"/>
        </w:rPr>
        <w:t>é</w:t>
      </w:r>
      <w:r w:rsidRPr="001C7A6E">
        <w:rPr>
          <w:rFonts w:cs="Arial"/>
          <w:color w:val="000000" w:themeColor="text1"/>
          <w:lang w:val="en-GB"/>
        </w:rPr>
        <w:t xml:space="preserve">rico”, gathering the two physical interconnection points “Valença do Minho (PT) / Tuy (ES)” and “Badajoz (ES) / Campo Maior (PT)” (In 2012, a pilot experience of commercial aggregation of capacity was </w:t>
      </w:r>
      <w:r w:rsidR="003355E7" w:rsidRPr="001C7A6E">
        <w:rPr>
          <w:rFonts w:cs="Arial"/>
          <w:color w:val="000000" w:themeColor="text1"/>
          <w:lang w:val="en-GB"/>
        </w:rPr>
        <w:t xml:space="preserve">developed </w:t>
      </w:r>
      <w:r w:rsidRPr="001C7A6E">
        <w:rPr>
          <w:rFonts w:cs="Arial"/>
          <w:color w:val="000000" w:themeColor="text1"/>
          <w:lang w:val="en-GB"/>
        </w:rPr>
        <w:t>between Spain and Portugal)</w:t>
      </w:r>
      <w:r w:rsidR="00831964">
        <w:rPr>
          <w:rFonts w:cs="Arial"/>
          <w:color w:val="000000" w:themeColor="text1"/>
          <w:lang w:val="en-GB"/>
        </w:rPr>
        <w:t>.</w:t>
      </w:r>
    </w:p>
    <w:p w14:paraId="4394902B" w14:textId="2276A12D" w:rsidR="000F23BA" w:rsidRPr="001C7A6E" w:rsidRDefault="000F23BA" w:rsidP="00D06621">
      <w:pPr>
        <w:pStyle w:val="Prrafodelista"/>
        <w:numPr>
          <w:ilvl w:val="0"/>
          <w:numId w:val="18"/>
        </w:numPr>
        <w:spacing w:line="312" w:lineRule="auto"/>
        <w:contextualSpacing w:val="0"/>
        <w:rPr>
          <w:rFonts w:cs="Arial"/>
          <w:color w:val="000000" w:themeColor="text1"/>
          <w:szCs w:val="22"/>
          <w:lang w:val="en-GB"/>
        </w:rPr>
      </w:pPr>
      <w:r w:rsidRPr="001C7A6E">
        <w:rPr>
          <w:rFonts w:cs="Arial"/>
          <w:color w:val="000000" w:themeColor="text1"/>
          <w:szCs w:val="22"/>
          <w:lang w:val="en-GB"/>
        </w:rPr>
        <w:t xml:space="preserve">a virtual interconnection point between Spain and France called “VIP Pirineos”, gathering the two physical interconnection points “Larrau” and “Biriatou (FR) / Irun (ES)”. </w:t>
      </w:r>
    </w:p>
    <w:p w14:paraId="1A7810FC" w14:textId="70B80676" w:rsidR="00BE1FD2" w:rsidRPr="00BE1FD2" w:rsidRDefault="00BE1FD2" w:rsidP="00D06621">
      <w:pPr>
        <w:spacing w:line="312" w:lineRule="auto"/>
        <w:rPr>
          <w:rFonts w:cs="Arial"/>
          <w:color w:val="000000" w:themeColor="text1"/>
          <w:szCs w:val="22"/>
          <w:lang w:val="en-GB"/>
        </w:rPr>
      </w:pPr>
      <w:r w:rsidRPr="00BE1FD2">
        <w:rPr>
          <w:rFonts w:cs="Arial"/>
          <w:color w:val="000000" w:themeColor="text1"/>
          <w:szCs w:val="22"/>
          <w:lang w:val="en-GB"/>
        </w:rPr>
        <w:t>Before November 2018, another important interconnection in the South Region was the link between the two French balancing zones PEG Nord (Point d’Echange Gaz Nord) and TRS (Trading Region South).</w:t>
      </w:r>
    </w:p>
    <w:p w14:paraId="7E70F5EE" w14:textId="16789752" w:rsidR="000F23BA" w:rsidRDefault="00BE1FD2" w:rsidP="00D06621">
      <w:pPr>
        <w:spacing w:line="312" w:lineRule="auto"/>
        <w:rPr>
          <w:rFonts w:cs="Arial"/>
          <w:color w:val="000000" w:themeColor="text1"/>
          <w:szCs w:val="22"/>
          <w:lang w:val="en-GB"/>
        </w:rPr>
      </w:pPr>
      <w:r w:rsidRPr="00BE1FD2">
        <w:rPr>
          <w:rFonts w:cs="Arial"/>
          <w:color w:val="000000" w:themeColor="text1"/>
          <w:szCs w:val="22"/>
          <w:lang w:val="en-GB"/>
        </w:rPr>
        <w:t>Since November 1, 2018, the North-South link</w:t>
      </w:r>
      <w:r w:rsidR="001B4542">
        <w:rPr>
          <w:rFonts w:cs="Arial"/>
          <w:color w:val="000000" w:themeColor="text1"/>
          <w:szCs w:val="22"/>
          <w:lang w:val="en-GB"/>
        </w:rPr>
        <w:t xml:space="preserve"> in France</w:t>
      </w:r>
      <w:r w:rsidRPr="00BE1FD2">
        <w:rPr>
          <w:rFonts w:cs="Arial"/>
          <w:color w:val="000000" w:themeColor="text1"/>
          <w:szCs w:val="22"/>
          <w:lang w:val="en-GB"/>
        </w:rPr>
        <w:t xml:space="preserve"> has disappeared and a single market area </w:t>
      </w:r>
      <w:r w:rsidR="001B4542">
        <w:rPr>
          <w:rFonts w:cs="Arial"/>
          <w:color w:val="000000" w:themeColor="text1"/>
          <w:szCs w:val="22"/>
          <w:lang w:val="en-GB"/>
        </w:rPr>
        <w:t xml:space="preserve">called </w:t>
      </w:r>
      <w:r w:rsidRPr="00BE1FD2">
        <w:rPr>
          <w:rFonts w:cs="Arial"/>
          <w:color w:val="000000" w:themeColor="text1"/>
          <w:szCs w:val="22"/>
          <w:lang w:val="en-GB"/>
        </w:rPr>
        <w:t>Trading Region France (TRF)</w:t>
      </w:r>
      <w:r w:rsidR="001B4542">
        <w:rPr>
          <w:rFonts w:cs="Arial"/>
          <w:color w:val="000000" w:themeColor="text1"/>
          <w:szCs w:val="22"/>
          <w:lang w:val="en-GB"/>
        </w:rPr>
        <w:t xml:space="preserve"> </w:t>
      </w:r>
      <w:r w:rsidR="001B4542" w:rsidRPr="00BE1FD2">
        <w:rPr>
          <w:rFonts w:cs="Arial"/>
          <w:color w:val="000000" w:themeColor="text1"/>
          <w:szCs w:val="22"/>
          <w:lang w:val="en-GB"/>
        </w:rPr>
        <w:t xml:space="preserve">has been </w:t>
      </w:r>
      <w:r w:rsidR="00831964" w:rsidRPr="00BE1FD2">
        <w:rPr>
          <w:rFonts w:cs="Arial"/>
          <w:color w:val="000000" w:themeColor="text1"/>
          <w:szCs w:val="22"/>
          <w:lang w:val="en-GB"/>
        </w:rPr>
        <w:t>created.</w:t>
      </w:r>
      <w:r w:rsidR="000F23BA">
        <w:rPr>
          <w:rFonts w:cs="Arial"/>
          <w:color w:val="000000" w:themeColor="text1"/>
          <w:szCs w:val="22"/>
          <w:lang w:val="en-GB"/>
        </w:rPr>
        <w:t xml:space="preserve">    </w:t>
      </w:r>
    </w:p>
    <w:p w14:paraId="5C1423C8" w14:textId="5DAC3C72" w:rsidR="00F60DE0" w:rsidRDefault="00F60DE0" w:rsidP="001C7A6E">
      <w:pPr>
        <w:jc w:val="center"/>
        <w:rPr>
          <w:rFonts w:cs="Arial"/>
          <w:color w:val="000000" w:themeColor="text1"/>
          <w:szCs w:val="22"/>
          <w:lang w:val="en-GB"/>
        </w:rPr>
      </w:pPr>
      <w:r>
        <w:rPr>
          <w:noProof/>
          <w:lang w:val="es-ES" w:eastAsia="es-ES"/>
        </w:rPr>
        <w:drawing>
          <wp:inline distT="0" distB="0" distL="0" distR="0" wp14:anchorId="3397CFA2" wp14:editId="56823172">
            <wp:extent cx="3327000" cy="3324225"/>
            <wp:effectExtent l="0" t="0" r="6985" b="0"/>
            <wp:docPr id="119779065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1252" cy="3328474"/>
                    </a:xfrm>
                    <a:prstGeom prst="rect">
                      <a:avLst/>
                    </a:prstGeom>
                  </pic:spPr>
                </pic:pic>
              </a:graphicData>
            </a:graphic>
          </wp:inline>
        </w:drawing>
      </w:r>
    </w:p>
    <w:p w14:paraId="315CACA0" w14:textId="15A651B4" w:rsidR="00B17AC3" w:rsidRDefault="00B17AC3" w:rsidP="00B17AC3">
      <w:pPr>
        <w:pStyle w:val="Descripcin"/>
        <w:spacing w:before="240" w:line="360" w:lineRule="auto"/>
        <w:jc w:val="center"/>
        <w:rPr>
          <w:sz w:val="16"/>
          <w:lang w:val="en-US"/>
        </w:rPr>
      </w:pP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1</w:t>
      </w:r>
      <w:r w:rsidRPr="007F0BFA">
        <w:rPr>
          <w:sz w:val="16"/>
        </w:rPr>
        <w:fldChar w:fldCharType="end"/>
      </w:r>
      <w:r w:rsidRPr="00B85064">
        <w:rPr>
          <w:sz w:val="16"/>
          <w:lang w:val="en-US"/>
        </w:rPr>
        <w:t>:</w:t>
      </w:r>
      <w:r w:rsidRPr="007F0BFA">
        <w:rPr>
          <w:sz w:val="16"/>
          <w:lang w:val="en-US"/>
        </w:rPr>
        <w:t xml:space="preserve"> </w:t>
      </w:r>
      <w:r>
        <w:rPr>
          <w:sz w:val="16"/>
          <w:lang w:val="en-US"/>
        </w:rPr>
        <w:t>VIP</w:t>
      </w:r>
      <w:r w:rsidR="00277506">
        <w:rPr>
          <w:sz w:val="16"/>
          <w:lang w:val="en-US"/>
        </w:rPr>
        <w:t>s</w:t>
      </w:r>
      <w:r>
        <w:rPr>
          <w:sz w:val="16"/>
          <w:lang w:val="en-US"/>
        </w:rPr>
        <w:t xml:space="preserve"> in the South Region </w:t>
      </w:r>
    </w:p>
    <w:p w14:paraId="4E97A0DF" w14:textId="77777777" w:rsidR="000F23BA" w:rsidRDefault="000F23BA" w:rsidP="000F23BA">
      <w:pPr>
        <w:pStyle w:val="Ttulo3"/>
        <w:jc w:val="left"/>
        <w:rPr>
          <w:lang w:val="en-US"/>
        </w:rPr>
      </w:pPr>
      <w:r>
        <w:rPr>
          <w:lang w:val="en-US"/>
        </w:rPr>
        <w:t>Technical Capacities at Cross-border interconnections points within the South Region</w:t>
      </w:r>
    </w:p>
    <w:p w14:paraId="2A037D21" w14:textId="77777777" w:rsidR="000F23BA" w:rsidRPr="001F74A6" w:rsidRDefault="000F23BA" w:rsidP="008413FF">
      <w:pPr>
        <w:pStyle w:val="Ttulo4"/>
        <w:spacing w:line="240" w:lineRule="auto"/>
      </w:pPr>
      <w:r w:rsidRPr="001F74A6">
        <w:t>VIP P</w:t>
      </w:r>
      <w:r w:rsidR="00255A5F" w:rsidRPr="001F74A6">
        <w:t>irineos</w:t>
      </w:r>
      <w:r w:rsidRPr="001F74A6">
        <w:t xml:space="preserve"> </w:t>
      </w:r>
    </w:p>
    <w:p w14:paraId="62E426F7" w14:textId="3BAC26CA" w:rsidR="000F23BA" w:rsidRPr="00174F2A" w:rsidRDefault="00BE1FD2" w:rsidP="000F23BA">
      <w:pPr>
        <w:spacing w:line="312" w:lineRule="auto"/>
        <w:rPr>
          <w:rFonts w:cs="Arial"/>
          <w:color w:val="000000" w:themeColor="text1"/>
          <w:szCs w:val="22"/>
          <w:lang w:val="en-GB"/>
        </w:rPr>
      </w:pPr>
      <w:r>
        <w:rPr>
          <w:rFonts w:cs="Arial"/>
          <w:color w:val="000000" w:themeColor="text1"/>
          <w:szCs w:val="22"/>
          <w:lang w:val="en-GB"/>
        </w:rPr>
        <w:t>T</w:t>
      </w:r>
      <w:r w:rsidR="000F23BA" w:rsidRPr="00174F2A">
        <w:rPr>
          <w:rFonts w:cs="Arial"/>
          <w:color w:val="000000" w:themeColor="text1"/>
          <w:szCs w:val="22"/>
          <w:lang w:val="en-GB"/>
        </w:rPr>
        <w:t xml:space="preserve">he </w:t>
      </w:r>
      <w:r w:rsidR="000F23BA">
        <w:rPr>
          <w:rFonts w:cs="Arial"/>
          <w:color w:val="000000" w:themeColor="text1"/>
          <w:szCs w:val="22"/>
          <w:lang w:val="en-GB"/>
        </w:rPr>
        <w:t>common technical</w:t>
      </w:r>
      <w:r w:rsidR="00600BDB">
        <w:rPr>
          <w:rFonts w:cs="Arial"/>
          <w:color w:val="000000" w:themeColor="text1"/>
          <w:szCs w:val="22"/>
          <w:lang w:val="en-GB"/>
        </w:rPr>
        <w:t xml:space="preserve"> capacity</w:t>
      </w:r>
      <w:r w:rsidR="000F23BA">
        <w:rPr>
          <w:rFonts w:cs="Arial"/>
          <w:color w:val="000000" w:themeColor="text1"/>
          <w:szCs w:val="22"/>
          <w:lang w:val="en-GB"/>
        </w:rPr>
        <w:t xml:space="preserve"> (after the lesser rule application)</w:t>
      </w:r>
      <w:r w:rsidR="000F23BA" w:rsidRPr="00174F2A">
        <w:rPr>
          <w:rFonts w:cs="Arial"/>
          <w:color w:val="000000" w:themeColor="text1"/>
          <w:szCs w:val="22"/>
          <w:lang w:val="en-GB"/>
        </w:rPr>
        <w:t xml:space="preserve"> at VIP Pirineos </w:t>
      </w:r>
      <w:r w:rsidR="00FB741A">
        <w:rPr>
          <w:rFonts w:cs="Arial"/>
          <w:color w:val="000000" w:themeColor="text1"/>
          <w:szCs w:val="22"/>
          <w:lang w:val="en-GB"/>
        </w:rPr>
        <w:t xml:space="preserve">amounts </w:t>
      </w:r>
      <w:r w:rsidR="000F23BA" w:rsidRPr="00174F2A">
        <w:rPr>
          <w:rFonts w:cs="Arial"/>
          <w:color w:val="000000" w:themeColor="text1"/>
          <w:szCs w:val="22"/>
          <w:lang w:val="en-GB"/>
        </w:rPr>
        <w:t xml:space="preserve">to </w:t>
      </w:r>
      <w:r w:rsidR="006A2E27" w:rsidRPr="00174F2A">
        <w:rPr>
          <w:rFonts w:cs="Arial"/>
          <w:color w:val="000000" w:themeColor="text1"/>
          <w:szCs w:val="22"/>
          <w:lang w:val="en-GB"/>
        </w:rPr>
        <w:t>1</w:t>
      </w:r>
      <w:r w:rsidR="006A2E27">
        <w:rPr>
          <w:rFonts w:cs="Arial"/>
          <w:color w:val="000000" w:themeColor="text1"/>
          <w:szCs w:val="22"/>
          <w:lang w:val="en-GB"/>
        </w:rPr>
        <w:t>6</w:t>
      </w:r>
      <w:r w:rsidR="006A2E27" w:rsidRPr="00174F2A">
        <w:rPr>
          <w:rFonts w:cs="Arial"/>
          <w:color w:val="000000" w:themeColor="text1"/>
          <w:szCs w:val="22"/>
          <w:lang w:val="en-GB"/>
        </w:rPr>
        <w:t>5</w:t>
      </w:r>
      <w:r w:rsidR="000F23BA" w:rsidRPr="00174F2A">
        <w:rPr>
          <w:rFonts w:cs="Arial"/>
          <w:color w:val="000000" w:themeColor="text1"/>
          <w:szCs w:val="22"/>
          <w:lang w:val="en-GB"/>
        </w:rPr>
        <w:t>(</w:t>
      </w:r>
      <w:r w:rsidR="006A2E27">
        <w:rPr>
          <w:rFonts w:cs="Arial"/>
          <w:color w:val="000000" w:themeColor="text1"/>
          <w:szCs w:val="22"/>
          <w:lang w:val="en-GB"/>
        </w:rPr>
        <w:t>W</w:t>
      </w:r>
      <w:r w:rsidR="000F23BA" w:rsidRPr="00174F2A">
        <w:rPr>
          <w:rFonts w:cs="Arial"/>
          <w:color w:val="000000" w:themeColor="text1"/>
          <w:szCs w:val="22"/>
          <w:lang w:val="en-GB"/>
        </w:rPr>
        <w:t>)/</w:t>
      </w:r>
      <w:r w:rsidR="006A2E27" w:rsidRPr="00174F2A">
        <w:rPr>
          <w:rFonts w:cs="Arial"/>
          <w:color w:val="000000" w:themeColor="text1"/>
          <w:szCs w:val="22"/>
          <w:lang w:val="en-GB"/>
        </w:rPr>
        <w:t>1</w:t>
      </w:r>
      <w:r w:rsidR="006A2E27">
        <w:rPr>
          <w:rFonts w:cs="Arial"/>
          <w:color w:val="000000" w:themeColor="text1"/>
          <w:szCs w:val="22"/>
          <w:lang w:val="en-GB"/>
        </w:rPr>
        <w:t>7</w:t>
      </w:r>
      <w:r w:rsidR="006A2E27" w:rsidRPr="00174F2A">
        <w:rPr>
          <w:rFonts w:cs="Arial"/>
          <w:color w:val="000000" w:themeColor="text1"/>
          <w:szCs w:val="22"/>
          <w:lang w:val="en-GB"/>
        </w:rPr>
        <w:t>5</w:t>
      </w:r>
      <w:r w:rsidR="000F23BA" w:rsidRPr="00174F2A">
        <w:rPr>
          <w:rFonts w:cs="Arial"/>
          <w:color w:val="000000" w:themeColor="text1"/>
          <w:szCs w:val="22"/>
          <w:lang w:val="en-GB"/>
        </w:rPr>
        <w:t>(</w:t>
      </w:r>
      <w:r w:rsidR="006A2E27">
        <w:rPr>
          <w:rFonts w:cs="Arial"/>
          <w:color w:val="000000" w:themeColor="text1"/>
          <w:szCs w:val="22"/>
          <w:lang w:val="en-GB"/>
        </w:rPr>
        <w:t>S</w:t>
      </w:r>
      <w:r w:rsidR="000F23BA" w:rsidRPr="00174F2A">
        <w:rPr>
          <w:rFonts w:cs="Arial"/>
          <w:color w:val="000000" w:themeColor="text1"/>
          <w:szCs w:val="22"/>
          <w:lang w:val="en-GB"/>
        </w:rPr>
        <w:t>) GWh/d from France to Spain</w:t>
      </w:r>
      <w:r w:rsidR="00FB741A">
        <w:rPr>
          <w:rFonts w:cs="Arial"/>
          <w:color w:val="000000" w:themeColor="text1"/>
          <w:szCs w:val="22"/>
          <w:lang w:val="en-GB"/>
        </w:rPr>
        <w:t xml:space="preserve"> direction</w:t>
      </w:r>
      <w:r w:rsidR="000F23BA" w:rsidRPr="00174F2A">
        <w:rPr>
          <w:rFonts w:cs="Arial"/>
          <w:color w:val="000000" w:themeColor="text1"/>
          <w:szCs w:val="22"/>
          <w:lang w:val="en-GB"/>
        </w:rPr>
        <w:t>, and to 225 GWh/d from Spain to France</w:t>
      </w:r>
      <w:r w:rsidR="00FB741A">
        <w:rPr>
          <w:rFonts w:cs="Arial"/>
          <w:color w:val="000000" w:themeColor="text1"/>
          <w:szCs w:val="22"/>
          <w:lang w:val="en-GB"/>
        </w:rPr>
        <w:t xml:space="preserve"> direction</w:t>
      </w:r>
      <w:r w:rsidR="000F23BA" w:rsidRPr="00174F2A">
        <w:rPr>
          <w:rFonts w:cs="Arial"/>
          <w:color w:val="000000" w:themeColor="text1"/>
          <w:szCs w:val="22"/>
          <w:lang w:val="en-GB"/>
        </w:rPr>
        <w:t>.</w:t>
      </w:r>
    </w:p>
    <w:p w14:paraId="65B7B29C" w14:textId="5F331957" w:rsidR="000F23BA" w:rsidRPr="003760D0" w:rsidRDefault="000F23BA" w:rsidP="00870EB9">
      <w:pPr>
        <w:pStyle w:val="Prrafodelista"/>
        <w:numPr>
          <w:ilvl w:val="1"/>
          <w:numId w:val="9"/>
        </w:numPr>
        <w:spacing w:line="312" w:lineRule="auto"/>
        <w:contextualSpacing w:val="0"/>
        <w:rPr>
          <w:rFonts w:cs="Arial"/>
          <w:color w:val="000000" w:themeColor="text1"/>
          <w:szCs w:val="22"/>
          <w:u w:val="single"/>
          <w:lang w:val="en-GB"/>
        </w:rPr>
      </w:pPr>
      <w:r w:rsidRPr="003760D0">
        <w:rPr>
          <w:rFonts w:cs="Arial"/>
          <w:color w:val="000000" w:themeColor="text1"/>
          <w:szCs w:val="22"/>
          <w:u w:val="single"/>
          <w:lang w:val="en-GB"/>
        </w:rPr>
        <w:t>France to Spain flow direction</w:t>
      </w:r>
    </w:p>
    <w:tbl>
      <w:tblPr>
        <w:tblW w:w="0" w:type="auto"/>
        <w:jc w:val="center"/>
        <w:tblBorders>
          <w:top w:val="nil"/>
          <w:left w:val="nil"/>
          <w:bottom w:val="nil"/>
          <w:right w:val="nil"/>
          <w:insideH w:val="nil"/>
          <w:insideV w:val="nil"/>
        </w:tblBorders>
        <w:tblLayout w:type="fixed"/>
        <w:tblLook w:val="0600" w:firstRow="0" w:lastRow="0" w:firstColumn="0" w:lastColumn="0" w:noHBand="1" w:noVBand="1"/>
      </w:tblPr>
      <w:tblGrid>
        <w:gridCol w:w="3088"/>
        <w:gridCol w:w="3575"/>
      </w:tblGrid>
      <w:tr w:rsidR="00BE1FD2" w:rsidRPr="00637598" w14:paraId="73BA4769" w14:textId="77777777" w:rsidTr="00277506">
        <w:trPr>
          <w:trHeight w:val="25"/>
          <w:jc w:val="center"/>
        </w:trPr>
        <w:tc>
          <w:tcPr>
            <w:tcW w:w="3088" w:type="dxa"/>
            <w:tcBorders>
              <w:top w:val="nil"/>
              <w:left w:val="nil"/>
              <w:bottom w:val="single" w:sz="4" w:space="0" w:color="auto"/>
              <w:right w:val="single" w:sz="4" w:space="0" w:color="auto"/>
            </w:tcBorders>
            <w:tcMar>
              <w:top w:w="100" w:type="dxa"/>
              <w:left w:w="100" w:type="dxa"/>
              <w:bottom w:w="100" w:type="dxa"/>
              <w:right w:w="100" w:type="dxa"/>
            </w:tcMar>
            <w:vAlign w:val="center"/>
          </w:tcPr>
          <w:p w14:paraId="0A01DB43" w14:textId="77777777" w:rsidR="00BE1FD2" w:rsidRPr="00993480" w:rsidRDefault="00BE1FD2" w:rsidP="00622FE0">
            <w:pPr>
              <w:spacing w:before="120" w:after="0" w:line="240" w:lineRule="auto"/>
              <w:rPr>
                <w:b/>
                <w:color w:val="000000"/>
                <w:sz w:val="20"/>
                <w:szCs w:val="20"/>
                <w:lang w:val="en-US"/>
              </w:rPr>
            </w:pPr>
          </w:p>
        </w:tc>
        <w:tc>
          <w:tcPr>
            <w:tcW w:w="357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14:paraId="04455AD5" w14:textId="77777777" w:rsidR="00BE1FD2" w:rsidRPr="00993480" w:rsidRDefault="00BE1FD2" w:rsidP="00622FE0">
            <w:pPr>
              <w:spacing w:before="120" w:after="0" w:line="240" w:lineRule="auto"/>
              <w:rPr>
                <w:b/>
                <w:color w:val="000000"/>
                <w:sz w:val="20"/>
                <w:szCs w:val="20"/>
                <w:lang w:val="en-US"/>
              </w:rPr>
            </w:pPr>
            <w:r w:rsidRPr="00993480">
              <w:rPr>
                <w:b/>
                <w:color w:val="000000"/>
                <w:sz w:val="20"/>
                <w:szCs w:val="20"/>
                <w:lang w:val="en-US"/>
              </w:rPr>
              <w:t>Firm Technical Capacity (GWh/d)</w:t>
            </w:r>
          </w:p>
        </w:tc>
      </w:tr>
      <w:tr w:rsidR="00BE1FD2" w14:paraId="70ED6E54" w14:textId="77777777" w:rsidTr="00277506">
        <w:trPr>
          <w:trHeight w:val="20"/>
          <w:jc w:val="center"/>
        </w:trPr>
        <w:tc>
          <w:tcPr>
            <w:tcW w:w="308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528386" w14:textId="77777777" w:rsidR="00BE1FD2" w:rsidRDefault="00BE1FD2" w:rsidP="00622FE0">
            <w:pPr>
              <w:spacing w:before="120" w:after="0" w:line="240" w:lineRule="auto"/>
              <w:rPr>
                <w:color w:val="000000"/>
                <w:sz w:val="20"/>
                <w:szCs w:val="20"/>
              </w:rPr>
            </w:pPr>
            <w:r>
              <w:rPr>
                <w:color w:val="000000"/>
                <w:sz w:val="20"/>
                <w:szCs w:val="20"/>
              </w:rPr>
              <w:t>Spanish side</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48C999A" w14:textId="77777777" w:rsidR="00BE1FD2" w:rsidRDefault="00BE1FD2" w:rsidP="00622FE0">
            <w:pPr>
              <w:spacing w:before="120" w:after="0" w:line="240" w:lineRule="auto"/>
              <w:rPr>
                <w:color w:val="000000"/>
                <w:sz w:val="20"/>
                <w:szCs w:val="20"/>
              </w:rPr>
            </w:pPr>
            <w:r>
              <w:rPr>
                <w:color w:val="000000"/>
                <w:sz w:val="20"/>
                <w:szCs w:val="20"/>
              </w:rPr>
              <w:t>225</w:t>
            </w:r>
          </w:p>
        </w:tc>
      </w:tr>
      <w:tr w:rsidR="00BE1FD2" w14:paraId="543BB1F3" w14:textId="77777777" w:rsidTr="00277506">
        <w:trPr>
          <w:trHeight w:val="20"/>
          <w:jc w:val="center"/>
        </w:trPr>
        <w:tc>
          <w:tcPr>
            <w:tcW w:w="3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AE6DFF" w14:textId="77777777" w:rsidR="00BE1FD2" w:rsidRDefault="00BE1FD2" w:rsidP="00622FE0">
            <w:pPr>
              <w:spacing w:before="120" w:after="0" w:line="240" w:lineRule="auto"/>
              <w:rPr>
                <w:color w:val="000000"/>
                <w:sz w:val="20"/>
                <w:szCs w:val="20"/>
              </w:rPr>
            </w:pPr>
            <w:r>
              <w:rPr>
                <w:color w:val="000000"/>
                <w:sz w:val="20"/>
                <w:szCs w:val="20"/>
              </w:rPr>
              <w:t>French side</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C4A2A0A" w14:textId="5658D46B" w:rsidR="00BE1FD2" w:rsidRDefault="00BE1FD2" w:rsidP="00277506">
            <w:pPr>
              <w:spacing w:before="120" w:after="0" w:line="240" w:lineRule="auto"/>
              <w:rPr>
                <w:color w:val="000000"/>
                <w:sz w:val="20"/>
                <w:szCs w:val="20"/>
              </w:rPr>
            </w:pPr>
            <w:r>
              <w:rPr>
                <w:color w:val="000000"/>
                <w:sz w:val="20"/>
                <w:szCs w:val="20"/>
              </w:rPr>
              <w:t>165 (W) / 175 (S)</w:t>
            </w:r>
            <w:r w:rsidR="00277506">
              <w:rPr>
                <w:color w:val="000000"/>
                <w:sz w:val="20"/>
                <w:szCs w:val="20"/>
              </w:rPr>
              <w:t xml:space="preserve"> </w:t>
            </w:r>
          </w:p>
        </w:tc>
      </w:tr>
      <w:tr w:rsidR="00BE1FD2" w14:paraId="28A84E2F" w14:textId="77777777" w:rsidTr="00277506">
        <w:trPr>
          <w:trHeight w:val="307"/>
          <w:jc w:val="center"/>
        </w:trPr>
        <w:tc>
          <w:tcPr>
            <w:tcW w:w="3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269BD6" w14:textId="28DA0030" w:rsidR="00BE1FD2" w:rsidRDefault="0071424D" w:rsidP="00622FE0">
            <w:pPr>
              <w:spacing w:before="120" w:after="0" w:line="240" w:lineRule="auto"/>
              <w:rPr>
                <w:b/>
                <w:color w:val="000000"/>
                <w:sz w:val="20"/>
                <w:szCs w:val="20"/>
              </w:rPr>
            </w:pPr>
            <w:r>
              <w:rPr>
                <w:b/>
                <w:color w:val="000000"/>
                <w:sz w:val="20"/>
                <w:szCs w:val="20"/>
              </w:rPr>
              <w:t>Common Technical Firm Capacity (Lesser Rule)</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AF6C9CB" w14:textId="4E45F9D1" w:rsidR="00BE1FD2" w:rsidRDefault="00BE1FD2" w:rsidP="00277506">
            <w:pPr>
              <w:spacing w:before="120" w:after="0" w:line="240" w:lineRule="auto"/>
              <w:rPr>
                <w:b/>
                <w:color w:val="000000"/>
                <w:sz w:val="20"/>
                <w:szCs w:val="20"/>
              </w:rPr>
            </w:pPr>
            <w:r>
              <w:rPr>
                <w:b/>
                <w:color w:val="000000"/>
                <w:sz w:val="20"/>
                <w:szCs w:val="20"/>
              </w:rPr>
              <w:t>165 (W) / 175 (S)</w:t>
            </w:r>
            <w:r w:rsidR="00277506">
              <w:rPr>
                <w:b/>
                <w:color w:val="000000"/>
                <w:sz w:val="20"/>
                <w:szCs w:val="20"/>
              </w:rPr>
              <w:t xml:space="preserve"> </w:t>
            </w:r>
          </w:p>
        </w:tc>
      </w:tr>
      <w:tr w:rsidR="00BE1FD2" w:rsidRPr="00637598" w14:paraId="3BACEA43" w14:textId="77777777" w:rsidTr="00277506">
        <w:trPr>
          <w:trHeight w:val="20"/>
          <w:jc w:val="center"/>
        </w:trPr>
        <w:tc>
          <w:tcPr>
            <w:tcW w:w="6663"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25B566" w14:textId="08E31A8E" w:rsidR="00BE1FD2" w:rsidRPr="00993480" w:rsidRDefault="00BE1FD2" w:rsidP="00622FE0">
            <w:pPr>
              <w:spacing w:before="120" w:after="0" w:line="240" w:lineRule="auto"/>
              <w:jc w:val="left"/>
              <w:rPr>
                <w:color w:val="000000"/>
                <w:sz w:val="18"/>
                <w:szCs w:val="18"/>
                <w:lang w:val="en-US"/>
              </w:rPr>
            </w:pPr>
            <w:r w:rsidRPr="00993480">
              <w:rPr>
                <w:color w:val="000000"/>
                <w:sz w:val="18"/>
                <w:szCs w:val="18"/>
                <w:lang w:val="en-US"/>
              </w:rPr>
              <w:t xml:space="preserve">  (W) Winter: from November to March // (S) Summer: from April to October</w:t>
            </w:r>
          </w:p>
        </w:tc>
      </w:tr>
    </w:tbl>
    <w:p w14:paraId="7E812621" w14:textId="6656B3E2" w:rsidR="008E146C" w:rsidRPr="008E146C" w:rsidRDefault="000F23BA" w:rsidP="00D06621">
      <w:pPr>
        <w:spacing w:line="312" w:lineRule="auto"/>
        <w:rPr>
          <w:u w:val="single"/>
          <w:lang w:val="en-GB"/>
        </w:rPr>
      </w:pPr>
      <w:r w:rsidRPr="008E146C">
        <w:rPr>
          <w:rFonts w:cs="Arial"/>
          <w:color w:val="000000" w:themeColor="text1"/>
          <w:szCs w:val="22"/>
          <w:lang w:val="en-GB"/>
        </w:rPr>
        <w:t>Since December 2015 T</w:t>
      </w:r>
      <w:r w:rsidR="00E2128F" w:rsidRPr="008E146C">
        <w:rPr>
          <w:rFonts w:cs="Arial"/>
          <w:color w:val="000000" w:themeColor="text1"/>
          <w:szCs w:val="22"/>
          <w:lang w:val="en-GB"/>
        </w:rPr>
        <w:t>eréga</w:t>
      </w:r>
      <w:r w:rsidRPr="008E146C">
        <w:rPr>
          <w:rFonts w:cs="Arial"/>
          <w:color w:val="000000" w:themeColor="text1"/>
          <w:szCs w:val="22"/>
          <w:lang w:val="en-GB"/>
        </w:rPr>
        <w:t xml:space="preserve"> </w:t>
      </w:r>
      <w:r w:rsidR="00672FB3" w:rsidRPr="008E146C">
        <w:rPr>
          <w:rFonts w:cs="Arial"/>
          <w:color w:val="000000" w:themeColor="text1"/>
          <w:szCs w:val="22"/>
          <w:lang w:val="en-GB"/>
        </w:rPr>
        <w:t xml:space="preserve">also </w:t>
      </w:r>
      <w:r w:rsidRPr="008E146C">
        <w:rPr>
          <w:rFonts w:cs="Arial"/>
          <w:color w:val="000000" w:themeColor="text1"/>
          <w:szCs w:val="22"/>
          <w:lang w:val="en-GB"/>
        </w:rPr>
        <w:t>offers 60 GWh/d of interruptible capacity unbundled from France to Spain at VIP Pirineos through day-ahead auctions, only when 98% of firm capacity is sold.</w:t>
      </w:r>
      <w:r w:rsidR="00FB741A" w:rsidRPr="008E146C">
        <w:rPr>
          <w:rFonts w:cs="Arial"/>
          <w:color w:val="000000" w:themeColor="text1"/>
          <w:szCs w:val="22"/>
          <w:lang w:val="en-GB"/>
        </w:rPr>
        <w:t xml:space="preserve"> These 60 GWh/d are offered </w:t>
      </w:r>
      <w:r w:rsidR="00672FB3" w:rsidRPr="008E146C">
        <w:rPr>
          <w:rFonts w:cs="Arial"/>
          <w:color w:val="000000" w:themeColor="text1"/>
          <w:szCs w:val="22"/>
          <w:lang w:val="en-GB"/>
        </w:rPr>
        <w:t>o</w:t>
      </w:r>
      <w:r w:rsidR="00FB741A" w:rsidRPr="008E146C">
        <w:rPr>
          <w:rFonts w:cs="Arial"/>
          <w:color w:val="000000" w:themeColor="text1"/>
          <w:szCs w:val="22"/>
          <w:lang w:val="en-GB"/>
        </w:rPr>
        <w:t xml:space="preserve">n Spanish side as firm unbundled capacity from yearly </w:t>
      </w:r>
      <w:r w:rsidR="00CE4486" w:rsidRPr="008E146C">
        <w:rPr>
          <w:rFonts w:cs="Arial"/>
          <w:color w:val="000000" w:themeColor="text1"/>
          <w:szCs w:val="22"/>
          <w:lang w:val="en-GB"/>
        </w:rPr>
        <w:t xml:space="preserve">to </w:t>
      </w:r>
      <w:r w:rsidR="00FB741A" w:rsidRPr="008E146C">
        <w:rPr>
          <w:rFonts w:cs="Arial"/>
          <w:color w:val="000000" w:themeColor="text1"/>
          <w:szCs w:val="22"/>
          <w:lang w:val="en-GB"/>
        </w:rPr>
        <w:t>subsequent shorter horizons</w:t>
      </w:r>
      <w:r w:rsidR="00CE4486" w:rsidRPr="008E146C">
        <w:rPr>
          <w:rFonts w:cs="Arial"/>
          <w:color w:val="000000" w:themeColor="text1"/>
          <w:szCs w:val="22"/>
          <w:lang w:val="en-GB"/>
        </w:rPr>
        <w:t xml:space="preserve"> auctions</w:t>
      </w:r>
      <w:r w:rsidR="00FB741A" w:rsidRPr="008E146C">
        <w:rPr>
          <w:rFonts w:cs="Arial"/>
          <w:color w:val="000000" w:themeColor="text1"/>
          <w:szCs w:val="22"/>
          <w:lang w:val="en-GB"/>
        </w:rPr>
        <w:t xml:space="preserve"> until this capacity is sold out. </w:t>
      </w:r>
      <w:r w:rsidR="00AA0EBF">
        <w:rPr>
          <w:color w:val="31849B" w:themeColor="accent5" w:themeShade="BF"/>
          <w:lang w:val="en-GB"/>
        </w:rPr>
        <w:t xml:space="preserve"> </w:t>
      </w:r>
    </w:p>
    <w:p w14:paraId="0F83F7DB" w14:textId="77777777" w:rsidR="00C75F9C" w:rsidRDefault="000F23BA" w:rsidP="00870EB9">
      <w:pPr>
        <w:pStyle w:val="Prrafodelista"/>
        <w:numPr>
          <w:ilvl w:val="1"/>
          <w:numId w:val="9"/>
        </w:numPr>
        <w:spacing w:line="312" w:lineRule="auto"/>
        <w:contextualSpacing w:val="0"/>
        <w:rPr>
          <w:rFonts w:cs="Arial"/>
          <w:color w:val="000000" w:themeColor="text1"/>
          <w:szCs w:val="22"/>
          <w:u w:val="single"/>
          <w:lang w:val="en-GB"/>
        </w:rPr>
      </w:pPr>
      <w:r w:rsidRPr="003760D0">
        <w:rPr>
          <w:rFonts w:cs="Arial"/>
          <w:color w:val="000000" w:themeColor="text1"/>
          <w:szCs w:val="22"/>
          <w:u w:val="single"/>
          <w:lang w:val="en-GB"/>
        </w:rPr>
        <w:t>Spain to France flow direction</w:t>
      </w:r>
    </w:p>
    <w:tbl>
      <w:tblPr>
        <w:tblW w:w="6663" w:type="dxa"/>
        <w:jc w:val="center"/>
        <w:tblBorders>
          <w:top w:val="nil"/>
          <w:left w:val="nil"/>
          <w:bottom w:val="nil"/>
          <w:right w:val="nil"/>
          <w:insideH w:val="nil"/>
          <w:insideV w:val="nil"/>
        </w:tblBorders>
        <w:tblLayout w:type="fixed"/>
        <w:tblLook w:val="0600" w:firstRow="0" w:lastRow="0" w:firstColumn="0" w:lastColumn="0" w:noHBand="1" w:noVBand="1"/>
      </w:tblPr>
      <w:tblGrid>
        <w:gridCol w:w="3088"/>
        <w:gridCol w:w="3575"/>
      </w:tblGrid>
      <w:tr w:rsidR="00BE1FD2" w:rsidRPr="00637598" w14:paraId="3A73D6D1" w14:textId="77777777" w:rsidTr="00277506">
        <w:trPr>
          <w:trHeight w:val="25"/>
          <w:jc w:val="center"/>
        </w:trPr>
        <w:tc>
          <w:tcPr>
            <w:tcW w:w="3088" w:type="dxa"/>
            <w:tcBorders>
              <w:top w:val="nil"/>
              <w:left w:val="nil"/>
              <w:bottom w:val="single" w:sz="4" w:space="0" w:color="auto"/>
              <w:right w:val="single" w:sz="4" w:space="0" w:color="auto"/>
            </w:tcBorders>
            <w:tcMar>
              <w:top w:w="100" w:type="dxa"/>
              <w:left w:w="100" w:type="dxa"/>
              <w:bottom w:w="100" w:type="dxa"/>
              <w:right w:w="100" w:type="dxa"/>
            </w:tcMar>
          </w:tcPr>
          <w:p w14:paraId="3352353D" w14:textId="77777777" w:rsidR="00BE1FD2" w:rsidRDefault="00BE1FD2" w:rsidP="00622FE0">
            <w:pPr>
              <w:spacing w:before="120" w:after="0" w:line="240" w:lineRule="auto"/>
              <w:rPr>
                <w:b/>
                <w:color w:val="000000"/>
                <w:sz w:val="20"/>
                <w:szCs w:val="20"/>
              </w:rPr>
            </w:pPr>
          </w:p>
        </w:tc>
        <w:tc>
          <w:tcPr>
            <w:tcW w:w="357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73D12B37" w14:textId="77777777" w:rsidR="00BE1FD2" w:rsidRPr="00993480" w:rsidRDefault="00BE1FD2" w:rsidP="00622FE0">
            <w:pPr>
              <w:spacing w:before="120" w:after="0" w:line="240" w:lineRule="auto"/>
              <w:rPr>
                <w:b/>
                <w:color w:val="000000"/>
                <w:sz w:val="20"/>
                <w:szCs w:val="20"/>
                <w:lang w:val="en-US"/>
              </w:rPr>
            </w:pPr>
            <w:r w:rsidRPr="00993480">
              <w:rPr>
                <w:b/>
                <w:color w:val="000000"/>
                <w:sz w:val="20"/>
                <w:szCs w:val="20"/>
                <w:lang w:val="en-US"/>
              </w:rPr>
              <w:t>Firm Technical Capacity (GWh/d)</w:t>
            </w:r>
          </w:p>
        </w:tc>
      </w:tr>
      <w:tr w:rsidR="00BE1FD2" w14:paraId="45307810" w14:textId="77777777" w:rsidTr="00277506">
        <w:trPr>
          <w:trHeight w:val="20"/>
          <w:jc w:val="center"/>
        </w:trPr>
        <w:tc>
          <w:tcPr>
            <w:tcW w:w="308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904D0E4" w14:textId="77777777" w:rsidR="00BE1FD2" w:rsidRDefault="00BE1FD2" w:rsidP="00622FE0">
            <w:pPr>
              <w:spacing w:before="120" w:after="0" w:line="240" w:lineRule="auto"/>
              <w:rPr>
                <w:color w:val="000000"/>
                <w:sz w:val="20"/>
                <w:szCs w:val="20"/>
              </w:rPr>
            </w:pPr>
            <w:r>
              <w:rPr>
                <w:color w:val="000000"/>
                <w:sz w:val="20"/>
                <w:szCs w:val="20"/>
              </w:rPr>
              <w:t>Spanish side</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tcPr>
          <w:p w14:paraId="18CE80D0" w14:textId="77777777" w:rsidR="00BE1FD2" w:rsidRDefault="00BE1FD2" w:rsidP="00622FE0">
            <w:pPr>
              <w:spacing w:before="120" w:after="0" w:line="240" w:lineRule="auto"/>
              <w:rPr>
                <w:color w:val="000000"/>
                <w:sz w:val="20"/>
                <w:szCs w:val="20"/>
              </w:rPr>
            </w:pPr>
            <w:r>
              <w:rPr>
                <w:color w:val="000000"/>
                <w:sz w:val="20"/>
                <w:szCs w:val="20"/>
              </w:rPr>
              <w:t>225</w:t>
            </w:r>
          </w:p>
        </w:tc>
      </w:tr>
      <w:tr w:rsidR="00BE1FD2" w14:paraId="152D8A99" w14:textId="77777777" w:rsidTr="00277506">
        <w:trPr>
          <w:trHeight w:val="20"/>
          <w:jc w:val="center"/>
        </w:trPr>
        <w:tc>
          <w:tcPr>
            <w:tcW w:w="3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7AE91B" w14:textId="77777777" w:rsidR="00BE1FD2" w:rsidRDefault="00BE1FD2" w:rsidP="00622FE0">
            <w:pPr>
              <w:spacing w:before="120" w:after="0" w:line="240" w:lineRule="auto"/>
              <w:rPr>
                <w:color w:val="000000"/>
                <w:sz w:val="20"/>
                <w:szCs w:val="20"/>
              </w:rPr>
            </w:pPr>
            <w:r>
              <w:rPr>
                <w:color w:val="000000"/>
                <w:sz w:val="20"/>
                <w:szCs w:val="20"/>
              </w:rPr>
              <w:t>French side</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tcPr>
          <w:p w14:paraId="594DB535" w14:textId="77777777" w:rsidR="00BE1FD2" w:rsidRDefault="00BE1FD2" w:rsidP="00622FE0">
            <w:pPr>
              <w:spacing w:before="120" w:after="0" w:line="240" w:lineRule="auto"/>
              <w:rPr>
                <w:color w:val="000000"/>
                <w:sz w:val="20"/>
                <w:szCs w:val="20"/>
              </w:rPr>
            </w:pPr>
            <w:r>
              <w:rPr>
                <w:color w:val="000000"/>
                <w:sz w:val="20"/>
                <w:szCs w:val="20"/>
              </w:rPr>
              <w:t>225</w:t>
            </w:r>
          </w:p>
        </w:tc>
      </w:tr>
      <w:tr w:rsidR="00BE1FD2" w14:paraId="2B557404" w14:textId="77777777" w:rsidTr="00277506">
        <w:trPr>
          <w:trHeight w:val="20"/>
          <w:jc w:val="center"/>
        </w:trPr>
        <w:tc>
          <w:tcPr>
            <w:tcW w:w="3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2AC8FB" w14:textId="59CCC41C" w:rsidR="00BE1FD2" w:rsidRDefault="00BD13BA" w:rsidP="00622FE0">
            <w:pPr>
              <w:spacing w:before="120" w:after="0" w:line="240" w:lineRule="auto"/>
              <w:rPr>
                <w:b/>
                <w:color w:val="000000"/>
                <w:sz w:val="20"/>
                <w:szCs w:val="20"/>
              </w:rPr>
            </w:pPr>
            <w:r>
              <w:rPr>
                <w:b/>
                <w:color w:val="000000"/>
                <w:sz w:val="20"/>
                <w:szCs w:val="20"/>
              </w:rPr>
              <w:t>Common Technical Firm Capacity</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tcPr>
          <w:p w14:paraId="776CFDE7" w14:textId="77777777" w:rsidR="00BE1FD2" w:rsidRDefault="00BE1FD2" w:rsidP="00622FE0">
            <w:pPr>
              <w:spacing w:before="120" w:after="0" w:line="240" w:lineRule="auto"/>
              <w:rPr>
                <w:b/>
                <w:color w:val="000000"/>
                <w:sz w:val="20"/>
                <w:szCs w:val="20"/>
              </w:rPr>
            </w:pPr>
            <w:r>
              <w:rPr>
                <w:b/>
                <w:color w:val="000000"/>
                <w:sz w:val="20"/>
                <w:szCs w:val="20"/>
              </w:rPr>
              <w:t xml:space="preserve"> 225</w:t>
            </w:r>
          </w:p>
        </w:tc>
      </w:tr>
      <w:tr w:rsidR="00BE1FD2" w14:paraId="13BB0D19" w14:textId="77777777" w:rsidTr="00277506">
        <w:trPr>
          <w:trHeight w:val="20"/>
          <w:jc w:val="center"/>
        </w:trPr>
        <w:tc>
          <w:tcPr>
            <w:tcW w:w="6663"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5082EA" w14:textId="77777777" w:rsidR="00BE1FD2" w:rsidRDefault="00BE1FD2" w:rsidP="00622FE0">
            <w:pPr>
              <w:spacing w:before="120" w:after="0" w:line="240" w:lineRule="auto"/>
              <w:jc w:val="left"/>
              <w:rPr>
                <w:color w:val="000000"/>
                <w:sz w:val="18"/>
                <w:szCs w:val="18"/>
              </w:rPr>
            </w:pPr>
            <w:r>
              <w:rPr>
                <w:color w:val="000000"/>
                <w:sz w:val="18"/>
                <w:szCs w:val="18"/>
              </w:rPr>
              <w:t xml:space="preserve"> All year through</w:t>
            </w:r>
          </w:p>
        </w:tc>
      </w:tr>
    </w:tbl>
    <w:p w14:paraId="0DEC647C" w14:textId="5F038BB3" w:rsidR="008E146C" w:rsidRDefault="008E146C" w:rsidP="008E146C">
      <w:pPr>
        <w:pStyle w:val="Descripcin"/>
        <w:spacing w:before="240" w:line="360" w:lineRule="auto"/>
        <w:jc w:val="center"/>
        <w:rPr>
          <w:sz w:val="16"/>
          <w:lang w:val="en-US"/>
        </w:rPr>
      </w:pPr>
      <w:r>
        <w:rPr>
          <w:noProof/>
          <w:lang w:eastAsia="es-ES"/>
        </w:rPr>
        <w:drawing>
          <wp:inline distT="0" distB="0" distL="0" distR="0" wp14:anchorId="47D22A69" wp14:editId="64B1EAB7">
            <wp:extent cx="5391150" cy="30563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056345"/>
                    </a:xfrm>
                    <a:prstGeom prst="rect">
                      <a:avLst/>
                    </a:prstGeom>
                    <a:noFill/>
                  </pic:spPr>
                </pic:pic>
              </a:graphicData>
            </a:graphic>
          </wp:inline>
        </w:drawing>
      </w: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2</w:t>
      </w:r>
      <w:r w:rsidRPr="007F0BFA">
        <w:rPr>
          <w:sz w:val="16"/>
        </w:rPr>
        <w:fldChar w:fldCharType="end"/>
      </w:r>
      <w:r w:rsidRPr="00B85064">
        <w:rPr>
          <w:sz w:val="16"/>
          <w:lang w:val="en-US"/>
        </w:rPr>
        <w:t>:</w:t>
      </w:r>
      <w:r w:rsidRPr="007F0BFA">
        <w:rPr>
          <w:sz w:val="16"/>
          <w:lang w:val="en-US"/>
        </w:rPr>
        <w:t xml:space="preserve"> </w:t>
      </w:r>
      <w:r>
        <w:rPr>
          <w:sz w:val="16"/>
          <w:lang w:val="en-US"/>
        </w:rPr>
        <w:t xml:space="preserve">Technical capacity at VIP Pirineos </w:t>
      </w:r>
    </w:p>
    <w:p w14:paraId="6D6CE755" w14:textId="35A93C97" w:rsidR="000F23BA" w:rsidRPr="00E2128F" w:rsidRDefault="000F23BA" w:rsidP="001F74A6">
      <w:pPr>
        <w:pStyle w:val="Ttulo4"/>
        <w:spacing w:line="240" w:lineRule="auto"/>
        <w:ind w:hanging="1006"/>
      </w:pPr>
      <w:r w:rsidRPr="00E2128F">
        <w:t>VIP I</w:t>
      </w:r>
      <w:r w:rsidR="004317BF" w:rsidRPr="00E2128F">
        <w:t>bérico</w:t>
      </w:r>
    </w:p>
    <w:p w14:paraId="64D6F165" w14:textId="5BAFC47E" w:rsidR="008208B1" w:rsidRDefault="008208B1" w:rsidP="008208B1">
      <w:pPr>
        <w:spacing w:line="312" w:lineRule="auto"/>
        <w:rPr>
          <w:rFonts w:cs="Arial"/>
          <w:color w:val="000000" w:themeColor="text1"/>
          <w:lang w:val="en-GB"/>
        </w:rPr>
      </w:pPr>
      <w:r w:rsidRPr="00E60027">
        <w:rPr>
          <w:rFonts w:cs="Arial"/>
          <w:color w:val="000000" w:themeColor="text1"/>
          <w:lang w:val="en-GB"/>
        </w:rPr>
        <w:t xml:space="preserve">During the </w:t>
      </w:r>
      <w:r w:rsidR="0027479F">
        <w:rPr>
          <w:rFonts w:cs="Arial"/>
          <w:color w:val="000000" w:themeColor="text1"/>
          <w:lang w:val="en-GB"/>
        </w:rPr>
        <w:t>whole</w:t>
      </w:r>
      <w:r w:rsidRPr="00E60027">
        <w:rPr>
          <w:rFonts w:cs="Arial"/>
          <w:color w:val="000000" w:themeColor="text1"/>
          <w:lang w:val="en-GB"/>
        </w:rPr>
        <w:t xml:space="preserve"> period under review, the technical capacity at VIP Ibérico was 80 GWh/d from Portugal to Spain flow direction and 144 GWh/d from Spain to Portugal flow direction. Th</w:t>
      </w:r>
      <w:r w:rsidR="00CC5AC3">
        <w:rPr>
          <w:rFonts w:cs="Arial"/>
          <w:color w:val="000000" w:themeColor="text1"/>
          <w:lang w:val="en-GB"/>
        </w:rPr>
        <w:t>e</w:t>
      </w:r>
      <w:r w:rsidRPr="00E60027">
        <w:rPr>
          <w:rFonts w:cs="Arial"/>
          <w:color w:val="000000" w:themeColor="text1"/>
          <w:lang w:val="en-GB"/>
        </w:rPr>
        <w:t>s</w:t>
      </w:r>
      <w:r w:rsidR="00CC5AC3">
        <w:rPr>
          <w:rFonts w:cs="Arial"/>
          <w:color w:val="000000" w:themeColor="text1"/>
          <w:lang w:val="en-GB"/>
        </w:rPr>
        <w:t>e</w:t>
      </w:r>
      <w:r w:rsidRPr="00E60027">
        <w:rPr>
          <w:rFonts w:cs="Arial"/>
          <w:color w:val="000000" w:themeColor="text1"/>
          <w:lang w:val="en-GB"/>
        </w:rPr>
        <w:t xml:space="preserve"> capacities were confirmed </w:t>
      </w:r>
      <w:r w:rsidR="00CC5AC3">
        <w:rPr>
          <w:rFonts w:cs="Arial"/>
          <w:color w:val="000000" w:themeColor="text1"/>
          <w:lang w:val="en-GB"/>
        </w:rPr>
        <w:t xml:space="preserve">by TSOs </w:t>
      </w:r>
      <w:r w:rsidRPr="00E60027">
        <w:rPr>
          <w:rFonts w:cs="Arial"/>
          <w:color w:val="000000" w:themeColor="text1"/>
          <w:lang w:val="en-GB"/>
        </w:rPr>
        <w:t>until September 30</w:t>
      </w:r>
      <w:r w:rsidRPr="00E60027">
        <w:rPr>
          <w:rFonts w:cs="Arial"/>
          <w:color w:val="000000" w:themeColor="text1"/>
          <w:vertAlign w:val="superscript"/>
          <w:lang w:val="en-GB"/>
        </w:rPr>
        <w:t>th</w:t>
      </w:r>
      <w:r w:rsidR="0024338F">
        <w:rPr>
          <w:rFonts w:cs="Arial"/>
          <w:color w:val="000000" w:themeColor="text1"/>
          <w:lang w:val="en-GB"/>
        </w:rPr>
        <w:t xml:space="preserve">, </w:t>
      </w:r>
      <w:r w:rsidRPr="00E60027">
        <w:rPr>
          <w:rFonts w:cs="Arial"/>
          <w:color w:val="000000" w:themeColor="text1"/>
          <w:lang w:val="en-GB"/>
        </w:rPr>
        <w:t>2024.</w:t>
      </w:r>
    </w:p>
    <w:p w14:paraId="7B0E3A34" w14:textId="77777777" w:rsidR="00BD13BA" w:rsidRDefault="00BD13BA" w:rsidP="0011493F">
      <w:pPr>
        <w:pStyle w:val="Prrafodelista"/>
        <w:numPr>
          <w:ilvl w:val="1"/>
          <w:numId w:val="9"/>
        </w:numPr>
        <w:spacing w:line="312" w:lineRule="auto"/>
        <w:ind w:left="1434" w:hanging="357"/>
        <w:contextualSpacing w:val="0"/>
        <w:rPr>
          <w:rFonts w:cs="Arial"/>
          <w:color w:val="000000" w:themeColor="text1"/>
          <w:szCs w:val="22"/>
          <w:u w:val="single"/>
          <w:lang w:val="en-GB"/>
        </w:rPr>
      </w:pPr>
      <w:r>
        <w:rPr>
          <w:rFonts w:cs="Arial"/>
          <w:color w:val="000000" w:themeColor="text1"/>
          <w:szCs w:val="22"/>
          <w:u w:val="single"/>
          <w:lang w:val="en-GB"/>
        </w:rPr>
        <w:t>Portugal</w:t>
      </w:r>
      <w:r w:rsidRPr="003760D0">
        <w:rPr>
          <w:rFonts w:cs="Arial"/>
          <w:color w:val="000000" w:themeColor="text1"/>
          <w:szCs w:val="22"/>
          <w:u w:val="single"/>
          <w:lang w:val="en-GB"/>
        </w:rPr>
        <w:t xml:space="preserve"> to </w:t>
      </w:r>
      <w:r>
        <w:rPr>
          <w:rFonts w:cs="Arial"/>
          <w:color w:val="000000" w:themeColor="text1"/>
          <w:szCs w:val="22"/>
          <w:u w:val="single"/>
          <w:lang w:val="en-GB"/>
        </w:rPr>
        <w:t>Spain</w:t>
      </w:r>
      <w:r w:rsidRPr="003760D0">
        <w:rPr>
          <w:rFonts w:cs="Arial"/>
          <w:color w:val="000000" w:themeColor="text1"/>
          <w:szCs w:val="22"/>
          <w:u w:val="single"/>
          <w:lang w:val="en-GB"/>
        </w:rPr>
        <w:t xml:space="preserve"> flow direction</w:t>
      </w:r>
    </w:p>
    <w:tbl>
      <w:tblPr>
        <w:tblW w:w="6663" w:type="dxa"/>
        <w:jc w:val="center"/>
        <w:tblBorders>
          <w:top w:val="nil"/>
          <w:left w:val="nil"/>
          <w:bottom w:val="nil"/>
          <w:right w:val="nil"/>
          <w:insideH w:val="nil"/>
          <w:insideV w:val="nil"/>
        </w:tblBorders>
        <w:tblLayout w:type="fixed"/>
        <w:tblLook w:val="0600" w:firstRow="0" w:lastRow="0" w:firstColumn="0" w:lastColumn="0" w:noHBand="1" w:noVBand="1"/>
      </w:tblPr>
      <w:tblGrid>
        <w:gridCol w:w="3088"/>
        <w:gridCol w:w="3575"/>
      </w:tblGrid>
      <w:tr w:rsidR="00BD13BA" w:rsidRPr="00637598" w14:paraId="4681A0BA" w14:textId="77777777" w:rsidTr="00BD13BA">
        <w:trPr>
          <w:trHeight w:val="25"/>
          <w:jc w:val="center"/>
        </w:trPr>
        <w:tc>
          <w:tcPr>
            <w:tcW w:w="3088" w:type="dxa"/>
            <w:tcBorders>
              <w:top w:val="nil"/>
              <w:left w:val="nil"/>
              <w:bottom w:val="single" w:sz="4" w:space="0" w:color="auto"/>
              <w:right w:val="single" w:sz="4" w:space="0" w:color="auto"/>
            </w:tcBorders>
            <w:tcMar>
              <w:top w:w="100" w:type="dxa"/>
              <w:left w:w="100" w:type="dxa"/>
              <w:bottom w:w="100" w:type="dxa"/>
              <w:right w:w="100" w:type="dxa"/>
            </w:tcMar>
          </w:tcPr>
          <w:p w14:paraId="6BDBDFCA" w14:textId="77777777" w:rsidR="00BD13BA" w:rsidRDefault="00BD13BA" w:rsidP="00BD13BA">
            <w:pPr>
              <w:spacing w:before="120" w:after="0" w:line="240" w:lineRule="auto"/>
              <w:rPr>
                <w:b/>
                <w:color w:val="000000"/>
                <w:sz w:val="20"/>
                <w:szCs w:val="20"/>
              </w:rPr>
            </w:pPr>
          </w:p>
        </w:tc>
        <w:tc>
          <w:tcPr>
            <w:tcW w:w="357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6D252ECF" w14:textId="77777777" w:rsidR="00BD13BA" w:rsidRPr="00993480" w:rsidRDefault="00BD13BA" w:rsidP="00BD13BA">
            <w:pPr>
              <w:spacing w:before="120" w:after="0" w:line="240" w:lineRule="auto"/>
              <w:rPr>
                <w:b/>
                <w:color w:val="000000"/>
                <w:sz w:val="20"/>
                <w:szCs w:val="20"/>
                <w:lang w:val="en-US"/>
              </w:rPr>
            </w:pPr>
            <w:r w:rsidRPr="00993480">
              <w:rPr>
                <w:b/>
                <w:color w:val="000000"/>
                <w:sz w:val="20"/>
                <w:szCs w:val="20"/>
                <w:lang w:val="en-US"/>
              </w:rPr>
              <w:t>Technical Firm Capacity (GWh/d)</w:t>
            </w:r>
          </w:p>
        </w:tc>
      </w:tr>
      <w:tr w:rsidR="00BD13BA" w14:paraId="332A3E78" w14:textId="77777777" w:rsidTr="00BD13BA">
        <w:trPr>
          <w:trHeight w:val="20"/>
          <w:jc w:val="center"/>
        </w:trPr>
        <w:tc>
          <w:tcPr>
            <w:tcW w:w="308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5FFDE34" w14:textId="77777777" w:rsidR="00BD13BA" w:rsidRDefault="00BD13BA" w:rsidP="00BD13BA">
            <w:pPr>
              <w:spacing w:before="120" w:after="0" w:line="240" w:lineRule="auto"/>
              <w:rPr>
                <w:color w:val="000000"/>
                <w:sz w:val="20"/>
                <w:szCs w:val="20"/>
              </w:rPr>
            </w:pPr>
            <w:r>
              <w:rPr>
                <w:color w:val="000000"/>
                <w:sz w:val="20"/>
                <w:szCs w:val="20"/>
              </w:rPr>
              <w:t>Spanish side</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tcPr>
          <w:p w14:paraId="73FC5A89" w14:textId="77777777" w:rsidR="00BD13BA" w:rsidRDefault="00BD13BA" w:rsidP="00BD13BA">
            <w:pPr>
              <w:spacing w:before="120" w:after="0" w:line="240" w:lineRule="auto"/>
              <w:jc w:val="center"/>
              <w:rPr>
                <w:color w:val="000000"/>
                <w:sz w:val="20"/>
                <w:szCs w:val="20"/>
              </w:rPr>
            </w:pPr>
            <w:r>
              <w:rPr>
                <w:color w:val="000000"/>
                <w:sz w:val="20"/>
                <w:szCs w:val="20"/>
              </w:rPr>
              <w:t>80</w:t>
            </w:r>
          </w:p>
        </w:tc>
      </w:tr>
      <w:tr w:rsidR="00BD13BA" w14:paraId="7BAF1BAB" w14:textId="77777777" w:rsidTr="00BD13BA">
        <w:trPr>
          <w:trHeight w:val="20"/>
          <w:jc w:val="center"/>
        </w:trPr>
        <w:tc>
          <w:tcPr>
            <w:tcW w:w="3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AB4F71" w14:textId="77777777" w:rsidR="00BD13BA" w:rsidRDefault="00BD13BA" w:rsidP="00BD13BA">
            <w:pPr>
              <w:spacing w:before="120" w:after="0" w:line="240" w:lineRule="auto"/>
              <w:rPr>
                <w:color w:val="000000"/>
                <w:sz w:val="20"/>
                <w:szCs w:val="20"/>
              </w:rPr>
            </w:pPr>
            <w:r>
              <w:rPr>
                <w:color w:val="000000"/>
                <w:sz w:val="20"/>
                <w:szCs w:val="20"/>
              </w:rPr>
              <w:t>Portuguese side</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tcPr>
          <w:p w14:paraId="251397B1" w14:textId="77777777" w:rsidR="00BD13BA" w:rsidRDefault="00BD13BA" w:rsidP="00BD13BA">
            <w:pPr>
              <w:spacing w:before="120" w:after="0" w:line="240" w:lineRule="auto"/>
              <w:jc w:val="center"/>
              <w:rPr>
                <w:color w:val="000000"/>
                <w:sz w:val="20"/>
                <w:szCs w:val="20"/>
              </w:rPr>
            </w:pPr>
            <w:r>
              <w:rPr>
                <w:color w:val="000000"/>
                <w:sz w:val="20"/>
                <w:szCs w:val="20"/>
              </w:rPr>
              <w:t>80</w:t>
            </w:r>
          </w:p>
        </w:tc>
      </w:tr>
      <w:tr w:rsidR="00BD13BA" w14:paraId="2C4BADE2" w14:textId="77777777" w:rsidTr="00BD13BA">
        <w:trPr>
          <w:trHeight w:val="20"/>
          <w:jc w:val="center"/>
        </w:trPr>
        <w:tc>
          <w:tcPr>
            <w:tcW w:w="3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C55C12" w14:textId="77777777" w:rsidR="00BD13BA" w:rsidRDefault="00BD13BA" w:rsidP="00BD13BA">
            <w:pPr>
              <w:spacing w:before="120" w:after="0" w:line="240" w:lineRule="auto"/>
              <w:rPr>
                <w:b/>
                <w:color w:val="000000"/>
                <w:sz w:val="20"/>
                <w:szCs w:val="20"/>
              </w:rPr>
            </w:pPr>
            <w:r>
              <w:rPr>
                <w:b/>
                <w:color w:val="000000"/>
                <w:sz w:val="20"/>
                <w:szCs w:val="20"/>
              </w:rPr>
              <w:t>Common Technical Firm Capacity</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tcPr>
          <w:p w14:paraId="3969D636" w14:textId="77777777" w:rsidR="00BD13BA" w:rsidRDefault="00BD13BA" w:rsidP="00BD13BA">
            <w:pPr>
              <w:spacing w:before="120" w:after="0" w:line="240" w:lineRule="auto"/>
              <w:jc w:val="center"/>
              <w:rPr>
                <w:b/>
                <w:color w:val="000000"/>
                <w:sz w:val="20"/>
                <w:szCs w:val="20"/>
              </w:rPr>
            </w:pPr>
            <w:r>
              <w:rPr>
                <w:b/>
                <w:color w:val="000000"/>
                <w:sz w:val="20"/>
                <w:szCs w:val="20"/>
              </w:rPr>
              <w:t>80</w:t>
            </w:r>
          </w:p>
        </w:tc>
      </w:tr>
      <w:tr w:rsidR="00BD13BA" w14:paraId="234F0109" w14:textId="77777777" w:rsidTr="00BD13BA">
        <w:trPr>
          <w:trHeight w:val="20"/>
          <w:jc w:val="center"/>
        </w:trPr>
        <w:tc>
          <w:tcPr>
            <w:tcW w:w="6663"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5A8FE4" w14:textId="77777777" w:rsidR="00BD13BA" w:rsidRDefault="00BD13BA" w:rsidP="00BD13BA">
            <w:pPr>
              <w:spacing w:before="120" w:after="0" w:line="240" w:lineRule="auto"/>
              <w:jc w:val="left"/>
              <w:rPr>
                <w:color w:val="000000"/>
                <w:sz w:val="18"/>
                <w:szCs w:val="18"/>
              </w:rPr>
            </w:pPr>
            <w:r>
              <w:rPr>
                <w:color w:val="000000"/>
                <w:sz w:val="18"/>
                <w:szCs w:val="18"/>
              </w:rPr>
              <w:t xml:space="preserve"> All year through</w:t>
            </w:r>
          </w:p>
        </w:tc>
      </w:tr>
    </w:tbl>
    <w:p w14:paraId="53A4F578" w14:textId="77777777" w:rsidR="00BD13BA" w:rsidRDefault="00BD13BA" w:rsidP="0011493F">
      <w:pPr>
        <w:pStyle w:val="Prrafodelista"/>
        <w:numPr>
          <w:ilvl w:val="1"/>
          <w:numId w:val="9"/>
        </w:numPr>
        <w:spacing w:line="312" w:lineRule="auto"/>
        <w:ind w:left="1434" w:hanging="357"/>
        <w:contextualSpacing w:val="0"/>
        <w:rPr>
          <w:rFonts w:cs="Arial"/>
          <w:color w:val="000000" w:themeColor="text1"/>
          <w:szCs w:val="22"/>
          <w:u w:val="single"/>
          <w:lang w:val="en-GB"/>
        </w:rPr>
      </w:pPr>
      <w:r>
        <w:rPr>
          <w:rFonts w:cs="Arial"/>
          <w:color w:val="000000" w:themeColor="text1"/>
          <w:szCs w:val="22"/>
          <w:u w:val="single"/>
          <w:lang w:val="en-GB"/>
        </w:rPr>
        <w:t>Spain</w:t>
      </w:r>
      <w:r w:rsidRPr="003760D0">
        <w:rPr>
          <w:rFonts w:cs="Arial"/>
          <w:color w:val="000000" w:themeColor="text1"/>
          <w:szCs w:val="22"/>
          <w:u w:val="single"/>
          <w:lang w:val="en-GB"/>
        </w:rPr>
        <w:t xml:space="preserve"> to </w:t>
      </w:r>
      <w:r>
        <w:rPr>
          <w:rFonts w:cs="Arial"/>
          <w:color w:val="000000" w:themeColor="text1"/>
          <w:szCs w:val="22"/>
          <w:u w:val="single"/>
          <w:lang w:val="en-GB"/>
        </w:rPr>
        <w:t>Portugal</w:t>
      </w:r>
      <w:r w:rsidRPr="003760D0">
        <w:rPr>
          <w:rFonts w:cs="Arial"/>
          <w:color w:val="000000" w:themeColor="text1"/>
          <w:szCs w:val="22"/>
          <w:u w:val="single"/>
          <w:lang w:val="en-GB"/>
        </w:rPr>
        <w:t xml:space="preserve"> flow direction</w:t>
      </w:r>
    </w:p>
    <w:tbl>
      <w:tblPr>
        <w:tblW w:w="6663" w:type="dxa"/>
        <w:jc w:val="center"/>
        <w:tblBorders>
          <w:top w:val="nil"/>
          <w:left w:val="nil"/>
          <w:bottom w:val="nil"/>
          <w:right w:val="nil"/>
          <w:insideH w:val="nil"/>
          <w:insideV w:val="nil"/>
        </w:tblBorders>
        <w:tblLayout w:type="fixed"/>
        <w:tblLook w:val="0600" w:firstRow="0" w:lastRow="0" w:firstColumn="0" w:lastColumn="0" w:noHBand="1" w:noVBand="1"/>
      </w:tblPr>
      <w:tblGrid>
        <w:gridCol w:w="3088"/>
        <w:gridCol w:w="3575"/>
      </w:tblGrid>
      <w:tr w:rsidR="00BD13BA" w:rsidRPr="00637598" w14:paraId="26817D9F" w14:textId="77777777" w:rsidTr="00BD13BA">
        <w:trPr>
          <w:trHeight w:val="25"/>
          <w:jc w:val="center"/>
        </w:trPr>
        <w:tc>
          <w:tcPr>
            <w:tcW w:w="3088" w:type="dxa"/>
            <w:tcBorders>
              <w:top w:val="nil"/>
              <w:left w:val="nil"/>
              <w:bottom w:val="single" w:sz="4" w:space="0" w:color="auto"/>
              <w:right w:val="single" w:sz="4" w:space="0" w:color="auto"/>
            </w:tcBorders>
            <w:tcMar>
              <w:top w:w="100" w:type="dxa"/>
              <w:left w:w="100" w:type="dxa"/>
              <w:bottom w:w="100" w:type="dxa"/>
              <w:right w:w="100" w:type="dxa"/>
            </w:tcMar>
          </w:tcPr>
          <w:p w14:paraId="7A69D348" w14:textId="77777777" w:rsidR="00BD13BA" w:rsidRDefault="00BD13BA" w:rsidP="00BD13BA">
            <w:pPr>
              <w:spacing w:before="120" w:after="0" w:line="240" w:lineRule="auto"/>
              <w:rPr>
                <w:b/>
                <w:color w:val="000000"/>
                <w:sz w:val="20"/>
                <w:szCs w:val="20"/>
              </w:rPr>
            </w:pPr>
          </w:p>
        </w:tc>
        <w:tc>
          <w:tcPr>
            <w:tcW w:w="357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48DB776D" w14:textId="77777777" w:rsidR="00BD13BA" w:rsidRPr="00993480" w:rsidRDefault="00BD13BA" w:rsidP="00BD13BA">
            <w:pPr>
              <w:spacing w:before="120" w:after="0" w:line="240" w:lineRule="auto"/>
              <w:rPr>
                <w:b/>
                <w:color w:val="000000"/>
                <w:sz w:val="20"/>
                <w:szCs w:val="20"/>
                <w:lang w:val="en-US"/>
              </w:rPr>
            </w:pPr>
            <w:r w:rsidRPr="00993480">
              <w:rPr>
                <w:b/>
                <w:color w:val="000000"/>
                <w:sz w:val="20"/>
                <w:szCs w:val="20"/>
                <w:lang w:val="en-US"/>
              </w:rPr>
              <w:t>Technical Firm Capacity (GWh/d)</w:t>
            </w:r>
          </w:p>
        </w:tc>
      </w:tr>
      <w:tr w:rsidR="00BD13BA" w14:paraId="787C03B1" w14:textId="77777777" w:rsidTr="00BD13BA">
        <w:trPr>
          <w:trHeight w:val="20"/>
          <w:jc w:val="center"/>
        </w:trPr>
        <w:tc>
          <w:tcPr>
            <w:tcW w:w="308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0BCFB40" w14:textId="77777777" w:rsidR="00BD13BA" w:rsidRDefault="00BD13BA" w:rsidP="00BD13BA">
            <w:pPr>
              <w:spacing w:before="120" w:after="0" w:line="240" w:lineRule="auto"/>
              <w:rPr>
                <w:color w:val="000000"/>
                <w:sz w:val="20"/>
                <w:szCs w:val="20"/>
              </w:rPr>
            </w:pPr>
            <w:r>
              <w:rPr>
                <w:color w:val="000000"/>
                <w:sz w:val="20"/>
                <w:szCs w:val="20"/>
              </w:rPr>
              <w:t>Spanish side</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tcPr>
          <w:p w14:paraId="7CFFB2D1" w14:textId="77777777" w:rsidR="00BD13BA" w:rsidRDefault="00BD13BA" w:rsidP="00BD13BA">
            <w:pPr>
              <w:spacing w:before="120" w:after="0" w:line="240" w:lineRule="auto"/>
              <w:jc w:val="center"/>
              <w:rPr>
                <w:color w:val="000000"/>
                <w:sz w:val="20"/>
                <w:szCs w:val="20"/>
              </w:rPr>
            </w:pPr>
            <w:r>
              <w:rPr>
                <w:color w:val="000000"/>
                <w:sz w:val="20"/>
                <w:szCs w:val="20"/>
              </w:rPr>
              <w:t>144</w:t>
            </w:r>
          </w:p>
        </w:tc>
      </w:tr>
      <w:tr w:rsidR="00BD13BA" w14:paraId="35E47498" w14:textId="77777777" w:rsidTr="00BD13BA">
        <w:trPr>
          <w:trHeight w:val="20"/>
          <w:jc w:val="center"/>
        </w:trPr>
        <w:tc>
          <w:tcPr>
            <w:tcW w:w="3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A6A299" w14:textId="77777777" w:rsidR="00BD13BA" w:rsidRDefault="00BD13BA" w:rsidP="00BD13BA">
            <w:pPr>
              <w:spacing w:before="120" w:after="0" w:line="240" w:lineRule="auto"/>
              <w:rPr>
                <w:color w:val="000000"/>
                <w:sz w:val="20"/>
                <w:szCs w:val="20"/>
              </w:rPr>
            </w:pPr>
            <w:r>
              <w:rPr>
                <w:color w:val="000000"/>
                <w:sz w:val="20"/>
                <w:szCs w:val="20"/>
              </w:rPr>
              <w:t>Portuguese side</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tcPr>
          <w:p w14:paraId="3BB8A6D1" w14:textId="77777777" w:rsidR="00BD13BA" w:rsidRDefault="00BD13BA" w:rsidP="00BD13BA">
            <w:pPr>
              <w:spacing w:before="120" w:after="0" w:line="240" w:lineRule="auto"/>
              <w:jc w:val="center"/>
              <w:rPr>
                <w:color w:val="000000"/>
                <w:sz w:val="20"/>
                <w:szCs w:val="20"/>
              </w:rPr>
            </w:pPr>
            <w:r>
              <w:rPr>
                <w:color w:val="000000"/>
                <w:sz w:val="20"/>
                <w:szCs w:val="20"/>
              </w:rPr>
              <w:t>144</w:t>
            </w:r>
          </w:p>
        </w:tc>
      </w:tr>
      <w:tr w:rsidR="00BD13BA" w14:paraId="0BBF1E71" w14:textId="77777777" w:rsidTr="00BD13BA">
        <w:trPr>
          <w:trHeight w:val="20"/>
          <w:jc w:val="center"/>
        </w:trPr>
        <w:tc>
          <w:tcPr>
            <w:tcW w:w="3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59CECD" w14:textId="77777777" w:rsidR="00BD13BA" w:rsidRDefault="00BD13BA" w:rsidP="00BD13BA">
            <w:pPr>
              <w:spacing w:before="120" w:after="0" w:line="240" w:lineRule="auto"/>
              <w:rPr>
                <w:b/>
                <w:color w:val="000000"/>
                <w:sz w:val="20"/>
                <w:szCs w:val="20"/>
              </w:rPr>
            </w:pPr>
            <w:r>
              <w:rPr>
                <w:b/>
                <w:color w:val="000000"/>
                <w:sz w:val="20"/>
                <w:szCs w:val="20"/>
              </w:rPr>
              <w:t>Common Technical Firm Capacity</w:t>
            </w:r>
          </w:p>
        </w:tc>
        <w:tc>
          <w:tcPr>
            <w:tcW w:w="3575" w:type="dxa"/>
            <w:tcBorders>
              <w:top w:val="nil"/>
              <w:left w:val="nil"/>
              <w:bottom w:val="single" w:sz="8" w:space="0" w:color="000000"/>
              <w:right w:val="single" w:sz="8" w:space="0" w:color="000000"/>
            </w:tcBorders>
            <w:tcMar>
              <w:top w:w="100" w:type="dxa"/>
              <w:left w:w="100" w:type="dxa"/>
              <w:bottom w:w="100" w:type="dxa"/>
              <w:right w:w="100" w:type="dxa"/>
            </w:tcMar>
          </w:tcPr>
          <w:p w14:paraId="485F514F" w14:textId="77777777" w:rsidR="00BD13BA" w:rsidRDefault="00BD13BA" w:rsidP="00BD13BA">
            <w:pPr>
              <w:spacing w:before="120" w:after="0" w:line="240" w:lineRule="auto"/>
              <w:jc w:val="center"/>
              <w:rPr>
                <w:b/>
                <w:color w:val="000000"/>
                <w:sz w:val="20"/>
                <w:szCs w:val="20"/>
              </w:rPr>
            </w:pPr>
            <w:r>
              <w:rPr>
                <w:b/>
                <w:color w:val="000000"/>
                <w:sz w:val="20"/>
                <w:szCs w:val="20"/>
              </w:rPr>
              <w:t>144</w:t>
            </w:r>
          </w:p>
        </w:tc>
      </w:tr>
      <w:tr w:rsidR="00BD13BA" w14:paraId="0EF496EB" w14:textId="77777777" w:rsidTr="00BD13BA">
        <w:trPr>
          <w:trHeight w:val="20"/>
          <w:jc w:val="center"/>
        </w:trPr>
        <w:tc>
          <w:tcPr>
            <w:tcW w:w="6663"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FF8741" w14:textId="77777777" w:rsidR="00BD13BA" w:rsidRDefault="00BD13BA" w:rsidP="00BD13BA">
            <w:pPr>
              <w:spacing w:before="120" w:after="0" w:line="240" w:lineRule="auto"/>
              <w:jc w:val="left"/>
              <w:rPr>
                <w:color w:val="000000"/>
                <w:sz w:val="18"/>
                <w:szCs w:val="18"/>
              </w:rPr>
            </w:pPr>
            <w:r>
              <w:rPr>
                <w:color w:val="000000"/>
                <w:sz w:val="18"/>
                <w:szCs w:val="18"/>
              </w:rPr>
              <w:t xml:space="preserve"> All year through</w:t>
            </w:r>
          </w:p>
        </w:tc>
      </w:tr>
    </w:tbl>
    <w:p w14:paraId="0B6E466B" w14:textId="2F280C94" w:rsidR="00BD13BA" w:rsidRDefault="00BD13BA" w:rsidP="0011493F">
      <w:pPr>
        <w:keepNext/>
        <w:spacing w:line="312" w:lineRule="auto"/>
        <w:jc w:val="center"/>
        <w:rPr>
          <w:rFonts w:cs="Arial"/>
          <w:color w:val="000000" w:themeColor="text1"/>
          <w:szCs w:val="22"/>
          <w:lang w:val="en-GB"/>
        </w:rPr>
      </w:pPr>
      <w:r>
        <w:rPr>
          <w:rFonts w:cs="Arial"/>
          <w:noProof/>
          <w:color w:val="000000" w:themeColor="text1"/>
          <w:szCs w:val="22"/>
          <w:lang w:val="es-ES" w:eastAsia="es-ES"/>
        </w:rPr>
        <w:drawing>
          <wp:inline distT="0" distB="0" distL="0" distR="0" wp14:anchorId="57190FB6" wp14:editId="777CAE9A">
            <wp:extent cx="3016800" cy="31032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800" cy="3103200"/>
                    </a:xfrm>
                    <a:prstGeom prst="rect">
                      <a:avLst/>
                    </a:prstGeom>
                    <a:noFill/>
                  </pic:spPr>
                </pic:pic>
              </a:graphicData>
            </a:graphic>
          </wp:inline>
        </w:drawing>
      </w:r>
    </w:p>
    <w:p w14:paraId="054342F5" w14:textId="7E466426" w:rsidR="0011493F" w:rsidRPr="0011493F" w:rsidRDefault="0011493F" w:rsidP="0011493F">
      <w:pPr>
        <w:spacing w:line="312" w:lineRule="auto"/>
        <w:jc w:val="center"/>
        <w:rPr>
          <w:rFonts w:ascii="Verdana" w:hAnsi="Verdana" w:cs="Arial"/>
          <w:b/>
          <w:color w:val="000000" w:themeColor="text1"/>
          <w:szCs w:val="22"/>
          <w:lang w:val="en-GB"/>
        </w:rPr>
      </w:pPr>
      <w:r w:rsidRPr="0011493F">
        <w:rPr>
          <w:rFonts w:ascii="Verdana" w:hAnsi="Verdana"/>
          <w:b/>
          <w:sz w:val="16"/>
          <w:lang w:val="en-US"/>
        </w:rPr>
        <w:t xml:space="preserve">Figure </w:t>
      </w:r>
      <w:r w:rsidRPr="0011493F">
        <w:rPr>
          <w:rFonts w:ascii="Verdana" w:hAnsi="Verdana"/>
          <w:b/>
          <w:sz w:val="16"/>
        </w:rPr>
        <w:fldChar w:fldCharType="begin"/>
      </w:r>
      <w:r w:rsidRPr="0011493F">
        <w:rPr>
          <w:rFonts w:ascii="Verdana" w:hAnsi="Verdana"/>
          <w:b/>
          <w:sz w:val="16"/>
          <w:lang w:val="en-US"/>
        </w:rPr>
        <w:instrText xml:space="preserve"> SEQ Figure \* ARABIC </w:instrText>
      </w:r>
      <w:r w:rsidRPr="0011493F">
        <w:rPr>
          <w:rFonts w:ascii="Verdana" w:hAnsi="Verdana"/>
          <w:b/>
          <w:sz w:val="16"/>
        </w:rPr>
        <w:fldChar w:fldCharType="separate"/>
      </w:r>
      <w:r w:rsidR="00E859C7">
        <w:rPr>
          <w:rFonts w:ascii="Verdana" w:hAnsi="Verdana"/>
          <w:b/>
          <w:noProof/>
          <w:sz w:val="16"/>
          <w:lang w:val="en-US"/>
        </w:rPr>
        <w:t>3</w:t>
      </w:r>
      <w:r w:rsidRPr="0011493F">
        <w:rPr>
          <w:rFonts w:ascii="Verdana" w:hAnsi="Verdana"/>
          <w:b/>
          <w:sz w:val="16"/>
        </w:rPr>
        <w:fldChar w:fldCharType="end"/>
      </w:r>
      <w:r w:rsidRPr="0011493F">
        <w:rPr>
          <w:rFonts w:ascii="Verdana" w:hAnsi="Verdana"/>
          <w:b/>
          <w:sz w:val="16"/>
          <w:lang w:val="en-US"/>
        </w:rPr>
        <w:t xml:space="preserve">: Technical capacity at VIP </w:t>
      </w:r>
      <w:r>
        <w:rPr>
          <w:rFonts w:ascii="Verdana" w:hAnsi="Verdana"/>
          <w:b/>
          <w:sz w:val="16"/>
          <w:lang w:val="en-US"/>
        </w:rPr>
        <w:t>Ibérico</w:t>
      </w:r>
    </w:p>
    <w:p w14:paraId="6EF445D7" w14:textId="07950A0F" w:rsidR="000F23BA" w:rsidRPr="001C7A6E" w:rsidRDefault="000F23BA" w:rsidP="008413FF">
      <w:pPr>
        <w:pStyle w:val="Ttulo4"/>
        <w:spacing w:line="240" w:lineRule="auto"/>
      </w:pPr>
      <w:r w:rsidRPr="001C7A6E">
        <w:t>Nor</w:t>
      </w:r>
      <w:r w:rsidR="00E91DAC" w:rsidRPr="001C7A6E">
        <w:t xml:space="preserve">th – </w:t>
      </w:r>
      <w:r w:rsidRPr="001C7A6E">
        <w:t>S</w:t>
      </w:r>
      <w:r w:rsidR="00E91DAC" w:rsidRPr="001C7A6E">
        <w:t>outh Link</w:t>
      </w:r>
    </w:p>
    <w:p w14:paraId="2C2837B3" w14:textId="100EED7A" w:rsidR="000F23BA" w:rsidRPr="00F33BD1" w:rsidRDefault="000F23BA" w:rsidP="000F23BA">
      <w:pPr>
        <w:spacing w:line="312" w:lineRule="auto"/>
        <w:rPr>
          <w:rFonts w:cs="Arial"/>
          <w:color w:val="000000" w:themeColor="text1"/>
          <w:szCs w:val="22"/>
          <w:lang w:val="en-GB"/>
        </w:rPr>
      </w:pPr>
      <w:r w:rsidRPr="00F33BD1">
        <w:rPr>
          <w:rFonts w:cs="Arial"/>
          <w:color w:val="000000" w:themeColor="text1"/>
          <w:szCs w:val="22"/>
          <w:lang w:val="en-GB"/>
        </w:rPr>
        <w:t>From North to South, the liaison Nord-Sud ha</w:t>
      </w:r>
      <w:r w:rsidR="00751CFA">
        <w:rPr>
          <w:rFonts w:cs="Arial"/>
          <w:color w:val="000000" w:themeColor="text1"/>
          <w:szCs w:val="22"/>
          <w:lang w:val="en-GB"/>
        </w:rPr>
        <w:t>d</w:t>
      </w:r>
      <w:r w:rsidRPr="00F33BD1">
        <w:rPr>
          <w:rFonts w:cs="Arial"/>
          <w:color w:val="000000" w:themeColor="text1"/>
          <w:szCs w:val="22"/>
          <w:lang w:val="en-GB"/>
        </w:rPr>
        <w:t xml:space="preserve"> a firm capacity of 270 GWh/day and an additional interruptible capacity of 180 GWh/d.</w:t>
      </w:r>
    </w:p>
    <w:p w14:paraId="1DEDABC4" w14:textId="27B9285B" w:rsidR="000F23BA" w:rsidRPr="00F33BD1" w:rsidRDefault="000F23BA" w:rsidP="000F23BA">
      <w:pPr>
        <w:spacing w:line="312" w:lineRule="auto"/>
        <w:rPr>
          <w:rFonts w:cs="Arial"/>
          <w:color w:val="000000" w:themeColor="text1"/>
          <w:szCs w:val="22"/>
          <w:lang w:val="en-GB"/>
        </w:rPr>
      </w:pPr>
      <w:r w:rsidRPr="00F33BD1">
        <w:rPr>
          <w:rFonts w:cs="Arial"/>
          <w:color w:val="000000" w:themeColor="text1"/>
          <w:szCs w:val="22"/>
          <w:lang w:val="en-GB"/>
        </w:rPr>
        <w:t>From South to North, the liaison Nord-Sud ha</w:t>
      </w:r>
      <w:r w:rsidR="00751CFA">
        <w:rPr>
          <w:rFonts w:cs="Arial"/>
          <w:color w:val="000000" w:themeColor="text1"/>
          <w:szCs w:val="22"/>
          <w:lang w:val="en-GB"/>
        </w:rPr>
        <w:t>d</w:t>
      </w:r>
      <w:r w:rsidRPr="00F33BD1">
        <w:rPr>
          <w:rFonts w:cs="Arial"/>
          <w:color w:val="000000" w:themeColor="text1"/>
          <w:szCs w:val="22"/>
          <w:lang w:val="en-GB"/>
        </w:rPr>
        <w:t xml:space="preserve"> a firm capacity of 230 GWh/day and an additional interruptible capacity of 350 GWh/d.</w:t>
      </w:r>
    </w:p>
    <w:p w14:paraId="41E33A98" w14:textId="201C76FD" w:rsidR="000F23BA" w:rsidRPr="00F33BD1" w:rsidRDefault="000F23BA" w:rsidP="000F23BA">
      <w:pPr>
        <w:spacing w:line="312" w:lineRule="auto"/>
        <w:rPr>
          <w:rFonts w:cs="Arial"/>
          <w:color w:val="000000" w:themeColor="text1"/>
          <w:szCs w:val="22"/>
          <w:lang w:val="en-GB"/>
        </w:rPr>
      </w:pPr>
      <w:r w:rsidRPr="00F33BD1">
        <w:rPr>
          <w:rFonts w:cs="Arial"/>
          <w:color w:val="000000" w:themeColor="text1"/>
          <w:szCs w:val="22"/>
          <w:lang w:val="en-GB"/>
        </w:rPr>
        <w:t>This point disappear</w:t>
      </w:r>
      <w:r w:rsidR="00751CFA">
        <w:rPr>
          <w:rFonts w:cs="Arial"/>
          <w:color w:val="000000" w:themeColor="text1"/>
          <w:szCs w:val="22"/>
          <w:lang w:val="en-GB"/>
        </w:rPr>
        <w:t>ed</w:t>
      </w:r>
      <w:r w:rsidRPr="00F33BD1">
        <w:rPr>
          <w:rFonts w:cs="Arial"/>
          <w:color w:val="000000" w:themeColor="text1"/>
          <w:szCs w:val="22"/>
          <w:lang w:val="en-GB"/>
        </w:rPr>
        <w:t xml:space="preserve"> </w:t>
      </w:r>
      <w:r w:rsidR="00672FB3">
        <w:rPr>
          <w:rFonts w:cs="Arial"/>
          <w:color w:val="000000" w:themeColor="text1"/>
          <w:szCs w:val="22"/>
          <w:lang w:val="en-GB"/>
        </w:rPr>
        <w:t xml:space="preserve">on </w:t>
      </w:r>
      <w:r w:rsidRPr="00F33BD1">
        <w:rPr>
          <w:rFonts w:cs="Arial"/>
          <w:color w:val="000000" w:themeColor="text1"/>
          <w:szCs w:val="22"/>
          <w:lang w:val="en-GB"/>
        </w:rPr>
        <w:t>the 1</w:t>
      </w:r>
      <w:r w:rsidRPr="00F33BD1">
        <w:rPr>
          <w:rFonts w:cs="Arial"/>
          <w:color w:val="000000" w:themeColor="text1"/>
          <w:szCs w:val="22"/>
          <w:vertAlign w:val="superscript"/>
          <w:lang w:val="en-GB"/>
        </w:rPr>
        <w:t>st</w:t>
      </w:r>
      <w:r w:rsidRPr="00F33BD1">
        <w:rPr>
          <w:rFonts w:cs="Arial"/>
          <w:color w:val="000000" w:themeColor="text1"/>
          <w:szCs w:val="22"/>
          <w:lang w:val="en-GB"/>
        </w:rPr>
        <w:t xml:space="preserve"> of November 2018. </w:t>
      </w:r>
    </w:p>
    <w:p w14:paraId="454BC27E" w14:textId="77777777" w:rsidR="000F23BA" w:rsidRPr="00993480" w:rsidRDefault="000F23BA" w:rsidP="001F74A6">
      <w:pPr>
        <w:pStyle w:val="Ttulo2"/>
        <w:keepNext/>
        <w:spacing w:after="0" w:line="240" w:lineRule="auto"/>
        <w:rPr>
          <w:lang w:val="en-US"/>
        </w:rPr>
      </w:pPr>
      <w:bookmarkStart w:id="44" w:name="_Toc481748778"/>
      <w:bookmarkStart w:id="45" w:name="_Toc49770589"/>
      <w:r w:rsidRPr="00993480">
        <w:rPr>
          <w:lang w:val="en-US"/>
        </w:rPr>
        <w:t>Capacity calculation methodology</w:t>
      </w:r>
      <w:bookmarkEnd w:id="44"/>
      <w:bookmarkEnd w:id="45"/>
    </w:p>
    <w:p w14:paraId="06713D7C" w14:textId="77777777" w:rsidR="000F23BA" w:rsidRDefault="000F23BA" w:rsidP="00452812">
      <w:pPr>
        <w:pStyle w:val="Ttulo3"/>
        <w:jc w:val="left"/>
        <w:rPr>
          <w:lang w:val="en-US"/>
        </w:rPr>
      </w:pPr>
      <w:r>
        <w:rPr>
          <w:lang w:val="en-US"/>
        </w:rPr>
        <w:t>VIP P</w:t>
      </w:r>
      <w:r w:rsidR="00255A5F">
        <w:rPr>
          <w:lang w:val="en-US"/>
        </w:rPr>
        <w:t>irineos</w:t>
      </w:r>
      <w:r>
        <w:rPr>
          <w:lang w:val="en-US"/>
        </w:rPr>
        <w:t xml:space="preserve"> and VIP I</w:t>
      </w:r>
      <w:r w:rsidR="004317BF">
        <w:rPr>
          <w:lang w:val="en-US"/>
        </w:rPr>
        <w:t>bérico</w:t>
      </w:r>
    </w:p>
    <w:p w14:paraId="41506C21" w14:textId="35E70EB2" w:rsidR="000F23BA" w:rsidRDefault="000F23BA" w:rsidP="000F23BA">
      <w:pPr>
        <w:spacing w:line="312" w:lineRule="auto"/>
        <w:rPr>
          <w:rFonts w:cs="Arial"/>
          <w:color w:val="000000" w:themeColor="text1"/>
          <w:szCs w:val="22"/>
          <w:lang w:val="en-GB"/>
        </w:rPr>
      </w:pPr>
      <w:r w:rsidRPr="00165A36">
        <w:rPr>
          <w:rFonts w:cs="Arial"/>
          <w:color w:val="000000" w:themeColor="text1"/>
          <w:szCs w:val="22"/>
          <w:lang w:val="en-GB"/>
        </w:rPr>
        <w:t xml:space="preserve">In accordance to article 6 of </w:t>
      </w:r>
      <w:r w:rsidR="00627D08">
        <w:rPr>
          <w:rFonts w:cs="Arial"/>
          <w:color w:val="000000" w:themeColor="text1"/>
          <w:szCs w:val="22"/>
          <w:lang w:val="en-GB"/>
        </w:rPr>
        <w:t>CAM NC</w:t>
      </w:r>
      <w:r w:rsidRPr="00165A36">
        <w:rPr>
          <w:rFonts w:cs="Arial"/>
          <w:color w:val="000000" w:themeColor="text1"/>
          <w:szCs w:val="22"/>
          <w:lang w:val="en-GB"/>
        </w:rPr>
        <w:t>, Enagás</w:t>
      </w:r>
      <w:r w:rsidR="00AC5F84">
        <w:rPr>
          <w:rFonts w:cs="Arial"/>
          <w:color w:val="000000" w:themeColor="text1"/>
          <w:szCs w:val="22"/>
          <w:lang w:val="en-GB"/>
        </w:rPr>
        <w:t xml:space="preserve"> and </w:t>
      </w:r>
      <w:r w:rsidRPr="00165A36">
        <w:rPr>
          <w:rFonts w:cs="Arial"/>
          <w:color w:val="000000" w:themeColor="text1"/>
          <w:szCs w:val="22"/>
          <w:lang w:val="en-GB"/>
        </w:rPr>
        <w:t>T</w:t>
      </w:r>
      <w:r w:rsidR="00993480">
        <w:rPr>
          <w:rFonts w:cs="Arial"/>
          <w:color w:val="000000" w:themeColor="text1"/>
          <w:szCs w:val="22"/>
          <w:lang w:val="en-GB"/>
        </w:rPr>
        <w:t>eréga</w:t>
      </w:r>
      <w:r w:rsidR="00AC5F84">
        <w:rPr>
          <w:rFonts w:cs="Arial"/>
          <w:color w:val="000000" w:themeColor="text1"/>
          <w:szCs w:val="22"/>
          <w:lang w:val="en-GB"/>
        </w:rPr>
        <w:t xml:space="preserve"> on the one hand and Enagás and </w:t>
      </w:r>
      <w:r w:rsidR="00D06621">
        <w:rPr>
          <w:rFonts w:cs="Arial"/>
          <w:color w:val="000000" w:themeColor="text1"/>
          <w:szCs w:val="22"/>
          <w:lang w:val="en-GB"/>
        </w:rPr>
        <w:t xml:space="preserve">REN on </w:t>
      </w:r>
      <w:r w:rsidR="00AC5F84">
        <w:rPr>
          <w:rFonts w:cs="Arial"/>
          <w:color w:val="000000" w:themeColor="text1"/>
          <w:szCs w:val="22"/>
          <w:lang w:val="en-GB"/>
        </w:rPr>
        <w:t>the other hand</w:t>
      </w:r>
      <w:r w:rsidRPr="00165A36">
        <w:rPr>
          <w:rFonts w:cs="Arial"/>
          <w:color w:val="000000" w:themeColor="text1"/>
          <w:szCs w:val="22"/>
          <w:lang w:val="en-GB"/>
        </w:rPr>
        <w:t xml:space="preserve"> optimize their level of technical capacity to maximize their offer of bundled capacity at the VIP Pirineos and at VIP Ib</w:t>
      </w:r>
      <w:r w:rsidR="004317BF">
        <w:rPr>
          <w:rFonts w:cs="Arial"/>
          <w:color w:val="000000" w:themeColor="text1"/>
          <w:szCs w:val="22"/>
          <w:lang w:val="en-GB"/>
        </w:rPr>
        <w:t>é</w:t>
      </w:r>
      <w:r w:rsidRPr="00165A36">
        <w:rPr>
          <w:rFonts w:cs="Arial"/>
          <w:color w:val="000000" w:themeColor="text1"/>
          <w:szCs w:val="22"/>
          <w:lang w:val="en-GB"/>
        </w:rPr>
        <w:t>rico</w:t>
      </w:r>
      <w:r w:rsidR="00CC5AC3">
        <w:rPr>
          <w:rFonts w:cs="Arial"/>
          <w:color w:val="000000" w:themeColor="text1"/>
          <w:szCs w:val="22"/>
          <w:lang w:val="en-GB"/>
        </w:rPr>
        <w:t>,</w:t>
      </w:r>
      <w:r w:rsidR="00AC5F84">
        <w:rPr>
          <w:rFonts w:cs="Arial"/>
          <w:color w:val="000000" w:themeColor="text1"/>
          <w:szCs w:val="22"/>
          <w:lang w:val="en-GB"/>
        </w:rPr>
        <w:t xml:space="preserve"> respectively</w:t>
      </w:r>
      <w:r w:rsidRPr="00165A36">
        <w:rPr>
          <w:rFonts w:cs="Arial"/>
          <w:color w:val="000000" w:themeColor="text1"/>
          <w:szCs w:val="22"/>
          <w:lang w:val="en-GB"/>
        </w:rPr>
        <w:t>.</w:t>
      </w:r>
    </w:p>
    <w:p w14:paraId="4550FCAA" w14:textId="5C95570C" w:rsidR="000F23BA" w:rsidRDefault="000F23BA" w:rsidP="000F23BA">
      <w:pPr>
        <w:spacing w:line="312" w:lineRule="auto"/>
        <w:rPr>
          <w:rFonts w:cs="Arial"/>
          <w:color w:val="000000" w:themeColor="text1"/>
          <w:szCs w:val="22"/>
          <w:lang w:val="en-US"/>
        </w:rPr>
      </w:pPr>
      <w:r>
        <w:rPr>
          <w:rFonts w:cs="Arial"/>
          <w:color w:val="000000" w:themeColor="text1"/>
          <w:szCs w:val="22"/>
          <w:lang w:val="en-US"/>
        </w:rPr>
        <w:t>A</w:t>
      </w:r>
      <w:r w:rsidRPr="00165A36">
        <w:rPr>
          <w:rFonts w:cs="Arial"/>
          <w:color w:val="000000" w:themeColor="text1"/>
          <w:szCs w:val="22"/>
          <w:lang w:val="en-US"/>
        </w:rPr>
        <w:t xml:space="preserve"> common methodology </w:t>
      </w:r>
      <w:r w:rsidR="00AC5F84">
        <w:rPr>
          <w:rFonts w:cs="Arial"/>
          <w:color w:val="000000" w:themeColor="text1"/>
          <w:szCs w:val="22"/>
          <w:lang w:val="en-US"/>
        </w:rPr>
        <w:t>was</w:t>
      </w:r>
      <w:r w:rsidRPr="00165A36">
        <w:rPr>
          <w:rFonts w:cs="Arial"/>
          <w:color w:val="000000" w:themeColor="text1"/>
          <w:szCs w:val="22"/>
          <w:lang w:val="en-US"/>
        </w:rPr>
        <w:t xml:space="preserve"> established by TSOs and validated by </w:t>
      </w:r>
      <w:r w:rsidR="008D1FC6">
        <w:rPr>
          <w:rFonts w:cs="Arial"/>
          <w:color w:val="000000" w:themeColor="text1"/>
          <w:szCs w:val="22"/>
          <w:lang w:val="en-US"/>
        </w:rPr>
        <w:t xml:space="preserve">the </w:t>
      </w:r>
      <w:r w:rsidRPr="00165A36">
        <w:rPr>
          <w:rFonts w:cs="Arial"/>
          <w:color w:val="000000" w:themeColor="text1"/>
          <w:szCs w:val="22"/>
          <w:lang w:val="en-US"/>
        </w:rPr>
        <w:t>South Region</w:t>
      </w:r>
      <w:r w:rsidR="008D1FC6">
        <w:rPr>
          <w:rFonts w:cs="Arial"/>
          <w:color w:val="000000" w:themeColor="text1"/>
          <w:szCs w:val="22"/>
          <w:lang w:val="en-US"/>
        </w:rPr>
        <w:t>`s</w:t>
      </w:r>
      <w:r w:rsidRPr="00165A36">
        <w:rPr>
          <w:rFonts w:cs="Arial"/>
          <w:color w:val="000000" w:themeColor="text1"/>
          <w:szCs w:val="22"/>
          <w:lang w:val="en-US"/>
        </w:rPr>
        <w:t xml:space="preserve"> NRAs</w:t>
      </w:r>
      <w:r>
        <w:rPr>
          <w:rFonts w:cs="Arial"/>
          <w:color w:val="000000" w:themeColor="text1"/>
          <w:szCs w:val="22"/>
          <w:lang w:val="en-US"/>
        </w:rPr>
        <w:t xml:space="preserve"> in the framework of </w:t>
      </w:r>
      <w:r w:rsidR="008D1FC6">
        <w:rPr>
          <w:rFonts w:cs="Arial"/>
          <w:color w:val="000000" w:themeColor="text1"/>
          <w:szCs w:val="22"/>
          <w:lang w:val="en-US"/>
        </w:rPr>
        <w:t xml:space="preserve">the </w:t>
      </w:r>
      <w:r>
        <w:rPr>
          <w:rFonts w:cs="Arial"/>
          <w:color w:val="000000" w:themeColor="text1"/>
          <w:szCs w:val="22"/>
          <w:lang w:val="en-US"/>
        </w:rPr>
        <w:t>South Gas Regional Initiative</w:t>
      </w:r>
      <w:r w:rsidRPr="00165A36">
        <w:rPr>
          <w:rFonts w:cs="Arial"/>
          <w:color w:val="000000" w:themeColor="text1"/>
          <w:szCs w:val="22"/>
          <w:lang w:val="en-US"/>
        </w:rPr>
        <w:t xml:space="preserve">, giving details of their calculations and of their maximization process in line with </w:t>
      </w:r>
      <w:r w:rsidR="008D1FC6">
        <w:rPr>
          <w:rFonts w:cs="Arial"/>
          <w:color w:val="000000" w:themeColor="text1"/>
          <w:szCs w:val="22"/>
          <w:lang w:val="en-US"/>
        </w:rPr>
        <w:t xml:space="preserve">the </w:t>
      </w:r>
      <w:r w:rsidRPr="00165A36">
        <w:rPr>
          <w:rFonts w:cs="Arial"/>
          <w:color w:val="000000" w:themeColor="text1"/>
          <w:szCs w:val="22"/>
          <w:lang w:val="en-US"/>
        </w:rPr>
        <w:t>regulation and</w:t>
      </w:r>
      <w:r w:rsidR="008D1FC6">
        <w:rPr>
          <w:rFonts w:cs="Arial"/>
          <w:color w:val="000000" w:themeColor="text1"/>
          <w:szCs w:val="22"/>
          <w:lang w:val="en-US"/>
        </w:rPr>
        <w:t xml:space="preserve"> the</w:t>
      </w:r>
      <w:r w:rsidRPr="00165A36">
        <w:rPr>
          <w:rFonts w:cs="Arial"/>
          <w:color w:val="000000" w:themeColor="text1"/>
          <w:szCs w:val="22"/>
          <w:lang w:val="en-US"/>
        </w:rPr>
        <w:t xml:space="preserve"> capacities agreed by </w:t>
      </w:r>
      <w:r w:rsidR="008D1FC6">
        <w:rPr>
          <w:rFonts w:cs="Arial"/>
          <w:color w:val="000000" w:themeColor="text1"/>
          <w:szCs w:val="22"/>
          <w:lang w:val="en-US"/>
        </w:rPr>
        <w:t xml:space="preserve">the </w:t>
      </w:r>
      <w:r w:rsidRPr="00165A36">
        <w:rPr>
          <w:rFonts w:cs="Arial"/>
          <w:color w:val="000000" w:themeColor="text1"/>
          <w:szCs w:val="22"/>
          <w:lang w:val="en-US"/>
        </w:rPr>
        <w:t>TSOs at VIPs.</w:t>
      </w:r>
    </w:p>
    <w:p w14:paraId="4EF9D4F5" w14:textId="77777777" w:rsidR="000F23BA" w:rsidRDefault="000F23BA" w:rsidP="00A91FE8">
      <w:pPr>
        <w:pStyle w:val="Ttulo4"/>
        <w:keepNext w:val="0"/>
        <w:spacing w:line="240" w:lineRule="auto"/>
        <w:ind w:hanging="1006"/>
      </w:pPr>
      <w:r>
        <w:t>Capacity calculation methodology at VIP P</w:t>
      </w:r>
      <w:r w:rsidR="00255A5F">
        <w:t>irineos</w:t>
      </w:r>
    </w:p>
    <w:p w14:paraId="49FFC560" w14:textId="1A2106E5" w:rsidR="0011493F" w:rsidRDefault="0011493F" w:rsidP="00A91FE8">
      <w:pPr>
        <w:spacing w:line="312" w:lineRule="auto"/>
        <w:rPr>
          <w:color w:val="000000" w:themeColor="text1"/>
          <w:lang w:val="en-US"/>
        </w:rPr>
      </w:pPr>
      <w:r>
        <w:rPr>
          <w:color w:val="000000" w:themeColor="text1"/>
          <w:lang w:val="en-US"/>
        </w:rPr>
        <w:t xml:space="preserve">Currently, Teréga and Enagás calculate, agree, publish and offer capacity at the VIP Pirineos. This capacity calculation is based on an analysis of the technical capacity at both sides of the interconnection. Revision is carried out whenever required, in case of critical demand changes, both at global and local levels, or in case of commissioning of new infrastructures that might have an impact on cross-border capacities. </w:t>
      </w:r>
    </w:p>
    <w:p w14:paraId="7443CD30" w14:textId="77777777" w:rsidR="0011493F" w:rsidRDefault="0011493F" w:rsidP="00A91FE8">
      <w:pPr>
        <w:spacing w:line="312" w:lineRule="auto"/>
        <w:rPr>
          <w:color w:val="000000" w:themeColor="text1"/>
          <w:lang w:val="en-US"/>
        </w:rPr>
      </w:pPr>
      <w:r>
        <w:rPr>
          <w:color w:val="000000" w:themeColor="text1"/>
          <w:lang w:val="en-US"/>
        </w:rPr>
        <w:t>This joint method takes into consideration a dynamic approach, re-calculating the technical capacity whenever needed, such as in case of critical demand changes, both at wide level and at local level, or in case of commissioning of new infrastructures that might have an impact in cross-border capacities.</w:t>
      </w:r>
    </w:p>
    <w:p w14:paraId="6823980E" w14:textId="77777777" w:rsidR="0011493F" w:rsidRDefault="0011493F" w:rsidP="00A91FE8">
      <w:pPr>
        <w:spacing w:line="312" w:lineRule="auto"/>
        <w:rPr>
          <w:color w:val="000000" w:themeColor="text1"/>
          <w:lang w:val="en-US"/>
        </w:rPr>
      </w:pPr>
      <w:r>
        <w:rPr>
          <w:color w:val="000000" w:themeColor="text1"/>
          <w:lang w:val="en-US"/>
        </w:rPr>
        <w:t xml:space="preserve">Further steps on the dynamic approach of the technical capacity re-calculation are being explored by TSOs in line with NRAs vision about this topic. </w:t>
      </w:r>
    </w:p>
    <w:p w14:paraId="388D4766" w14:textId="7C2B9ED3" w:rsidR="0011493F" w:rsidRDefault="0011493F" w:rsidP="00A91FE8">
      <w:pPr>
        <w:spacing w:line="312" w:lineRule="auto"/>
        <w:rPr>
          <w:color w:val="000000" w:themeColor="text1"/>
          <w:lang w:val="en-US"/>
        </w:rPr>
      </w:pPr>
      <w:r>
        <w:rPr>
          <w:color w:val="000000" w:themeColor="text1"/>
          <w:lang w:val="en-US"/>
        </w:rPr>
        <w:t>Details of the technical capacity calculation and optimization are available at Teréga</w:t>
      </w:r>
      <w:r>
        <w:rPr>
          <w:rStyle w:val="Refdenotaalpie"/>
          <w:color w:val="000000" w:themeColor="text1"/>
          <w:lang w:val="en-US"/>
        </w:rPr>
        <w:footnoteReference w:id="4"/>
      </w:r>
      <w:r>
        <w:rPr>
          <w:color w:val="000000" w:themeColor="text1"/>
          <w:lang w:val="en-US"/>
        </w:rPr>
        <w:t xml:space="preserve"> and Enagás GTS</w:t>
      </w:r>
      <w:r>
        <w:rPr>
          <w:rStyle w:val="Refdenotaalpie"/>
          <w:color w:val="000000" w:themeColor="text1"/>
          <w:lang w:val="en-US"/>
        </w:rPr>
        <w:footnoteReference w:id="5"/>
      </w:r>
      <w:r>
        <w:rPr>
          <w:color w:val="000000" w:themeColor="text1"/>
          <w:lang w:val="en-US"/>
        </w:rPr>
        <w:t xml:space="preserve"> websites</w:t>
      </w:r>
      <w:r w:rsidR="00D06621">
        <w:rPr>
          <w:color w:val="000000" w:themeColor="text1"/>
          <w:lang w:val="en-US"/>
        </w:rPr>
        <w:t>.</w:t>
      </w:r>
    </w:p>
    <w:p w14:paraId="74F6D2DB" w14:textId="77777777" w:rsidR="000F23BA" w:rsidRPr="003C5943" w:rsidRDefault="000F23BA" w:rsidP="001F74A6">
      <w:pPr>
        <w:pStyle w:val="Ttulo4"/>
        <w:spacing w:line="240" w:lineRule="auto"/>
        <w:ind w:hanging="1006"/>
      </w:pPr>
      <w:r w:rsidRPr="003C5943">
        <w:t>Capacity calculation methodology at VIP I</w:t>
      </w:r>
      <w:r w:rsidR="004317BF" w:rsidRPr="003C5943">
        <w:t>bérico</w:t>
      </w:r>
    </w:p>
    <w:p w14:paraId="3C0412EC" w14:textId="2E25AD42" w:rsidR="000F23BA" w:rsidRPr="00ED40A4" w:rsidRDefault="000F23BA" w:rsidP="00D06621">
      <w:pPr>
        <w:spacing w:line="312" w:lineRule="auto"/>
        <w:rPr>
          <w:rFonts w:cs="Arial"/>
          <w:color w:val="000000" w:themeColor="text1"/>
          <w:szCs w:val="22"/>
          <w:lang w:val="en-GB"/>
        </w:rPr>
      </w:pPr>
      <w:r w:rsidRPr="00ED40A4">
        <w:rPr>
          <w:rFonts w:cs="Arial"/>
          <w:color w:val="000000" w:themeColor="text1"/>
          <w:szCs w:val="22"/>
          <w:lang w:val="en-GB"/>
        </w:rPr>
        <w:t>Currently, REN and Enagás calculate, agree, publish and offer capacity at VIP Ib</w:t>
      </w:r>
      <w:r w:rsidR="004317BF" w:rsidRPr="00ED40A4">
        <w:rPr>
          <w:rFonts w:cs="Arial"/>
          <w:color w:val="000000" w:themeColor="text1"/>
          <w:szCs w:val="22"/>
          <w:lang w:val="en-GB"/>
        </w:rPr>
        <w:t>é</w:t>
      </w:r>
      <w:r w:rsidRPr="00ED40A4">
        <w:rPr>
          <w:rFonts w:cs="Arial"/>
          <w:color w:val="000000" w:themeColor="text1"/>
          <w:szCs w:val="22"/>
          <w:lang w:val="en-GB"/>
        </w:rPr>
        <w:t xml:space="preserve">rico. This capacity calculation is based, in a first step, on </w:t>
      </w:r>
      <w:r w:rsidR="00256199">
        <w:rPr>
          <w:rFonts w:cs="Arial"/>
          <w:color w:val="000000" w:themeColor="text1"/>
          <w:szCs w:val="22"/>
          <w:lang w:val="en-GB"/>
        </w:rPr>
        <w:t xml:space="preserve">a </w:t>
      </w:r>
      <w:r w:rsidRPr="00ED40A4">
        <w:rPr>
          <w:rFonts w:cs="Arial"/>
          <w:color w:val="000000" w:themeColor="text1"/>
          <w:szCs w:val="22"/>
          <w:lang w:val="en-GB"/>
        </w:rPr>
        <w:t>deep analysis of the technical capacity of IP Badajoz/Campo Maior and IP Tuy/Valença do Minho on both sides</w:t>
      </w:r>
      <w:r w:rsidR="00D47260" w:rsidRPr="00ED40A4">
        <w:rPr>
          <w:rFonts w:cs="Arial"/>
          <w:color w:val="000000" w:themeColor="text1"/>
          <w:szCs w:val="22"/>
          <w:lang w:val="en-GB"/>
        </w:rPr>
        <w:t xml:space="preserve"> and done whenever needed, such as in case of critical demand changes, both at wide level and at local level, or in case of commissioning of new infrastructures that might have an impact </w:t>
      </w:r>
      <w:r w:rsidR="005B2A65">
        <w:rPr>
          <w:rFonts w:cs="Arial"/>
          <w:color w:val="000000" w:themeColor="text1"/>
          <w:szCs w:val="22"/>
          <w:lang w:val="en-GB"/>
        </w:rPr>
        <w:t>o</w:t>
      </w:r>
      <w:r w:rsidR="00D47260" w:rsidRPr="00ED40A4">
        <w:rPr>
          <w:rFonts w:cs="Arial"/>
          <w:color w:val="000000" w:themeColor="text1"/>
          <w:szCs w:val="22"/>
          <w:lang w:val="en-GB"/>
        </w:rPr>
        <w:t>n cross-border capacities</w:t>
      </w:r>
      <w:r w:rsidRPr="00ED40A4">
        <w:rPr>
          <w:rFonts w:cs="Arial"/>
          <w:color w:val="000000" w:themeColor="text1"/>
          <w:szCs w:val="22"/>
          <w:lang w:val="en-GB"/>
        </w:rPr>
        <w:t>.</w:t>
      </w:r>
    </w:p>
    <w:p w14:paraId="0356A8DA" w14:textId="77777777" w:rsidR="000F23BA" w:rsidRPr="00ED40A4" w:rsidRDefault="000F23BA" w:rsidP="00D06621">
      <w:pPr>
        <w:spacing w:line="312" w:lineRule="auto"/>
        <w:rPr>
          <w:lang w:val="en-AU"/>
        </w:rPr>
      </w:pPr>
      <w:r w:rsidRPr="00ED40A4">
        <w:rPr>
          <w:lang w:val="en-AU"/>
        </w:rPr>
        <w:t xml:space="preserve">Each </w:t>
      </w:r>
      <w:r w:rsidR="004317BF" w:rsidRPr="00ED40A4">
        <w:rPr>
          <w:lang w:val="en-AU"/>
        </w:rPr>
        <w:t>TSO</w:t>
      </w:r>
      <w:r w:rsidRPr="00ED40A4">
        <w:rPr>
          <w:lang w:val="en-AU"/>
        </w:rPr>
        <w:t xml:space="preserve"> has developed its own methodology for the calculation of the technical capacity, both of single infrastructures or facilities, as well as the wide system capacity that can flow through an Interconnection Point.</w:t>
      </w:r>
    </w:p>
    <w:p w14:paraId="2E9860C1" w14:textId="780C052D" w:rsidR="000F23BA" w:rsidRPr="00ED40A4" w:rsidRDefault="000F23BA" w:rsidP="00D06621">
      <w:pPr>
        <w:spacing w:line="312" w:lineRule="auto"/>
        <w:rPr>
          <w:lang w:val="en-AU"/>
        </w:rPr>
      </w:pPr>
      <w:r w:rsidRPr="00ED40A4">
        <w:rPr>
          <w:lang w:val="en-AU"/>
        </w:rPr>
        <w:t>The optimization of the technical capacity that can flow through an Interconnection Point in both directions complies with national regulation regarding operation setpoints, as well as with national and European planning criteria and process</w:t>
      </w:r>
      <w:r w:rsidR="002F4DF6">
        <w:rPr>
          <w:lang w:val="en-AU"/>
        </w:rPr>
        <w:t>es</w:t>
      </w:r>
      <w:r w:rsidRPr="00ED40A4">
        <w:rPr>
          <w:lang w:val="en-AU"/>
        </w:rPr>
        <w:t>.</w:t>
      </w:r>
    </w:p>
    <w:p w14:paraId="0932ACA2" w14:textId="22116C8A" w:rsidR="000F23BA" w:rsidRPr="00ED40A4" w:rsidRDefault="000F23BA" w:rsidP="00D06621">
      <w:pPr>
        <w:spacing w:line="312" w:lineRule="auto"/>
        <w:rPr>
          <w:rFonts w:cs="Arial"/>
          <w:color w:val="000000" w:themeColor="text1"/>
          <w:szCs w:val="22"/>
          <w:lang w:val="en-GB"/>
        </w:rPr>
      </w:pPr>
      <w:r w:rsidRPr="00ED40A4">
        <w:rPr>
          <w:rFonts w:cs="Arial"/>
          <w:color w:val="000000" w:themeColor="text1"/>
          <w:szCs w:val="22"/>
          <w:lang w:val="en-GB"/>
        </w:rPr>
        <w:t>The joint method applied by Enagás and REN takes into consideration a dynamic approach to re-calculating technical capacity. Whenever an update of capacities is required, a detailed timetable is set up in line with the regulatory requirements and commercial needs, such as auctions.</w:t>
      </w:r>
    </w:p>
    <w:p w14:paraId="781582D6" w14:textId="78428772" w:rsidR="000F23BA" w:rsidRPr="00ED40A4" w:rsidRDefault="00D65C72" w:rsidP="00D06621">
      <w:pPr>
        <w:spacing w:line="312" w:lineRule="auto"/>
        <w:rPr>
          <w:rFonts w:cs="Arial"/>
          <w:color w:val="000000" w:themeColor="text1"/>
          <w:szCs w:val="22"/>
          <w:lang w:val="en-GB"/>
        </w:rPr>
      </w:pPr>
      <w:r w:rsidRPr="00ED40A4">
        <w:rPr>
          <w:rFonts w:cs="Arial"/>
          <w:color w:val="000000" w:themeColor="text1"/>
          <w:szCs w:val="22"/>
          <w:lang w:val="en-GB"/>
        </w:rPr>
        <w:t>Further steps</w:t>
      </w:r>
      <w:r w:rsidR="000F23BA" w:rsidRPr="00ED40A4">
        <w:rPr>
          <w:rFonts w:cs="Arial"/>
          <w:color w:val="000000" w:themeColor="text1"/>
          <w:szCs w:val="22"/>
          <w:lang w:val="en-GB"/>
        </w:rPr>
        <w:t xml:space="preserve"> </w:t>
      </w:r>
      <w:r w:rsidRPr="00ED40A4">
        <w:rPr>
          <w:rFonts w:cs="Arial"/>
          <w:color w:val="000000" w:themeColor="text1"/>
          <w:szCs w:val="22"/>
          <w:lang w:val="en-GB"/>
        </w:rPr>
        <w:t xml:space="preserve">on </w:t>
      </w:r>
      <w:r w:rsidR="000F23BA" w:rsidRPr="00ED40A4">
        <w:rPr>
          <w:rFonts w:cs="Arial"/>
          <w:color w:val="000000" w:themeColor="text1"/>
          <w:szCs w:val="22"/>
          <w:lang w:val="en-GB"/>
        </w:rPr>
        <w:t xml:space="preserve">the dynamic approach of the technical capacity re-calculation </w:t>
      </w:r>
      <w:r w:rsidRPr="00ED40A4">
        <w:rPr>
          <w:rFonts w:cs="Arial"/>
          <w:color w:val="000000" w:themeColor="text1"/>
          <w:szCs w:val="22"/>
          <w:lang w:val="en-GB"/>
        </w:rPr>
        <w:t xml:space="preserve">is </w:t>
      </w:r>
      <w:r w:rsidR="000F23BA" w:rsidRPr="00ED40A4">
        <w:rPr>
          <w:rFonts w:cs="Arial"/>
          <w:color w:val="000000" w:themeColor="text1"/>
          <w:szCs w:val="22"/>
          <w:lang w:val="en-GB"/>
        </w:rPr>
        <w:t>be</w:t>
      </w:r>
      <w:r w:rsidRPr="00ED40A4">
        <w:rPr>
          <w:rFonts w:cs="Arial"/>
          <w:color w:val="000000" w:themeColor="text1"/>
          <w:szCs w:val="22"/>
          <w:lang w:val="en-GB"/>
        </w:rPr>
        <w:t>ing</w:t>
      </w:r>
      <w:r w:rsidR="000F23BA" w:rsidRPr="00ED40A4">
        <w:rPr>
          <w:rFonts w:cs="Arial"/>
          <w:color w:val="000000" w:themeColor="text1"/>
          <w:szCs w:val="22"/>
          <w:lang w:val="en-GB"/>
        </w:rPr>
        <w:t xml:space="preserve"> explored by TSOs in line with NRA</w:t>
      </w:r>
      <w:r w:rsidR="00FF37F3">
        <w:rPr>
          <w:rFonts w:cs="Arial"/>
          <w:color w:val="000000" w:themeColor="text1"/>
          <w:szCs w:val="22"/>
          <w:lang w:val="en-GB"/>
        </w:rPr>
        <w:t>’</w:t>
      </w:r>
      <w:r w:rsidR="000F23BA" w:rsidRPr="00ED40A4">
        <w:rPr>
          <w:rFonts w:cs="Arial"/>
          <w:color w:val="000000" w:themeColor="text1"/>
          <w:szCs w:val="22"/>
          <w:lang w:val="en-GB"/>
        </w:rPr>
        <w:t xml:space="preserve">s vision about this topic. </w:t>
      </w:r>
    </w:p>
    <w:p w14:paraId="6C495096" w14:textId="2043ECD8" w:rsidR="000F23BA" w:rsidRPr="00ED40A4" w:rsidRDefault="000F23BA" w:rsidP="00D06621">
      <w:pPr>
        <w:spacing w:line="312" w:lineRule="auto"/>
        <w:rPr>
          <w:rFonts w:cs="Arial"/>
          <w:color w:val="000000" w:themeColor="text1"/>
          <w:szCs w:val="22"/>
          <w:lang w:val="en-GB"/>
        </w:rPr>
      </w:pPr>
      <w:r w:rsidRPr="00ED40A4">
        <w:rPr>
          <w:rFonts w:cs="Arial"/>
          <w:color w:val="000000" w:themeColor="text1"/>
          <w:szCs w:val="22"/>
          <w:lang w:val="en-US"/>
        </w:rPr>
        <w:t>Further details of the technical capacity calculation and optimisation can be found on REN</w:t>
      </w:r>
      <w:r w:rsidR="0011493F">
        <w:rPr>
          <w:rStyle w:val="Refdenotaalpie"/>
          <w:rFonts w:cs="Arial"/>
          <w:color w:val="000000" w:themeColor="text1"/>
          <w:szCs w:val="22"/>
          <w:lang w:val="en-US"/>
        </w:rPr>
        <w:footnoteReference w:id="6"/>
      </w:r>
      <w:r w:rsidRPr="00ED40A4">
        <w:rPr>
          <w:rFonts w:cs="Arial"/>
          <w:color w:val="000000" w:themeColor="text1"/>
          <w:szCs w:val="22"/>
          <w:lang w:val="en-US"/>
        </w:rPr>
        <w:t xml:space="preserve"> and Enagás GTS</w:t>
      </w:r>
      <w:r w:rsidR="0011493F">
        <w:rPr>
          <w:rStyle w:val="Refdenotaalpie"/>
          <w:rFonts w:cs="Arial"/>
          <w:color w:val="000000" w:themeColor="text1"/>
          <w:szCs w:val="22"/>
          <w:lang w:val="en-US"/>
        </w:rPr>
        <w:footnoteReference w:id="7"/>
      </w:r>
      <w:r w:rsidRPr="00ED40A4">
        <w:rPr>
          <w:rFonts w:cs="Arial"/>
          <w:color w:val="000000" w:themeColor="text1"/>
          <w:szCs w:val="22"/>
          <w:lang w:val="en-US"/>
        </w:rPr>
        <w:t xml:space="preserve"> websites</w:t>
      </w:r>
      <w:r w:rsidR="0011493F">
        <w:rPr>
          <w:rFonts w:cs="Arial"/>
          <w:color w:val="000000" w:themeColor="text1"/>
          <w:szCs w:val="22"/>
          <w:lang w:val="en-US"/>
        </w:rPr>
        <w:t>.</w:t>
      </w:r>
    </w:p>
    <w:p w14:paraId="142A57D1" w14:textId="180C36FB" w:rsidR="000F23BA" w:rsidRPr="000D3FC1" w:rsidRDefault="000F23BA" w:rsidP="004215EB">
      <w:pPr>
        <w:pStyle w:val="Ttulo3"/>
        <w:spacing w:line="360" w:lineRule="auto"/>
        <w:jc w:val="left"/>
        <w:rPr>
          <w:lang w:val="en-US"/>
        </w:rPr>
      </w:pPr>
      <w:r w:rsidRPr="000D3FC1">
        <w:rPr>
          <w:lang w:val="en-US"/>
        </w:rPr>
        <w:t>Capacity calculation methodology at Nor</w:t>
      </w:r>
      <w:r w:rsidR="00E91DAC" w:rsidRPr="000D3FC1">
        <w:rPr>
          <w:lang w:val="en-US"/>
        </w:rPr>
        <w:t>th</w:t>
      </w:r>
      <w:r w:rsidRPr="000D3FC1">
        <w:rPr>
          <w:lang w:val="en-US"/>
        </w:rPr>
        <w:t>-S</w:t>
      </w:r>
      <w:r w:rsidR="00E91DAC" w:rsidRPr="000D3FC1">
        <w:rPr>
          <w:lang w:val="en-US"/>
        </w:rPr>
        <w:t>outh Link</w:t>
      </w:r>
    </w:p>
    <w:p w14:paraId="3777B6BB" w14:textId="47EFB87B" w:rsidR="000F23BA" w:rsidRPr="00A340AA" w:rsidRDefault="000F23BA" w:rsidP="00D06621">
      <w:pPr>
        <w:spacing w:line="312" w:lineRule="auto"/>
        <w:rPr>
          <w:rFonts w:cs="Arial"/>
          <w:color w:val="000000" w:themeColor="text1"/>
          <w:szCs w:val="22"/>
          <w:lang w:val="en-US"/>
        </w:rPr>
      </w:pPr>
      <w:r w:rsidRPr="000D3FC1">
        <w:rPr>
          <w:rFonts w:cs="Arial"/>
          <w:color w:val="000000" w:themeColor="text1"/>
          <w:szCs w:val="22"/>
          <w:lang w:val="en-GB"/>
        </w:rPr>
        <w:t>The capacity calculation</w:t>
      </w:r>
      <w:r w:rsidRPr="00ED40A4">
        <w:rPr>
          <w:rFonts w:cs="Arial"/>
          <w:color w:val="000000" w:themeColor="text1"/>
          <w:szCs w:val="22"/>
          <w:lang w:val="en-GB"/>
        </w:rPr>
        <w:t xml:space="preserve"> </w:t>
      </w:r>
      <w:r w:rsidR="00C05224" w:rsidRPr="00ED40A4">
        <w:rPr>
          <w:rFonts w:cs="Arial"/>
          <w:color w:val="000000" w:themeColor="text1"/>
          <w:szCs w:val="22"/>
          <w:lang w:val="en-GB"/>
        </w:rPr>
        <w:t xml:space="preserve">to determine the level of interruptible capacity which </w:t>
      </w:r>
      <w:r w:rsidR="00FB3B16">
        <w:rPr>
          <w:rFonts w:cs="Arial"/>
          <w:color w:val="000000" w:themeColor="text1"/>
          <w:szCs w:val="22"/>
          <w:lang w:val="en-GB"/>
        </w:rPr>
        <w:t>was</w:t>
      </w:r>
      <w:r w:rsidR="00C05224" w:rsidRPr="00ED40A4">
        <w:rPr>
          <w:rFonts w:cs="Arial"/>
          <w:color w:val="000000" w:themeColor="text1"/>
          <w:szCs w:val="22"/>
          <w:lang w:val="en-GB"/>
        </w:rPr>
        <w:t xml:space="preserve"> </w:t>
      </w:r>
      <w:r w:rsidR="00FE562B" w:rsidRPr="00ED40A4">
        <w:rPr>
          <w:rFonts w:cs="Arial"/>
          <w:color w:val="000000" w:themeColor="text1"/>
          <w:szCs w:val="22"/>
          <w:lang w:val="en-GB"/>
        </w:rPr>
        <w:t xml:space="preserve">effectively </w:t>
      </w:r>
      <w:r w:rsidR="00C05224" w:rsidRPr="00ED40A4">
        <w:rPr>
          <w:rFonts w:cs="Arial"/>
          <w:color w:val="000000" w:themeColor="text1"/>
          <w:szCs w:val="22"/>
          <w:lang w:val="en-GB"/>
        </w:rPr>
        <w:t xml:space="preserve">available (i.e. </w:t>
      </w:r>
      <w:r w:rsidR="001B0B00" w:rsidRPr="00ED40A4">
        <w:rPr>
          <w:rFonts w:cs="Arial"/>
          <w:color w:val="000000" w:themeColor="text1"/>
          <w:szCs w:val="22"/>
          <w:lang w:val="en-GB"/>
        </w:rPr>
        <w:t xml:space="preserve">become firm) </w:t>
      </w:r>
      <w:r w:rsidR="00FB3B16">
        <w:rPr>
          <w:rFonts w:cs="Arial"/>
          <w:color w:val="000000" w:themeColor="text1"/>
          <w:szCs w:val="22"/>
          <w:lang w:val="en-GB"/>
        </w:rPr>
        <w:t>wa</w:t>
      </w:r>
      <w:r w:rsidRPr="00ED40A4">
        <w:rPr>
          <w:rFonts w:cs="Arial"/>
          <w:color w:val="000000" w:themeColor="text1"/>
          <w:szCs w:val="22"/>
          <w:lang w:val="en-GB"/>
        </w:rPr>
        <w:t xml:space="preserve">s done daily in order to maximise the gas flow from </w:t>
      </w:r>
      <w:r w:rsidR="008D1FC6" w:rsidRPr="00ED40A4">
        <w:rPr>
          <w:rFonts w:cs="Arial"/>
          <w:color w:val="000000" w:themeColor="text1"/>
          <w:szCs w:val="22"/>
          <w:lang w:val="en-GB"/>
        </w:rPr>
        <w:t>N</w:t>
      </w:r>
      <w:r w:rsidRPr="00ED40A4">
        <w:rPr>
          <w:rFonts w:cs="Arial"/>
          <w:color w:val="000000" w:themeColor="text1"/>
          <w:szCs w:val="22"/>
          <w:lang w:val="en-GB"/>
        </w:rPr>
        <w:t xml:space="preserve">orth towards </w:t>
      </w:r>
      <w:r w:rsidR="008D1FC6" w:rsidRPr="00ED40A4">
        <w:rPr>
          <w:rFonts w:cs="Arial"/>
          <w:color w:val="000000" w:themeColor="text1"/>
          <w:szCs w:val="22"/>
          <w:lang w:val="en-GB"/>
        </w:rPr>
        <w:t>S</w:t>
      </w:r>
      <w:r w:rsidRPr="00ED40A4">
        <w:rPr>
          <w:rFonts w:cs="Arial"/>
          <w:color w:val="000000" w:themeColor="text1"/>
          <w:szCs w:val="22"/>
          <w:lang w:val="en-GB"/>
        </w:rPr>
        <w:t xml:space="preserve">outh. </w:t>
      </w:r>
      <w:r w:rsidR="00BB01EB" w:rsidRPr="00ED40A4">
        <w:rPr>
          <w:rFonts w:cs="Arial"/>
          <w:color w:val="000000" w:themeColor="text1"/>
          <w:szCs w:val="22"/>
          <w:lang w:val="en-GB"/>
        </w:rPr>
        <w:t>It depend</w:t>
      </w:r>
      <w:r w:rsidR="00FB3B16">
        <w:rPr>
          <w:rFonts w:cs="Arial"/>
          <w:color w:val="000000" w:themeColor="text1"/>
          <w:szCs w:val="22"/>
          <w:lang w:val="en-GB"/>
        </w:rPr>
        <w:t>ed</w:t>
      </w:r>
      <w:r w:rsidR="00BB01EB" w:rsidRPr="00ED40A4">
        <w:rPr>
          <w:rFonts w:cs="Arial"/>
          <w:color w:val="000000" w:themeColor="text1"/>
          <w:szCs w:val="22"/>
          <w:lang w:val="en-GB"/>
        </w:rPr>
        <w:t xml:space="preserve"> o</w:t>
      </w:r>
      <w:r w:rsidR="00FB3B16">
        <w:rPr>
          <w:rFonts w:cs="Arial"/>
          <w:color w:val="000000" w:themeColor="text1"/>
          <w:szCs w:val="22"/>
          <w:lang w:val="en-GB"/>
        </w:rPr>
        <w:t>n</w:t>
      </w:r>
      <w:r w:rsidR="00BB01EB" w:rsidRPr="00ED40A4">
        <w:rPr>
          <w:rFonts w:cs="Arial"/>
          <w:color w:val="000000" w:themeColor="text1"/>
          <w:szCs w:val="22"/>
          <w:lang w:val="en-GB"/>
        </w:rPr>
        <w:t xml:space="preserve"> the temperature of the day and the flows at some other points of the network (LNG </w:t>
      </w:r>
      <w:r w:rsidR="00AA0EBF" w:rsidRPr="00ED40A4">
        <w:rPr>
          <w:rFonts w:cs="Arial"/>
          <w:color w:val="000000" w:themeColor="text1"/>
          <w:szCs w:val="22"/>
          <w:lang w:val="en-GB"/>
        </w:rPr>
        <w:t>regasification</w:t>
      </w:r>
      <w:r w:rsidR="00BB01EB" w:rsidRPr="00ED40A4">
        <w:rPr>
          <w:rFonts w:cs="Arial"/>
          <w:color w:val="000000" w:themeColor="text1"/>
          <w:szCs w:val="22"/>
          <w:lang w:val="en-GB"/>
        </w:rPr>
        <w:t xml:space="preserve"> terminal of Montoir and underground storages). Two</w:t>
      </w:r>
      <w:r w:rsidR="00AA0EBF" w:rsidRPr="00ED40A4">
        <w:rPr>
          <w:rFonts w:cs="Arial"/>
          <w:color w:val="000000" w:themeColor="text1"/>
          <w:szCs w:val="22"/>
          <w:lang w:val="en-GB"/>
        </w:rPr>
        <w:t xml:space="preserve"> </w:t>
      </w:r>
      <w:r w:rsidRPr="00ED40A4">
        <w:rPr>
          <w:rFonts w:cs="Arial"/>
          <w:color w:val="000000" w:themeColor="text1"/>
          <w:szCs w:val="22"/>
          <w:lang w:val="en-GB"/>
        </w:rPr>
        <w:t xml:space="preserve">products </w:t>
      </w:r>
      <w:r w:rsidR="00FB3B16">
        <w:rPr>
          <w:rFonts w:cs="Arial"/>
          <w:color w:val="000000" w:themeColor="text1"/>
          <w:szCs w:val="22"/>
          <w:lang w:val="en-GB"/>
        </w:rPr>
        <w:t>we</w:t>
      </w:r>
      <w:r w:rsidRPr="00ED40A4">
        <w:rPr>
          <w:rFonts w:cs="Arial"/>
          <w:color w:val="000000" w:themeColor="text1"/>
          <w:szCs w:val="22"/>
          <w:lang w:val="en-GB"/>
        </w:rPr>
        <w:t xml:space="preserve">re used in addition to the </w:t>
      </w:r>
      <w:r w:rsidR="001B0B00" w:rsidRPr="00ED40A4">
        <w:rPr>
          <w:rFonts w:cs="Arial"/>
          <w:color w:val="000000" w:themeColor="text1"/>
          <w:szCs w:val="22"/>
          <w:lang w:val="en-GB"/>
        </w:rPr>
        <w:t>firm and interruptible</w:t>
      </w:r>
      <w:r w:rsidRPr="00ED40A4">
        <w:rPr>
          <w:rFonts w:cs="Arial"/>
          <w:color w:val="000000" w:themeColor="text1"/>
          <w:szCs w:val="22"/>
          <w:lang w:val="en-GB"/>
        </w:rPr>
        <w:t xml:space="preserve"> capacit</w:t>
      </w:r>
      <w:r w:rsidR="00FE562B" w:rsidRPr="00ED40A4">
        <w:rPr>
          <w:rFonts w:cs="Arial"/>
          <w:color w:val="000000" w:themeColor="text1"/>
          <w:szCs w:val="22"/>
          <w:lang w:val="en-GB"/>
        </w:rPr>
        <w:t>ies</w:t>
      </w:r>
      <w:r w:rsidRPr="00ED40A4">
        <w:rPr>
          <w:rFonts w:cs="Arial"/>
          <w:color w:val="000000" w:themeColor="text1"/>
          <w:szCs w:val="22"/>
          <w:lang w:val="en-GB"/>
        </w:rPr>
        <w:t>: Joint Transport Storage mechanism</w:t>
      </w:r>
      <w:r w:rsidR="00BB01EB" w:rsidRPr="00ED40A4">
        <w:rPr>
          <w:rFonts w:cs="Arial"/>
          <w:color w:val="000000" w:themeColor="text1"/>
          <w:szCs w:val="22"/>
          <w:lang w:val="en-GB"/>
        </w:rPr>
        <w:t xml:space="preserve"> and</w:t>
      </w:r>
      <w:r w:rsidR="00AA0EBF" w:rsidRPr="00ED40A4">
        <w:rPr>
          <w:rFonts w:cs="Arial"/>
          <w:color w:val="000000" w:themeColor="text1"/>
          <w:szCs w:val="22"/>
          <w:lang w:val="en-GB"/>
        </w:rPr>
        <w:t xml:space="preserve"> </w:t>
      </w:r>
      <w:r w:rsidRPr="00ED40A4">
        <w:rPr>
          <w:rFonts w:cs="Arial"/>
          <w:color w:val="000000" w:themeColor="text1"/>
          <w:szCs w:val="22"/>
          <w:lang w:val="en-GB"/>
        </w:rPr>
        <w:t>market coupling</w:t>
      </w:r>
      <w:r w:rsidRPr="00ED40A4">
        <w:rPr>
          <w:color w:val="1F497D"/>
          <w:lang w:val="en-GB"/>
        </w:rPr>
        <w:t>.</w:t>
      </w:r>
    </w:p>
    <w:p w14:paraId="015E62C9" w14:textId="77777777" w:rsidR="007B06B8" w:rsidRPr="003C5943" w:rsidRDefault="007B06B8" w:rsidP="007B06B8">
      <w:pPr>
        <w:pStyle w:val="Ttulo2"/>
        <w:keepNext/>
        <w:rPr>
          <w:lang w:val="en-US"/>
        </w:rPr>
      </w:pPr>
      <w:bookmarkStart w:id="46" w:name="_Toc49770590"/>
      <w:bookmarkStart w:id="47" w:name="_Toc481748779"/>
      <w:r w:rsidRPr="003C5943">
        <w:rPr>
          <w:lang w:val="en-US"/>
        </w:rPr>
        <w:t>Flows</w:t>
      </w:r>
      <w:bookmarkEnd w:id="46"/>
    </w:p>
    <w:p w14:paraId="1D00678D" w14:textId="22E79990" w:rsidR="007B06B8" w:rsidRDefault="007F0D9C" w:rsidP="007B06B8">
      <w:pPr>
        <w:spacing w:line="312" w:lineRule="auto"/>
        <w:rPr>
          <w:lang w:val="en-US"/>
        </w:rPr>
      </w:pPr>
      <w:r>
        <w:rPr>
          <w:rFonts w:cs="Arial"/>
          <w:color w:val="000000" w:themeColor="text1"/>
          <w:szCs w:val="22"/>
          <w:lang w:val="en-US"/>
        </w:rPr>
        <w:t xml:space="preserve">Historical </w:t>
      </w:r>
      <w:r w:rsidR="007B06B8">
        <w:rPr>
          <w:rFonts w:cs="Arial"/>
          <w:color w:val="000000" w:themeColor="text1"/>
          <w:szCs w:val="22"/>
          <w:lang w:val="en-US"/>
        </w:rPr>
        <w:t xml:space="preserve">flows </w:t>
      </w:r>
      <w:r>
        <w:rPr>
          <w:rFonts w:cs="Arial"/>
          <w:color w:val="000000" w:themeColor="text1"/>
          <w:szCs w:val="22"/>
          <w:lang w:val="en-US"/>
        </w:rPr>
        <w:t xml:space="preserve">at </w:t>
      </w:r>
      <w:r w:rsidR="007B06B8">
        <w:rPr>
          <w:rFonts w:cs="Arial"/>
          <w:color w:val="000000" w:themeColor="text1"/>
          <w:szCs w:val="22"/>
          <w:lang w:val="en-US"/>
        </w:rPr>
        <w:t xml:space="preserve">the IPs of the South Region for the period of study </w:t>
      </w:r>
      <w:r>
        <w:rPr>
          <w:rFonts w:cs="Arial"/>
          <w:color w:val="000000" w:themeColor="text1"/>
          <w:szCs w:val="22"/>
          <w:lang w:val="en-US"/>
        </w:rPr>
        <w:t>(</w:t>
      </w:r>
      <w:r w:rsidR="007B06B8">
        <w:rPr>
          <w:rFonts w:cs="Arial"/>
          <w:color w:val="000000" w:themeColor="text1"/>
          <w:szCs w:val="22"/>
          <w:lang w:val="en-US"/>
        </w:rPr>
        <w:t>between October 2016 and September 2019</w:t>
      </w:r>
      <w:r>
        <w:rPr>
          <w:rFonts w:cs="Arial"/>
          <w:color w:val="000000" w:themeColor="text1"/>
          <w:szCs w:val="22"/>
          <w:lang w:val="en-US"/>
        </w:rPr>
        <w:t>) are presented below</w:t>
      </w:r>
      <w:r w:rsidR="00FF37F3">
        <w:rPr>
          <w:rFonts w:cs="Arial"/>
          <w:color w:val="000000" w:themeColor="text1"/>
          <w:szCs w:val="22"/>
          <w:lang w:val="en-US"/>
        </w:rPr>
        <w:t>,</w:t>
      </w:r>
      <w:r w:rsidR="007B06B8">
        <w:rPr>
          <w:rFonts w:cs="Arial"/>
          <w:color w:val="000000" w:themeColor="text1"/>
          <w:szCs w:val="22"/>
          <w:lang w:val="en-US"/>
        </w:rPr>
        <w:t xml:space="preserve"> as well as an analysis of the physical utilization rate.</w:t>
      </w:r>
    </w:p>
    <w:p w14:paraId="33915E59" w14:textId="77777777" w:rsidR="007B06B8" w:rsidRPr="001F74A6" w:rsidRDefault="007B06B8" w:rsidP="007B06B8">
      <w:pPr>
        <w:pStyle w:val="Ttulo3"/>
        <w:jc w:val="left"/>
        <w:rPr>
          <w:lang w:val="en-US"/>
        </w:rPr>
      </w:pPr>
      <w:r w:rsidRPr="001F74A6">
        <w:rPr>
          <w:lang w:val="en-US"/>
        </w:rPr>
        <w:t xml:space="preserve">VIP Pirineos </w:t>
      </w:r>
    </w:p>
    <w:p w14:paraId="6ADD3E4E" w14:textId="77777777" w:rsidR="007B06B8" w:rsidRPr="001F74A6" w:rsidRDefault="007B06B8" w:rsidP="0011493F">
      <w:pPr>
        <w:pStyle w:val="Ttulo4"/>
        <w:spacing w:line="240" w:lineRule="auto"/>
      </w:pPr>
      <w:r>
        <w:t>France to Spain flow direction</w:t>
      </w:r>
    </w:p>
    <w:p w14:paraId="44AC20D9" w14:textId="1EAA8362" w:rsidR="007B06B8" w:rsidRDefault="007F0D9C" w:rsidP="0011493F">
      <w:pPr>
        <w:keepNext/>
        <w:rPr>
          <w:rFonts w:cs="Arial"/>
          <w:color w:val="000000" w:themeColor="text1"/>
          <w:szCs w:val="22"/>
          <w:lang w:val="en-GB"/>
        </w:rPr>
      </w:pPr>
      <w:r>
        <w:rPr>
          <w:rFonts w:cs="Arial"/>
          <w:noProof/>
          <w:color w:val="000000" w:themeColor="text1"/>
          <w:szCs w:val="22"/>
          <w:lang w:val="es-ES" w:eastAsia="es-ES"/>
        </w:rPr>
        <w:drawing>
          <wp:inline distT="0" distB="0" distL="0" distR="0" wp14:anchorId="378FA013" wp14:editId="2D6B393C">
            <wp:extent cx="5695950" cy="234056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2921" cy="2347542"/>
                    </a:xfrm>
                    <a:prstGeom prst="rect">
                      <a:avLst/>
                    </a:prstGeom>
                    <a:noFill/>
                  </pic:spPr>
                </pic:pic>
              </a:graphicData>
            </a:graphic>
          </wp:inline>
        </w:drawing>
      </w:r>
    </w:p>
    <w:p w14:paraId="1A74F349" w14:textId="706E30BC" w:rsidR="007B06B8" w:rsidRDefault="007B06B8" w:rsidP="0011493F">
      <w:pPr>
        <w:pStyle w:val="Descripcin"/>
        <w:spacing w:before="240" w:line="360" w:lineRule="auto"/>
        <w:jc w:val="center"/>
        <w:rPr>
          <w:sz w:val="16"/>
          <w:lang w:val="en-US"/>
        </w:rPr>
      </w:pP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4</w:t>
      </w:r>
      <w:r w:rsidRPr="007F0BFA">
        <w:rPr>
          <w:sz w:val="16"/>
        </w:rPr>
        <w:fldChar w:fldCharType="end"/>
      </w:r>
      <w:r w:rsidRPr="00B85064">
        <w:rPr>
          <w:sz w:val="16"/>
          <w:lang w:val="en-US"/>
        </w:rPr>
        <w:t>:</w:t>
      </w:r>
      <w:r w:rsidRPr="007F0BFA">
        <w:rPr>
          <w:sz w:val="16"/>
          <w:lang w:val="en-US"/>
        </w:rPr>
        <w:t xml:space="preserve"> </w:t>
      </w:r>
      <w:r>
        <w:rPr>
          <w:sz w:val="16"/>
          <w:lang w:val="en-US"/>
        </w:rPr>
        <w:t xml:space="preserve">Physical flows at VIP Pirineos from France to Spain </w:t>
      </w:r>
    </w:p>
    <w:p w14:paraId="5F5DEC21" w14:textId="0C53A044" w:rsidR="00EE46E6" w:rsidRPr="00EE46E6" w:rsidRDefault="00EE46E6" w:rsidP="0011493F">
      <w:pPr>
        <w:spacing w:line="312" w:lineRule="auto"/>
        <w:rPr>
          <w:rFonts w:cs="Arial"/>
          <w:color w:val="000000" w:themeColor="text1"/>
          <w:szCs w:val="22"/>
          <w:lang w:val="en-GB"/>
        </w:rPr>
      </w:pPr>
      <w:r w:rsidRPr="00EE46E6">
        <w:rPr>
          <w:rFonts w:cs="Arial"/>
          <w:color w:val="000000" w:themeColor="text1"/>
          <w:szCs w:val="22"/>
          <w:lang w:val="en-GB"/>
        </w:rPr>
        <w:t>In the gas year 2016-2017, physical use of the interconnection exceeded 90% of the common technical firm capacity [165 GWh/d (W) / 175 GWh/d (S)] during 23 days (6% of the time during the year), During the gas year 2017-2018 a superior use of 90% of the common technical firm capacity [165 GWh/d (W) / 175 GWh/d (S)] of the VIP Pirineos was reached  in 15 days. During the two gas year (2016-2017 and 2017-2018) the number of days with a physical use of the interconnection exceeding 100% of the common technical firm capacity (more than 165 GWh/d (W) / 175 GWh/d (S)) was reached during 16 days.</w:t>
      </w:r>
    </w:p>
    <w:p w14:paraId="359729CF" w14:textId="7F38096C" w:rsidR="0011493F" w:rsidRPr="00C538E1" w:rsidRDefault="00EE46E6" w:rsidP="0011493F">
      <w:pPr>
        <w:spacing w:line="312" w:lineRule="auto"/>
        <w:rPr>
          <w:rFonts w:cs="Arial"/>
          <w:color w:val="000000" w:themeColor="text1"/>
          <w:szCs w:val="22"/>
          <w:lang w:val="en-GB"/>
        </w:rPr>
      </w:pPr>
      <w:r w:rsidRPr="00EE46E6">
        <w:rPr>
          <w:rFonts w:cs="Arial"/>
          <w:color w:val="000000" w:themeColor="text1"/>
          <w:szCs w:val="22"/>
          <w:lang w:val="en-GB"/>
        </w:rPr>
        <w:t xml:space="preserve">For the gas year 2018–2019, physical use of the interconnection exceeded 90% of the </w:t>
      </w:r>
      <w:r>
        <w:rPr>
          <w:rFonts w:cs="Arial"/>
          <w:color w:val="000000" w:themeColor="text1"/>
          <w:szCs w:val="22"/>
          <w:lang w:val="en-GB"/>
        </w:rPr>
        <w:t xml:space="preserve">common technical firm capacity </w:t>
      </w:r>
      <w:r w:rsidRPr="00EE46E6">
        <w:rPr>
          <w:rFonts w:cs="Arial"/>
          <w:color w:val="000000" w:themeColor="text1"/>
          <w:szCs w:val="22"/>
          <w:lang w:val="en-GB"/>
        </w:rPr>
        <w:t>[165 GWh/d (W) / 175GWh/d (S)] during 179 days (49% of the time during the year). The physical flow of the interconnection exceeds the common technical firm capacity [165 GWh/d (W) / 175GWh/d (S)] 119 days (usage of the interruptible capacity). On January 16th the physical flow reached 226 GWh/d.</w:t>
      </w:r>
    </w:p>
    <w:p w14:paraId="43E0F624" w14:textId="52A9F59E" w:rsidR="007B06B8" w:rsidRDefault="00EE46E6" w:rsidP="0011493F">
      <w:pPr>
        <w:keepNext/>
        <w:spacing w:line="312" w:lineRule="auto"/>
        <w:jc w:val="center"/>
        <w:rPr>
          <w:rFonts w:cs="Arial"/>
          <w:color w:val="000000" w:themeColor="text1"/>
          <w:szCs w:val="22"/>
          <w:lang w:val="en-GB"/>
        </w:rPr>
      </w:pPr>
      <w:r>
        <w:rPr>
          <w:rFonts w:cs="Arial"/>
          <w:noProof/>
          <w:color w:val="000000" w:themeColor="text1"/>
          <w:szCs w:val="22"/>
          <w:lang w:val="es-ES" w:eastAsia="es-ES"/>
        </w:rPr>
        <w:drawing>
          <wp:inline distT="0" distB="0" distL="0" distR="0" wp14:anchorId="7B01FDAE" wp14:editId="40813850">
            <wp:extent cx="5236845" cy="37191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845" cy="3719195"/>
                    </a:xfrm>
                    <a:prstGeom prst="rect">
                      <a:avLst/>
                    </a:prstGeom>
                    <a:noFill/>
                  </pic:spPr>
                </pic:pic>
              </a:graphicData>
            </a:graphic>
          </wp:inline>
        </w:drawing>
      </w:r>
    </w:p>
    <w:p w14:paraId="3F267AF3" w14:textId="771FA408" w:rsidR="001E240B" w:rsidRPr="0011493F" w:rsidRDefault="007B06B8" w:rsidP="001E240B">
      <w:pPr>
        <w:pStyle w:val="Descripcin"/>
        <w:spacing w:before="240" w:line="360" w:lineRule="auto"/>
        <w:jc w:val="center"/>
        <w:rPr>
          <w:sz w:val="16"/>
          <w:szCs w:val="16"/>
          <w:lang w:val="en-US"/>
        </w:rPr>
      </w:pP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5</w:t>
      </w:r>
      <w:r w:rsidRPr="007F0BFA">
        <w:rPr>
          <w:sz w:val="16"/>
        </w:rPr>
        <w:fldChar w:fldCharType="end"/>
      </w:r>
      <w:r w:rsidRPr="00B85064">
        <w:rPr>
          <w:sz w:val="16"/>
          <w:lang w:val="en-US"/>
        </w:rPr>
        <w:t>:</w:t>
      </w:r>
      <w:r w:rsidRPr="007F0BFA">
        <w:rPr>
          <w:sz w:val="16"/>
          <w:lang w:val="en-US"/>
        </w:rPr>
        <w:t xml:space="preserve"> </w:t>
      </w:r>
      <w:r>
        <w:rPr>
          <w:sz w:val="16"/>
          <w:lang w:val="en-US"/>
        </w:rPr>
        <w:t xml:space="preserve">Physical utilization rate of VIP Pirineos from France to </w:t>
      </w:r>
      <w:r w:rsidRPr="0011493F">
        <w:rPr>
          <w:sz w:val="16"/>
          <w:szCs w:val="16"/>
          <w:lang w:val="en-US"/>
        </w:rPr>
        <w:t xml:space="preserve">Spain </w:t>
      </w:r>
      <w:r w:rsidR="00EE46E6" w:rsidRPr="0011493F">
        <w:rPr>
          <w:rFonts w:cs="Arial"/>
          <w:color w:val="000000" w:themeColor="text1"/>
          <w:sz w:val="16"/>
          <w:szCs w:val="16"/>
          <w:lang w:val="en-GB"/>
        </w:rPr>
        <w:t>[165 GWh/d (W) / 175GWh/d (S)]</w:t>
      </w:r>
    </w:p>
    <w:p w14:paraId="0EE25077" w14:textId="77777777" w:rsidR="007B06B8" w:rsidRDefault="007B06B8" w:rsidP="0011493F">
      <w:pPr>
        <w:pStyle w:val="Ttulo4"/>
        <w:spacing w:line="240" w:lineRule="auto"/>
      </w:pPr>
      <w:r>
        <w:t>Spain to France flow direction</w:t>
      </w:r>
    </w:p>
    <w:p w14:paraId="1B358F91" w14:textId="69236289" w:rsidR="007B06B8" w:rsidRPr="00042DAF" w:rsidRDefault="00EE46E6" w:rsidP="007949FD">
      <w:pPr>
        <w:keepNext/>
        <w:rPr>
          <w:lang w:val="en-GB"/>
        </w:rPr>
      </w:pPr>
      <w:r>
        <w:rPr>
          <w:noProof/>
          <w:lang w:val="es-ES" w:eastAsia="es-ES"/>
        </w:rPr>
        <w:drawing>
          <wp:inline distT="0" distB="0" distL="0" distR="0" wp14:anchorId="3BBF90A5" wp14:editId="32A33EA3">
            <wp:extent cx="5670550" cy="209203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0550" cy="2092032"/>
                    </a:xfrm>
                    <a:prstGeom prst="rect">
                      <a:avLst/>
                    </a:prstGeom>
                    <a:noFill/>
                  </pic:spPr>
                </pic:pic>
              </a:graphicData>
            </a:graphic>
          </wp:inline>
        </w:drawing>
      </w:r>
    </w:p>
    <w:p w14:paraId="70D17933" w14:textId="44D89D23" w:rsidR="007B06B8" w:rsidRDefault="007B06B8" w:rsidP="007B06B8">
      <w:pPr>
        <w:pStyle w:val="Descripcin"/>
        <w:spacing w:before="240" w:line="360" w:lineRule="auto"/>
        <w:jc w:val="center"/>
        <w:rPr>
          <w:sz w:val="16"/>
          <w:lang w:val="en-US"/>
        </w:rPr>
      </w:pP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6</w:t>
      </w:r>
      <w:r w:rsidRPr="007F0BFA">
        <w:rPr>
          <w:sz w:val="16"/>
        </w:rPr>
        <w:fldChar w:fldCharType="end"/>
      </w:r>
      <w:r w:rsidRPr="00B85064">
        <w:rPr>
          <w:sz w:val="16"/>
          <w:lang w:val="en-US"/>
        </w:rPr>
        <w:t>:</w:t>
      </w:r>
      <w:r w:rsidRPr="007F0BFA">
        <w:rPr>
          <w:sz w:val="16"/>
          <w:lang w:val="en-US"/>
        </w:rPr>
        <w:t xml:space="preserve"> </w:t>
      </w:r>
      <w:r>
        <w:rPr>
          <w:sz w:val="16"/>
          <w:lang w:val="en-US"/>
        </w:rPr>
        <w:t xml:space="preserve">Physical flows at VIP Pirineos from Spain to France </w:t>
      </w:r>
    </w:p>
    <w:p w14:paraId="2F239D54" w14:textId="64CCE76E" w:rsidR="007B06B8" w:rsidRDefault="007B06B8" w:rsidP="00E9792F">
      <w:pPr>
        <w:spacing w:line="312" w:lineRule="auto"/>
        <w:rPr>
          <w:rFonts w:cs="Arial"/>
          <w:noProof/>
          <w:color w:val="000000" w:themeColor="text1"/>
          <w:szCs w:val="22"/>
          <w:lang w:val="en-US" w:eastAsia="en-US"/>
        </w:rPr>
      </w:pPr>
      <w:r w:rsidRPr="007B679C">
        <w:rPr>
          <w:rFonts w:cs="Arial"/>
          <w:noProof/>
          <w:color w:val="000000" w:themeColor="text1"/>
          <w:szCs w:val="22"/>
          <w:lang w:val="en-US" w:eastAsia="en-US"/>
        </w:rPr>
        <w:t>It should be noted that, as a relevant event in th</w:t>
      </w:r>
      <w:r w:rsidR="008846AA">
        <w:rPr>
          <w:rFonts w:cs="Arial"/>
          <w:noProof/>
          <w:color w:val="000000" w:themeColor="text1"/>
          <w:szCs w:val="22"/>
          <w:lang w:val="en-US" w:eastAsia="en-US"/>
        </w:rPr>
        <w:t>e</w:t>
      </w:r>
      <w:r w:rsidRPr="007B679C">
        <w:rPr>
          <w:rFonts w:cs="Arial"/>
          <w:noProof/>
          <w:color w:val="000000" w:themeColor="text1"/>
          <w:szCs w:val="22"/>
          <w:lang w:val="en-US" w:eastAsia="en-US"/>
        </w:rPr>
        <w:t xml:space="preserve"> period analysed, the first time that the physical flow </w:t>
      </w:r>
      <w:r w:rsidR="008846AA">
        <w:rPr>
          <w:rFonts w:cs="Arial"/>
          <w:noProof/>
          <w:color w:val="000000" w:themeColor="text1"/>
          <w:szCs w:val="22"/>
          <w:lang w:val="en-US" w:eastAsia="en-US"/>
        </w:rPr>
        <w:t>was</w:t>
      </w:r>
      <w:r w:rsidRPr="007B679C">
        <w:rPr>
          <w:rFonts w:cs="Arial"/>
          <w:noProof/>
          <w:color w:val="000000" w:themeColor="text1"/>
          <w:szCs w:val="22"/>
          <w:lang w:val="en-US" w:eastAsia="en-US"/>
        </w:rPr>
        <w:t xml:space="preserve"> transported by the VIP Pirineros in the direction of Spain</w:t>
      </w:r>
      <w:r w:rsidR="008846AA">
        <w:rPr>
          <w:rFonts w:cs="Arial"/>
          <w:noProof/>
          <w:color w:val="000000" w:themeColor="text1"/>
          <w:szCs w:val="22"/>
          <w:lang w:val="en-US" w:eastAsia="en-US"/>
        </w:rPr>
        <w:t xml:space="preserve"> to</w:t>
      </w:r>
      <w:r w:rsidRPr="007B679C">
        <w:rPr>
          <w:rFonts w:cs="Arial"/>
          <w:noProof/>
          <w:color w:val="000000" w:themeColor="text1"/>
          <w:szCs w:val="22"/>
          <w:lang w:val="en-US" w:eastAsia="en-US"/>
        </w:rPr>
        <w:t xml:space="preserve">France occurs </w:t>
      </w:r>
      <w:r w:rsidR="00FE4F89">
        <w:rPr>
          <w:rFonts w:cs="Arial"/>
          <w:noProof/>
          <w:color w:val="000000" w:themeColor="text1"/>
          <w:szCs w:val="22"/>
          <w:lang w:val="en-US" w:eastAsia="en-US"/>
        </w:rPr>
        <w:t xml:space="preserve">in </w:t>
      </w:r>
      <w:r>
        <w:rPr>
          <w:rFonts w:cs="Arial"/>
          <w:noProof/>
          <w:color w:val="000000" w:themeColor="text1"/>
          <w:szCs w:val="22"/>
          <w:lang w:val="en-US" w:eastAsia="en-US"/>
        </w:rPr>
        <w:t xml:space="preserve">the gas year of </w:t>
      </w:r>
      <w:r w:rsidR="00EE46E6">
        <w:rPr>
          <w:rFonts w:cs="Arial"/>
          <w:noProof/>
          <w:color w:val="000000" w:themeColor="text1"/>
          <w:szCs w:val="22"/>
          <w:lang w:val="en-US" w:eastAsia="en-US"/>
        </w:rPr>
        <w:t>2018</w:t>
      </w:r>
      <w:r>
        <w:rPr>
          <w:rFonts w:cs="Arial"/>
          <w:noProof/>
          <w:color w:val="000000" w:themeColor="text1"/>
          <w:szCs w:val="22"/>
          <w:lang w:val="en-US" w:eastAsia="en-US"/>
        </w:rPr>
        <w:t>-</w:t>
      </w:r>
      <w:r w:rsidR="00EE46E6" w:rsidRPr="007B679C">
        <w:rPr>
          <w:rFonts w:cs="Arial"/>
          <w:noProof/>
          <w:color w:val="000000" w:themeColor="text1"/>
          <w:szCs w:val="22"/>
          <w:lang w:val="en-US" w:eastAsia="en-US"/>
        </w:rPr>
        <w:t>201</w:t>
      </w:r>
      <w:r w:rsidR="00EE46E6">
        <w:rPr>
          <w:rFonts w:cs="Arial"/>
          <w:noProof/>
          <w:color w:val="000000" w:themeColor="text1"/>
          <w:szCs w:val="22"/>
          <w:lang w:val="en-US" w:eastAsia="en-US"/>
        </w:rPr>
        <w:t>9</w:t>
      </w:r>
      <w:r w:rsidR="008846AA">
        <w:rPr>
          <w:rFonts w:cs="Arial"/>
          <w:noProof/>
          <w:color w:val="000000" w:themeColor="text1"/>
          <w:szCs w:val="22"/>
          <w:lang w:val="en-US" w:eastAsia="en-US"/>
        </w:rPr>
        <w:t>, during 10 days</w:t>
      </w:r>
      <w:r>
        <w:rPr>
          <w:rFonts w:cs="Arial"/>
          <w:noProof/>
          <w:color w:val="000000" w:themeColor="text1"/>
          <w:szCs w:val="22"/>
          <w:lang w:val="en-US" w:eastAsia="en-US"/>
        </w:rPr>
        <w:t>.</w:t>
      </w:r>
    </w:p>
    <w:p w14:paraId="0457667A" w14:textId="23D74A51" w:rsidR="007B06B8" w:rsidRDefault="00EE46E6" w:rsidP="007949FD">
      <w:pPr>
        <w:keepNext/>
        <w:jc w:val="center"/>
        <w:rPr>
          <w:rFonts w:cs="Arial"/>
          <w:color w:val="000000" w:themeColor="text1"/>
          <w:szCs w:val="22"/>
          <w:lang w:val="en-GB"/>
        </w:rPr>
      </w:pPr>
      <w:r>
        <w:rPr>
          <w:rFonts w:cs="Arial"/>
          <w:noProof/>
          <w:color w:val="000000" w:themeColor="text1"/>
          <w:szCs w:val="22"/>
          <w:lang w:val="es-ES" w:eastAsia="es-ES"/>
        </w:rPr>
        <w:drawing>
          <wp:inline distT="0" distB="0" distL="0" distR="0" wp14:anchorId="280A186A" wp14:editId="265767E9">
            <wp:extent cx="5234400" cy="3722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4400" cy="3722400"/>
                    </a:xfrm>
                    <a:prstGeom prst="rect">
                      <a:avLst/>
                    </a:prstGeom>
                    <a:noFill/>
                  </pic:spPr>
                </pic:pic>
              </a:graphicData>
            </a:graphic>
          </wp:inline>
        </w:drawing>
      </w:r>
    </w:p>
    <w:p w14:paraId="37A02CCA" w14:textId="5A5FC265" w:rsidR="00D42E21" w:rsidRDefault="007B06B8" w:rsidP="00D42E21">
      <w:pPr>
        <w:pStyle w:val="Descripcin"/>
        <w:spacing w:before="240" w:line="360" w:lineRule="auto"/>
        <w:jc w:val="center"/>
        <w:rPr>
          <w:sz w:val="16"/>
          <w:lang w:val="en-US"/>
        </w:rPr>
      </w:pP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7</w:t>
      </w:r>
      <w:r w:rsidRPr="007F0BFA">
        <w:rPr>
          <w:sz w:val="16"/>
        </w:rPr>
        <w:fldChar w:fldCharType="end"/>
      </w:r>
      <w:r w:rsidRPr="00B85064">
        <w:rPr>
          <w:sz w:val="16"/>
          <w:lang w:val="en-US"/>
        </w:rPr>
        <w:t>:</w:t>
      </w:r>
      <w:r w:rsidRPr="007F0BFA">
        <w:rPr>
          <w:sz w:val="16"/>
          <w:lang w:val="en-US"/>
        </w:rPr>
        <w:t xml:space="preserve"> </w:t>
      </w:r>
      <w:r>
        <w:rPr>
          <w:sz w:val="16"/>
          <w:lang w:val="en-US"/>
        </w:rPr>
        <w:t xml:space="preserve">Physical utilization rate of VIP Pirineos from Spain to France </w:t>
      </w:r>
      <w:r w:rsidR="00D42E21">
        <w:rPr>
          <w:sz w:val="16"/>
          <w:lang w:val="en-US"/>
        </w:rPr>
        <w:t xml:space="preserve">(225 GWh/d) </w:t>
      </w:r>
    </w:p>
    <w:p w14:paraId="17AFC7E1" w14:textId="77777777" w:rsidR="007B06B8" w:rsidRPr="00993480" w:rsidRDefault="007B06B8" w:rsidP="007B06B8">
      <w:pPr>
        <w:pStyle w:val="Ttulo3"/>
        <w:jc w:val="left"/>
        <w:rPr>
          <w:lang w:val="en-US"/>
        </w:rPr>
      </w:pPr>
      <w:r w:rsidRPr="00993480">
        <w:rPr>
          <w:lang w:val="en-US"/>
        </w:rPr>
        <w:t xml:space="preserve">VIP Ibérico </w:t>
      </w:r>
    </w:p>
    <w:p w14:paraId="4D93BF48" w14:textId="77777777" w:rsidR="007B06B8" w:rsidRDefault="007B06B8" w:rsidP="0011493F">
      <w:pPr>
        <w:pStyle w:val="Ttulo4"/>
        <w:spacing w:line="240" w:lineRule="auto"/>
        <w:rPr>
          <w:noProof/>
          <w:lang w:val="es-ES" w:eastAsia="es-ES"/>
        </w:rPr>
      </w:pPr>
      <w:r w:rsidRPr="001F74A6">
        <w:t>S</w:t>
      </w:r>
      <w:r>
        <w:t>pain to Portugal flow direction</w:t>
      </w:r>
    </w:p>
    <w:p w14:paraId="381DFE01" w14:textId="67287E09" w:rsidR="007B06B8" w:rsidRPr="00042DAF" w:rsidRDefault="00EE46E6" w:rsidP="007949FD">
      <w:pPr>
        <w:keepNext/>
        <w:rPr>
          <w:lang w:val="es-ES" w:eastAsia="es-ES"/>
        </w:rPr>
      </w:pPr>
      <w:r>
        <w:rPr>
          <w:noProof/>
          <w:lang w:val="es-ES" w:eastAsia="es-ES"/>
        </w:rPr>
        <w:drawing>
          <wp:inline distT="0" distB="0" distL="0" distR="0" wp14:anchorId="63BB933D" wp14:editId="267EEA15">
            <wp:extent cx="5670550" cy="210340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0550" cy="2103405"/>
                    </a:xfrm>
                    <a:prstGeom prst="rect">
                      <a:avLst/>
                    </a:prstGeom>
                    <a:noFill/>
                  </pic:spPr>
                </pic:pic>
              </a:graphicData>
            </a:graphic>
          </wp:inline>
        </w:drawing>
      </w:r>
    </w:p>
    <w:p w14:paraId="71A645D3" w14:textId="325D697E" w:rsidR="007B06B8" w:rsidRDefault="007B06B8" w:rsidP="007B06B8">
      <w:pPr>
        <w:pStyle w:val="Descripcin"/>
        <w:spacing w:before="240" w:line="360" w:lineRule="auto"/>
        <w:jc w:val="center"/>
        <w:rPr>
          <w:sz w:val="16"/>
          <w:lang w:val="en-US"/>
        </w:rPr>
      </w:pP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8</w:t>
      </w:r>
      <w:r w:rsidRPr="007F0BFA">
        <w:rPr>
          <w:sz w:val="16"/>
        </w:rPr>
        <w:fldChar w:fldCharType="end"/>
      </w:r>
      <w:r w:rsidRPr="00B85064">
        <w:rPr>
          <w:sz w:val="16"/>
          <w:lang w:val="en-US"/>
        </w:rPr>
        <w:t>:</w:t>
      </w:r>
      <w:r w:rsidRPr="007F0BFA">
        <w:rPr>
          <w:sz w:val="16"/>
          <w:lang w:val="en-US"/>
        </w:rPr>
        <w:t xml:space="preserve"> </w:t>
      </w:r>
      <w:r>
        <w:rPr>
          <w:sz w:val="16"/>
          <w:lang w:val="en-US"/>
        </w:rPr>
        <w:t>Physical flows at VIP Ibérico from Spain to Portugal</w:t>
      </w:r>
    </w:p>
    <w:p w14:paraId="12D1AB36" w14:textId="61AD6BB4" w:rsidR="007B06B8" w:rsidRDefault="007B06B8" w:rsidP="007B06B8">
      <w:pPr>
        <w:spacing w:line="312" w:lineRule="auto"/>
        <w:rPr>
          <w:rFonts w:cs="Arial"/>
          <w:color w:val="000000" w:themeColor="text1"/>
          <w:szCs w:val="22"/>
          <w:lang w:val="en-GB"/>
        </w:rPr>
      </w:pPr>
      <w:r w:rsidRPr="000714B4">
        <w:rPr>
          <w:rFonts w:cs="Arial"/>
          <w:color w:val="000000" w:themeColor="text1"/>
          <w:szCs w:val="22"/>
          <w:lang w:val="en-GB"/>
        </w:rPr>
        <w:t xml:space="preserve">In </w:t>
      </w:r>
      <w:r>
        <w:rPr>
          <w:rFonts w:cs="Arial"/>
          <w:color w:val="000000" w:themeColor="text1"/>
          <w:szCs w:val="22"/>
          <w:lang w:val="en-GB"/>
        </w:rPr>
        <w:t xml:space="preserve">the gas year </w:t>
      </w:r>
      <w:r w:rsidRPr="000714B4">
        <w:rPr>
          <w:rFonts w:cs="Arial"/>
          <w:color w:val="000000" w:themeColor="text1"/>
          <w:szCs w:val="22"/>
          <w:lang w:val="en-GB"/>
        </w:rPr>
        <w:t>201</w:t>
      </w:r>
      <w:r>
        <w:rPr>
          <w:rFonts w:cs="Arial"/>
          <w:color w:val="000000" w:themeColor="text1"/>
          <w:szCs w:val="22"/>
          <w:lang w:val="en-GB"/>
        </w:rPr>
        <w:t>6-2017,</w:t>
      </w:r>
      <w:r w:rsidRPr="000714B4">
        <w:rPr>
          <w:rFonts w:cs="Arial"/>
          <w:color w:val="000000" w:themeColor="text1"/>
          <w:szCs w:val="22"/>
          <w:lang w:val="en-GB"/>
        </w:rPr>
        <w:t xml:space="preserve"> physical </w:t>
      </w:r>
      <w:r>
        <w:rPr>
          <w:rFonts w:cs="Arial"/>
          <w:color w:val="000000" w:themeColor="text1"/>
          <w:szCs w:val="22"/>
          <w:lang w:val="en-GB"/>
        </w:rPr>
        <w:t>use of the interconnection</w:t>
      </w:r>
      <w:r w:rsidRPr="000714B4">
        <w:rPr>
          <w:rFonts w:cs="Arial"/>
          <w:color w:val="000000" w:themeColor="text1"/>
          <w:szCs w:val="22"/>
          <w:lang w:val="en-GB"/>
        </w:rPr>
        <w:t xml:space="preserve"> exceeded 90% of the technical capacity</w:t>
      </w:r>
      <w:r>
        <w:rPr>
          <w:rFonts w:cs="Arial"/>
          <w:color w:val="000000" w:themeColor="text1"/>
          <w:szCs w:val="22"/>
          <w:lang w:val="en-GB"/>
        </w:rPr>
        <w:t xml:space="preserve"> during 34 days (9% of the </w:t>
      </w:r>
      <w:r w:rsidR="00EE46E6">
        <w:rPr>
          <w:rFonts w:cs="Arial"/>
          <w:color w:val="000000" w:themeColor="text1"/>
          <w:szCs w:val="22"/>
          <w:lang w:val="en-GB"/>
        </w:rPr>
        <w:t xml:space="preserve">time during the </w:t>
      </w:r>
      <w:r>
        <w:rPr>
          <w:rFonts w:cs="Arial"/>
          <w:color w:val="000000" w:themeColor="text1"/>
          <w:szCs w:val="22"/>
          <w:lang w:val="en-GB"/>
        </w:rPr>
        <w:t>year)</w:t>
      </w:r>
      <w:r w:rsidR="00385A41">
        <w:rPr>
          <w:rFonts w:cs="Arial"/>
          <w:color w:val="000000" w:themeColor="text1"/>
          <w:szCs w:val="22"/>
          <w:lang w:val="en-GB"/>
        </w:rPr>
        <w:t>;</w:t>
      </w:r>
      <w:r w:rsidRPr="000714B4">
        <w:rPr>
          <w:rFonts w:cs="Arial"/>
          <w:color w:val="000000" w:themeColor="text1"/>
          <w:szCs w:val="22"/>
          <w:lang w:val="en-GB"/>
        </w:rPr>
        <w:t xml:space="preserve"> this threshold was exceeded </w:t>
      </w:r>
      <w:r>
        <w:rPr>
          <w:rFonts w:cs="Arial"/>
          <w:color w:val="000000" w:themeColor="text1"/>
          <w:szCs w:val="22"/>
          <w:lang w:val="en-GB"/>
        </w:rPr>
        <w:t xml:space="preserve">only one day during the </w:t>
      </w:r>
      <w:r w:rsidR="008D6589">
        <w:rPr>
          <w:rFonts w:cs="Arial"/>
          <w:color w:val="000000" w:themeColor="text1"/>
          <w:szCs w:val="22"/>
          <w:lang w:val="en-GB"/>
        </w:rPr>
        <w:t xml:space="preserve">following </w:t>
      </w:r>
      <w:r>
        <w:rPr>
          <w:rFonts w:cs="Arial"/>
          <w:color w:val="000000" w:themeColor="text1"/>
          <w:szCs w:val="22"/>
          <w:lang w:val="en-GB"/>
        </w:rPr>
        <w:t>two gas years (2017-2018 and 2018</w:t>
      </w:r>
      <w:r w:rsidR="008D6589">
        <w:rPr>
          <w:rFonts w:cs="Arial"/>
          <w:color w:val="000000" w:themeColor="text1"/>
          <w:szCs w:val="22"/>
          <w:lang w:val="en-GB"/>
        </w:rPr>
        <w:t>-</w:t>
      </w:r>
      <w:r>
        <w:rPr>
          <w:rFonts w:cs="Arial"/>
          <w:color w:val="000000" w:themeColor="text1"/>
          <w:szCs w:val="22"/>
          <w:lang w:val="en-GB"/>
        </w:rPr>
        <w:t xml:space="preserve">2019). </w:t>
      </w:r>
    </w:p>
    <w:p w14:paraId="10A1FE54" w14:textId="4BF5211D" w:rsidR="007B06B8" w:rsidRPr="008D30B0" w:rsidRDefault="00436280" w:rsidP="007949FD">
      <w:pPr>
        <w:keepNext/>
        <w:jc w:val="center"/>
        <w:rPr>
          <w:lang w:val="en-GB"/>
        </w:rPr>
      </w:pPr>
      <w:r>
        <w:rPr>
          <w:noProof/>
          <w:lang w:val="es-ES" w:eastAsia="es-ES"/>
        </w:rPr>
        <w:drawing>
          <wp:inline distT="0" distB="0" distL="0" distR="0" wp14:anchorId="607701D2" wp14:editId="508DD0C5">
            <wp:extent cx="4510800" cy="3427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0800" cy="3427200"/>
                    </a:xfrm>
                    <a:prstGeom prst="rect">
                      <a:avLst/>
                    </a:prstGeom>
                    <a:noFill/>
                  </pic:spPr>
                </pic:pic>
              </a:graphicData>
            </a:graphic>
          </wp:inline>
        </w:drawing>
      </w:r>
    </w:p>
    <w:p w14:paraId="79C2AB92" w14:textId="6290DD56" w:rsidR="00F600EB" w:rsidRDefault="007B06B8" w:rsidP="00F600EB">
      <w:pPr>
        <w:pStyle w:val="Descripcin"/>
        <w:spacing w:before="240" w:line="360" w:lineRule="auto"/>
        <w:jc w:val="center"/>
        <w:rPr>
          <w:sz w:val="16"/>
          <w:lang w:val="en-US"/>
        </w:rPr>
      </w:pP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9</w:t>
      </w:r>
      <w:r w:rsidRPr="007F0BFA">
        <w:rPr>
          <w:sz w:val="16"/>
        </w:rPr>
        <w:fldChar w:fldCharType="end"/>
      </w:r>
      <w:r w:rsidRPr="00B85064">
        <w:rPr>
          <w:sz w:val="16"/>
          <w:lang w:val="en-US"/>
        </w:rPr>
        <w:t>:</w:t>
      </w:r>
      <w:r w:rsidRPr="007F0BFA">
        <w:rPr>
          <w:sz w:val="16"/>
          <w:lang w:val="en-US"/>
        </w:rPr>
        <w:t xml:space="preserve"> </w:t>
      </w:r>
      <w:r>
        <w:rPr>
          <w:sz w:val="16"/>
          <w:lang w:val="en-US"/>
        </w:rPr>
        <w:t xml:space="preserve">Physical utilization rate of VIP Ibérico from Spain to Portugal </w:t>
      </w:r>
      <w:r w:rsidR="00F600EB">
        <w:rPr>
          <w:sz w:val="16"/>
          <w:lang w:val="en-US"/>
        </w:rPr>
        <w:t>(14</w:t>
      </w:r>
      <w:r w:rsidR="00436280">
        <w:rPr>
          <w:sz w:val="16"/>
          <w:lang w:val="en-US"/>
        </w:rPr>
        <w:t>4</w:t>
      </w:r>
      <w:r w:rsidR="00F600EB">
        <w:rPr>
          <w:sz w:val="16"/>
          <w:lang w:val="en-US"/>
        </w:rPr>
        <w:t xml:space="preserve"> GWh/d)</w:t>
      </w:r>
    </w:p>
    <w:p w14:paraId="5CF4C032" w14:textId="77777777" w:rsidR="007B06B8" w:rsidRPr="001F74A6" w:rsidRDefault="007B06B8" w:rsidP="0011493F">
      <w:pPr>
        <w:pStyle w:val="Ttulo4"/>
        <w:spacing w:line="240" w:lineRule="auto"/>
      </w:pPr>
      <w:r w:rsidRPr="001F74A6">
        <w:t>Portugal to Spain flow direction</w:t>
      </w:r>
    </w:p>
    <w:p w14:paraId="0DA02E47" w14:textId="7DE60A65" w:rsidR="00AB1048" w:rsidRDefault="00436280" w:rsidP="007949FD">
      <w:pPr>
        <w:keepNext/>
        <w:jc w:val="center"/>
        <w:rPr>
          <w:rFonts w:cs="Arial"/>
          <w:color w:val="000000" w:themeColor="text1"/>
          <w:szCs w:val="22"/>
          <w:lang w:val="en-GB"/>
        </w:rPr>
      </w:pPr>
      <w:r>
        <w:rPr>
          <w:rFonts w:cs="Arial"/>
          <w:noProof/>
          <w:color w:val="000000" w:themeColor="text1"/>
          <w:szCs w:val="22"/>
          <w:lang w:val="es-ES" w:eastAsia="es-ES"/>
        </w:rPr>
        <w:drawing>
          <wp:inline distT="0" distB="0" distL="0" distR="0" wp14:anchorId="4DC2E7FA" wp14:editId="0DCB9184">
            <wp:extent cx="5670550" cy="210513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550" cy="2105135"/>
                    </a:xfrm>
                    <a:prstGeom prst="rect">
                      <a:avLst/>
                    </a:prstGeom>
                    <a:noFill/>
                  </pic:spPr>
                </pic:pic>
              </a:graphicData>
            </a:graphic>
          </wp:inline>
        </w:drawing>
      </w:r>
    </w:p>
    <w:p w14:paraId="665739EB" w14:textId="5375FAD2" w:rsidR="007B06B8" w:rsidRDefault="007B06B8" w:rsidP="007B06B8">
      <w:pPr>
        <w:pStyle w:val="Descripcin"/>
        <w:spacing w:before="240" w:line="360" w:lineRule="auto"/>
        <w:jc w:val="center"/>
        <w:rPr>
          <w:sz w:val="16"/>
          <w:lang w:val="en-US"/>
        </w:rPr>
      </w:pP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10</w:t>
      </w:r>
      <w:r w:rsidRPr="007F0BFA">
        <w:rPr>
          <w:sz w:val="16"/>
        </w:rPr>
        <w:fldChar w:fldCharType="end"/>
      </w:r>
      <w:r w:rsidRPr="00B85064">
        <w:rPr>
          <w:sz w:val="16"/>
          <w:lang w:val="en-US"/>
        </w:rPr>
        <w:t>:</w:t>
      </w:r>
      <w:r w:rsidRPr="007F0BFA">
        <w:rPr>
          <w:sz w:val="16"/>
          <w:lang w:val="en-US"/>
        </w:rPr>
        <w:t xml:space="preserve"> </w:t>
      </w:r>
      <w:r>
        <w:rPr>
          <w:sz w:val="16"/>
          <w:lang w:val="en-US"/>
        </w:rPr>
        <w:t>Physical flows at VIP Ibérico from Portugal to Spain</w:t>
      </w:r>
    </w:p>
    <w:p w14:paraId="16133064" w14:textId="17EA15FE" w:rsidR="008208B1" w:rsidRPr="006D40D3" w:rsidRDefault="008208B1" w:rsidP="008208B1">
      <w:pPr>
        <w:spacing w:line="312" w:lineRule="auto"/>
        <w:rPr>
          <w:rFonts w:cs="Arial"/>
          <w:noProof/>
          <w:lang w:val="en-US" w:eastAsia="en-US"/>
        </w:rPr>
      </w:pPr>
      <w:r w:rsidRPr="000621D4">
        <w:rPr>
          <w:rFonts w:cs="Arial"/>
          <w:noProof/>
          <w:lang w:val="en-US" w:eastAsia="en-US"/>
        </w:rPr>
        <w:t>In 2016 and 2017, the interconnection has not been used in the direction from Portugal to Spain. Nevertheless, in the Winter and Spring periods of the gas year 2018</w:t>
      </w:r>
      <w:r w:rsidR="008D6589">
        <w:rPr>
          <w:rFonts w:cs="Arial"/>
          <w:noProof/>
          <w:lang w:val="en-US" w:eastAsia="en-US"/>
        </w:rPr>
        <w:t>-</w:t>
      </w:r>
      <w:r w:rsidRPr="000621D4">
        <w:rPr>
          <w:rFonts w:cs="Arial"/>
          <w:noProof/>
          <w:lang w:val="en-US" w:eastAsia="en-US"/>
        </w:rPr>
        <w:t xml:space="preserve">2019, a change in the </w:t>
      </w:r>
      <w:r w:rsidR="008D6589">
        <w:rPr>
          <w:rFonts w:cs="Arial"/>
          <w:noProof/>
          <w:lang w:val="en-US" w:eastAsia="en-US"/>
        </w:rPr>
        <w:t>historical</w:t>
      </w:r>
      <w:r w:rsidR="008D6589" w:rsidRPr="000621D4">
        <w:rPr>
          <w:rFonts w:cs="Arial"/>
          <w:noProof/>
          <w:lang w:val="en-US" w:eastAsia="en-US"/>
        </w:rPr>
        <w:t xml:space="preserve"> </w:t>
      </w:r>
      <w:r w:rsidRPr="000621D4">
        <w:rPr>
          <w:rFonts w:cs="Arial"/>
          <w:noProof/>
          <w:lang w:val="en-US" w:eastAsia="en-US"/>
        </w:rPr>
        <w:t xml:space="preserve">flow direction </w:t>
      </w:r>
      <w:r w:rsidR="008D6589">
        <w:rPr>
          <w:rFonts w:cs="Arial"/>
          <w:noProof/>
          <w:lang w:val="en-US" w:eastAsia="en-US"/>
        </w:rPr>
        <w:t xml:space="preserve">at </w:t>
      </w:r>
      <w:r w:rsidRPr="000621D4">
        <w:rPr>
          <w:rFonts w:cs="Arial"/>
          <w:noProof/>
          <w:lang w:val="en-US" w:eastAsia="en-US"/>
        </w:rPr>
        <w:t>the VIP Ibérico</w:t>
      </w:r>
      <w:r w:rsidR="008D6589">
        <w:rPr>
          <w:rFonts w:cs="Arial"/>
          <w:noProof/>
          <w:lang w:val="en-US" w:eastAsia="en-US"/>
        </w:rPr>
        <w:t xml:space="preserve"> </w:t>
      </w:r>
      <w:r w:rsidR="008D6589" w:rsidRPr="000621D4">
        <w:rPr>
          <w:rFonts w:cs="Arial"/>
          <w:noProof/>
          <w:lang w:val="en-US" w:eastAsia="en-US"/>
        </w:rPr>
        <w:t>could be observed</w:t>
      </w:r>
      <w:r w:rsidR="008D6589">
        <w:rPr>
          <w:rFonts w:cs="Arial"/>
          <w:noProof/>
          <w:lang w:val="en-US" w:eastAsia="en-US"/>
        </w:rPr>
        <w:t xml:space="preserve"> for </w:t>
      </w:r>
      <w:r w:rsidR="008D6589" w:rsidRPr="000621D4">
        <w:rPr>
          <w:rFonts w:cs="Arial"/>
          <w:noProof/>
          <w:lang w:val="en-US" w:eastAsia="en-US"/>
        </w:rPr>
        <w:t xml:space="preserve">some </w:t>
      </w:r>
      <w:r w:rsidR="008D6589">
        <w:rPr>
          <w:rFonts w:cs="Arial"/>
          <w:noProof/>
          <w:lang w:val="en-US" w:eastAsia="en-US"/>
        </w:rPr>
        <w:t>days</w:t>
      </w:r>
      <w:r w:rsidRPr="000621D4">
        <w:rPr>
          <w:rFonts w:cs="Arial"/>
          <w:noProof/>
          <w:lang w:val="en-US" w:eastAsia="en-US"/>
        </w:rPr>
        <w:t xml:space="preserve">, </w:t>
      </w:r>
      <w:r w:rsidR="008D6589">
        <w:rPr>
          <w:rFonts w:cs="Arial"/>
          <w:noProof/>
          <w:lang w:val="en-US" w:eastAsia="en-US"/>
        </w:rPr>
        <w:t xml:space="preserve">whereby flows exceeded 60% </w:t>
      </w:r>
      <w:r w:rsidR="008D6589" w:rsidRPr="000621D4">
        <w:rPr>
          <w:rFonts w:cs="Arial"/>
          <w:noProof/>
          <w:lang w:val="en-US" w:eastAsia="en-US"/>
        </w:rPr>
        <w:t>the interconnection capacity in this direction</w:t>
      </w:r>
      <w:r w:rsidRPr="000621D4">
        <w:rPr>
          <w:rFonts w:cs="Arial"/>
          <w:noProof/>
          <w:lang w:val="en-US" w:eastAsia="en-US"/>
        </w:rPr>
        <w:t xml:space="preserve"> </w:t>
      </w:r>
      <w:r w:rsidR="008D6589">
        <w:rPr>
          <w:rFonts w:cs="Arial"/>
          <w:noProof/>
          <w:lang w:val="en-US" w:eastAsia="en-US"/>
        </w:rPr>
        <w:t>during</w:t>
      </w:r>
      <w:r w:rsidR="00A91FE8">
        <w:rPr>
          <w:rFonts w:cs="Arial"/>
          <w:noProof/>
          <w:lang w:val="en-US" w:eastAsia="en-US"/>
        </w:rPr>
        <w:t xml:space="preserve"> </w:t>
      </w:r>
      <w:r w:rsidRPr="000621D4">
        <w:rPr>
          <w:rFonts w:cs="Arial"/>
          <w:noProof/>
          <w:lang w:val="en-US" w:eastAsia="en-US"/>
        </w:rPr>
        <w:t>13 days .</w:t>
      </w:r>
      <w:r w:rsidRPr="0229FE81">
        <w:rPr>
          <w:rFonts w:cs="Arial"/>
          <w:noProof/>
          <w:lang w:val="en-US" w:eastAsia="en-US"/>
        </w:rPr>
        <w:t xml:space="preserve"> </w:t>
      </w:r>
    </w:p>
    <w:p w14:paraId="68310E4A" w14:textId="1363FAD7" w:rsidR="007B06B8" w:rsidRDefault="00436280" w:rsidP="007949FD">
      <w:pPr>
        <w:keepNext/>
        <w:jc w:val="center"/>
        <w:rPr>
          <w:rFonts w:cs="Arial"/>
          <w:color w:val="000000" w:themeColor="text1"/>
          <w:szCs w:val="22"/>
          <w:lang w:val="en-GB"/>
        </w:rPr>
      </w:pPr>
      <w:r>
        <w:rPr>
          <w:rFonts w:cs="Arial"/>
          <w:noProof/>
          <w:color w:val="000000" w:themeColor="text1"/>
          <w:szCs w:val="22"/>
          <w:lang w:val="es-ES" w:eastAsia="es-ES"/>
        </w:rPr>
        <w:drawing>
          <wp:inline distT="0" distB="0" distL="0" distR="0" wp14:anchorId="40DB113E" wp14:editId="2F3144C7">
            <wp:extent cx="4496400" cy="4046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6400" cy="4046400"/>
                    </a:xfrm>
                    <a:prstGeom prst="rect">
                      <a:avLst/>
                    </a:prstGeom>
                    <a:noFill/>
                  </pic:spPr>
                </pic:pic>
              </a:graphicData>
            </a:graphic>
          </wp:inline>
        </w:drawing>
      </w:r>
    </w:p>
    <w:p w14:paraId="5300C754" w14:textId="654B0472" w:rsidR="00272552" w:rsidRPr="00B17AC3" w:rsidRDefault="007B06B8" w:rsidP="00272552">
      <w:pPr>
        <w:pStyle w:val="Descripcin"/>
        <w:spacing w:before="240" w:line="360" w:lineRule="auto"/>
        <w:jc w:val="center"/>
        <w:rPr>
          <w:sz w:val="16"/>
          <w:lang w:val="en-US"/>
        </w:rPr>
      </w:pPr>
      <w:r w:rsidRPr="00B17AC3">
        <w:rPr>
          <w:sz w:val="16"/>
          <w:lang w:val="en-US"/>
        </w:rPr>
        <w:t xml:space="preserve">Figure </w:t>
      </w:r>
      <w:r w:rsidRPr="00B17AC3">
        <w:rPr>
          <w:sz w:val="16"/>
        </w:rPr>
        <w:fldChar w:fldCharType="begin"/>
      </w:r>
      <w:r w:rsidRPr="00B17AC3">
        <w:rPr>
          <w:sz w:val="16"/>
          <w:lang w:val="en-US"/>
        </w:rPr>
        <w:instrText xml:space="preserve"> SEQ Figure \* ARABIC </w:instrText>
      </w:r>
      <w:r w:rsidRPr="00B17AC3">
        <w:rPr>
          <w:sz w:val="16"/>
        </w:rPr>
        <w:fldChar w:fldCharType="separate"/>
      </w:r>
      <w:r w:rsidR="00E859C7">
        <w:rPr>
          <w:noProof/>
          <w:sz w:val="16"/>
          <w:lang w:val="en-US"/>
        </w:rPr>
        <w:t>11</w:t>
      </w:r>
      <w:r w:rsidRPr="00B17AC3">
        <w:rPr>
          <w:sz w:val="16"/>
        </w:rPr>
        <w:fldChar w:fldCharType="end"/>
      </w:r>
      <w:r w:rsidRPr="00B17AC3">
        <w:rPr>
          <w:sz w:val="16"/>
          <w:lang w:val="en-US"/>
        </w:rPr>
        <w:t>: Physical utilization rate of VIP Ibérico from Portugal to Spain</w:t>
      </w:r>
      <w:r w:rsidR="00272552">
        <w:rPr>
          <w:sz w:val="16"/>
          <w:lang w:val="en-US"/>
        </w:rPr>
        <w:t xml:space="preserve"> (80 GWh/d)</w:t>
      </w:r>
    </w:p>
    <w:bookmarkEnd w:id="47"/>
    <w:p w14:paraId="0939B1A0" w14:textId="54A798AC" w:rsidR="000F23BA" w:rsidRPr="00B17AC3" w:rsidRDefault="00DC6E9E" w:rsidP="001F74A6">
      <w:pPr>
        <w:pStyle w:val="Ttulo3"/>
        <w:jc w:val="left"/>
        <w:rPr>
          <w:lang w:val="en-US"/>
        </w:rPr>
      </w:pPr>
      <w:r w:rsidRPr="00B17AC3">
        <w:rPr>
          <w:lang w:val="en-US"/>
        </w:rPr>
        <w:t>North-South link</w:t>
      </w:r>
    </w:p>
    <w:p w14:paraId="2FEC7C09" w14:textId="10F5DB30" w:rsidR="00B66322" w:rsidRDefault="00B66322" w:rsidP="007949FD">
      <w:pPr>
        <w:pStyle w:val="Descripcin"/>
        <w:keepNext/>
        <w:spacing w:before="240" w:line="360" w:lineRule="auto"/>
        <w:jc w:val="center"/>
        <w:rPr>
          <w:noProof/>
          <w:lang w:eastAsia="es-ES"/>
        </w:rPr>
      </w:pPr>
      <w:r>
        <w:rPr>
          <w:noProof/>
          <w:lang w:eastAsia="es-ES"/>
        </w:rPr>
        <w:drawing>
          <wp:inline distT="0" distB="0" distL="0" distR="0" wp14:anchorId="69E22435" wp14:editId="52D2DE6E">
            <wp:extent cx="5469708" cy="3156668"/>
            <wp:effectExtent l="0" t="0" r="0" b="5715"/>
            <wp:docPr id="4348549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4">
                      <a:extLst>
                        <a:ext uri="{28A0092B-C50C-407E-A947-70E740481C1C}">
                          <a14:useLocalDpi xmlns:a14="http://schemas.microsoft.com/office/drawing/2010/main" val="0"/>
                        </a:ext>
                      </a:extLst>
                    </a:blip>
                    <a:stretch>
                      <a:fillRect/>
                    </a:stretch>
                  </pic:blipFill>
                  <pic:spPr>
                    <a:xfrm>
                      <a:off x="0" y="0"/>
                      <a:ext cx="5469708" cy="3156668"/>
                    </a:xfrm>
                    <a:prstGeom prst="rect">
                      <a:avLst/>
                    </a:prstGeom>
                  </pic:spPr>
                </pic:pic>
              </a:graphicData>
            </a:graphic>
          </wp:inline>
        </w:drawing>
      </w:r>
    </w:p>
    <w:p w14:paraId="4DAABCCA" w14:textId="78E69459" w:rsidR="000F23BA" w:rsidRDefault="000F23BA" w:rsidP="004215EB">
      <w:pPr>
        <w:pStyle w:val="Descripcin"/>
        <w:spacing w:before="240" w:line="360" w:lineRule="auto"/>
        <w:jc w:val="center"/>
        <w:rPr>
          <w:sz w:val="16"/>
          <w:lang w:val="en-US"/>
        </w:rPr>
      </w:pPr>
      <w:r w:rsidRPr="007F0BFA">
        <w:rPr>
          <w:sz w:val="16"/>
          <w:lang w:val="en-US"/>
        </w:rPr>
        <w:t xml:space="preserve">Figure </w:t>
      </w:r>
      <w:r w:rsidRPr="007F0BFA">
        <w:rPr>
          <w:sz w:val="16"/>
        </w:rPr>
        <w:fldChar w:fldCharType="begin"/>
      </w:r>
      <w:r w:rsidRPr="007F0BFA">
        <w:rPr>
          <w:sz w:val="16"/>
          <w:lang w:val="en-US"/>
        </w:rPr>
        <w:instrText xml:space="preserve"> SEQ Figure \* ARABIC </w:instrText>
      </w:r>
      <w:r w:rsidRPr="007F0BFA">
        <w:rPr>
          <w:sz w:val="16"/>
        </w:rPr>
        <w:fldChar w:fldCharType="separate"/>
      </w:r>
      <w:r w:rsidR="00E859C7">
        <w:rPr>
          <w:noProof/>
          <w:sz w:val="16"/>
          <w:lang w:val="en-US"/>
        </w:rPr>
        <w:t>12</w:t>
      </w:r>
      <w:r w:rsidRPr="007F0BFA">
        <w:rPr>
          <w:sz w:val="16"/>
        </w:rPr>
        <w:fldChar w:fldCharType="end"/>
      </w:r>
      <w:r w:rsidRPr="00B85064">
        <w:rPr>
          <w:sz w:val="16"/>
          <w:lang w:val="en-US"/>
        </w:rPr>
        <w:t>:</w:t>
      </w:r>
      <w:r w:rsidRPr="007F0BFA">
        <w:rPr>
          <w:sz w:val="16"/>
          <w:lang w:val="en-US"/>
        </w:rPr>
        <w:t xml:space="preserve"> </w:t>
      </w:r>
      <w:r>
        <w:rPr>
          <w:sz w:val="16"/>
          <w:lang w:val="en-US"/>
        </w:rPr>
        <w:t>Physical flows at Liaison Nord-Sud from North to South</w:t>
      </w:r>
    </w:p>
    <w:p w14:paraId="71F19951" w14:textId="78272E59" w:rsidR="000F23BA" w:rsidRDefault="000F23BA" w:rsidP="00E9792F">
      <w:pPr>
        <w:spacing w:line="312" w:lineRule="auto"/>
        <w:rPr>
          <w:szCs w:val="22"/>
          <w:lang w:val="en-GB"/>
        </w:rPr>
      </w:pPr>
      <w:r w:rsidRPr="00A06621">
        <w:rPr>
          <w:szCs w:val="22"/>
          <w:lang w:val="en-GB"/>
        </w:rPr>
        <w:t>T</w:t>
      </w:r>
      <w:r w:rsidRPr="00AF290E">
        <w:rPr>
          <w:szCs w:val="22"/>
          <w:lang w:val="en-GB"/>
        </w:rPr>
        <w:t xml:space="preserve">he </w:t>
      </w:r>
      <w:r w:rsidR="005A24DD">
        <w:rPr>
          <w:szCs w:val="22"/>
          <w:lang w:val="en-GB"/>
        </w:rPr>
        <w:t xml:space="preserve">Liaison link </w:t>
      </w:r>
      <w:r w:rsidRPr="00AF290E">
        <w:rPr>
          <w:szCs w:val="22"/>
          <w:lang w:val="en-GB"/>
        </w:rPr>
        <w:t xml:space="preserve">capacity </w:t>
      </w:r>
      <w:r w:rsidR="00FB3B16">
        <w:rPr>
          <w:szCs w:val="22"/>
          <w:lang w:val="en-GB"/>
        </w:rPr>
        <w:t>wa</w:t>
      </w:r>
      <w:r w:rsidRPr="00AF290E">
        <w:rPr>
          <w:szCs w:val="22"/>
          <w:lang w:val="en-GB"/>
        </w:rPr>
        <w:t xml:space="preserve">s heavily </w:t>
      </w:r>
      <w:r w:rsidRPr="00A06621">
        <w:rPr>
          <w:szCs w:val="22"/>
          <w:lang w:val="en-GB"/>
        </w:rPr>
        <w:t xml:space="preserve">used from </w:t>
      </w:r>
      <w:r>
        <w:rPr>
          <w:szCs w:val="22"/>
          <w:lang w:val="en-GB"/>
        </w:rPr>
        <w:t>N</w:t>
      </w:r>
      <w:r w:rsidRPr="00A06621">
        <w:rPr>
          <w:szCs w:val="22"/>
          <w:lang w:val="en-GB"/>
        </w:rPr>
        <w:t xml:space="preserve">orth towards </w:t>
      </w:r>
      <w:r>
        <w:rPr>
          <w:szCs w:val="22"/>
          <w:lang w:val="en-GB"/>
        </w:rPr>
        <w:t>S</w:t>
      </w:r>
      <w:r w:rsidRPr="00A06621">
        <w:rPr>
          <w:szCs w:val="22"/>
          <w:lang w:val="en-GB"/>
        </w:rPr>
        <w:t>outh</w:t>
      </w:r>
      <w:r w:rsidR="005A24DD">
        <w:rPr>
          <w:szCs w:val="22"/>
          <w:lang w:val="en-GB"/>
        </w:rPr>
        <w:t>, at rates over 100% most of the time,</w:t>
      </w:r>
      <w:r w:rsidRPr="00A06621">
        <w:rPr>
          <w:szCs w:val="22"/>
          <w:lang w:val="en-GB"/>
        </w:rPr>
        <w:t xml:space="preserve"> </w:t>
      </w:r>
      <w:r w:rsidR="00B17AC3">
        <w:rPr>
          <w:szCs w:val="22"/>
          <w:lang w:val="en-GB"/>
        </w:rPr>
        <w:t>until</w:t>
      </w:r>
      <w:r w:rsidR="00FB3B16">
        <w:rPr>
          <w:szCs w:val="22"/>
          <w:lang w:val="en-GB"/>
        </w:rPr>
        <w:t xml:space="preserve"> the removal of the North to South link </w:t>
      </w:r>
      <w:r w:rsidRPr="00A06621">
        <w:rPr>
          <w:szCs w:val="22"/>
          <w:lang w:val="en-GB"/>
        </w:rPr>
        <w:t xml:space="preserve">whereas in the other direction the interconnection </w:t>
      </w:r>
      <w:r w:rsidR="00FB3B16">
        <w:rPr>
          <w:szCs w:val="22"/>
          <w:lang w:val="en-GB"/>
        </w:rPr>
        <w:t>wa</w:t>
      </w:r>
      <w:r w:rsidRPr="00A06621">
        <w:rPr>
          <w:szCs w:val="22"/>
          <w:lang w:val="en-GB"/>
        </w:rPr>
        <w:t>s not used</w:t>
      </w:r>
      <w:r w:rsidR="00FB3B16" w:rsidRPr="00FB3B16">
        <w:rPr>
          <w:szCs w:val="22"/>
          <w:lang w:val="en-GB"/>
        </w:rPr>
        <w:t xml:space="preserve"> </w:t>
      </w:r>
      <w:r w:rsidR="00FB3B16">
        <w:rPr>
          <w:szCs w:val="22"/>
          <w:lang w:val="en-GB"/>
        </w:rPr>
        <w:t>most of the time</w:t>
      </w:r>
      <w:r w:rsidRPr="00A06621">
        <w:rPr>
          <w:szCs w:val="22"/>
          <w:lang w:val="en-GB"/>
        </w:rPr>
        <w:t>.</w:t>
      </w:r>
    </w:p>
    <w:p w14:paraId="5A90E4F4" w14:textId="1499BC91" w:rsidR="00544A66" w:rsidRPr="00993480" w:rsidRDefault="002C3EA4" w:rsidP="00993480">
      <w:pPr>
        <w:pStyle w:val="Ttulo2"/>
        <w:keepNext/>
        <w:rPr>
          <w:lang w:val="en-US"/>
        </w:rPr>
      </w:pPr>
      <w:bookmarkStart w:id="48" w:name="_Toc49770591"/>
      <w:r>
        <w:rPr>
          <w:lang w:val="en-US"/>
        </w:rPr>
        <w:t>A</w:t>
      </w:r>
      <w:r w:rsidR="00E04FE3">
        <w:rPr>
          <w:lang w:val="en-US"/>
        </w:rPr>
        <w:t>vailable capacity to be auctioned via PRISMA</w:t>
      </w:r>
      <w:bookmarkEnd w:id="48"/>
    </w:p>
    <w:p w14:paraId="4E4161FB" w14:textId="5564EB7A" w:rsidR="00882CDC" w:rsidRDefault="00882CDC" w:rsidP="00E9792F">
      <w:pPr>
        <w:spacing w:line="312" w:lineRule="auto"/>
        <w:rPr>
          <w:lang w:val="en-GB"/>
        </w:rPr>
      </w:pPr>
      <w:r w:rsidRPr="001C2CE2">
        <w:rPr>
          <w:lang w:val="en-GB"/>
        </w:rPr>
        <w:t xml:space="preserve">Each TSO calculates the maximum technical capacity and the maximum booked capacity in both directions of the interconnection. The common value is reached in order to identify the maximum bundled capacity that </w:t>
      </w:r>
      <w:r w:rsidR="005B2126">
        <w:rPr>
          <w:lang w:val="en-GB"/>
        </w:rPr>
        <w:t>can</w:t>
      </w:r>
      <w:r w:rsidR="005B2126" w:rsidRPr="001C2CE2">
        <w:rPr>
          <w:lang w:val="en-GB"/>
        </w:rPr>
        <w:t xml:space="preserve"> </w:t>
      </w:r>
      <w:r w:rsidRPr="001C2CE2">
        <w:rPr>
          <w:lang w:val="en-GB"/>
        </w:rPr>
        <w:t>be offered to the market.</w:t>
      </w:r>
    </w:p>
    <w:p w14:paraId="3D58B047" w14:textId="36942C64" w:rsidR="00882CDC" w:rsidRPr="001C2CE2" w:rsidRDefault="00882CDC" w:rsidP="00E9792F">
      <w:pPr>
        <w:spacing w:line="312" w:lineRule="auto"/>
        <w:rPr>
          <w:lang w:val="en-GB"/>
        </w:rPr>
      </w:pPr>
      <w:r>
        <w:rPr>
          <w:lang w:val="en-GB"/>
        </w:rPr>
        <w:t>The TSOs</w:t>
      </w:r>
      <w:r w:rsidRPr="001C2CE2">
        <w:rPr>
          <w:lang w:val="en-GB"/>
        </w:rPr>
        <w:t xml:space="preserve"> consider the maximum technical capacity value for each product. In case of different values in the same period, </w:t>
      </w:r>
      <w:r>
        <w:rPr>
          <w:lang w:val="en-GB"/>
        </w:rPr>
        <w:t>the TSOs</w:t>
      </w:r>
      <w:r w:rsidRPr="001C2CE2">
        <w:rPr>
          <w:lang w:val="en-GB"/>
        </w:rPr>
        <w:t xml:space="preserve"> consider the minimum available value to ensure the offer </w:t>
      </w:r>
      <w:r>
        <w:rPr>
          <w:lang w:val="en-GB"/>
        </w:rPr>
        <w:t xml:space="preserve">of bundled </w:t>
      </w:r>
      <w:r w:rsidRPr="001C2CE2">
        <w:rPr>
          <w:lang w:val="en-GB"/>
        </w:rPr>
        <w:t>capacity</w:t>
      </w:r>
      <w:r>
        <w:rPr>
          <w:lang w:val="en-GB"/>
        </w:rPr>
        <w:t xml:space="preserve"> and offer the additional available capacity as an unbundled product</w:t>
      </w:r>
      <w:r w:rsidRPr="001C2CE2">
        <w:rPr>
          <w:lang w:val="en-GB"/>
        </w:rPr>
        <w:t>.</w:t>
      </w:r>
    </w:p>
    <w:p w14:paraId="0E6F6252" w14:textId="77777777" w:rsidR="00882CDC" w:rsidRDefault="00882CDC" w:rsidP="00E9792F">
      <w:pPr>
        <w:spacing w:line="312" w:lineRule="auto"/>
        <w:rPr>
          <w:lang w:val="en-GB"/>
        </w:rPr>
      </w:pPr>
      <w:r w:rsidRPr="001C2CE2">
        <w:rPr>
          <w:lang w:val="en-GB"/>
        </w:rPr>
        <w:t xml:space="preserve">Find below the </w:t>
      </w:r>
      <w:r>
        <w:rPr>
          <w:lang w:val="en-GB"/>
        </w:rPr>
        <w:t>tables</w:t>
      </w:r>
      <w:r w:rsidRPr="001C2CE2">
        <w:rPr>
          <w:lang w:val="en-GB"/>
        </w:rPr>
        <w:t xml:space="preserve"> summariz</w:t>
      </w:r>
      <w:r>
        <w:rPr>
          <w:lang w:val="en-GB"/>
        </w:rPr>
        <w:t>ing</w:t>
      </w:r>
      <w:r w:rsidRPr="001C2CE2">
        <w:rPr>
          <w:lang w:val="en-GB"/>
        </w:rPr>
        <w:t xml:space="preserve"> the common c</w:t>
      </w:r>
      <w:r>
        <w:rPr>
          <w:lang w:val="en-GB"/>
        </w:rPr>
        <w:t>apacity to be commercialized at the VIPs</w:t>
      </w:r>
      <w:r w:rsidR="005B2126">
        <w:rPr>
          <w:lang w:val="en-GB"/>
        </w:rPr>
        <w:t>:</w:t>
      </w:r>
    </w:p>
    <w:tbl>
      <w:tblPr>
        <w:tblW w:w="0" w:type="auto"/>
        <w:jc w:val="center"/>
        <w:tblCellMar>
          <w:left w:w="70" w:type="dxa"/>
          <w:right w:w="70" w:type="dxa"/>
        </w:tblCellMar>
        <w:tblLook w:val="04A0" w:firstRow="1" w:lastRow="0" w:firstColumn="1" w:lastColumn="0" w:noHBand="0" w:noVBand="1"/>
      </w:tblPr>
      <w:tblGrid>
        <w:gridCol w:w="992"/>
        <w:gridCol w:w="3970"/>
      </w:tblGrid>
      <w:tr w:rsidR="00882CDC" w:rsidRPr="005A1B4A" w14:paraId="2E83A126" w14:textId="77777777" w:rsidTr="00E9792F">
        <w:trPr>
          <w:trHeight w:val="154"/>
          <w:jc w:val="center"/>
        </w:trPr>
        <w:tc>
          <w:tcPr>
            <w:tcW w:w="992" w:type="dxa"/>
            <w:tcBorders>
              <w:bottom w:val="single" w:sz="4" w:space="0" w:color="auto"/>
              <w:right w:val="single" w:sz="4" w:space="0" w:color="auto"/>
            </w:tcBorders>
            <w:shd w:val="clear" w:color="auto" w:fill="auto"/>
            <w:noWrap/>
            <w:vAlign w:val="center"/>
          </w:tcPr>
          <w:p w14:paraId="621BA50D" w14:textId="77777777" w:rsidR="00882CDC" w:rsidRPr="005A1B4A" w:rsidRDefault="00882CDC">
            <w:pPr>
              <w:keepNext/>
              <w:spacing w:before="0" w:after="0"/>
              <w:jc w:val="center"/>
              <w:rPr>
                <w:rFonts w:cs="Arial"/>
                <w:b/>
                <w:bCs/>
                <w:color w:val="FFFFFF"/>
                <w:sz w:val="20"/>
                <w:szCs w:val="20"/>
                <w:lang w:val="en-US"/>
              </w:rPr>
            </w:pPr>
          </w:p>
        </w:tc>
        <w:tc>
          <w:tcPr>
            <w:tcW w:w="3970" w:type="dxa"/>
            <w:tcBorders>
              <w:top w:val="single" w:sz="4" w:space="0" w:color="auto"/>
              <w:left w:val="single" w:sz="4" w:space="0" w:color="auto"/>
              <w:bottom w:val="single" w:sz="4" w:space="0" w:color="auto"/>
              <w:right w:val="single" w:sz="4" w:space="0" w:color="auto"/>
            </w:tcBorders>
            <w:shd w:val="clear" w:color="000000" w:fill="007AAE"/>
            <w:vAlign w:val="center"/>
          </w:tcPr>
          <w:p w14:paraId="5997C594" w14:textId="77777777" w:rsidR="00882CDC" w:rsidRPr="005A1B4A" w:rsidRDefault="00882CDC">
            <w:pPr>
              <w:keepNext/>
              <w:spacing w:before="0" w:after="0"/>
              <w:jc w:val="center"/>
              <w:rPr>
                <w:rFonts w:cs="Arial"/>
                <w:b/>
                <w:bCs/>
                <w:color w:val="FFFFFF"/>
                <w:sz w:val="20"/>
                <w:szCs w:val="20"/>
                <w:lang w:val="en-US"/>
              </w:rPr>
            </w:pPr>
            <w:r w:rsidRPr="005A1B4A">
              <w:rPr>
                <w:rFonts w:cs="Arial"/>
                <w:b/>
                <w:bCs/>
                <w:color w:val="FFFFFF"/>
                <w:sz w:val="20"/>
                <w:szCs w:val="20"/>
                <w:lang w:val="en-US"/>
              </w:rPr>
              <w:t>T</w:t>
            </w:r>
            <w:r>
              <w:rPr>
                <w:rFonts w:cs="Arial"/>
                <w:b/>
                <w:bCs/>
                <w:color w:val="FFFFFF"/>
                <w:sz w:val="20"/>
                <w:szCs w:val="20"/>
                <w:lang w:val="en-US"/>
              </w:rPr>
              <w:t>eréga</w:t>
            </w:r>
            <w:r w:rsidRPr="005A1B4A">
              <w:rPr>
                <w:rFonts w:cs="Arial"/>
                <w:b/>
                <w:bCs/>
                <w:color w:val="FFFFFF"/>
                <w:sz w:val="20"/>
                <w:szCs w:val="20"/>
                <w:lang w:val="en-US"/>
              </w:rPr>
              <w:t>-E</w:t>
            </w:r>
            <w:r w:rsidRPr="00993480">
              <w:rPr>
                <w:rFonts w:cs="Arial"/>
                <w:b/>
                <w:bCs/>
                <w:color w:val="FFFFFF"/>
                <w:sz w:val="20"/>
                <w:szCs w:val="20"/>
                <w:lang w:val="en-US"/>
              </w:rPr>
              <w:t>nagás</w:t>
            </w:r>
          </w:p>
        </w:tc>
      </w:tr>
      <w:tr w:rsidR="00882CDC" w:rsidRPr="005A1B4A" w14:paraId="11B505BF" w14:textId="77777777" w:rsidTr="00E9792F">
        <w:trPr>
          <w:trHeight w:val="164"/>
          <w:jc w:val="center"/>
        </w:trPr>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AC9F53E" w14:textId="7DC6DBF3" w:rsidR="00882CDC" w:rsidRPr="005A1B4A" w:rsidRDefault="00882CDC" w:rsidP="000673CD">
            <w:pPr>
              <w:keepNext/>
              <w:spacing w:before="0" w:after="0"/>
              <w:jc w:val="center"/>
              <w:rPr>
                <w:rFonts w:cs="Arial"/>
                <w:b/>
                <w:bCs/>
                <w:color w:val="000000"/>
                <w:sz w:val="20"/>
                <w:szCs w:val="20"/>
                <w:lang w:val="en-US"/>
              </w:rPr>
            </w:pPr>
            <w:r w:rsidRPr="005A1B4A">
              <w:rPr>
                <w:rFonts w:cs="Arial"/>
                <w:b/>
                <w:bCs/>
                <w:color w:val="000000"/>
                <w:sz w:val="20"/>
                <w:szCs w:val="20"/>
                <w:lang w:val="en-US"/>
              </w:rPr>
              <w:t>FR-</w:t>
            </w:r>
            <w:r w:rsidR="000673CD">
              <w:rPr>
                <w:rFonts w:cs="Arial"/>
                <w:b/>
                <w:bCs/>
                <w:color w:val="000000"/>
                <w:sz w:val="20"/>
                <w:szCs w:val="20"/>
                <w:lang w:val="en-US"/>
              </w:rPr>
              <w:t>ES</w:t>
            </w:r>
          </w:p>
        </w:tc>
        <w:tc>
          <w:tcPr>
            <w:tcW w:w="3970" w:type="dxa"/>
            <w:tcBorders>
              <w:top w:val="single" w:sz="4" w:space="0" w:color="auto"/>
              <w:left w:val="nil"/>
              <w:bottom w:val="single" w:sz="4" w:space="0" w:color="auto"/>
              <w:right w:val="single" w:sz="4" w:space="0" w:color="auto"/>
            </w:tcBorders>
            <w:shd w:val="clear" w:color="auto" w:fill="auto"/>
            <w:vAlign w:val="center"/>
          </w:tcPr>
          <w:p w14:paraId="00D1F51D" w14:textId="77777777" w:rsidR="00882CDC" w:rsidRPr="005A1B4A" w:rsidRDefault="00882CDC">
            <w:pPr>
              <w:keepNext/>
              <w:spacing w:before="0" w:after="0"/>
              <w:jc w:val="center"/>
              <w:rPr>
                <w:rFonts w:cs="Arial"/>
                <w:b/>
                <w:bCs/>
                <w:color w:val="000000"/>
                <w:sz w:val="20"/>
                <w:szCs w:val="20"/>
                <w:lang w:val="en-US"/>
              </w:rPr>
            </w:pPr>
            <w:r w:rsidRPr="005A1B4A">
              <w:rPr>
                <w:rFonts w:cs="Arial"/>
                <w:color w:val="000000"/>
                <w:sz w:val="20"/>
                <w:szCs w:val="20"/>
                <w:lang w:val="en-US"/>
              </w:rPr>
              <w:t>165</w:t>
            </w:r>
            <w:r>
              <w:rPr>
                <w:rFonts w:cs="Arial"/>
                <w:color w:val="000000"/>
                <w:sz w:val="20"/>
                <w:szCs w:val="20"/>
                <w:lang w:val="en-US"/>
              </w:rPr>
              <w:t xml:space="preserve"> (W)/175 (S) firm+60 interruptible</w:t>
            </w:r>
          </w:p>
        </w:tc>
      </w:tr>
      <w:tr w:rsidR="00882CDC" w:rsidRPr="00006545" w14:paraId="4028AD1A" w14:textId="77777777" w:rsidTr="00E9792F">
        <w:trPr>
          <w:trHeight w:val="135"/>
          <w:jc w:val="center"/>
        </w:trPr>
        <w:tc>
          <w:tcPr>
            <w:tcW w:w="99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8AA2A4E" w14:textId="50F0F2E3" w:rsidR="00882CDC" w:rsidRPr="005A1B4A" w:rsidRDefault="000673CD">
            <w:pPr>
              <w:keepNext/>
              <w:spacing w:before="0" w:after="0"/>
              <w:jc w:val="center"/>
              <w:rPr>
                <w:rFonts w:cs="Arial"/>
                <w:b/>
                <w:bCs/>
                <w:color w:val="000000"/>
                <w:sz w:val="20"/>
                <w:szCs w:val="20"/>
                <w:lang w:val="en-US"/>
              </w:rPr>
            </w:pPr>
            <w:r>
              <w:rPr>
                <w:rFonts w:cs="Arial"/>
                <w:b/>
                <w:bCs/>
                <w:color w:val="000000"/>
                <w:sz w:val="20"/>
                <w:szCs w:val="20"/>
                <w:lang w:val="en-US"/>
              </w:rPr>
              <w:t>ES</w:t>
            </w:r>
            <w:r w:rsidR="00882CDC" w:rsidRPr="005A1B4A">
              <w:rPr>
                <w:rFonts w:cs="Arial"/>
                <w:b/>
                <w:bCs/>
                <w:color w:val="000000"/>
                <w:sz w:val="20"/>
                <w:szCs w:val="20"/>
                <w:lang w:val="en-US"/>
              </w:rPr>
              <w:t>-FR</w:t>
            </w:r>
          </w:p>
        </w:tc>
        <w:tc>
          <w:tcPr>
            <w:tcW w:w="3970" w:type="dxa"/>
            <w:tcBorders>
              <w:top w:val="single" w:sz="4" w:space="0" w:color="auto"/>
              <w:left w:val="nil"/>
              <w:bottom w:val="single" w:sz="4" w:space="0" w:color="auto"/>
              <w:right w:val="single" w:sz="4" w:space="0" w:color="auto"/>
            </w:tcBorders>
            <w:vAlign w:val="center"/>
          </w:tcPr>
          <w:p w14:paraId="6325E756" w14:textId="77777777" w:rsidR="00882CDC" w:rsidRPr="00006545" w:rsidRDefault="00882CDC">
            <w:pPr>
              <w:keepNext/>
              <w:spacing w:before="0" w:after="0"/>
              <w:jc w:val="center"/>
              <w:rPr>
                <w:rFonts w:cs="Arial"/>
                <w:color w:val="000000"/>
                <w:sz w:val="20"/>
                <w:szCs w:val="20"/>
                <w:lang w:val="en-US"/>
              </w:rPr>
            </w:pPr>
            <w:r w:rsidRPr="005A1B4A">
              <w:rPr>
                <w:rFonts w:cs="Arial"/>
                <w:color w:val="000000"/>
                <w:sz w:val="20"/>
                <w:szCs w:val="20"/>
                <w:lang w:val="en-US"/>
              </w:rPr>
              <w:t>225</w:t>
            </w:r>
          </w:p>
        </w:tc>
      </w:tr>
    </w:tbl>
    <w:p w14:paraId="738596A2" w14:textId="1B13C7D7" w:rsidR="00882CDC" w:rsidRDefault="00882CDC" w:rsidP="00882CDC">
      <w:pPr>
        <w:pStyle w:val="Descripcin"/>
        <w:spacing w:before="240" w:line="360" w:lineRule="auto"/>
        <w:jc w:val="center"/>
        <w:rPr>
          <w:sz w:val="16"/>
          <w:lang w:val="en-US"/>
        </w:rPr>
      </w:pPr>
      <w:r w:rsidRPr="00006545">
        <w:rPr>
          <w:sz w:val="16"/>
          <w:lang w:val="en-US"/>
        </w:rPr>
        <w:t xml:space="preserve">Table </w:t>
      </w:r>
      <w:r w:rsidRPr="00006545">
        <w:rPr>
          <w:sz w:val="16"/>
          <w:lang w:val="en-US"/>
        </w:rPr>
        <w:fldChar w:fldCharType="begin"/>
      </w:r>
      <w:r w:rsidRPr="00006545">
        <w:rPr>
          <w:sz w:val="16"/>
          <w:lang w:val="en-US"/>
        </w:rPr>
        <w:instrText xml:space="preserve"> SEQ Table \* ARABIC </w:instrText>
      </w:r>
      <w:r w:rsidRPr="00006545">
        <w:rPr>
          <w:sz w:val="16"/>
          <w:lang w:val="en-US"/>
        </w:rPr>
        <w:fldChar w:fldCharType="separate"/>
      </w:r>
      <w:r w:rsidR="00E859C7">
        <w:rPr>
          <w:noProof/>
          <w:sz w:val="16"/>
          <w:lang w:val="en-US"/>
        </w:rPr>
        <w:t>1</w:t>
      </w:r>
      <w:r w:rsidRPr="00006545">
        <w:rPr>
          <w:sz w:val="16"/>
          <w:lang w:val="en-US"/>
        </w:rPr>
        <w:fldChar w:fldCharType="end"/>
      </w:r>
      <w:r w:rsidRPr="00006545">
        <w:rPr>
          <w:sz w:val="16"/>
          <w:lang w:val="en-US"/>
        </w:rPr>
        <w:t xml:space="preserve">: </w:t>
      </w:r>
      <w:r>
        <w:rPr>
          <w:sz w:val="16"/>
          <w:lang w:val="en-US"/>
        </w:rPr>
        <w:t xml:space="preserve">Bundled capacities </w:t>
      </w:r>
      <w:r w:rsidRPr="00006545">
        <w:rPr>
          <w:sz w:val="16"/>
          <w:lang w:val="en-US"/>
        </w:rPr>
        <w:t xml:space="preserve">at VIP </w:t>
      </w:r>
      <w:r>
        <w:rPr>
          <w:sz w:val="16"/>
          <w:lang w:val="en-US"/>
        </w:rPr>
        <w:t>Pirineos (GWh/d 0ºC)</w:t>
      </w:r>
    </w:p>
    <w:tbl>
      <w:tblPr>
        <w:tblW w:w="0" w:type="auto"/>
        <w:jc w:val="center"/>
        <w:tblCellMar>
          <w:left w:w="70" w:type="dxa"/>
          <w:right w:w="70" w:type="dxa"/>
        </w:tblCellMar>
        <w:tblLook w:val="04A0" w:firstRow="1" w:lastRow="0" w:firstColumn="1" w:lastColumn="0" w:noHBand="0" w:noVBand="1"/>
      </w:tblPr>
      <w:tblGrid>
        <w:gridCol w:w="992"/>
        <w:gridCol w:w="3064"/>
      </w:tblGrid>
      <w:tr w:rsidR="00882CDC" w:rsidRPr="005A1B4A" w14:paraId="1E5E5891" w14:textId="77777777" w:rsidTr="00292EAC">
        <w:trPr>
          <w:trHeight w:val="154"/>
          <w:jc w:val="center"/>
        </w:trPr>
        <w:tc>
          <w:tcPr>
            <w:tcW w:w="992" w:type="dxa"/>
            <w:tcBorders>
              <w:bottom w:val="single" w:sz="4" w:space="0" w:color="auto"/>
              <w:right w:val="single" w:sz="4" w:space="0" w:color="auto"/>
            </w:tcBorders>
            <w:shd w:val="clear" w:color="auto" w:fill="auto"/>
            <w:noWrap/>
            <w:vAlign w:val="center"/>
          </w:tcPr>
          <w:p w14:paraId="66F0BD09" w14:textId="77777777" w:rsidR="00882CDC" w:rsidRPr="00006545" w:rsidRDefault="00882CDC" w:rsidP="00292EAC">
            <w:pPr>
              <w:keepNext/>
              <w:spacing w:before="0" w:after="0"/>
              <w:jc w:val="center"/>
              <w:rPr>
                <w:rFonts w:cs="Arial"/>
                <w:b/>
                <w:bCs/>
                <w:color w:val="FFFFFF"/>
                <w:sz w:val="20"/>
                <w:szCs w:val="20"/>
                <w:lang w:val="en-US"/>
              </w:rPr>
            </w:pPr>
          </w:p>
        </w:tc>
        <w:tc>
          <w:tcPr>
            <w:tcW w:w="3064" w:type="dxa"/>
            <w:tcBorders>
              <w:top w:val="single" w:sz="4" w:space="0" w:color="auto"/>
              <w:left w:val="single" w:sz="4" w:space="0" w:color="auto"/>
              <w:bottom w:val="single" w:sz="4" w:space="0" w:color="auto"/>
              <w:right w:val="single" w:sz="4" w:space="0" w:color="auto"/>
            </w:tcBorders>
            <w:shd w:val="clear" w:color="000000" w:fill="007AAE"/>
            <w:vAlign w:val="center"/>
          </w:tcPr>
          <w:p w14:paraId="3C90E999" w14:textId="77777777" w:rsidR="00882CDC" w:rsidRPr="005A1B4A" w:rsidRDefault="00882CDC" w:rsidP="00292EAC">
            <w:pPr>
              <w:keepNext/>
              <w:spacing w:before="0" w:after="0"/>
              <w:jc w:val="center"/>
              <w:rPr>
                <w:rFonts w:cs="Arial"/>
                <w:b/>
                <w:bCs/>
                <w:color w:val="FFFFFF"/>
                <w:sz w:val="20"/>
                <w:szCs w:val="20"/>
                <w:lang w:val="en-US"/>
              </w:rPr>
            </w:pPr>
            <w:r w:rsidRPr="005A1B4A">
              <w:rPr>
                <w:rFonts w:cs="Arial"/>
                <w:b/>
                <w:bCs/>
                <w:color w:val="FFFFFF"/>
                <w:sz w:val="20"/>
                <w:szCs w:val="20"/>
                <w:lang w:val="en-US"/>
              </w:rPr>
              <w:t>REN-E</w:t>
            </w:r>
            <w:r>
              <w:rPr>
                <w:rFonts w:cs="Arial"/>
                <w:b/>
                <w:bCs/>
                <w:color w:val="FFFFFF"/>
                <w:sz w:val="20"/>
                <w:szCs w:val="20"/>
                <w:lang w:val="en-US"/>
              </w:rPr>
              <w:t>nagás</w:t>
            </w:r>
          </w:p>
        </w:tc>
      </w:tr>
      <w:tr w:rsidR="00882CDC" w:rsidRPr="005A1B4A" w14:paraId="35BEB3FA" w14:textId="77777777" w:rsidTr="00E9792F">
        <w:trPr>
          <w:trHeight w:val="164"/>
          <w:jc w:val="center"/>
        </w:trPr>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787F2E" w14:textId="46A2C0D0" w:rsidR="00882CDC" w:rsidRPr="005A1B4A" w:rsidRDefault="00882CDC" w:rsidP="000673CD">
            <w:pPr>
              <w:keepNext/>
              <w:spacing w:before="0" w:after="0"/>
              <w:jc w:val="center"/>
              <w:rPr>
                <w:rFonts w:cs="Arial"/>
                <w:b/>
                <w:bCs/>
                <w:color w:val="000000"/>
                <w:sz w:val="20"/>
                <w:szCs w:val="20"/>
                <w:lang w:val="en-US"/>
              </w:rPr>
            </w:pPr>
            <w:r w:rsidRPr="005A1B4A">
              <w:rPr>
                <w:rFonts w:cs="Arial"/>
                <w:b/>
                <w:bCs/>
                <w:color w:val="000000"/>
                <w:sz w:val="20"/>
                <w:szCs w:val="20"/>
                <w:lang w:val="en-US"/>
              </w:rPr>
              <w:t>PT-</w:t>
            </w:r>
            <w:r w:rsidR="000673CD">
              <w:rPr>
                <w:rFonts w:cs="Arial"/>
                <w:b/>
                <w:bCs/>
                <w:color w:val="000000"/>
                <w:sz w:val="20"/>
                <w:szCs w:val="20"/>
                <w:lang w:val="en-US"/>
              </w:rPr>
              <w:t>ES</w:t>
            </w:r>
          </w:p>
        </w:tc>
        <w:tc>
          <w:tcPr>
            <w:tcW w:w="3064" w:type="dxa"/>
            <w:tcBorders>
              <w:top w:val="single" w:sz="4" w:space="0" w:color="auto"/>
              <w:left w:val="nil"/>
              <w:bottom w:val="single" w:sz="4" w:space="0" w:color="auto"/>
              <w:right w:val="single" w:sz="4" w:space="0" w:color="auto"/>
            </w:tcBorders>
            <w:shd w:val="clear" w:color="auto" w:fill="auto"/>
            <w:vAlign w:val="center"/>
          </w:tcPr>
          <w:p w14:paraId="3DB3CCA5" w14:textId="77777777" w:rsidR="00882CDC" w:rsidRPr="005A1B4A" w:rsidRDefault="00882CDC">
            <w:pPr>
              <w:keepNext/>
              <w:spacing w:before="0" w:after="0"/>
              <w:jc w:val="center"/>
              <w:rPr>
                <w:rFonts w:cs="Arial"/>
                <w:b/>
                <w:bCs/>
                <w:color w:val="000000"/>
                <w:sz w:val="20"/>
                <w:szCs w:val="20"/>
                <w:lang w:val="en-US"/>
              </w:rPr>
            </w:pPr>
            <w:r w:rsidRPr="005A1B4A">
              <w:rPr>
                <w:rFonts w:cs="Arial"/>
                <w:color w:val="000000"/>
                <w:sz w:val="20"/>
                <w:szCs w:val="20"/>
                <w:lang w:val="en-US"/>
              </w:rPr>
              <w:t>80</w:t>
            </w:r>
          </w:p>
        </w:tc>
      </w:tr>
      <w:tr w:rsidR="00882CDC" w:rsidRPr="005A1B4A" w14:paraId="56C475EF" w14:textId="77777777" w:rsidTr="00E9792F">
        <w:trPr>
          <w:trHeight w:val="412"/>
          <w:jc w:val="center"/>
        </w:trPr>
        <w:tc>
          <w:tcPr>
            <w:tcW w:w="99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0B5615" w14:textId="6CCBB6F0" w:rsidR="00882CDC" w:rsidRPr="005A1B4A" w:rsidRDefault="000673CD" w:rsidP="00292EAC">
            <w:pPr>
              <w:keepNext/>
              <w:spacing w:before="0" w:after="0"/>
              <w:jc w:val="center"/>
              <w:rPr>
                <w:rFonts w:cs="Arial"/>
                <w:b/>
                <w:bCs/>
                <w:color w:val="000000"/>
                <w:sz w:val="20"/>
                <w:szCs w:val="20"/>
                <w:lang w:val="en-US"/>
              </w:rPr>
            </w:pPr>
            <w:r>
              <w:rPr>
                <w:rFonts w:cs="Arial"/>
                <w:b/>
                <w:bCs/>
                <w:color w:val="000000"/>
                <w:sz w:val="20"/>
                <w:szCs w:val="20"/>
                <w:lang w:val="en-US"/>
              </w:rPr>
              <w:t>ES</w:t>
            </w:r>
            <w:r w:rsidR="00882CDC" w:rsidRPr="005A1B4A">
              <w:rPr>
                <w:rFonts w:cs="Arial"/>
                <w:b/>
                <w:bCs/>
                <w:color w:val="000000"/>
                <w:sz w:val="20"/>
                <w:szCs w:val="20"/>
                <w:lang w:val="en-US"/>
              </w:rPr>
              <w:t>-PT</w:t>
            </w:r>
          </w:p>
        </w:tc>
        <w:tc>
          <w:tcPr>
            <w:tcW w:w="3064" w:type="dxa"/>
            <w:tcBorders>
              <w:top w:val="single" w:sz="4" w:space="0" w:color="auto"/>
              <w:left w:val="nil"/>
              <w:bottom w:val="single" w:sz="4" w:space="0" w:color="auto"/>
              <w:right w:val="single" w:sz="4" w:space="0" w:color="auto"/>
            </w:tcBorders>
            <w:vAlign w:val="center"/>
          </w:tcPr>
          <w:p w14:paraId="7DF262C7" w14:textId="77777777" w:rsidR="00882CDC" w:rsidRPr="005A1B4A" w:rsidRDefault="00882CDC">
            <w:pPr>
              <w:keepNext/>
              <w:spacing w:before="0" w:after="0"/>
              <w:jc w:val="center"/>
              <w:rPr>
                <w:rFonts w:cs="Arial"/>
                <w:color w:val="000000"/>
                <w:sz w:val="20"/>
                <w:szCs w:val="20"/>
                <w:lang w:val="en-US"/>
              </w:rPr>
            </w:pPr>
            <w:r w:rsidRPr="005A1B4A">
              <w:rPr>
                <w:rFonts w:cs="Arial"/>
                <w:color w:val="000000"/>
                <w:sz w:val="20"/>
                <w:szCs w:val="20"/>
                <w:lang w:val="en-US"/>
              </w:rPr>
              <w:t>144</w:t>
            </w:r>
          </w:p>
        </w:tc>
      </w:tr>
    </w:tbl>
    <w:p w14:paraId="49ED4597" w14:textId="30FB7E43" w:rsidR="00882CDC" w:rsidRDefault="00882CDC" w:rsidP="00882CDC">
      <w:pPr>
        <w:pStyle w:val="Descripcin"/>
        <w:spacing w:before="240" w:line="360" w:lineRule="auto"/>
        <w:jc w:val="center"/>
        <w:rPr>
          <w:sz w:val="16"/>
          <w:lang w:val="en-US"/>
        </w:rPr>
      </w:pPr>
      <w:r w:rsidRPr="005A1B4A">
        <w:rPr>
          <w:sz w:val="16"/>
          <w:lang w:val="en-US"/>
        </w:rPr>
        <w:t xml:space="preserve">Table </w:t>
      </w:r>
      <w:r w:rsidRPr="005A1B4A">
        <w:rPr>
          <w:sz w:val="16"/>
          <w:lang w:val="en-US"/>
        </w:rPr>
        <w:fldChar w:fldCharType="begin"/>
      </w:r>
      <w:r w:rsidRPr="005A1B4A">
        <w:rPr>
          <w:sz w:val="16"/>
          <w:lang w:val="en-US"/>
        </w:rPr>
        <w:instrText xml:space="preserve"> SEQ Table \* ARABIC </w:instrText>
      </w:r>
      <w:r w:rsidRPr="005A1B4A">
        <w:rPr>
          <w:sz w:val="16"/>
          <w:lang w:val="en-US"/>
        </w:rPr>
        <w:fldChar w:fldCharType="separate"/>
      </w:r>
      <w:r w:rsidR="00E859C7">
        <w:rPr>
          <w:noProof/>
          <w:sz w:val="16"/>
          <w:lang w:val="en-US"/>
        </w:rPr>
        <w:t>2</w:t>
      </w:r>
      <w:r w:rsidRPr="005A1B4A">
        <w:rPr>
          <w:sz w:val="16"/>
          <w:lang w:val="en-US"/>
        </w:rPr>
        <w:fldChar w:fldCharType="end"/>
      </w:r>
      <w:r w:rsidRPr="005A1B4A">
        <w:rPr>
          <w:sz w:val="16"/>
          <w:lang w:val="en-US"/>
        </w:rPr>
        <w:t xml:space="preserve">: Bundled capacities at VIP Ibérico (GWh/d </w:t>
      </w:r>
      <w:r>
        <w:rPr>
          <w:sz w:val="16"/>
          <w:lang w:val="en-US"/>
        </w:rPr>
        <w:t>25</w:t>
      </w:r>
      <w:r w:rsidRPr="005A1B4A">
        <w:rPr>
          <w:sz w:val="16"/>
          <w:lang w:val="en-US"/>
        </w:rPr>
        <w:t>ºC)</w:t>
      </w:r>
    </w:p>
    <w:p w14:paraId="2E937DAF" w14:textId="5AC3F87F" w:rsidR="00882CDC" w:rsidRPr="001C2CE2" w:rsidRDefault="00882CDC" w:rsidP="00E9792F">
      <w:pPr>
        <w:spacing w:line="312" w:lineRule="auto"/>
        <w:rPr>
          <w:lang w:val="en-GB"/>
        </w:rPr>
      </w:pPr>
      <w:r w:rsidRPr="001C2CE2">
        <w:rPr>
          <w:lang w:val="en-GB"/>
        </w:rPr>
        <w:t>In order to maxi</w:t>
      </w:r>
      <w:r>
        <w:rPr>
          <w:lang w:val="en-GB"/>
        </w:rPr>
        <w:t xml:space="preserve">mise the </w:t>
      </w:r>
      <w:r w:rsidR="005B2126">
        <w:rPr>
          <w:lang w:val="en-GB"/>
        </w:rPr>
        <w:t xml:space="preserve">offered </w:t>
      </w:r>
      <w:r>
        <w:rPr>
          <w:lang w:val="en-GB"/>
        </w:rPr>
        <w:t>capacity,</w:t>
      </w:r>
      <w:r w:rsidRPr="001C2CE2">
        <w:rPr>
          <w:lang w:val="en-GB"/>
        </w:rPr>
        <w:t xml:space="preserve"> each TSO consider</w:t>
      </w:r>
      <w:r w:rsidR="005B2126">
        <w:rPr>
          <w:lang w:val="en-GB"/>
        </w:rPr>
        <w:t>s</w:t>
      </w:r>
      <w:r>
        <w:rPr>
          <w:lang w:val="en-GB"/>
        </w:rPr>
        <w:t xml:space="preserve"> </w:t>
      </w:r>
      <w:r w:rsidRPr="001C2CE2">
        <w:rPr>
          <w:lang w:val="en-GB"/>
        </w:rPr>
        <w:t xml:space="preserve">capacities </w:t>
      </w:r>
      <w:r>
        <w:rPr>
          <w:lang w:val="en-GB"/>
        </w:rPr>
        <w:t xml:space="preserve">made available by </w:t>
      </w:r>
      <w:r w:rsidRPr="001C2CE2">
        <w:rPr>
          <w:lang w:val="en-GB"/>
        </w:rPr>
        <w:t>C</w:t>
      </w:r>
      <w:r>
        <w:rPr>
          <w:lang w:val="en-GB"/>
        </w:rPr>
        <w:t>ongestion Management Procedures (C</w:t>
      </w:r>
      <w:r w:rsidRPr="001C2CE2">
        <w:rPr>
          <w:lang w:val="en-GB"/>
        </w:rPr>
        <w:t>MP</w:t>
      </w:r>
      <w:r>
        <w:rPr>
          <w:lang w:val="en-GB"/>
        </w:rPr>
        <w:t>)</w:t>
      </w:r>
      <w:r w:rsidRPr="001C2CE2">
        <w:rPr>
          <w:lang w:val="en-GB"/>
        </w:rPr>
        <w:t xml:space="preserve"> </w:t>
      </w:r>
      <w:r>
        <w:rPr>
          <w:lang w:val="en-GB"/>
        </w:rPr>
        <w:t>application</w:t>
      </w:r>
      <w:r w:rsidRPr="001C2CE2">
        <w:rPr>
          <w:lang w:val="en-GB"/>
        </w:rPr>
        <w:t>.</w:t>
      </w:r>
    </w:p>
    <w:p w14:paraId="6B497584" w14:textId="77777777" w:rsidR="00882CDC" w:rsidRPr="001C2CE2" w:rsidRDefault="00882CDC" w:rsidP="00E9792F">
      <w:pPr>
        <w:spacing w:line="312" w:lineRule="auto"/>
        <w:rPr>
          <w:lang w:val="en-GB"/>
        </w:rPr>
      </w:pPr>
      <w:r w:rsidRPr="001C2CE2">
        <w:rPr>
          <w:lang w:val="en-GB"/>
        </w:rPr>
        <w:t>The calculation of the bundled capacity to be offered starts with the available capacity for the annual yearly capacity a</w:t>
      </w:r>
      <w:r>
        <w:rPr>
          <w:lang w:val="en-GB"/>
        </w:rPr>
        <w:t>uctions. The available capacity</w:t>
      </w:r>
      <w:r w:rsidRPr="001C2CE2">
        <w:rPr>
          <w:lang w:val="en-GB"/>
        </w:rPr>
        <w:t xml:space="preserve"> not allocated in the yearly auctions will be offered in the upcoming auctions. </w:t>
      </w:r>
    </w:p>
    <w:p w14:paraId="7C2E4C13" w14:textId="2B210CA2" w:rsidR="00882CDC" w:rsidRPr="001C2CE2" w:rsidRDefault="00882CDC" w:rsidP="00E9792F">
      <w:pPr>
        <w:spacing w:line="312" w:lineRule="auto"/>
        <w:rPr>
          <w:lang w:val="en-GB"/>
        </w:rPr>
      </w:pPr>
      <w:r w:rsidRPr="001C2CE2">
        <w:rPr>
          <w:lang w:val="en-GB"/>
        </w:rPr>
        <w:t>According to the res</w:t>
      </w:r>
      <w:r>
        <w:rPr>
          <w:lang w:val="en-GB"/>
        </w:rPr>
        <w:t>ults of the</w:t>
      </w:r>
      <w:r w:rsidRPr="001C2CE2">
        <w:rPr>
          <w:lang w:val="en-GB"/>
        </w:rPr>
        <w:t xml:space="preserve"> </w:t>
      </w:r>
      <w:r>
        <w:rPr>
          <w:lang w:val="en-GB"/>
        </w:rPr>
        <w:t>y</w:t>
      </w:r>
      <w:r w:rsidRPr="001C2CE2">
        <w:rPr>
          <w:lang w:val="en-GB"/>
        </w:rPr>
        <w:t>early capacity</w:t>
      </w:r>
      <w:r>
        <w:rPr>
          <w:lang w:val="en-GB"/>
        </w:rPr>
        <w:t xml:space="preserve"> products</w:t>
      </w:r>
      <w:r w:rsidRPr="001C2CE2">
        <w:rPr>
          <w:lang w:val="en-GB"/>
        </w:rPr>
        <w:t xml:space="preserve"> auctions and considering the amount of capacity set aside for this product, </w:t>
      </w:r>
      <w:r>
        <w:rPr>
          <w:lang w:val="en-GB"/>
        </w:rPr>
        <w:t>TSOs</w:t>
      </w:r>
      <w:r w:rsidRPr="001C2CE2">
        <w:rPr>
          <w:lang w:val="en-GB"/>
        </w:rPr>
        <w:t xml:space="preserve"> calculate</w:t>
      </w:r>
      <w:r>
        <w:rPr>
          <w:lang w:val="en-GB"/>
        </w:rPr>
        <w:t xml:space="preserve"> the</w:t>
      </w:r>
      <w:r w:rsidRPr="001C2CE2">
        <w:rPr>
          <w:lang w:val="en-GB"/>
        </w:rPr>
        <w:t xml:space="preserve"> bundled capacity to be offered </w:t>
      </w:r>
      <w:r>
        <w:rPr>
          <w:lang w:val="en-GB"/>
        </w:rPr>
        <w:t>in q</w:t>
      </w:r>
      <w:r w:rsidRPr="001C2CE2">
        <w:rPr>
          <w:lang w:val="en-GB"/>
        </w:rPr>
        <w:t xml:space="preserve">uarterly capacity </w:t>
      </w:r>
      <w:r w:rsidR="005B2126">
        <w:rPr>
          <w:lang w:val="en-GB"/>
        </w:rPr>
        <w:t xml:space="preserve">products </w:t>
      </w:r>
      <w:r w:rsidRPr="001C2CE2">
        <w:rPr>
          <w:lang w:val="en-GB"/>
        </w:rPr>
        <w:t>auctions.</w:t>
      </w:r>
    </w:p>
    <w:p w14:paraId="17297050" w14:textId="77777777" w:rsidR="00882CDC" w:rsidRDefault="00882CDC" w:rsidP="00E9792F">
      <w:pPr>
        <w:spacing w:line="312" w:lineRule="auto"/>
        <w:rPr>
          <w:lang w:val="en-GB"/>
        </w:rPr>
      </w:pPr>
      <w:r w:rsidRPr="001C2CE2">
        <w:rPr>
          <w:lang w:val="en-GB"/>
        </w:rPr>
        <w:t xml:space="preserve">After that, bundled capacity </w:t>
      </w:r>
      <w:r>
        <w:rPr>
          <w:lang w:val="en-GB"/>
        </w:rPr>
        <w:t>not allocated in quarterly auctions will be offered in the subsequent auctions (m</w:t>
      </w:r>
      <w:r w:rsidRPr="001C2CE2">
        <w:rPr>
          <w:lang w:val="en-GB"/>
        </w:rPr>
        <w:t>onthly</w:t>
      </w:r>
      <w:r>
        <w:rPr>
          <w:lang w:val="en-GB"/>
        </w:rPr>
        <w:t>, daily and within-day) until the capacity is sold out.</w:t>
      </w:r>
    </w:p>
    <w:p w14:paraId="62AE141D" w14:textId="2DEE7D4B" w:rsidR="006113E0" w:rsidRPr="005D6CA6" w:rsidRDefault="006113E0" w:rsidP="00E9792F">
      <w:pPr>
        <w:spacing w:line="312" w:lineRule="auto"/>
        <w:rPr>
          <w:lang w:val="en-US"/>
        </w:rPr>
      </w:pPr>
      <w:r w:rsidRPr="005D6CA6">
        <w:rPr>
          <w:lang w:val="en-US"/>
        </w:rPr>
        <w:t xml:space="preserve">Article 8 of CAM rules </w:t>
      </w:r>
      <w:r w:rsidR="005B2126">
        <w:rPr>
          <w:lang w:val="en-US"/>
        </w:rPr>
        <w:t>foresees</w:t>
      </w:r>
      <w:r w:rsidR="005B2126" w:rsidRPr="005D6CA6">
        <w:rPr>
          <w:lang w:val="en-US"/>
        </w:rPr>
        <w:t xml:space="preserve"> </w:t>
      </w:r>
      <w:r w:rsidRPr="005D6CA6">
        <w:rPr>
          <w:lang w:val="en-US"/>
        </w:rPr>
        <w:t xml:space="preserve">that at least an amount equal to 20% of </w:t>
      </w:r>
      <w:r w:rsidR="005B2126">
        <w:rPr>
          <w:lang w:val="en-US"/>
        </w:rPr>
        <w:t xml:space="preserve">the </w:t>
      </w:r>
      <w:r w:rsidRPr="005D6CA6">
        <w:rPr>
          <w:lang w:val="en-US"/>
        </w:rPr>
        <w:t>technical capacity at each interconnection point shall be set aside and offered as described in the following provisions</w:t>
      </w:r>
      <w:r w:rsidR="002329F2" w:rsidRPr="005D6CA6">
        <w:rPr>
          <w:lang w:val="en-US"/>
        </w:rPr>
        <w:t xml:space="preserve">: </w:t>
      </w:r>
    </w:p>
    <w:p w14:paraId="5056A771" w14:textId="77777777" w:rsidR="006113E0" w:rsidRDefault="002329F2" w:rsidP="00E9792F">
      <w:pPr>
        <w:spacing w:line="312" w:lineRule="auto"/>
        <w:ind w:left="425"/>
        <w:rPr>
          <w:lang w:val="en-US"/>
        </w:rPr>
      </w:pPr>
      <w:r w:rsidRPr="005D6CA6">
        <w:rPr>
          <w:lang w:val="en-US"/>
        </w:rPr>
        <w:t xml:space="preserve">(a) an amount at least equal to 10 % of the existing technical capacity at each interconnection point shall be offered no earlier than in the annual yearly capacity auction as provided for in Article 11 held in accordance with the auction calendar during the fifth gas year preceding the start of the relevant gas year; and </w:t>
      </w:r>
    </w:p>
    <w:p w14:paraId="6DDDCDB7" w14:textId="008CF4C4" w:rsidR="00544A66" w:rsidRDefault="002329F2" w:rsidP="00E9792F">
      <w:pPr>
        <w:spacing w:line="312" w:lineRule="auto"/>
        <w:ind w:left="425"/>
        <w:rPr>
          <w:lang w:val="en-US"/>
        </w:rPr>
      </w:pPr>
      <w:r w:rsidRPr="00B66322">
        <w:rPr>
          <w:lang w:val="en-US"/>
        </w:rPr>
        <w:t xml:space="preserve">(b) a further amount at least equal to 10 % of the existing technical capacity at each interconnection point shall first be offered no earlier than the annual quarterly capacity auction as provided for in Article 12, held in accordance with the auction calendar during the gas year preceding the start of the relevant gas year. </w:t>
      </w:r>
    </w:p>
    <w:p w14:paraId="7129D7E5" w14:textId="6C695B31" w:rsidR="00544A66" w:rsidRPr="00993480" w:rsidRDefault="00544A66" w:rsidP="00993480">
      <w:pPr>
        <w:pStyle w:val="Ttulo3"/>
        <w:rPr>
          <w:lang w:val="en-US"/>
        </w:rPr>
      </w:pPr>
      <w:bookmarkStart w:id="49" w:name="_26k6yfhkdpf0" w:colFirst="0" w:colLast="0"/>
      <w:bookmarkEnd w:id="49"/>
      <w:r w:rsidRPr="3937DAF4">
        <w:rPr>
          <w:lang w:val="en-US"/>
        </w:rPr>
        <w:t>VIP P</w:t>
      </w:r>
      <w:r w:rsidR="00993480" w:rsidRPr="3937DAF4">
        <w:rPr>
          <w:lang w:val="en-US"/>
        </w:rPr>
        <w:t>irineos</w:t>
      </w:r>
    </w:p>
    <w:p w14:paraId="199C8004" w14:textId="676A7EC2" w:rsidR="00561708" w:rsidRDefault="008B3938" w:rsidP="00E9792F">
      <w:pPr>
        <w:spacing w:line="312" w:lineRule="auto"/>
        <w:rPr>
          <w:lang w:val="en-US"/>
        </w:rPr>
      </w:pPr>
      <w:r>
        <w:rPr>
          <w:rFonts w:cs="Arial"/>
          <w:noProof/>
          <w:color w:val="000000" w:themeColor="text1"/>
          <w:szCs w:val="22"/>
          <w:lang w:val="en-GB"/>
        </w:rPr>
        <w:t xml:space="preserve">In VIP Pirineos, capacity for the next 15 years is offered (except for the unbundled capacity, which will be only offered for the first year). </w:t>
      </w:r>
      <w:r w:rsidR="00EB62D6">
        <w:rPr>
          <w:rFonts w:cs="Arial"/>
          <w:noProof/>
          <w:color w:val="000000" w:themeColor="text1"/>
          <w:szCs w:val="22"/>
          <w:lang w:val="en-GB"/>
        </w:rPr>
        <w:t>As there is not the same technical capacity in the interconnection point for the France to Spain direction, the capacity set aside</w:t>
      </w:r>
      <w:r w:rsidR="00C71834">
        <w:rPr>
          <w:rFonts w:cs="Arial"/>
          <w:noProof/>
          <w:color w:val="000000" w:themeColor="text1"/>
          <w:szCs w:val="22"/>
          <w:lang w:val="en-GB"/>
        </w:rPr>
        <w:t xml:space="preserve"> (which also includes </w:t>
      </w:r>
      <w:r w:rsidR="00EB62D6">
        <w:rPr>
          <w:rFonts w:cs="Arial"/>
          <w:noProof/>
          <w:color w:val="000000" w:themeColor="text1"/>
          <w:szCs w:val="22"/>
          <w:lang w:val="en-GB"/>
        </w:rPr>
        <w:t>the capacity set aside on year</w:t>
      </w:r>
      <w:r w:rsidR="00C71834">
        <w:rPr>
          <w:rFonts w:cs="Arial"/>
          <w:noProof/>
          <w:color w:val="000000" w:themeColor="text1"/>
          <w:szCs w:val="22"/>
          <w:lang w:val="en-GB"/>
        </w:rPr>
        <w:t>)</w:t>
      </w:r>
      <w:r w:rsidR="00EB62D6">
        <w:rPr>
          <w:rFonts w:cs="Arial"/>
          <w:noProof/>
          <w:color w:val="000000" w:themeColor="text1"/>
          <w:szCs w:val="22"/>
          <w:lang w:val="en-GB"/>
        </w:rPr>
        <w:t xml:space="preserve"> </w:t>
      </w:r>
      <w:r w:rsidR="00C71834">
        <w:rPr>
          <w:rFonts w:cs="Arial"/>
          <w:noProof/>
          <w:color w:val="000000" w:themeColor="text1"/>
          <w:szCs w:val="22"/>
          <w:lang w:val="en-GB"/>
        </w:rPr>
        <w:t>is</w:t>
      </w:r>
      <w:r w:rsidR="00EB62D6">
        <w:rPr>
          <w:rFonts w:cs="Arial"/>
          <w:noProof/>
          <w:color w:val="000000" w:themeColor="text1"/>
          <w:szCs w:val="22"/>
          <w:lang w:val="en-GB"/>
        </w:rPr>
        <w:t xml:space="preserve"> calculated </w:t>
      </w:r>
      <w:r w:rsidR="003217ED">
        <w:rPr>
          <w:rFonts w:cs="Arial"/>
          <w:noProof/>
          <w:color w:val="000000" w:themeColor="text1"/>
          <w:szCs w:val="22"/>
          <w:lang w:val="en-GB"/>
        </w:rPr>
        <w:t>respect to</w:t>
      </w:r>
      <w:r w:rsidR="00EB62D6">
        <w:rPr>
          <w:rFonts w:cs="Arial"/>
          <w:noProof/>
          <w:color w:val="000000" w:themeColor="text1"/>
          <w:szCs w:val="22"/>
          <w:lang w:val="en-GB"/>
        </w:rPr>
        <w:t xml:space="preserve"> the technical firm</w:t>
      </w:r>
      <w:r w:rsidR="00CB41F4">
        <w:rPr>
          <w:rFonts w:cs="Arial"/>
          <w:noProof/>
          <w:color w:val="000000" w:themeColor="text1"/>
          <w:szCs w:val="22"/>
          <w:lang w:val="en-GB"/>
        </w:rPr>
        <w:t xml:space="preserve"> common</w:t>
      </w:r>
      <w:r w:rsidR="00EB62D6">
        <w:rPr>
          <w:rFonts w:cs="Arial"/>
          <w:noProof/>
          <w:color w:val="000000" w:themeColor="text1"/>
          <w:szCs w:val="22"/>
          <w:lang w:val="en-GB"/>
        </w:rPr>
        <w:t xml:space="preserve"> capacity</w:t>
      </w:r>
      <w:r w:rsidR="00C71834">
        <w:rPr>
          <w:rFonts w:cs="Arial"/>
          <w:noProof/>
          <w:color w:val="000000" w:themeColor="text1"/>
          <w:szCs w:val="22"/>
          <w:lang w:val="en-GB"/>
        </w:rPr>
        <w:t xml:space="preserve"> </w:t>
      </w:r>
      <w:r w:rsidR="00EB62D6">
        <w:rPr>
          <w:rFonts w:cs="Arial"/>
          <w:noProof/>
          <w:color w:val="000000" w:themeColor="text1"/>
          <w:szCs w:val="22"/>
          <w:lang w:val="en-GB"/>
        </w:rPr>
        <w:t>(165 GWh/d</w:t>
      </w:r>
      <w:r w:rsidR="005A22BA">
        <w:rPr>
          <w:rFonts w:cs="Arial"/>
          <w:noProof/>
          <w:color w:val="000000" w:themeColor="text1"/>
          <w:szCs w:val="22"/>
          <w:lang w:val="en-GB"/>
        </w:rPr>
        <w:t xml:space="preserve"> for the North to South direction and 225 GWh/d in the South to North direction</w:t>
      </w:r>
      <w:r w:rsidR="00EB62D6">
        <w:rPr>
          <w:rFonts w:cs="Arial"/>
          <w:noProof/>
          <w:color w:val="000000" w:themeColor="text1"/>
          <w:szCs w:val="22"/>
          <w:lang w:val="en-GB"/>
        </w:rPr>
        <w:t>)</w:t>
      </w:r>
      <w:r w:rsidR="00C71834">
        <w:rPr>
          <w:rFonts w:cs="Arial"/>
          <w:noProof/>
          <w:color w:val="000000" w:themeColor="text1"/>
          <w:szCs w:val="22"/>
          <w:lang w:val="en-GB"/>
        </w:rPr>
        <w:t>,</w:t>
      </w:r>
      <w:r w:rsidR="00EB62D6">
        <w:rPr>
          <w:rFonts w:cs="Arial"/>
          <w:noProof/>
          <w:color w:val="000000" w:themeColor="text1"/>
          <w:szCs w:val="22"/>
          <w:lang w:val="en-GB"/>
        </w:rPr>
        <w:t xml:space="preserve"> following the previous mentioned rules stated on the CAM regulation.</w:t>
      </w:r>
      <w:r w:rsidR="00561708">
        <w:rPr>
          <w:rFonts w:cs="Arial"/>
          <w:noProof/>
          <w:color w:val="000000" w:themeColor="text1"/>
          <w:szCs w:val="22"/>
          <w:lang w:val="en-GB"/>
        </w:rPr>
        <w:t xml:space="preserve"> </w:t>
      </w:r>
      <w:r w:rsidR="00561708">
        <w:rPr>
          <w:lang w:val="en-US"/>
        </w:rPr>
        <w:t>The bundled capacity to be auctioned on PRISMA corresponds to the application of the “lesser rule”</w:t>
      </w:r>
      <w:r w:rsidR="00934DC3">
        <w:rPr>
          <w:lang w:val="en-US"/>
        </w:rPr>
        <w:t xml:space="preserve"> of the available capacities on both sides for each year, in other words, the resulting capacity of the matching between the difference of the technical capacity of each side of the point and the booked and set aside capacities</w:t>
      </w:r>
      <w:r w:rsidR="00561708">
        <w:rPr>
          <w:lang w:val="en-US"/>
        </w:rPr>
        <w:t>.</w:t>
      </w:r>
    </w:p>
    <w:p w14:paraId="6D4C541D" w14:textId="7C2F7B2E" w:rsidR="00544A66" w:rsidRPr="00993480" w:rsidRDefault="008B3938" w:rsidP="00E9792F">
      <w:pPr>
        <w:keepNext/>
        <w:spacing w:line="312" w:lineRule="auto"/>
        <w:rPr>
          <w:rFonts w:cs="Arial"/>
          <w:noProof/>
          <w:color w:val="000000" w:themeColor="text1"/>
          <w:szCs w:val="22"/>
          <w:lang w:val="en-GB"/>
        </w:rPr>
      </w:pPr>
      <w:r>
        <w:rPr>
          <w:rFonts w:cs="Arial"/>
          <w:noProof/>
          <w:color w:val="000000" w:themeColor="text1"/>
          <w:szCs w:val="22"/>
          <w:lang w:val="en-GB"/>
        </w:rPr>
        <w:t xml:space="preserve">Tables show data available as </w:t>
      </w:r>
      <w:r w:rsidRPr="00BA2453">
        <w:rPr>
          <w:rFonts w:cs="Arial"/>
          <w:noProof/>
          <w:color w:val="000000" w:themeColor="text1"/>
          <w:szCs w:val="22"/>
          <w:lang w:val="en-GB"/>
        </w:rPr>
        <w:t>from October 2019</w:t>
      </w:r>
      <w:r>
        <w:rPr>
          <w:rFonts w:cs="Arial"/>
          <w:noProof/>
          <w:color w:val="000000" w:themeColor="text1"/>
          <w:szCs w:val="22"/>
          <w:lang w:val="en-GB"/>
        </w:rPr>
        <w:t>.</w:t>
      </w:r>
    </w:p>
    <w:tbl>
      <w:tblPr>
        <w:tblW w:w="8828" w:type="dxa"/>
        <w:jc w:val="center"/>
        <w:tblCellMar>
          <w:left w:w="70" w:type="dxa"/>
          <w:right w:w="70" w:type="dxa"/>
        </w:tblCellMar>
        <w:tblLook w:val="04A0" w:firstRow="1" w:lastRow="0" w:firstColumn="1" w:lastColumn="0" w:noHBand="0" w:noVBand="1"/>
      </w:tblPr>
      <w:tblGrid>
        <w:gridCol w:w="1604"/>
        <w:gridCol w:w="832"/>
        <w:gridCol w:w="819"/>
        <w:gridCol w:w="948"/>
        <w:gridCol w:w="1013"/>
        <w:gridCol w:w="832"/>
        <w:gridCol w:w="819"/>
        <w:gridCol w:w="948"/>
        <w:gridCol w:w="1013"/>
      </w:tblGrid>
      <w:tr w:rsidR="00CB41F4" w:rsidRPr="00DA1D22" w14:paraId="17EE8381" w14:textId="77777777" w:rsidTr="00E9792F">
        <w:trPr>
          <w:trHeight w:val="631"/>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14:paraId="6AE6384B" w14:textId="4CB322F9" w:rsidR="00CB41F4" w:rsidRPr="008334C4" w:rsidRDefault="00CB41F4" w:rsidP="008334C4">
            <w:pPr>
              <w:keepNext/>
              <w:spacing w:before="0" w:after="0" w:line="240" w:lineRule="auto"/>
              <w:jc w:val="center"/>
              <w:rPr>
                <w:rFonts w:cs="Arial"/>
                <w:b/>
                <w:bCs/>
                <w:color w:val="000000"/>
                <w:sz w:val="16"/>
                <w:szCs w:val="16"/>
                <w:lang w:val="es-ES" w:eastAsia="es-ES_tradnl"/>
              </w:rPr>
            </w:pPr>
            <w:r w:rsidRPr="008334C4">
              <w:rPr>
                <w:rFonts w:cs="Arial"/>
                <w:b/>
                <w:bCs/>
                <w:color w:val="000000"/>
                <w:sz w:val="16"/>
                <w:szCs w:val="16"/>
                <w:lang w:val="es-ES" w:eastAsia="es-ES_tradnl"/>
              </w:rPr>
              <w:t>VIP PIRINEOS</w:t>
            </w:r>
            <w:r w:rsidRPr="008334C4">
              <w:rPr>
                <w:rFonts w:cs="Arial"/>
                <w:b/>
                <w:bCs/>
                <w:color w:val="000000"/>
                <w:sz w:val="16"/>
                <w:szCs w:val="16"/>
                <w:lang w:val="es-ES" w:eastAsia="es-ES_tradnl"/>
              </w:rPr>
              <w:br/>
              <w:t>(FR-</w:t>
            </w:r>
            <w:r w:rsidR="008334C4" w:rsidRPr="008334C4">
              <w:rPr>
                <w:rFonts w:cs="Arial"/>
                <w:b/>
                <w:bCs/>
                <w:color w:val="000000"/>
                <w:sz w:val="16"/>
                <w:szCs w:val="16"/>
                <w:lang w:val="es-ES" w:eastAsia="es-ES_tradnl"/>
              </w:rPr>
              <w:t>ES</w:t>
            </w:r>
            <w:r w:rsidRPr="008334C4">
              <w:rPr>
                <w:rFonts w:cs="Arial"/>
                <w:b/>
                <w:bCs/>
                <w:color w:val="000000"/>
                <w:sz w:val="16"/>
                <w:szCs w:val="16"/>
                <w:lang w:val="es-ES" w:eastAsia="es-ES_tradnl"/>
              </w:rPr>
              <w:t>)</w:t>
            </w:r>
            <w:r w:rsidRPr="008334C4">
              <w:rPr>
                <w:rFonts w:cs="Arial"/>
                <w:b/>
                <w:bCs/>
                <w:color w:val="000000"/>
                <w:sz w:val="16"/>
                <w:szCs w:val="16"/>
                <w:lang w:val="es-ES" w:eastAsia="es-ES_tradnl"/>
              </w:rPr>
              <w:br/>
              <w:t>GWh/d</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1D0A8CE9" w14:textId="39B8BB12" w:rsidR="00CB41F4" w:rsidRPr="00DA1D22" w:rsidRDefault="00CB41F4" w:rsidP="00E9792F">
            <w:pPr>
              <w:keepNext/>
              <w:spacing w:before="0" w:after="0" w:line="240" w:lineRule="auto"/>
              <w:jc w:val="center"/>
              <w:rPr>
                <w:rFonts w:cs="Arial"/>
                <w:b/>
                <w:bCs/>
                <w:color w:val="000000"/>
                <w:sz w:val="16"/>
                <w:szCs w:val="16"/>
                <w:lang w:val="es-ES_tradnl" w:eastAsia="es-ES_tradnl"/>
              </w:rPr>
            </w:pPr>
            <w:r w:rsidRPr="00DA1D22">
              <w:rPr>
                <w:rFonts w:cs="Arial"/>
                <w:b/>
                <w:bCs/>
                <w:color w:val="000000"/>
                <w:sz w:val="16"/>
                <w:szCs w:val="16"/>
                <w:lang w:val="es-ES_tradnl" w:eastAsia="es-ES_tradnl"/>
              </w:rPr>
              <w:t>French side</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38CC7D45" w14:textId="2BDA5D97" w:rsidR="00CB41F4" w:rsidRPr="00DA1D22" w:rsidRDefault="00CB41F4" w:rsidP="00E9792F">
            <w:pPr>
              <w:keepNext/>
              <w:spacing w:before="0" w:after="0" w:line="240" w:lineRule="auto"/>
              <w:jc w:val="center"/>
              <w:rPr>
                <w:rFonts w:cs="Arial"/>
                <w:b/>
                <w:bCs/>
                <w:color w:val="000000"/>
                <w:sz w:val="16"/>
                <w:szCs w:val="16"/>
                <w:lang w:val="es-ES_tradnl" w:eastAsia="es-ES_tradnl"/>
              </w:rPr>
            </w:pPr>
            <w:r w:rsidRPr="00DA1D22">
              <w:rPr>
                <w:rFonts w:cs="Arial"/>
                <w:b/>
                <w:bCs/>
                <w:color w:val="000000"/>
                <w:sz w:val="16"/>
                <w:szCs w:val="16"/>
                <w:lang w:val="es-ES_tradnl" w:eastAsia="es-ES_tradnl"/>
              </w:rPr>
              <w:t>Spanish side</w:t>
            </w:r>
          </w:p>
        </w:tc>
      </w:tr>
      <w:tr w:rsidR="00CB41F4" w:rsidRPr="00DA1D22" w14:paraId="2C0E8C91" w14:textId="77777777" w:rsidTr="00E9792F">
        <w:trPr>
          <w:trHeight w:val="90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86ABC3" w14:textId="77777777" w:rsidR="00CB41F4" w:rsidRPr="00DA1D22" w:rsidRDefault="00CB41F4" w:rsidP="00E9792F">
            <w:pPr>
              <w:keepNext/>
              <w:spacing w:before="0" w:after="0" w:line="240" w:lineRule="auto"/>
              <w:jc w:val="left"/>
              <w:rPr>
                <w:rFonts w:cs="Arial"/>
                <w:b/>
                <w:bCs/>
                <w:color w:val="000000"/>
                <w:sz w:val="16"/>
                <w:szCs w:val="16"/>
                <w:lang w:val="es-ES_tradnl" w:eastAsia="es-ES_tradnl"/>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37821B7" w14:textId="77777777" w:rsidR="00CB41F4" w:rsidRPr="00E9792F" w:rsidRDefault="00CB41F4" w:rsidP="00E9792F">
            <w:pPr>
              <w:keepNext/>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Booked Capacity (LT before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62B26D6D" w14:textId="376261C2" w:rsidR="00CB41F4" w:rsidRPr="00E9792F" w:rsidRDefault="00CB41F4" w:rsidP="00E9792F">
            <w:pPr>
              <w:keepNext/>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Booked Capacity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5A4448AE" w14:textId="0758F00A" w:rsidR="00CB41F4" w:rsidRPr="00E9792F" w:rsidRDefault="00CB41F4" w:rsidP="00E9792F">
            <w:pPr>
              <w:keepNext/>
              <w:spacing w:before="0" w:after="0" w:line="240" w:lineRule="auto"/>
              <w:jc w:val="center"/>
              <w:rPr>
                <w:rFonts w:cs="Arial"/>
                <w:color w:val="000000"/>
                <w:sz w:val="16"/>
                <w:szCs w:val="16"/>
                <w:lang w:val="en-US" w:eastAsia="es-ES_tradnl"/>
              </w:rPr>
            </w:pPr>
            <w:r w:rsidRPr="00E9792F">
              <w:rPr>
                <w:rFonts w:cs="Arial"/>
                <w:color w:val="000000"/>
                <w:sz w:val="16"/>
                <w:szCs w:val="16"/>
                <w:lang w:val="en-US" w:eastAsia="es-ES_tradnl"/>
              </w:rPr>
              <w:t>Bundled Capacity (to be offered on PRISMA) </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8A5180D" w14:textId="0B1D4056" w:rsidR="00CB41F4" w:rsidRPr="00E9792F" w:rsidRDefault="00CB41F4" w:rsidP="00E9792F">
            <w:pPr>
              <w:keepNext/>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 xml:space="preserve">Unbundled Capacity (to be offered </w:t>
            </w:r>
            <w:r>
              <w:rPr>
                <w:rFonts w:cs="Arial"/>
                <w:color w:val="000000"/>
                <w:sz w:val="16"/>
                <w:szCs w:val="16"/>
                <w:lang w:val="en-US" w:eastAsia="es-ES_tradnl"/>
              </w:rPr>
              <w:t>on PRISMA</w:t>
            </w:r>
            <w:r w:rsidRPr="00DA1D22">
              <w:rPr>
                <w:rFonts w:cs="Arial"/>
                <w:color w:val="000000"/>
                <w:sz w:val="16"/>
                <w:szCs w:val="16"/>
                <w:lang w:val="en-US" w:eastAsia="es-ES_tradnl"/>
              </w:rPr>
              <w:t>)</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40986039" w14:textId="77777777" w:rsidR="00CB41F4" w:rsidRPr="00E9792F" w:rsidRDefault="00CB41F4" w:rsidP="00E9792F">
            <w:pPr>
              <w:keepNext/>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Booked Capacity (LT before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30B038B5" w14:textId="544D1755" w:rsidR="00CB41F4" w:rsidRPr="00E9792F" w:rsidRDefault="00CB41F4" w:rsidP="00E9792F">
            <w:pPr>
              <w:keepNext/>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Booked Capacity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3D46013" w14:textId="51C12496" w:rsidR="00CB41F4" w:rsidRPr="00E9792F" w:rsidRDefault="00CB41F4" w:rsidP="00E9792F">
            <w:pPr>
              <w:keepNext/>
              <w:spacing w:before="0" w:after="0" w:line="240" w:lineRule="auto"/>
              <w:jc w:val="center"/>
              <w:rPr>
                <w:rFonts w:cs="Arial"/>
                <w:color w:val="000000"/>
                <w:sz w:val="16"/>
                <w:szCs w:val="16"/>
                <w:lang w:val="en-US" w:eastAsia="es-ES_tradnl"/>
              </w:rPr>
            </w:pPr>
            <w:r w:rsidRPr="00E9792F">
              <w:rPr>
                <w:rFonts w:cs="Arial"/>
                <w:color w:val="000000"/>
                <w:sz w:val="16"/>
                <w:szCs w:val="16"/>
                <w:lang w:val="en-US" w:eastAsia="es-ES_tradnl"/>
              </w:rPr>
              <w:t>Bundled Capacity (to be offered on PRISMA) </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5767260" w14:textId="57F6E9B1" w:rsidR="00CB41F4" w:rsidRPr="00E9792F" w:rsidRDefault="00CB41F4" w:rsidP="00E9792F">
            <w:pPr>
              <w:keepNext/>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 xml:space="preserve">Unbundled Capacity (to be offered </w:t>
            </w:r>
            <w:r>
              <w:rPr>
                <w:rFonts w:cs="Arial"/>
                <w:color w:val="000000"/>
                <w:sz w:val="16"/>
                <w:szCs w:val="16"/>
                <w:lang w:val="en-US" w:eastAsia="es-ES_tradnl"/>
              </w:rPr>
              <w:t>on PRISMA</w:t>
            </w:r>
            <w:r w:rsidRPr="00DA1D22">
              <w:rPr>
                <w:rFonts w:cs="Arial"/>
                <w:color w:val="000000"/>
                <w:sz w:val="16"/>
                <w:szCs w:val="16"/>
                <w:lang w:val="en-US" w:eastAsia="es-ES_tradnl"/>
              </w:rPr>
              <w:t>)</w:t>
            </w:r>
          </w:p>
        </w:tc>
      </w:tr>
      <w:tr w:rsidR="00CB41F4" w:rsidRPr="00DA1D22" w14:paraId="79B5AA13"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45335949" w14:textId="50540162"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2020 to Sept 2021</w:t>
            </w:r>
          </w:p>
        </w:tc>
        <w:tc>
          <w:tcPr>
            <w:tcW w:w="0" w:type="auto"/>
            <w:tcBorders>
              <w:top w:val="nil"/>
              <w:left w:val="nil"/>
              <w:bottom w:val="single" w:sz="8" w:space="0" w:color="auto"/>
              <w:right w:val="single" w:sz="8" w:space="0" w:color="auto"/>
            </w:tcBorders>
            <w:shd w:val="clear" w:color="auto" w:fill="auto"/>
            <w:noWrap/>
            <w:vAlign w:val="center"/>
            <w:hideMark/>
          </w:tcPr>
          <w:p w14:paraId="5DF531B7" w14:textId="560940E9" w:rsidR="00CB41F4" w:rsidRPr="00DA1D22" w:rsidRDefault="00481FEF"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146,52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22811E69" w14:textId="58D4BF87"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D537A12" w14:textId="37DB4E91"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1,98</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067F0A37" w14:textId="3C5A7D0F"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52B79541" w14:textId="14B7D7F8"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146</w:t>
            </w:r>
            <w:r w:rsidR="00344883">
              <w:rPr>
                <w:rFonts w:cs="Arial"/>
                <w:color w:val="000000"/>
                <w:sz w:val="16"/>
                <w:szCs w:val="16"/>
              </w:rPr>
              <w:t>.</w:t>
            </w:r>
            <w:r>
              <w:rPr>
                <w:rFonts w:cs="Arial"/>
                <w:color w:val="000000"/>
                <w:sz w:val="16"/>
                <w:szCs w:val="16"/>
              </w:rPr>
              <w:t>29</w:t>
            </w:r>
          </w:p>
        </w:tc>
        <w:tc>
          <w:tcPr>
            <w:tcW w:w="0" w:type="auto"/>
            <w:tcBorders>
              <w:top w:val="nil"/>
              <w:left w:val="nil"/>
              <w:bottom w:val="single" w:sz="8" w:space="0" w:color="auto"/>
              <w:right w:val="single" w:sz="8" w:space="0" w:color="auto"/>
            </w:tcBorders>
            <w:shd w:val="clear" w:color="auto" w:fill="auto"/>
            <w:noWrap/>
            <w:vAlign w:val="center"/>
            <w:hideMark/>
          </w:tcPr>
          <w:p w14:paraId="67E5BE12" w14:textId="09F95C78"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38D09C1" w14:textId="6BE51411"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w:t>
            </w:r>
            <w:r w:rsidR="00344883">
              <w:rPr>
                <w:rFonts w:cs="Arial"/>
                <w:color w:val="000000"/>
                <w:sz w:val="16"/>
              </w:rPr>
              <w:t>.</w:t>
            </w:r>
            <w:r>
              <w:rPr>
                <w:rFonts w:cs="Arial"/>
                <w:color w:val="000000"/>
                <w:sz w:val="16"/>
              </w:rPr>
              <w:t>98</w:t>
            </w:r>
          </w:p>
        </w:tc>
        <w:tc>
          <w:tcPr>
            <w:tcW w:w="0" w:type="auto"/>
            <w:tcBorders>
              <w:top w:val="nil"/>
              <w:left w:val="nil"/>
              <w:bottom w:val="single" w:sz="8" w:space="0" w:color="auto"/>
              <w:right w:val="single" w:sz="8" w:space="0" w:color="auto"/>
            </w:tcBorders>
            <w:shd w:val="clear" w:color="auto" w:fill="auto"/>
            <w:noWrap/>
            <w:vAlign w:val="center"/>
            <w:hideMark/>
          </w:tcPr>
          <w:p w14:paraId="44BBF513" w14:textId="4E3FBB3F"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54</w:t>
            </w:r>
            <w:r w:rsidR="00344883">
              <w:rPr>
                <w:rFonts w:cs="Arial"/>
                <w:color w:val="000000"/>
                <w:sz w:val="16"/>
                <w:szCs w:val="16"/>
              </w:rPr>
              <w:t>.</w:t>
            </w:r>
            <w:r>
              <w:rPr>
                <w:rFonts w:cs="Arial"/>
                <w:color w:val="000000"/>
                <w:sz w:val="16"/>
                <w:szCs w:val="16"/>
              </w:rPr>
              <w:t>23</w:t>
            </w:r>
          </w:p>
        </w:tc>
      </w:tr>
      <w:tr w:rsidR="00CB41F4" w:rsidRPr="00DA1D22" w14:paraId="527A8FB5"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494A8261" w14:textId="62C130B8"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2021 to Sept 2022</w:t>
            </w:r>
          </w:p>
        </w:tc>
        <w:tc>
          <w:tcPr>
            <w:tcW w:w="0" w:type="auto"/>
            <w:tcBorders>
              <w:top w:val="nil"/>
              <w:left w:val="nil"/>
              <w:bottom w:val="single" w:sz="8" w:space="0" w:color="auto"/>
              <w:right w:val="single" w:sz="8" w:space="0" w:color="auto"/>
            </w:tcBorders>
            <w:shd w:val="clear" w:color="auto" w:fill="auto"/>
            <w:noWrap/>
            <w:vAlign w:val="center"/>
            <w:hideMark/>
          </w:tcPr>
          <w:p w14:paraId="4A78973C" w14:textId="3C0C05E8" w:rsidR="00CB41F4" w:rsidRPr="00DA1D22" w:rsidRDefault="00481FEF" w:rsidP="00E9792F">
            <w:pPr>
              <w:keepNext/>
              <w:spacing w:before="0" w:after="0" w:line="240" w:lineRule="auto"/>
              <w:jc w:val="center"/>
              <w:rPr>
                <w:rFonts w:cs="Arial"/>
                <w:color w:val="000000"/>
                <w:sz w:val="16"/>
                <w:szCs w:val="16"/>
                <w:lang w:val="es-ES_tradnl" w:eastAsia="es-ES_tradnl"/>
              </w:rPr>
            </w:pPr>
            <w:r w:rsidRPr="00481FEF">
              <w:rPr>
                <w:rFonts w:cs="Arial"/>
                <w:color w:val="000000"/>
                <w:sz w:val="16"/>
                <w:szCs w:val="16"/>
                <w:lang w:val="es-ES_tradnl" w:eastAsia="es-ES_tradnl"/>
              </w:rPr>
              <w:t>146,52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0F4EA407" w14:textId="74C47748"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B7B7D2C" w14:textId="7361D289"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1,98</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B7DF93E" w14:textId="767C898E"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ACFADE5" w14:textId="7DFF4F74"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146</w:t>
            </w:r>
            <w:r w:rsidR="00344883">
              <w:rPr>
                <w:rFonts w:cs="Arial"/>
                <w:color w:val="000000"/>
                <w:sz w:val="16"/>
                <w:szCs w:val="16"/>
              </w:rPr>
              <w:t>.</w:t>
            </w:r>
            <w:r>
              <w:rPr>
                <w:rFonts w:cs="Arial"/>
                <w:color w:val="000000"/>
                <w:sz w:val="16"/>
                <w:szCs w:val="16"/>
              </w:rPr>
              <w:t>29</w:t>
            </w:r>
          </w:p>
        </w:tc>
        <w:tc>
          <w:tcPr>
            <w:tcW w:w="0" w:type="auto"/>
            <w:tcBorders>
              <w:top w:val="nil"/>
              <w:left w:val="nil"/>
              <w:bottom w:val="single" w:sz="8" w:space="0" w:color="auto"/>
              <w:right w:val="single" w:sz="8" w:space="0" w:color="auto"/>
            </w:tcBorders>
            <w:shd w:val="clear" w:color="auto" w:fill="auto"/>
            <w:noWrap/>
            <w:vAlign w:val="center"/>
            <w:hideMark/>
          </w:tcPr>
          <w:p w14:paraId="7C4EF318" w14:textId="270C5467"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15A723DE" w14:textId="469800BD"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w:t>
            </w:r>
            <w:r w:rsidR="00344883">
              <w:rPr>
                <w:rFonts w:cs="Arial"/>
                <w:color w:val="000000"/>
                <w:sz w:val="16"/>
              </w:rPr>
              <w:t>.</w:t>
            </w:r>
            <w:r>
              <w:rPr>
                <w:rFonts w:cs="Arial"/>
                <w:color w:val="000000"/>
                <w:sz w:val="16"/>
              </w:rPr>
              <w:t>98</w:t>
            </w:r>
          </w:p>
        </w:tc>
        <w:tc>
          <w:tcPr>
            <w:tcW w:w="0" w:type="auto"/>
            <w:tcBorders>
              <w:top w:val="nil"/>
              <w:left w:val="nil"/>
              <w:bottom w:val="single" w:sz="8" w:space="0" w:color="auto"/>
              <w:right w:val="single" w:sz="8" w:space="0" w:color="auto"/>
            </w:tcBorders>
            <w:shd w:val="clear" w:color="auto" w:fill="auto"/>
            <w:noWrap/>
            <w:vAlign w:val="center"/>
            <w:hideMark/>
          </w:tcPr>
          <w:p w14:paraId="4817C202" w14:textId="50612634"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54</w:t>
            </w:r>
            <w:r w:rsidR="00344883">
              <w:rPr>
                <w:rFonts w:cs="Arial"/>
                <w:color w:val="000000"/>
                <w:sz w:val="16"/>
                <w:szCs w:val="16"/>
              </w:rPr>
              <w:t>.</w:t>
            </w:r>
            <w:r>
              <w:rPr>
                <w:rFonts w:cs="Arial"/>
                <w:color w:val="000000"/>
                <w:sz w:val="16"/>
                <w:szCs w:val="16"/>
              </w:rPr>
              <w:t>23(*)</w:t>
            </w:r>
          </w:p>
        </w:tc>
      </w:tr>
      <w:tr w:rsidR="00CB41F4" w:rsidRPr="00DA1D22" w14:paraId="4952EFDE"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42E7E972" w14:textId="735EB2D9"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2022 to Sept 2023</w:t>
            </w:r>
          </w:p>
        </w:tc>
        <w:tc>
          <w:tcPr>
            <w:tcW w:w="0" w:type="auto"/>
            <w:tcBorders>
              <w:top w:val="nil"/>
              <w:left w:val="nil"/>
              <w:bottom w:val="single" w:sz="8" w:space="0" w:color="auto"/>
              <w:right w:val="single" w:sz="8" w:space="0" w:color="auto"/>
            </w:tcBorders>
            <w:shd w:val="clear" w:color="auto" w:fill="auto"/>
            <w:noWrap/>
            <w:vAlign w:val="center"/>
            <w:hideMark/>
          </w:tcPr>
          <w:p w14:paraId="55F39A52" w14:textId="007D2C2B" w:rsidR="00CB41F4" w:rsidRPr="00DA1D22" w:rsidRDefault="00481FEF" w:rsidP="00E9792F">
            <w:pPr>
              <w:keepNext/>
              <w:spacing w:before="0" w:after="0" w:line="240" w:lineRule="auto"/>
              <w:jc w:val="center"/>
              <w:rPr>
                <w:rFonts w:cs="Arial"/>
                <w:color w:val="000000"/>
                <w:sz w:val="16"/>
                <w:szCs w:val="16"/>
                <w:lang w:val="es-ES_tradnl" w:eastAsia="es-ES_tradnl"/>
              </w:rPr>
            </w:pPr>
            <w:r w:rsidRPr="00481FEF">
              <w:rPr>
                <w:rFonts w:cs="Arial"/>
                <w:color w:val="000000"/>
                <w:sz w:val="16"/>
                <w:szCs w:val="16"/>
                <w:lang w:val="es-ES_tradnl" w:eastAsia="es-ES_tradnl"/>
              </w:rPr>
              <w:t>146,52</w:t>
            </w:r>
            <w:r w:rsidR="00CB41F4"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D7428CE" w14:textId="3020F746"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187A4972" w14:textId="0AD6C503"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1,98</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26606379" w14:textId="22B5F603"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5AD4D041" w14:textId="3A038709"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146</w:t>
            </w:r>
            <w:r w:rsidR="00344883">
              <w:rPr>
                <w:rFonts w:cs="Arial"/>
                <w:color w:val="000000"/>
                <w:sz w:val="16"/>
                <w:szCs w:val="16"/>
              </w:rPr>
              <w:t>.</w:t>
            </w:r>
            <w:r>
              <w:rPr>
                <w:rFonts w:cs="Arial"/>
                <w:color w:val="000000"/>
                <w:sz w:val="16"/>
                <w:szCs w:val="16"/>
              </w:rPr>
              <w:t>29</w:t>
            </w:r>
          </w:p>
        </w:tc>
        <w:tc>
          <w:tcPr>
            <w:tcW w:w="0" w:type="auto"/>
            <w:tcBorders>
              <w:top w:val="nil"/>
              <w:left w:val="nil"/>
              <w:bottom w:val="single" w:sz="8" w:space="0" w:color="auto"/>
              <w:right w:val="single" w:sz="8" w:space="0" w:color="auto"/>
            </w:tcBorders>
            <w:shd w:val="clear" w:color="auto" w:fill="auto"/>
            <w:noWrap/>
            <w:vAlign w:val="center"/>
            <w:hideMark/>
          </w:tcPr>
          <w:p w14:paraId="31462967" w14:textId="5EB4247C"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7BCEC1C" w14:textId="34603E8F"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w:t>
            </w:r>
            <w:r w:rsidR="00344883">
              <w:rPr>
                <w:rFonts w:cs="Arial"/>
                <w:color w:val="000000"/>
                <w:sz w:val="16"/>
              </w:rPr>
              <w:t>.</w:t>
            </w:r>
            <w:r>
              <w:rPr>
                <w:rFonts w:cs="Arial"/>
                <w:color w:val="000000"/>
                <w:sz w:val="16"/>
              </w:rPr>
              <w:t>98</w:t>
            </w:r>
          </w:p>
        </w:tc>
        <w:tc>
          <w:tcPr>
            <w:tcW w:w="0" w:type="auto"/>
            <w:tcBorders>
              <w:top w:val="nil"/>
              <w:left w:val="nil"/>
              <w:bottom w:val="single" w:sz="8" w:space="0" w:color="auto"/>
              <w:right w:val="single" w:sz="8" w:space="0" w:color="auto"/>
            </w:tcBorders>
            <w:shd w:val="clear" w:color="auto" w:fill="auto"/>
            <w:noWrap/>
            <w:vAlign w:val="center"/>
            <w:hideMark/>
          </w:tcPr>
          <w:p w14:paraId="65BAC636" w14:textId="6B4CC911"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54</w:t>
            </w:r>
            <w:r w:rsidR="00344883">
              <w:rPr>
                <w:rFonts w:cs="Arial"/>
                <w:color w:val="000000"/>
                <w:sz w:val="16"/>
                <w:szCs w:val="16"/>
              </w:rPr>
              <w:t>.</w:t>
            </w:r>
            <w:r>
              <w:rPr>
                <w:rFonts w:cs="Arial"/>
                <w:color w:val="000000"/>
                <w:sz w:val="16"/>
                <w:szCs w:val="16"/>
              </w:rPr>
              <w:t>23(*)</w:t>
            </w:r>
          </w:p>
        </w:tc>
      </w:tr>
      <w:tr w:rsidR="00CB41F4" w:rsidRPr="00DA1D22" w14:paraId="6A927F72"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0DC8E0DB" w14:textId="0547E9FE"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2023 to Sept 2024</w:t>
            </w:r>
          </w:p>
        </w:tc>
        <w:tc>
          <w:tcPr>
            <w:tcW w:w="0" w:type="auto"/>
            <w:tcBorders>
              <w:top w:val="nil"/>
              <w:left w:val="nil"/>
              <w:bottom w:val="single" w:sz="8" w:space="0" w:color="auto"/>
              <w:right w:val="single" w:sz="8" w:space="0" w:color="auto"/>
            </w:tcBorders>
            <w:shd w:val="clear" w:color="auto" w:fill="auto"/>
            <w:noWrap/>
            <w:vAlign w:val="center"/>
            <w:hideMark/>
          </w:tcPr>
          <w:p w14:paraId="6E66F6CA" w14:textId="344B7843" w:rsidR="00CB41F4" w:rsidRPr="00DA1D22" w:rsidRDefault="00481FEF"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77,52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F169D4A" w14:textId="7BBB047B"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132DCC8" w14:textId="6C50C5A6"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70,98</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374C9642" w14:textId="39AB9A72"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102D4543" w14:textId="3FD182EC"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14:paraId="33C6C24E" w14:textId="6C40EF71"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69D283B" w14:textId="7BCA7833"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70</w:t>
            </w:r>
            <w:r w:rsidR="00344883">
              <w:rPr>
                <w:rFonts w:cs="Arial"/>
                <w:color w:val="000000"/>
                <w:sz w:val="16"/>
              </w:rPr>
              <w:t>.</w:t>
            </w:r>
            <w:r>
              <w:rPr>
                <w:rFonts w:cs="Arial"/>
                <w:color w:val="000000"/>
                <w:sz w:val="16"/>
              </w:rPr>
              <w:t>98</w:t>
            </w:r>
          </w:p>
        </w:tc>
        <w:tc>
          <w:tcPr>
            <w:tcW w:w="0" w:type="auto"/>
            <w:tcBorders>
              <w:top w:val="nil"/>
              <w:left w:val="nil"/>
              <w:bottom w:val="single" w:sz="8" w:space="0" w:color="auto"/>
              <w:right w:val="single" w:sz="8" w:space="0" w:color="auto"/>
            </w:tcBorders>
            <w:shd w:val="clear" w:color="auto" w:fill="auto"/>
            <w:noWrap/>
            <w:vAlign w:val="center"/>
            <w:hideMark/>
          </w:tcPr>
          <w:p w14:paraId="461D3BF8" w14:textId="21723371"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127</w:t>
            </w:r>
            <w:r w:rsidR="00344883">
              <w:rPr>
                <w:rFonts w:cs="Arial"/>
                <w:color w:val="000000"/>
                <w:sz w:val="16"/>
                <w:szCs w:val="16"/>
              </w:rPr>
              <w:t>.</w:t>
            </w:r>
            <w:r>
              <w:rPr>
                <w:rFonts w:cs="Arial"/>
                <w:color w:val="000000"/>
                <w:sz w:val="16"/>
                <w:szCs w:val="16"/>
              </w:rPr>
              <w:t>52(*)</w:t>
            </w:r>
          </w:p>
        </w:tc>
      </w:tr>
      <w:tr w:rsidR="00CB41F4" w:rsidRPr="00DA1D22" w14:paraId="774D4DA5"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113016E7" w14:textId="29B59ACB"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2024 to Sept 2025</w:t>
            </w:r>
          </w:p>
        </w:tc>
        <w:tc>
          <w:tcPr>
            <w:tcW w:w="0" w:type="auto"/>
            <w:tcBorders>
              <w:top w:val="nil"/>
              <w:left w:val="nil"/>
              <w:bottom w:val="single" w:sz="8" w:space="0" w:color="auto"/>
              <w:right w:val="single" w:sz="8" w:space="0" w:color="auto"/>
            </w:tcBorders>
            <w:shd w:val="clear" w:color="auto" w:fill="auto"/>
            <w:noWrap/>
            <w:vAlign w:val="center"/>
            <w:hideMark/>
          </w:tcPr>
          <w:p w14:paraId="7CEB5143" w14:textId="56A7F493" w:rsidR="00CB41F4" w:rsidRPr="00DA1D22" w:rsidRDefault="00481FEF" w:rsidP="00E9792F">
            <w:pPr>
              <w:keepNext/>
              <w:spacing w:before="0" w:after="0" w:line="240" w:lineRule="auto"/>
              <w:jc w:val="center"/>
              <w:rPr>
                <w:rFonts w:cs="Arial"/>
                <w:color w:val="000000"/>
                <w:sz w:val="16"/>
                <w:szCs w:val="16"/>
                <w:lang w:val="es-ES_tradnl" w:eastAsia="es-ES_tradnl"/>
              </w:rPr>
            </w:pPr>
            <w:r w:rsidRPr="00481FEF">
              <w:rPr>
                <w:rFonts w:cs="Arial"/>
                <w:color w:val="000000"/>
                <w:sz w:val="16"/>
                <w:szCs w:val="16"/>
                <w:lang w:val="es-ES_tradnl" w:eastAsia="es-ES_tradnl"/>
              </w:rPr>
              <w:t>77,52</w:t>
            </w:r>
            <w:r w:rsidR="00CB41F4"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A998421" w14:textId="50A7CA89"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1B826584" w14:textId="71BB6F08"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70,98</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47D3544" w14:textId="0750DA97"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02717A60" w14:textId="3A5A4134"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14:paraId="56707457" w14:textId="758F60F2"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A49330C" w14:textId="352C33B8"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70</w:t>
            </w:r>
            <w:r w:rsidR="00344883">
              <w:rPr>
                <w:rFonts w:cs="Arial"/>
                <w:color w:val="000000"/>
                <w:sz w:val="16"/>
              </w:rPr>
              <w:t>.</w:t>
            </w:r>
            <w:r>
              <w:rPr>
                <w:rFonts w:cs="Arial"/>
                <w:color w:val="000000"/>
                <w:sz w:val="16"/>
              </w:rPr>
              <w:t>98</w:t>
            </w:r>
          </w:p>
        </w:tc>
        <w:tc>
          <w:tcPr>
            <w:tcW w:w="0" w:type="auto"/>
            <w:tcBorders>
              <w:top w:val="nil"/>
              <w:left w:val="nil"/>
              <w:bottom w:val="single" w:sz="8" w:space="0" w:color="auto"/>
              <w:right w:val="single" w:sz="8" w:space="0" w:color="auto"/>
            </w:tcBorders>
            <w:shd w:val="clear" w:color="auto" w:fill="auto"/>
            <w:noWrap/>
            <w:vAlign w:val="center"/>
            <w:hideMark/>
          </w:tcPr>
          <w:p w14:paraId="25382E19" w14:textId="7BC8E020"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127</w:t>
            </w:r>
            <w:r w:rsidR="00344883">
              <w:rPr>
                <w:rFonts w:cs="Arial"/>
                <w:color w:val="000000"/>
                <w:sz w:val="16"/>
                <w:szCs w:val="16"/>
              </w:rPr>
              <w:t>.</w:t>
            </w:r>
            <w:r>
              <w:rPr>
                <w:rFonts w:cs="Arial"/>
                <w:color w:val="000000"/>
                <w:sz w:val="16"/>
                <w:szCs w:val="16"/>
              </w:rPr>
              <w:t>52(*)</w:t>
            </w:r>
          </w:p>
        </w:tc>
      </w:tr>
      <w:tr w:rsidR="00CB41F4" w:rsidRPr="00DA1D22" w14:paraId="4475E152"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6BA8A79A" w14:textId="1992FE85"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2025 to Sept 2026</w:t>
            </w:r>
          </w:p>
        </w:tc>
        <w:tc>
          <w:tcPr>
            <w:tcW w:w="0" w:type="auto"/>
            <w:tcBorders>
              <w:top w:val="nil"/>
              <w:left w:val="nil"/>
              <w:bottom w:val="single" w:sz="8" w:space="0" w:color="auto"/>
              <w:right w:val="single" w:sz="8" w:space="0" w:color="auto"/>
            </w:tcBorders>
            <w:shd w:val="clear" w:color="auto" w:fill="auto"/>
            <w:noWrap/>
            <w:vAlign w:val="center"/>
            <w:hideMark/>
          </w:tcPr>
          <w:p w14:paraId="4032B81B" w14:textId="41B49F64" w:rsidR="00CB41F4" w:rsidRPr="00DA1D22" w:rsidRDefault="00481FEF" w:rsidP="00E9792F">
            <w:pPr>
              <w:keepNext/>
              <w:spacing w:before="0" w:after="0" w:line="240" w:lineRule="auto"/>
              <w:jc w:val="center"/>
              <w:rPr>
                <w:rFonts w:cs="Arial"/>
                <w:color w:val="000000"/>
                <w:sz w:val="16"/>
                <w:szCs w:val="16"/>
                <w:lang w:val="es-ES_tradnl" w:eastAsia="es-ES_tradnl"/>
              </w:rPr>
            </w:pPr>
            <w:r w:rsidRPr="00481FEF">
              <w:rPr>
                <w:rFonts w:cs="Arial"/>
                <w:color w:val="000000"/>
                <w:sz w:val="16"/>
                <w:szCs w:val="16"/>
                <w:lang w:val="es-ES_tradnl" w:eastAsia="es-ES_tradnl"/>
              </w:rPr>
              <w:t>77,52</w:t>
            </w:r>
            <w:r w:rsidR="00CB41F4"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4CDB2B5" w14:textId="5011BA51"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49139E2C" w14:textId="3E9F7E51"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54,48</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10A7E23E" w14:textId="43DE77CC"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139F195A" w14:textId="3108F28B"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14:paraId="599C4758" w14:textId="1E755171"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06665741" w14:textId="644B1400"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54</w:t>
            </w:r>
            <w:r w:rsidR="00344883">
              <w:rPr>
                <w:rFonts w:cs="Arial"/>
                <w:color w:val="000000"/>
                <w:sz w:val="16"/>
              </w:rPr>
              <w:t>.</w:t>
            </w:r>
            <w:r>
              <w:rPr>
                <w:rFonts w:cs="Arial"/>
                <w:color w:val="000000"/>
                <w:sz w:val="16"/>
              </w:rPr>
              <w:t>48</w:t>
            </w:r>
          </w:p>
        </w:tc>
        <w:tc>
          <w:tcPr>
            <w:tcW w:w="0" w:type="auto"/>
            <w:tcBorders>
              <w:top w:val="nil"/>
              <w:left w:val="nil"/>
              <w:bottom w:val="single" w:sz="8" w:space="0" w:color="auto"/>
              <w:right w:val="single" w:sz="8" w:space="0" w:color="auto"/>
            </w:tcBorders>
            <w:shd w:val="clear" w:color="auto" w:fill="auto"/>
            <w:noWrap/>
            <w:vAlign w:val="center"/>
            <w:hideMark/>
          </w:tcPr>
          <w:p w14:paraId="1F2E0B58" w14:textId="2F4B1EE4"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121</w:t>
            </w:r>
            <w:r w:rsidR="00344883">
              <w:rPr>
                <w:rFonts w:cs="Arial"/>
                <w:color w:val="000000"/>
                <w:sz w:val="16"/>
                <w:szCs w:val="16"/>
              </w:rPr>
              <w:t>.</w:t>
            </w:r>
            <w:r>
              <w:rPr>
                <w:rFonts w:cs="Arial"/>
                <w:color w:val="000000"/>
                <w:sz w:val="16"/>
                <w:szCs w:val="16"/>
              </w:rPr>
              <w:t>52(*)</w:t>
            </w:r>
          </w:p>
        </w:tc>
      </w:tr>
      <w:tr w:rsidR="00CB41F4" w:rsidRPr="00DA1D22" w14:paraId="413B184C"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7951E306" w14:textId="69A76ABE"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2026 to Sept 2027</w:t>
            </w:r>
          </w:p>
        </w:tc>
        <w:tc>
          <w:tcPr>
            <w:tcW w:w="0" w:type="auto"/>
            <w:tcBorders>
              <w:top w:val="nil"/>
              <w:left w:val="nil"/>
              <w:bottom w:val="single" w:sz="8" w:space="0" w:color="auto"/>
              <w:right w:val="single" w:sz="8" w:space="0" w:color="auto"/>
            </w:tcBorders>
            <w:shd w:val="clear" w:color="auto" w:fill="auto"/>
            <w:noWrap/>
            <w:vAlign w:val="center"/>
            <w:hideMark/>
          </w:tcPr>
          <w:p w14:paraId="557F4E05" w14:textId="49538C21"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481FEF">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0FE104F0" w14:textId="53259961"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4AD538BA" w14:textId="07BDBF5F"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132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0EE2377" w14:textId="48A695A4"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AD37BA5" w14:textId="12B3DD4E"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14:paraId="1E3B6D0B" w14:textId="6DBF7D5F"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0105CE1D" w14:textId="2D3BBE74"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132</w:t>
            </w:r>
          </w:p>
        </w:tc>
        <w:tc>
          <w:tcPr>
            <w:tcW w:w="0" w:type="auto"/>
            <w:tcBorders>
              <w:top w:val="nil"/>
              <w:left w:val="nil"/>
              <w:bottom w:val="single" w:sz="8" w:space="0" w:color="auto"/>
              <w:right w:val="single" w:sz="8" w:space="0" w:color="auto"/>
            </w:tcBorders>
            <w:shd w:val="clear" w:color="auto" w:fill="auto"/>
            <w:noWrap/>
            <w:vAlign w:val="center"/>
            <w:hideMark/>
          </w:tcPr>
          <w:p w14:paraId="56C0E5C2" w14:textId="78A06819"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44(*)</w:t>
            </w:r>
          </w:p>
        </w:tc>
      </w:tr>
      <w:tr w:rsidR="00CB41F4" w:rsidRPr="00DA1D22" w14:paraId="09048D89"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131FF23B" w14:textId="445DB6EA"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2027 to Sept 2028</w:t>
            </w:r>
          </w:p>
        </w:tc>
        <w:tc>
          <w:tcPr>
            <w:tcW w:w="0" w:type="auto"/>
            <w:tcBorders>
              <w:top w:val="nil"/>
              <w:left w:val="nil"/>
              <w:bottom w:val="single" w:sz="8" w:space="0" w:color="auto"/>
              <w:right w:val="single" w:sz="8" w:space="0" w:color="auto"/>
            </w:tcBorders>
            <w:shd w:val="clear" w:color="auto" w:fill="auto"/>
            <w:noWrap/>
            <w:vAlign w:val="center"/>
            <w:hideMark/>
          </w:tcPr>
          <w:p w14:paraId="4B9C7403" w14:textId="2533AECC"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481FEF">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4C1B61DE" w14:textId="647A03EA"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C08C9B8" w14:textId="1563601A"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132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82F677E" w14:textId="39C787D3"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DA229D5" w14:textId="721D28DF"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14:paraId="512BC125" w14:textId="57264C61"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5BDFD42" w14:textId="386522C1"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132</w:t>
            </w:r>
          </w:p>
        </w:tc>
        <w:tc>
          <w:tcPr>
            <w:tcW w:w="0" w:type="auto"/>
            <w:tcBorders>
              <w:top w:val="nil"/>
              <w:left w:val="nil"/>
              <w:bottom w:val="single" w:sz="8" w:space="0" w:color="auto"/>
              <w:right w:val="single" w:sz="8" w:space="0" w:color="auto"/>
            </w:tcBorders>
            <w:shd w:val="clear" w:color="auto" w:fill="auto"/>
            <w:noWrap/>
            <w:vAlign w:val="center"/>
            <w:hideMark/>
          </w:tcPr>
          <w:p w14:paraId="54A996A1" w14:textId="3CC67C0C"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44(*)</w:t>
            </w:r>
          </w:p>
        </w:tc>
      </w:tr>
      <w:tr w:rsidR="00CB41F4" w:rsidRPr="00DA1D22" w14:paraId="3DD5FE8D"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0EB67B97" w14:textId="40E6EB9F"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2028 to Sept 2029</w:t>
            </w:r>
          </w:p>
        </w:tc>
        <w:tc>
          <w:tcPr>
            <w:tcW w:w="0" w:type="auto"/>
            <w:tcBorders>
              <w:top w:val="nil"/>
              <w:left w:val="nil"/>
              <w:bottom w:val="single" w:sz="8" w:space="0" w:color="auto"/>
              <w:right w:val="single" w:sz="8" w:space="0" w:color="auto"/>
            </w:tcBorders>
            <w:shd w:val="clear" w:color="auto" w:fill="auto"/>
            <w:noWrap/>
            <w:vAlign w:val="center"/>
            <w:hideMark/>
          </w:tcPr>
          <w:p w14:paraId="09B019E3" w14:textId="4AC595A9"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481FEF">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43DDDEA0" w14:textId="37F51481"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501014C" w14:textId="206A8EF4"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132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329B7429" w14:textId="36B27BED"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10C4218A" w14:textId="5FCF98A9"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4F475A0A" w14:textId="0B3119EF"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2153C608" w14:textId="49895F69"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132</w:t>
            </w:r>
          </w:p>
        </w:tc>
        <w:tc>
          <w:tcPr>
            <w:tcW w:w="0" w:type="auto"/>
            <w:tcBorders>
              <w:top w:val="nil"/>
              <w:left w:val="nil"/>
              <w:bottom w:val="single" w:sz="8" w:space="0" w:color="auto"/>
              <w:right w:val="single" w:sz="8" w:space="0" w:color="auto"/>
            </w:tcBorders>
            <w:shd w:val="clear" w:color="auto" w:fill="auto"/>
            <w:noWrap/>
            <w:vAlign w:val="center"/>
            <w:hideMark/>
          </w:tcPr>
          <w:p w14:paraId="25E0D848" w14:textId="2591A0AB"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48(*)</w:t>
            </w:r>
          </w:p>
        </w:tc>
      </w:tr>
      <w:tr w:rsidR="00CB41F4" w:rsidRPr="00DA1D22" w14:paraId="7DEA9201"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55932A22" w14:textId="30B2AD72"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2029 to Sept 2030</w:t>
            </w:r>
          </w:p>
        </w:tc>
        <w:tc>
          <w:tcPr>
            <w:tcW w:w="0" w:type="auto"/>
            <w:tcBorders>
              <w:top w:val="nil"/>
              <w:left w:val="nil"/>
              <w:bottom w:val="single" w:sz="8" w:space="0" w:color="auto"/>
              <w:right w:val="single" w:sz="8" w:space="0" w:color="auto"/>
            </w:tcBorders>
            <w:shd w:val="clear" w:color="auto" w:fill="auto"/>
            <w:noWrap/>
            <w:vAlign w:val="center"/>
            <w:hideMark/>
          </w:tcPr>
          <w:p w14:paraId="09C43C10" w14:textId="190B4E29"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481FEF">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4840DFE5" w14:textId="5020734D"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A786DD8" w14:textId="32FAE163"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132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91AF785" w14:textId="7848F781"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1A96937E" w14:textId="0B93E097"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1DA50B16" w14:textId="178BE1F1"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28CFC17A" w14:textId="55B019B3"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132</w:t>
            </w:r>
          </w:p>
        </w:tc>
        <w:tc>
          <w:tcPr>
            <w:tcW w:w="0" w:type="auto"/>
            <w:tcBorders>
              <w:top w:val="nil"/>
              <w:left w:val="nil"/>
              <w:bottom w:val="single" w:sz="8" w:space="0" w:color="auto"/>
              <w:right w:val="single" w:sz="8" w:space="0" w:color="auto"/>
            </w:tcBorders>
            <w:shd w:val="clear" w:color="auto" w:fill="auto"/>
            <w:noWrap/>
            <w:vAlign w:val="center"/>
            <w:hideMark/>
          </w:tcPr>
          <w:p w14:paraId="453E30FF" w14:textId="5ECD7E76"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48(*)</w:t>
            </w:r>
          </w:p>
        </w:tc>
      </w:tr>
      <w:tr w:rsidR="00CB41F4" w:rsidRPr="00DA1D22" w14:paraId="2D191E86"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2AF03BBB" w14:textId="1B0C69FC"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2030 to Sept 2031</w:t>
            </w:r>
          </w:p>
        </w:tc>
        <w:tc>
          <w:tcPr>
            <w:tcW w:w="0" w:type="auto"/>
            <w:tcBorders>
              <w:top w:val="nil"/>
              <w:left w:val="nil"/>
              <w:bottom w:val="single" w:sz="8" w:space="0" w:color="auto"/>
              <w:right w:val="single" w:sz="8" w:space="0" w:color="auto"/>
            </w:tcBorders>
            <w:shd w:val="clear" w:color="auto" w:fill="auto"/>
            <w:noWrap/>
            <w:vAlign w:val="center"/>
            <w:hideMark/>
          </w:tcPr>
          <w:p w14:paraId="5D304914" w14:textId="61C24599"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481FEF">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20705D6F" w14:textId="07F43408"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033A60F" w14:textId="5DA55606"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132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876584D" w14:textId="224C09D9"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F266D6B" w14:textId="46DB5120"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0408DFE" w14:textId="08AF4BCE"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49B4D9F7" w14:textId="6F3C14A1"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132</w:t>
            </w:r>
          </w:p>
        </w:tc>
        <w:tc>
          <w:tcPr>
            <w:tcW w:w="0" w:type="auto"/>
            <w:tcBorders>
              <w:top w:val="nil"/>
              <w:left w:val="nil"/>
              <w:bottom w:val="single" w:sz="8" w:space="0" w:color="auto"/>
              <w:right w:val="single" w:sz="8" w:space="0" w:color="auto"/>
            </w:tcBorders>
            <w:shd w:val="clear" w:color="auto" w:fill="auto"/>
            <w:noWrap/>
            <w:vAlign w:val="center"/>
            <w:hideMark/>
          </w:tcPr>
          <w:p w14:paraId="3A1AB185" w14:textId="0C795381"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48(*)</w:t>
            </w:r>
          </w:p>
        </w:tc>
      </w:tr>
      <w:tr w:rsidR="00CB41F4" w:rsidRPr="00DA1D22" w14:paraId="3747308B"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37B4C10A" w14:textId="37E01D63"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2031 to Sept 2032</w:t>
            </w:r>
          </w:p>
        </w:tc>
        <w:tc>
          <w:tcPr>
            <w:tcW w:w="0" w:type="auto"/>
            <w:tcBorders>
              <w:top w:val="nil"/>
              <w:left w:val="nil"/>
              <w:bottom w:val="single" w:sz="8" w:space="0" w:color="auto"/>
              <w:right w:val="single" w:sz="8" w:space="0" w:color="auto"/>
            </w:tcBorders>
            <w:shd w:val="clear" w:color="auto" w:fill="auto"/>
            <w:noWrap/>
            <w:vAlign w:val="center"/>
            <w:hideMark/>
          </w:tcPr>
          <w:p w14:paraId="2C5E659D" w14:textId="74F4DC17"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481FEF">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3C6D0EBA" w14:textId="3E7CCF54"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C3C9657" w14:textId="2AE213D3"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132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B606C75" w14:textId="5A229895"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D2DB139" w14:textId="40183B76"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0CF4C721" w14:textId="393B49F8"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6BB6502D" w14:textId="413C7AFF"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132</w:t>
            </w:r>
          </w:p>
        </w:tc>
        <w:tc>
          <w:tcPr>
            <w:tcW w:w="0" w:type="auto"/>
            <w:tcBorders>
              <w:top w:val="nil"/>
              <w:left w:val="nil"/>
              <w:bottom w:val="single" w:sz="8" w:space="0" w:color="auto"/>
              <w:right w:val="single" w:sz="8" w:space="0" w:color="auto"/>
            </w:tcBorders>
            <w:shd w:val="clear" w:color="auto" w:fill="auto"/>
            <w:noWrap/>
            <w:vAlign w:val="center"/>
            <w:hideMark/>
          </w:tcPr>
          <w:p w14:paraId="4C2EB79F" w14:textId="25853F27"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48(*)</w:t>
            </w:r>
          </w:p>
        </w:tc>
      </w:tr>
      <w:tr w:rsidR="00CB41F4" w:rsidRPr="00DA1D22" w14:paraId="058F665A"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411E1FE9" w14:textId="0560A1DC"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2032 to Sept 2033</w:t>
            </w:r>
          </w:p>
        </w:tc>
        <w:tc>
          <w:tcPr>
            <w:tcW w:w="0" w:type="auto"/>
            <w:tcBorders>
              <w:top w:val="nil"/>
              <w:left w:val="nil"/>
              <w:bottom w:val="single" w:sz="8" w:space="0" w:color="auto"/>
              <w:right w:val="single" w:sz="8" w:space="0" w:color="auto"/>
            </w:tcBorders>
            <w:shd w:val="clear" w:color="auto" w:fill="auto"/>
            <w:noWrap/>
            <w:vAlign w:val="center"/>
            <w:hideMark/>
          </w:tcPr>
          <w:p w14:paraId="3BBAF833" w14:textId="70AC5291"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481FEF">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0ED08C1B" w14:textId="552A9ABD"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91157A8" w14:textId="3E1F51DB"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132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295CAFA9" w14:textId="7C44624B"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3CBA1F6" w14:textId="19C613F0"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161143B8" w14:textId="5C9301CC"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045C4ADC" w14:textId="40FA6404"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132</w:t>
            </w:r>
          </w:p>
        </w:tc>
        <w:tc>
          <w:tcPr>
            <w:tcW w:w="0" w:type="auto"/>
            <w:tcBorders>
              <w:top w:val="nil"/>
              <w:left w:val="nil"/>
              <w:bottom w:val="single" w:sz="8" w:space="0" w:color="auto"/>
              <w:right w:val="single" w:sz="8" w:space="0" w:color="auto"/>
            </w:tcBorders>
            <w:shd w:val="clear" w:color="auto" w:fill="auto"/>
            <w:noWrap/>
            <w:vAlign w:val="center"/>
            <w:hideMark/>
          </w:tcPr>
          <w:p w14:paraId="63B0829B" w14:textId="03D472FE"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48(*)</w:t>
            </w:r>
          </w:p>
        </w:tc>
      </w:tr>
      <w:tr w:rsidR="00CB41F4" w:rsidRPr="00DA1D22" w14:paraId="60CB27F3"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69564FB4" w14:textId="710FDFE1"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2033 to Sept 2034</w:t>
            </w:r>
          </w:p>
        </w:tc>
        <w:tc>
          <w:tcPr>
            <w:tcW w:w="0" w:type="auto"/>
            <w:tcBorders>
              <w:top w:val="nil"/>
              <w:left w:val="nil"/>
              <w:bottom w:val="single" w:sz="8" w:space="0" w:color="auto"/>
              <w:right w:val="single" w:sz="8" w:space="0" w:color="auto"/>
            </w:tcBorders>
            <w:shd w:val="clear" w:color="auto" w:fill="auto"/>
            <w:noWrap/>
            <w:vAlign w:val="center"/>
            <w:hideMark/>
          </w:tcPr>
          <w:p w14:paraId="2F3C9165" w14:textId="1DE87A64"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481FEF">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41A2A3D6" w14:textId="5E7F1A9A"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5D45A0F7" w14:textId="52940DFB"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132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533CFBD8" w14:textId="667BD31A"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5967EAF" w14:textId="1E7C3FB7"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5986EB05" w14:textId="1B2F82FE"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1F1B768" w14:textId="58AFA5E6"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132</w:t>
            </w:r>
          </w:p>
        </w:tc>
        <w:tc>
          <w:tcPr>
            <w:tcW w:w="0" w:type="auto"/>
            <w:tcBorders>
              <w:top w:val="nil"/>
              <w:left w:val="nil"/>
              <w:bottom w:val="single" w:sz="8" w:space="0" w:color="auto"/>
              <w:right w:val="single" w:sz="8" w:space="0" w:color="auto"/>
            </w:tcBorders>
            <w:shd w:val="clear" w:color="auto" w:fill="auto"/>
            <w:noWrap/>
            <w:vAlign w:val="center"/>
            <w:hideMark/>
          </w:tcPr>
          <w:p w14:paraId="2115EA53" w14:textId="084C3A1E"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48(*)</w:t>
            </w:r>
          </w:p>
        </w:tc>
      </w:tr>
      <w:tr w:rsidR="00CB41F4" w:rsidRPr="00DA1D22" w14:paraId="70748DF3"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6CC87F26" w14:textId="46449A21" w:rsidR="00CB41F4" w:rsidRPr="00DA1D22" w:rsidRDefault="00CB41F4" w:rsidP="00E9792F">
            <w:pPr>
              <w:keepNext/>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2034 to Sept 2035</w:t>
            </w:r>
          </w:p>
        </w:tc>
        <w:tc>
          <w:tcPr>
            <w:tcW w:w="0" w:type="auto"/>
            <w:tcBorders>
              <w:top w:val="nil"/>
              <w:left w:val="nil"/>
              <w:bottom w:val="single" w:sz="8" w:space="0" w:color="auto"/>
              <w:right w:val="single" w:sz="8" w:space="0" w:color="auto"/>
            </w:tcBorders>
            <w:shd w:val="clear" w:color="auto" w:fill="auto"/>
            <w:noWrap/>
            <w:vAlign w:val="center"/>
            <w:hideMark/>
          </w:tcPr>
          <w:p w14:paraId="62C2C7E5" w14:textId="7AAC0F96"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481FEF">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57B7607" w14:textId="4D2C6CE5" w:rsidR="00CB41F4" w:rsidRPr="00DA1D22" w:rsidRDefault="003C2042"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00CB41F4"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1E02127" w14:textId="14E944B5"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AA4149">
              <w:rPr>
                <w:rFonts w:cs="Arial"/>
                <w:color w:val="000000"/>
                <w:sz w:val="16"/>
                <w:szCs w:val="16"/>
                <w:lang w:val="es-ES_tradnl" w:eastAsia="es-ES_tradnl"/>
              </w:rPr>
              <w:t>132</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E64C9C1" w14:textId="375E7007" w:rsidR="00CB41F4" w:rsidRPr="00DA1D22" w:rsidRDefault="00CB41F4" w:rsidP="00E9792F">
            <w:pPr>
              <w:keepNext/>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sidR="003C2042">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B9CE33B" w14:textId="56434CF3"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CC61A7D" w14:textId="6A636C2C"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00C3BDF5" w14:textId="56497299" w:rsidR="00CB41F4" w:rsidRPr="00EE3E7C"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rPr>
              <w:t>132</w:t>
            </w:r>
          </w:p>
        </w:tc>
        <w:tc>
          <w:tcPr>
            <w:tcW w:w="0" w:type="auto"/>
            <w:tcBorders>
              <w:top w:val="nil"/>
              <w:left w:val="nil"/>
              <w:bottom w:val="single" w:sz="8" w:space="0" w:color="auto"/>
              <w:right w:val="single" w:sz="8" w:space="0" w:color="auto"/>
            </w:tcBorders>
            <w:shd w:val="clear" w:color="auto" w:fill="auto"/>
            <w:noWrap/>
            <w:vAlign w:val="center"/>
            <w:hideMark/>
          </w:tcPr>
          <w:p w14:paraId="705B0FA8" w14:textId="6F5E3B15" w:rsidR="00CB41F4" w:rsidRPr="00DA1D22" w:rsidRDefault="00CB41F4" w:rsidP="00E9792F">
            <w:pPr>
              <w:keepNext/>
              <w:spacing w:before="0" w:after="0" w:line="240" w:lineRule="auto"/>
              <w:jc w:val="center"/>
              <w:rPr>
                <w:rFonts w:cs="Arial"/>
                <w:color w:val="000000"/>
                <w:sz w:val="16"/>
                <w:szCs w:val="16"/>
                <w:lang w:val="es-ES_tradnl" w:eastAsia="es-ES_tradnl"/>
              </w:rPr>
            </w:pPr>
            <w:r>
              <w:rPr>
                <w:rFonts w:cs="Arial"/>
                <w:color w:val="000000"/>
                <w:sz w:val="16"/>
                <w:szCs w:val="16"/>
              </w:rPr>
              <w:t>48(*)</w:t>
            </w:r>
          </w:p>
        </w:tc>
      </w:tr>
    </w:tbl>
    <w:p w14:paraId="1E74D310" w14:textId="4E2BA6A4" w:rsidR="00E9792F" w:rsidRPr="00E9792F" w:rsidRDefault="00E9792F" w:rsidP="00E9792F">
      <w:pPr>
        <w:keepNext/>
        <w:rPr>
          <w:i/>
          <w:sz w:val="18"/>
        </w:rPr>
      </w:pPr>
      <w:bookmarkStart w:id="50" w:name="_4cjul2y9mmgn" w:colFirst="0" w:colLast="0"/>
      <w:bookmarkEnd w:id="50"/>
      <w:r w:rsidRPr="00E9792F">
        <w:rPr>
          <w:b/>
          <w:i/>
          <w:sz w:val="18"/>
          <w:lang w:val="en-US" w:eastAsia="ja-JP"/>
        </w:rPr>
        <w:t>(*</w:t>
      </w:r>
      <w:r>
        <w:rPr>
          <w:b/>
          <w:i/>
          <w:sz w:val="18"/>
          <w:lang w:val="en-US" w:eastAsia="ja-JP"/>
        </w:rPr>
        <w:t>)</w:t>
      </w:r>
      <w:r w:rsidRPr="00E9792F">
        <w:rPr>
          <w:i/>
          <w:sz w:val="18"/>
          <w:lang w:val="en-US" w:eastAsia="ja-JP"/>
        </w:rPr>
        <w:t xml:space="preserve"> Although there is unbundled capacity available to offer for the upcoming years, only the capacity for the first year of the next 15 years will be auctioned.</w:t>
      </w:r>
    </w:p>
    <w:p w14:paraId="109DEDD8" w14:textId="3BF16BDD" w:rsidR="00400E00" w:rsidRDefault="002507E1" w:rsidP="002507E1">
      <w:pPr>
        <w:pStyle w:val="Descripcin"/>
        <w:jc w:val="center"/>
        <w:rPr>
          <w:sz w:val="16"/>
          <w:lang w:val="en-US"/>
        </w:rPr>
      </w:pPr>
      <w:r w:rsidRPr="00E9792F">
        <w:rPr>
          <w:sz w:val="16"/>
          <w:lang w:val="en-US"/>
        </w:rPr>
        <w:t xml:space="preserve">Table </w:t>
      </w:r>
      <w:r w:rsidRPr="002507E1">
        <w:rPr>
          <w:sz w:val="16"/>
        </w:rPr>
        <w:fldChar w:fldCharType="begin"/>
      </w:r>
      <w:r w:rsidRPr="00E9792F">
        <w:rPr>
          <w:sz w:val="16"/>
          <w:lang w:val="en-US"/>
        </w:rPr>
        <w:instrText xml:space="preserve"> SEQ Table \* ARABIC </w:instrText>
      </w:r>
      <w:r w:rsidRPr="002507E1">
        <w:rPr>
          <w:sz w:val="16"/>
        </w:rPr>
        <w:fldChar w:fldCharType="separate"/>
      </w:r>
      <w:r w:rsidR="00E859C7">
        <w:rPr>
          <w:noProof/>
          <w:sz w:val="16"/>
          <w:lang w:val="en-US"/>
        </w:rPr>
        <w:t>3</w:t>
      </w:r>
      <w:r w:rsidRPr="002507E1">
        <w:rPr>
          <w:sz w:val="16"/>
        </w:rPr>
        <w:fldChar w:fldCharType="end"/>
      </w:r>
      <w:r w:rsidR="00E9792F" w:rsidRPr="00E9792F">
        <w:rPr>
          <w:sz w:val="16"/>
          <w:lang w:val="en-US"/>
        </w:rPr>
        <w:t>:</w:t>
      </w:r>
      <w:r w:rsidR="00156500">
        <w:rPr>
          <w:sz w:val="16"/>
          <w:lang w:val="en-US"/>
        </w:rPr>
        <w:t xml:space="preserve"> Capacity to be auctioned via PRISMA in the July 2020 yearly auction (France to Spain</w:t>
      </w:r>
      <w:r w:rsidR="00E9792F">
        <w:rPr>
          <w:sz w:val="16"/>
          <w:lang w:val="en-US"/>
        </w:rPr>
        <w:t>)</w:t>
      </w:r>
    </w:p>
    <w:p w14:paraId="34D192E0" w14:textId="77777777" w:rsidR="00A60BC0" w:rsidRDefault="00A60BC0" w:rsidP="003D4527">
      <w:pPr>
        <w:rPr>
          <w:lang w:val="en-US"/>
        </w:rPr>
      </w:pPr>
    </w:p>
    <w:tbl>
      <w:tblPr>
        <w:tblW w:w="8828" w:type="dxa"/>
        <w:jc w:val="center"/>
        <w:tblCellMar>
          <w:left w:w="70" w:type="dxa"/>
          <w:right w:w="70" w:type="dxa"/>
        </w:tblCellMar>
        <w:tblLook w:val="04A0" w:firstRow="1" w:lastRow="0" w:firstColumn="1" w:lastColumn="0" w:noHBand="0" w:noVBand="1"/>
      </w:tblPr>
      <w:tblGrid>
        <w:gridCol w:w="1604"/>
        <w:gridCol w:w="831"/>
        <w:gridCol w:w="826"/>
        <w:gridCol w:w="945"/>
        <w:gridCol w:w="1010"/>
        <w:gridCol w:w="831"/>
        <w:gridCol w:w="826"/>
        <w:gridCol w:w="945"/>
        <w:gridCol w:w="1010"/>
      </w:tblGrid>
      <w:tr w:rsidR="00CB41F4" w:rsidRPr="00DA1D22" w14:paraId="23BC3295" w14:textId="77777777" w:rsidTr="00E740A2">
        <w:trPr>
          <w:trHeight w:val="631"/>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14:paraId="2F5DE190" w14:textId="0F5185CC" w:rsidR="00CB41F4" w:rsidRPr="008334C4" w:rsidRDefault="00CB41F4" w:rsidP="000673CD">
            <w:pPr>
              <w:spacing w:before="0" w:after="0" w:line="240" w:lineRule="auto"/>
              <w:jc w:val="center"/>
              <w:rPr>
                <w:rFonts w:cs="Arial"/>
                <w:b/>
                <w:bCs/>
                <w:color w:val="000000"/>
                <w:sz w:val="16"/>
                <w:szCs w:val="16"/>
                <w:lang w:val="es-ES" w:eastAsia="es-ES_tradnl"/>
              </w:rPr>
            </w:pPr>
            <w:r w:rsidRPr="008334C4">
              <w:rPr>
                <w:rFonts w:cs="Arial"/>
                <w:b/>
                <w:bCs/>
                <w:color w:val="000000"/>
                <w:sz w:val="16"/>
                <w:szCs w:val="16"/>
                <w:lang w:val="es-ES" w:eastAsia="es-ES_tradnl"/>
              </w:rPr>
              <w:t>VIP PIRINEOS</w:t>
            </w:r>
            <w:r w:rsidRPr="008334C4">
              <w:rPr>
                <w:rFonts w:cs="Arial"/>
                <w:b/>
                <w:bCs/>
                <w:color w:val="000000"/>
                <w:sz w:val="16"/>
                <w:szCs w:val="16"/>
                <w:lang w:val="es-ES" w:eastAsia="es-ES_tradnl"/>
              </w:rPr>
              <w:br/>
              <w:t>(</w:t>
            </w:r>
            <w:r w:rsidR="000673CD" w:rsidRPr="008334C4">
              <w:rPr>
                <w:rFonts w:cs="Arial"/>
                <w:b/>
                <w:bCs/>
                <w:color w:val="000000"/>
                <w:sz w:val="16"/>
                <w:szCs w:val="16"/>
                <w:lang w:val="es-ES" w:eastAsia="es-ES_tradnl"/>
              </w:rPr>
              <w:t>ES</w:t>
            </w:r>
            <w:r w:rsidRPr="008334C4">
              <w:rPr>
                <w:rFonts w:cs="Arial"/>
                <w:b/>
                <w:bCs/>
                <w:color w:val="000000"/>
                <w:sz w:val="16"/>
                <w:szCs w:val="16"/>
                <w:lang w:val="es-ES" w:eastAsia="es-ES_tradnl"/>
              </w:rPr>
              <w:t>-FR)</w:t>
            </w:r>
            <w:r w:rsidRPr="008334C4">
              <w:rPr>
                <w:rFonts w:cs="Arial"/>
                <w:b/>
                <w:bCs/>
                <w:color w:val="000000"/>
                <w:sz w:val="16"/>
                <w:szCs w:val="16"/>
                <w:lang w:val="es-ES" w:eastAsia="es-ES_tradnl"/>
              </w:rPr>
              <w:br/>
              <w:t>GWh/d</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3FA31739" w14:textId="55756B92" w:rsidR="00CB41F4" w:rsidRPr="00DA1D22" w:rsidRDefault="00CB41F4" w:rsidP="00292EAC">
            <w:pPr>
              <w:spacing w:before="0" w:after="0" w:line="240" w:lineRule="auto"/>
              <w:jc w:val="center"/>
              <w:rPr>
                <w:rFonts w:cs="Arial"/>
                <w:b/>
                <w:bCs/>
                <w:color w:val="000000"/>
                <w:sz w:val="16"/>
                <w:szCs w:val="16"/>
                <w:lang w:val="es-ES_tradnl" w:eastAsia="es-ES_tradnl"/>
              </w:rPr>
            </w:pPr>
            <w:r w:rsidRPr="00DA1D22">
              <w:rPr>
                <w:rFonts w:cs="Arial"/>
                <w:b/>
                <w:bCs/>
                <w:color w:val="000000"/>
                <w:sz w:val="16"/>
                <w:szCs w:val="16"/>
                <w:lang w:val="es-ES_tradnl" w:eastAsia="es-ES_tradnl"/>
              </w:rPr>
              <w:t>French side</w:t>
            </w:r>
          </w:p>
        </w:tc>
        <w:tc>
          <w:tcPr>
            <w:tcW w:w="0" w:type="auto"/>
            <w:gridSpan w:val="4"/>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6EBEAB3D" w14:textId="540E0179" w:rsidR="00CB41F4" w:rsidRPr="00DA1D22" w:rsidRDefault="00CB41F4" w:rsidP="00292EAC">
            <w:pPr>
              <w:spacing w:before="0" w:after="0" w:line="240" w:lineRule="auto"/>
              <w:jc w:val="center"/>
              <w:rPr>
                <w:rFonts w:cs="Arial"/>
                <w:b/>
                <w:bCs/>
                <w:color w:val="000000"/>
                <w:sz w:val="16"/>
                <w:szCs w:val="16"/>
                <w:lang w:val="es-ES_tradnl" w:eastAsia="es-ES_tradnl"/>
              </w:rPr>
            </w:pPr>
            <w:r w:rsidRPr="00DA1D22">
              <w:rPr>
                <w:rFonts w:cs="Arial"/>
                <w:b/>
                <w:bCs/>
                <w:color w:val="000000"/>
                <w:sz w:val="16"/>
                <w:szCs w:val="16"/>
                <w:lang w:val="es-ES_tradnl" w:eastAsia="es-ES_tradnl"/>
              </w:rPr>
              <w:t>Spanish side</w:t>
            </w:r>
          </w:p>
        </w:tc>
      </w:tr>
      <w:tr w:rsidR="00CB41F4" w:rsidRPr="00DA1D22" w14:paraId="1CD0401A" w14:textId="77777777" w:rsidTr="00E740A2">
        <w:trPr>
          <w:trHeight w:val="90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7DCA4D" w14:textId="77777777" w:rsidR="00CB41F4" w:rsidRPr="00DA1D22" w:rsidRDefault="00CB41F4" w:rsidP="00292EAC">
            <w:pPr>
              <w:spacing w:before="0" w:after="0" w:line="240" w:lineRule="auto"/>
              <w:jc w:val="left"/>
              <w:rPr>
                <w:rFonts w:cs="Arial"/>
                <w:b/>
                <w:bCs/>
                <w:color w:val="000000"/>
                <w:sz w:val="16"/>
                <w:szCs w:val="16"/>
                <w:lang w:val="es-ES_tradnl" w:eastAsia="es-ES_tradnl"/>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3FC6B687" w14:textId="77777777" w:rsidR="00CB41F4" w:rsidRPr="003D4527" w:rsidRDefault="00CB41F4" w:rsidP="00292EAC">
            <w:pPr>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Booked Capacity (LT before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4555289E" w14:textId="77777777" w:rsidR="00CB41F4" w:rsidRPr="003D4527" w:rsidRDefault="00CB41F4" w:rsidP="00292EAC">
            <w:pPr>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Booked Capacity (LT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939AF4D" w14:textId="01E10EFF" w:rsidR="00CB41F4" w:rsidRPr="003D4527" w:rsidRDefault="00CB41F4" w:rsidP="00292EAC">
            <w:pPr>
              <w:spacing w:before="0" w:after="0" w:line="240" w:lineRule="auto"/>
              <w:jc w:val="center"/>
              <w:rPr>
                <w:rFonts w:cs="Arial"/>
                <w:color w:val="000000"/>
                <w:sz w:val="16"/>
                <w:szCs w:val="16"/>
                <w:lang w:val="en-US" w:eastAsia="es-ES_tradnl"/>
              </w:rPr>
            </w:pPr>
            <w:r w:rsidRPr="003D4527">
              <w:rPr>
                <w:rFonts w:cs="Arial"/>
                <w:color w:val="000000"/>
                <w:sz w:val="16"/>
                <w:szCs w:val="16"/>
                <w:lang w:val="en-US" w:eastAsia="es-ES_tradnl"/>
              </w:rPr>
              <w:t>Bundled Capacity (to be offered on PRISMA) </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506DE3D" w14:textId="1E5BE9F4" w:rsidR="00CB41F4" w:rsidRPr="003D4527" w:rsidRDefault="00CB41F4" w:rsidP="00292EAC">
            <w:pPr>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 xml:space="preserve">Unbundled Capacity (to be offered </w:t>
            </w:r>
            <w:r>
              <w:rPr>
                <w:rFonts w:cs="Arial"/>
                <w:color w:val="000000"/>
                <w:sz w:val="16"/>
                <w:szCs w:val="16"/>
                <w:lang w:val="en-US" w:eastAsia="es-ES_tradnl"/>
              </w:rPr>
              <w:t>on PRISMA</w:t>
            </w:r>
            <w:r w:rsidRPr="00DA1D22">
              <w:rPr>
                <w:rFonts w:cs="Arial"/>
                <w:color w:val="000000"/>
                <w:sz w:val="16"/>
                <w:szCs w:val="16"/>
                <w:lang w:val="en-US" w:eastAsia="es-ES_tradnl"/>
              </w:rPr>
              <w:t>)</w:t>
            </w:r>
          </w:p>
        </w:tc>
        <w:tc>
          <w:tcPr>
            <w:tcW w:w="0" w:type="auto"/>
            <w:tcBorders>
              <w:top w:val="nil"/>
              <w:left w:val="nil"/>
              <w:bottom w:val="single" w:sz="8" w:space="0" w:color="000000"/>
              <w:right w:val="single" w:sz="8" w:space="0" w:color="auto"/>
            </w:tcBorders>
            <w:shd w:val="clear" w:color="auto" w:fill="auto"/>
            <w:vAlign w:val="center"/>
            <w:hideMark/>
          </w:tcPr>
          <w:p w14:paraId="738885A7" w14:textId="77777777" w:rsidR="00CB41F4" w:rsidRPr="003D4527" w:rsidRDefault="00CB41F4" w:rsidP="00292EAC">
            <w:pPr>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Booked Capacity (LT before CAM)</w:t>
            </w:r>
          </w:p>
        </w:tc>
        <w:tc>
          <w:tcPr>
            <w:tcW w:w="0" w:type="auto"/>
            <w:tcBorders>
              <w:top w:val="nil"/>
              <w:left w:val="nil"/>
              <w:bottom w:val="single" w:sz="8" w:space="0" w:color="000000"/>
              <w:right w:val="single" w:sz="8" w:space="0" w:color="auto"/>
            </w:tcBorders>
            <w:shd w:val="clear" w:color="auto" w:fill="auto"/>
            <w:vAlign w:val="center"/>
            <w:hideMark/>
          </w:tcPr>
          <w:p w14:paraId="577C3A0C" w14:textId="77777777" w:rsidR="00CB41F4" w:rsidRPr="003D4527" w:rsidRDefault="00CB41F4" w:rsidP="00292EAC">
            <w:pPr>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Booked Capacity (LT after CAM)</w:t>
            </w:r>
          </w:p>
        </w:tc>
        <w:tc>
          <w:tcPr>
            <w:tcW w:w="0" w:type="auto"/>
            <w:tcBorders>
              <w:top w:val="nil"/>
              <w:left w:val="nil"/>
              <w:bottom w:val="single" w:sz="8" w:space="0" w:color="000000"/>
              <w:right w:val="single" w:sz="8" w:space="0" w:color="auto"/>
            </w:tcBorders>
            <w:shd w:val="clear" w:color="auto" w:fill="auto"/>
            <w:vAlign w:val="center"/>
            <w:hideMark/>
          </w:tcPr>
          <w:p w14:paraId="4C406D5A" w14:textId="5662FCDE" w:rsidR="00CB41F4" w:rsidRPr="003D4527" w:rsidRDefault="00CB41F4" w:rsidP="00292EAC">
            <w:pPr>
              <w:spacing w:before="0" w:after="0" w:line="240" w:lineRule="auto"/>
              <w:jc w:val="center"/>
              <w:rPr>
                <w:rFonts w:cs="Arial"/>
                <w:color w:val="000000"/>
                <w:sz w:val="16"/>
                <w:szCs w:val="16"/>
                <w:lang w:val="en-US" w:eastAsia="es-ES_tradnl"/>
              </w:rPr>
            </w:pPr>
            <w:r w:rsidRPr="003D4527">
              <w:rPr>
                <w:rFonts w:cs="Arial"/>
                <w:color w:val="000000"/>
                <w:sz w:val="16"/>
                <w:szCs w:val="16"/>
                <w:lang w:val="en-US" w:eastAsia="es-ES_tradnl"/>
              </w:rPr>
              <w:t>Bundled Capacity (to be offered on PRISMA) </w:t>
            </w:r>
          </w:p>
        </w:tc>
        <w:tc>
          <w:tcPr>
            <w:tcW w:w="0" w:type="auto"/>
            <w:tcBorders>
              <w:top w:val="nil"/>
              <w:left w:val="nil"/>
              <w:bottom w:val="single" w:sz="8" w:space="0" w:color="000000"/>
              <w:right w:val="single" w:sz="8" w:space="0" w:color="auto"/>
            </w:tcBorders>
            <w:shd w:val="clear" w:color="auto" w:fill="auto"/>
            <w:vAlign w:val="center"/>
            <w:hideMark/>
          </w:tcPr>
          <w:p w14:paraId="5EAFE425" w14:textId="41CD0FEA" w:rsidR="00CB41F4" w:rsidRPr="003D4527" w:rsidRDefault="00CB41F4" w:rsidP="00292EAC">
            <w:pPr>
              <w:spacing w:before="0" w:after="0" w:line="240" w:lineRule="auto"/>
              <w:jc w:val="center"/>
              <w:rPr>
                <w:rFonts w:cs="Arial"/>
                <w:color w:val="000000"/>
                <w:sz w:val="16"/>
                <w:szCs w:val="16"/>
                <w:lang w:val="en-US" w:eastAsia="es-ES_tradnl"/>
              </w:rPr>
            </w:pPr>
            <w:r w:rsidRPr="00DA1D22">
              <w:rPr>
                <w:rFonts w:cs="Arial"/>
                <w:color w:val="000000"/>
                <w:sz w:val="16"/>
                <w:szCs w:val="16"/>
                <w:lang w:val="en-US" w:eastAsia="es-ES_tradnl"/>
              </w:rPr>
              <w:t xml:space="preserve">Unbundled Capacity (to be offered </w:t>
            </w:r>
            <w:r>
              <w:rPr>
                <w:rFonts w:cs="Arial"/>
                <w:color w:val="000000"/>
                <w:sz w:val="16"/>
                <w:szCs w:val="16"/>
                <w:lang w:val="en-US" w:eastAsia="es-ES_tradnl"/>
              </w:rPr>
              <w:t>on PRISMA</w:t>
            </w:r>
            <w:r w:rsidRPr="00DA1D22">
              <w:rPr>
                <w:rFonts w:cs="Arial"/>
                <w:color w:val="000000"/>
                <w:sz w:val="16"/>
                <w:szCs w:val="16"/>
                <w:lang w:val="en-US" w:eastAsia="es-ES_tradnl"/>
              </w:rPr>
              <w:t>)</w:t>
            </w:r>
          </w:p>
        </w:tc>
      </w:tr>
      <w:tr w:rsidR="000621D4" w:rsidRPr="00DA1D22" w14:paraId="3B65E6DC"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7C37E50E"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2020 to Sept 2021</w:t>
            </w:r>
          </w:p>
        </w:tc>
        <w:tc>
          <w:tcPr>
            <w:tcW w:w="0" w:type="auto"/>
            <w:tcBorders>
              <w:top w:val="nil"/>
              <w:left w:val="nil"/>
              <w:bottom w:val="single" w:sz="8" w:space="0" w:color="auto"/>
              <w:right w:val="single" w:sz="8" w:space="0" w:color="auto"/>
            </w:tcBorders>
            <w:shd w:val="clear" w:color="auto" w:fill="auto"/>
            <w:noWrap/>
            <w:vAlign w:val="center"/>
            <w:hideMark/>
          </w:tcPr>
          <w:p w14:paraId="075B5276" w14:textId="6C38CAE4"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176,799</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55771C75" w14:textId="4E517A28"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77BA525" w14:textId="0E57E0DC"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25.701</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0D7B6E56" w14:textId="5C5A0541"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3449050" w14:textId="27531323"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126.43</w:t>
            </w:r>
          </w:p>
        </w:tc>
        <w:tc>
          <w:tcPr>
            <w:tcW w:w="0" w:type="auto"/>
            <w:tcBorders>
              <w:top w:val="nil"/>
              <w:left w:val="nil"/>
              <w:bottom w:val="single" w:sz="8" w:space="0" w:color="auto"/>
              <w:right w:val="single" w:sz="8" w:space="0" w:color="auto"/>
            </w:tcBorders>
            <w:shd w:val="clear" w:color="auto" w:fill="auto"/>
            <w:noWrap/>
            <w:vAlign w:val="center"/>
            <w:hideMark/>
          </w:tcPr>
          <w:p w14:paraId="08613A50" w14:textId="230421C2"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E6AC4ED" w14:textId="3911EF85"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25.70</w:t>
            </w:r>
          </w:p>
        </w:tc>
        <w:tc>
          <w:tcPr>
            <w:tcW w:w="0" w:type="auto"/>
            <w:tcBorders>
              <w:top w:val="nil"/>
              <w:left w:val="nil"/>
              <w:bottom w:val="single" w:sz="8" w:space="0" w:color="auto"/>
              <w:right w:val="single" w:sz="8" w:space="0" w:color="auto"/>
            </w:tcBorders>
            <w:shd w:val="clear" w:color="auto" w:fill="auto"/>
            <w:noWrap/>
            <w:vAlign w:val="center"/>
            <w:hideMark/>
          </w:tcPr>
          <w:p w14:paraId="21119AA1" w14:textId="001E97F0"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50.4</w:t>
            </w:r>
          </w:p>
        </w:tc>
      </w:tr>
      <w:tr w:rsidR="000621D4" w:rsidRPr="00DA1D22" w14:paraId="783894C1"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4F564DA1"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2021 to Sept 2022</w:t>
            </w:r>
          </w:p>
        </w:tc>
        <w:tc>
          <w:tcPr>
            <w:tcW w:w="0" w:type="auto"/>
            <w:tcBorders>
              <w:top w:val="nil"/>
              <w:left w:val="nil"/>
              <w:bottom w:val="single" w:sz="8" w:space="0" w:color="auto"/>
              <w:right w:val="single" w:sz="8" w:space="0" w:color="auto"/>
            </w:tcBorders>
            <w:shd w:val="clear" w:color="auto" w:fill="auto"/>
            <w:noWrap/>
            <w:vAlign w:val="center"/>
            <w:hideMark/>
          </w:tcPr>
          <w:p w14:paraId="3CECECCF" w14:textId="59CC84DD"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176,799</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8459A70" w14:textId="04886456"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04345A9B" w14:textId="7F7DE2EC"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25.701</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784912C" w14:textId="1B7773F8"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3C22CE8" w14:textId="30B784C4"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126.43</w:t>
            </w:r>
          </w:p>
        </w:tc>
        <w:tc>
          <w:tcPr>
            <w:tcW w:w="0" w:type="auto"/>
            <w:tcBorders>
              <w:top w:val="nil"/>
              <w:left w:val="nil"/>
              <w:bottom w:val="single" w:sz="8" w:space="0" w:color="auto"/>
              <w:right w:val="single" w:sz="8" w:space="0" w:color="auto"/>
            </w:tcBorders>
            <w:shd w:val="clear" w:color="auto" w:fill="auto"/>
            <w:noWrap/>
            <w:vAlign w:val="center"/>
            <w:hideMark/>
          </w:tcPr>
          <w:p w14:paraId="2B41BE03" w14:textId="1F4DED3F"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290093D8" w14:textId="0B6D1DFD"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25.70</w:t>
            </w:r>
          </w:p>
        </w:tc>
        <w:tc>
          <w:tcPr>
            <w:tcW w:w="0" w:type="auto"/>
            <w:tcBorders>
              <w:top w:val="nil"/>
              <w:left w:val="nil"/>
              <w:bottom w:val="single" w:sz="8" w:space="0" w:color="auto"/>
              <w:right w:val="single" w:sz="8" w:space="0" w:color="auto"/>
            </w:tcBorders>
            <w:shd w:val="clear" w:color="auto" w:fill="auto"/>
            <w:noWrap/>
            <w:vAlign w:val="center"/>
            <w:hideMark/>
          </w:tcPr>
          <w:p w14:paraId="16348755" w14:textId="7424190C"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50.4(*)</w:t>
            </w:r>
          </w:p>
        </w:tc>
      </w:tr>
      <w:tr w:rsidR="000621D4" w:rsidRPr="00DA1D22" w14:paraId="3B55A7E9"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2DAF97E4"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2022 to Sept 2023</w:t>
            </w:r>
          </w:p>
        </w:tc>
        <w:tc>
          <w:tcPr>
            <w:tcW w:w="0" w:type="auto"/>
            <w:tcBorders>
              <w:top w:val="nil"/>
              <w:left w:val="nil"/>
              <w:bottom w:val="single" w:sz="8" w:space="0" w:color="auto"/>
              <w:right w:val="single" w:sz="8" w:space="0" w:color="auto"/>
            </w:tcBorders>
            <w:shd w:val="clear" w:color="auto" w:fill="auto"/>
            <w:noWrap/>
            <w:vAlign w:val="center"/>
            <w:hideMark/>
          </w:tcPr>
          <w:p w14:paraId="4462CF55" w14:textId="1611EBD4"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176,799</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1DB8D0FD" w14:textId="50A8AADD"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9CDE5BC" w14:textId="71AFBBD8"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25.701</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AF34FDC" w14:textId="7DC64C52"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134BA0CA" w14:textId="27E1CCA9"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126.43</w:t>
            </w:r>
          </w:p>
        </w:tc>
        <w:tc>
          <w:tcPr>
            <w:tcW w:w="0" w:type="auto"/>
            <w:tcBorders>
              <w:top w:val="nil"/>
              <w:left w:val="nil"/>
              <w:bottom w:val="single" w:sz="8" w:space="0" w:color="auto"/>
              <w:right w:val="single" w:sz="8" w:space="0" w:color="auto"/>
            </w:tcBorders>
            <w:shd w:val="clear" w:color="auto" w:fill="auto"/>
            <w:noWrap/>
            <w:vAlign w:val="center"/>
            <w:hideMark/>
          </w:tcPr>
          <w:p w14:paraId="57640E38" w14:textId="0D888BC3"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06DBC123" w14:textId="1C752712"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25.70</w:t>
            </w:r>
          </w:p>
        </w:tc>
        <w:tc>
          <w:tcPr>
            <w:tcW w:w="0" w:type="auto"/>
            <w:tcBorders>
              <w:top w:val="nil"/>
              <w:left w:val="nil"/>
              <w:bottom w:val="single" w:sz="8" w:space="0" w:color="auto"/>
              <w:right w:val="single" w:sz="8" w:space="0" w:color="auto"/>
            </w:tcBorders>
            <w:shd w:val="clear" w:color="auto" w:fill="auto"/>
            <w:noWrap/>
            <w:vAlign w:val="center"/>
            <w:hideMark/>
          </w:tcPr>
          <w:p w14:paraId="378D1B1B" w14:textId="55688F71"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50.4(*)</w:t>
            </w:r>
          </w:p>
        </w:tc>
      </w:tr>
      <w:tr w:rsidR="000621D4" w:rsidRPr="00DA1D22" w14:paraId="04802EE2"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60176BF6"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2023 to Sept 2024</w:t>
            </w:r>
          </w:p>
        </w:tc>
        <w:tc>
          <w:tcPr>
            <w:tcW w:w="0" w:type="auto"/>
            <w:tcBorders>
              <w:top w:val="nil"/>
              <w:left w:val="nil"/>
              <w:bottom w:val="single" w:sz="8" w:space="0" w:color="auto"/>
              <w:right w:val="single" w:sz="8" w:space="0" w:color="auto"/>
            </w:tcBorders>
            <w:shd w:val="clear" w:color="auto" w:fill="auto"/>
            <w:noWrap/>
            <w:vAlign w:val="center"/>
            <w:hideMark/>
          </w:tcPr>
          <w:p w14:paraId="7D959FCB" w14:textId="4890D9D0"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61,307</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020305F" w14:textId="2878A51E"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74F6C69" w14:textId="3B6AD38F"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141.193</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5CFEA5D9" w14:textId="0C42F2D6"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02D6E65" w14:textId="2753BAD8"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61.3</w:t>
            </w:r>
          </w:p>
        </w:tc>
        <w:tc>
          <w:tcPr>
            <w:tcW w:w="0" w:type="auto"/>
            <w:tcBorders>
              <w:top w:val="nil"/>
              <w:left w:val="nil"/>
              <w:bottom w:val="single" w:sz="8" w:space="0" w:color="auto"/>
              <w:right w:val="single" w:sz="8" w:space="0" w:color="auto"/>
            </w:tcBorders>
            <w:shd w:val="clear" w:color="auto" w:fill="auto"/>
            <w:noWrap/>
            <w:vAlign w:val="center"/>
            <w:hideMark/>
          </w:tcPr>
          <w:p w14:paraId="59F0D622" w14:textId="6D5E6E4A"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04A9D18" w14:textId="5233AD4F"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141.19</w:t>
            </w:r>
          </w:p>
        </w:tc>
        <w:tc>
          <w:tcPr>
            <w:tcW w:w="0" w:type="auto"/>
            <w:tcBorders>
              <w:top w:val="nil"/>
              <w:left w:val="nil"/>
              <w:bottom w:val="single" w:sz="8" w:space="0" w:color="auto"/>
              <w:right w:val="single" w:sz="8" w:space="0" w:color="auto"/>
            </w:tcBorders>
            <w:shd w:val="clear" w:color="auto" w:fill="auto"/>
            <w:noWrap/>
            <w:vAlign w:val="center"/>
            <w:hideMark/>
          </w:tcPr>
          <w:p w14:paraId="39797B69" w14:textId="238C9C6C"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13D50323"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44934F5F"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2024 to Sept 2025</w:t>
            </w:r>
          </w:p>
        </w:tc>
        <w:tc>
          <w:tcPr>
            <w:tcW w:w="0" w:type="auto"/>
            <w:tcBorders>
              <w:top w:val="nil"/>
              <w:left w:val="nil"/>
              <w:bottom w:val="single" w:sz="8" w:space="0" w:color="auto"/>
              <w:right w:val="single" w:sz="8" w:space="0" w:color="auto"/>
            </w:tcBorders>
            <w:shd w:val="clear" w:color="auto" w:fill="auto"/>
            <w:noWrap/>
            <w:vAlign w:val="center"/>
            <w:hideMark/>
          </w:tcPr>
          <w:p w14:paraId="6258BCFC" w14:textId="7800EA6F"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47,387</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015708B6" w14:textId="37634491"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C35C8E7" w14:textId="7F6AC611"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155.113</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266922CB" w14:textId="3E3D8192"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A687AE9" w14:textId="6459A436"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47.39</w:t>
            </w:r>
          </w:p>
        </w:tc>
        <w:tc>
          <w:tcPr>
            <w:tcW w:w="0" w:type="auto"/>
            <w:tcBorders>
              <w:top w:val="nil"/>
              <w:left w:val="nil"/>
              <w:bottom w:val="single" w:sz="8" w:space="0" w:color="auto"/>
              <w:right w:val="single" w:sz="8" w:space="0" w:color="auto"/>
            </w:tcBorders>
            <w:shd w:val="clear" w:color="auto" w:fill="auto"/>
            <w:noWrap/>
            <w:vAlign w:val="center"/>
            <w:hideMark/>
          </w:tcPr>
          <w:p w14:paraId="053FFE79" w14:textId="56E2F7D1"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691C2E46" w14:textId="5DFDA8AC"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155.11</w:t>
            </w:r>
          </w:p>
        </w:tc>
        <w:tc>
          <w:tcPr>
            <w:tcW w:w="0" w:type="auto"/>
            <w:tcBorders>
              <w:top w:val="nil"/>
              <w:left w:val="nil"/>
              <w:bottom w:val="single" w:sz="8" w:space="0" w:color="auto"/>
              <w:right w:val="single" w:sz="8" w:space="0" w:color="auto"/>
            </w:tcBorders>
            <w:shd w:val="clear" w:color="auto" w:fill="auto"/>
            <w:noWrap/>
            <w:vAlign w:val="center"/>
            <w:hideMark/>
          </w:tcPr>
          <w:p w14:paraId="79282309" w14:textId="673CAE64"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606E8EAC"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6DE61AB9"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2025 to Sept 2026</w:t>
            </w:r>
          </w:p>
        </w:tc>
        <w:tc>
          <w:tcPr>
            <w:tcW w:w="0" w:type="auto"/>
            <w:tcBorders>
              <w:top w:val="nil"/>
              <w:left w:val="nil"/>
              <w:bottom w:val="single" w:sz="8" w:space="0" w:color="auto"/>
              <w:right w:val="single" w:sz="8" w:space="0" w:color="auto"/>
            </w:tcBorders>
            <w:shd w:val="clear" w:color="auto" w:fill="auto"/>
            <w:noWrap/>
            <w:vAlign w:val="center"/>
            <w:hideMark/>
          </w:tcPr>
          <w:p w14:paraId="2F9C1036" w14:textId="562E976A"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47,387</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1126BBC4" w14:textId="764A5241"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C79630C" w14:textId="58A0A092"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132.613</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7D99B79" w14:textId="253CD569"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22E622D" w14:textId="1DFB1F5A"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47.39</w:t>
            </w:r>
          </w:p>
        </w:tc>
        <w:tc>
          <w:tcPr>
            <w:tcW w:w="0" w:type="auto"/>
            <w:tcBorders>
              <w:top w:val="nil"/>
              <w:left w:val="nil"/>
              <w:bottom w:val="single" w:sz="8" w:space="0" w:color="auto"/>
              <w:right w:val="single" w:sz="8" w:space="0" w:color="auto"/>
            </w:tcBorders>
            <w:shd w:val="clear" w:color="auto" w:fill="auto"/>
            <w:noWrap/>
            <w:vAlign w:val="center"/>
            <w:hideMark/>
          </w:tcPr>
          <w:p w14:paraId="68791D6E" w14:textId="07ECA12E"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66A9D0D8" w14:textId="45EE7E2F"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132.61</w:t>
            </w:r>
          </w:p>
        </w:tc>
        <w:tc>
          <w:tcPr>
            <w:tcW w:w="0" w:type="auto"/>
            <w:tcBorders>
              <w:top w:val="nil"/>
              <w:left w:val="nil"/>
              <w:bottom w:val="single" w:sz="8" w:space="0" w:color="auto"/>
              <w:right w:val="single" w:sz="8" w:space="0" w:color="auto"/>
            </w:tcBorders>
            <w:shd w:val="clear" w:color="auto" w:fill="auto"/>
            <w:noWrap/>
            <w:vAlign w:val="center"/>
            <w:hideMark/>
          </w:tcPr>
          <w:p w14:paraId="1BBDEE60" w14:textId="696BBDA5"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07E4060B"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0C64465D"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2026 to Sept 2027</w:t>
            </w:r>
          </w:p>
        </w:tc>
        <w:tc>
          <w:tcPr>
            <w:tcW w:w="0" w:type="auto"/>
            <w:tcBorders>
              <w:top w:val="nil"/>
              <w:left w:val="nil"/>
              <w:bottom w:val="single" w:sz="8" w:space="0" w:color="auto"/>
              <w:right w:val="single" w:sz="8" w:space="0" w:color="auto"/>
            </w:tcBorders>
            <w:shd w:val="clear" w:color="auto" w:fill="auto"/>
            <w:noWrap/>
            <w:vAlign w:val="center"/>
            <w:hideMark/>
          </w:tcPr>
          <w:p w14:paraId="7DEC0425" w14:textId="71820300"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2,587</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267FFA4" w14:textId="1C4270D1"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656F64B" w14:textId="29D3E4DA"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177.413</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1338BB6" w14:textId="40FF5284"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183B79C" w14:textId="65574459"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2.59</w:t>
            </w:r>
          </w:p>
        </w:tc>
        <w:tc>
          <w:tcPr>
            <w:tcW w:w="0" w:type="auto"/>
            <w:tcBorders>
              <w:top w:val="nil"/>
              <w:left w:val="nil"/>
              <w:bottom w:val="single" w:sz="8" w:space="0" w:color="auto"/>
              <w:right w:val="single" w:sz="8" w:space="0" w:color="auto"/>
            </w:tcBorders>
            <w:shd w:val="clear" w:color="auto" w:fill="auto"/>
            <w:noWrap/>
            <w:vAlign w:val="center"/>
            <w:hideMark/>
          </w:tcPr>
          <w:p w14:paraId="0527A422" w14:textId="3B589215"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EF0D119" w14:textId="5FE5E944"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177.41</w:t>
            </w:r>
          </w:p>
        </w:tc>
        <w:tc>
          <w:tcPr>
            <w:tcW w:w="0" w:type="auto"/>
            <w:tcBorders>
              <w:top w:val="nil"/>
              <w:left w:val="nil"/>
              <w:bottom w:val="single" w:sz="8" w:space="0" w:color="auto"/>
              <w:right w:val="single" w:sz="8" w:space="0" w:color="auto"/>
            </w:tcBorders>
            <w:shd w:val="clear" w:color="auto" w:fill="auto"/>
            <w:noWrap/>
            <w:vAlign w:val="center"/>
            <w:hideMark/>
          </w:tcPr>
          <w:p w14:paraId="3792701E" w14:textId="1232B4DD"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28663A56"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51C890FD"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2027 to Sept 2028</w:t>
            </w:r>
          </w:p>
        </w:tc>
        <w:tc>
          <w:tcPr>
            <w:tcW w:w="0" w:type="auto"/>
            <w:tcBorders>
              <w:top w:val="nil"/>
              <w:left w:val="nil"/>
              <w:bottom w:val="single" w:sz="8" w:space="0" w:color="auto"/>
              <w:right w:val="single" w:sz="8" w:space="0" w:color="auto"/>
            </w:tcBorders>
            <w:shd w:val="clear" w:color="auto" w:fill="auto"/>
            <w:noWrap/>
            <w:vAlign w:val="center"/>
            <w:hideMark/>
          </w:tcPr>
          <w:p w14:paraId="166F0E35" w14:textId="23BA16C1"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2,587</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3D80C7FE" w14:textId="3BEEB64D"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0F76F58" w14:textId="1E0D6B32"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177.413</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0F776D25" w14:textId="03D61D75"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3A2E6AD" w14:textId="3E514FFC"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2.59</w:t>
            </w:r>
          </w:p>
        </w:tc>
        <w:tc>
          <w:tcPr>
            <w:tcW w:w="0" w:type="auto"/>
            <w:tcBorders>
              <w:top w:val="nil"/>
              <w:left w:val="nil"/>
              <w:bottom w:val="single" w:sz="8" w:space="0" w:color="auto"/>
              <w:right w:val="single" w:sz="8" w:space="0" w:color="auto"/>
            </w:tcBorders>
            <w:shd w:val="clear" w:color="auto" w:fill="auto"/>
            <w:noWrap/>
            <w:vAlign w:val="center"/>
            <w:hideMark/>
          </w:tcPr>
          <w:p w14:paraId="4B786A91" w14:textId="7C1C6AB3"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5578A301" w14:textId="50765E3F"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177.41</w:t>
            </w:r>
          </w:p>
        </w:tc>
        <w:tc>
          <w:tcPr>
            <w:tcW w:w="0" w:type="auto"/>
            <w:tcBorders>
              <w:top w:val="nil"/>
              <w:left w:val="nil"/>
              <w:bottom w:val="single" w:sz="8" w:space="0" w:color="auto"/>
              <w:right w:val="single" w:sz="8" w:space="0" w:color="auto"/>
            </w:tcBorders>
            <w:shd w:val="clear" w:color="auto" w:fill="auto"/>
            <w:noWrap/>
            <w:vAlign w:val="center"/>
            <w:hideMark/>
          </w:tcPr>
          <w:p w14:paraId="10124824" w14:textId="680A7FB6"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458E7EB9"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74D8C3FD"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2028 to Sept 2029</w:t>
            </w:r>
          </w:p>
        </w:tc>
        <w:tc>
          <w:tcPr>
            <w:tcW w:w="0" w:type="auto"/>
            <w:tcBorders>
              <w:top w:val="nil"/>
              <w:left w:val="nil"/>
              <w:bottom w:val="single" w:sz="8" w:space="0" w:color="auto"/>
              <w:right w:val="single" w:sz="8" w:space="0" w:color="auto"/>
            </w:tcBorders>
            <w:shd w:val="clear" w:color="auto" w:fill="auto"/>
            <w:noWrap/>
            <w:vAlign w:val="center"/>
            <w:hideMark/>
          </w:tcPr>
          <w:p w14:paraId="3AE3BD71" w14:textId="3507B86A"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2,587</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4DE76DB1" w14:textId="4FD4808A"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D572304" w14:textId="4834BF23"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177.413</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02E709B4" w14:textId="2A956CF2"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46BE92C" w14:textId="75D24760"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2.59</w:t>
            </w:r>
          </w:p>
        </w:tc>
        <w:tc>
          <w:tcPr>
            <w:tcW w:w="0" w:type="auto"/>
            <w:tcBorders>
              <w:top w:val="nil"/>
              <w:left w:val="nil"/>
              <w:bottom w:val="single" w:sz="8" w:space="0" w:color="auto"/>
              <w:right w:val="single" w:sz="8" w:space="0" w:color="auto"/>
            </w:tcBorders>
            <w:shd w:val="clear" w:color="auto" w:fill="auto"/>
            <w:noWrap/>
            <w:vAlign w:val="center"/>
            <w:hideMark/>
          </w:tcPr>
          <w:p w14:paraId="6ADD3252" w14:textId="15A43B96"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81965A9" w14:textId="1F091B0C"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177.41</w:t>
            </w:r>
          </w:p>
        </w:tc>
        <w:tc>
          <w:tcPr>
            <w:tcW w:w="0" w:type="auto"/>
            <w:tcBorders>
              <w:top w:val="nil"/>
              <w:left w:val="nil"/>
              <w:bottom w:val="single" w:sz="8" w:space="0" w:color="auto"/>
              <w:right w:val="single" w:sz="8" w:space="0" w:color="auto"/>
            </w:tcBorders>
            <w:shd w:val="clear" w:color="auto" w:fill="auto"/>
            <w:noWrap/>
            <w:vAlign w:val="center"/>
            <w:hideMark/>
          </w:tcPr>
          <w:p w14:paraId="415DC655" w14:textId="3B5F67DD"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0D6C32A7"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06A062DE"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2029 to Sept 2030</w:t>
            </w:r>
          </w:p>
        </w:tc>
        <w:tc>
          <w:tcPr>
            <w:tcW w:w="0" w:type="auto"/>
            <w:tcBorders>
              <w:top w:val="nil"/>
              <w:left w:val="nil"/>
              <w:bottom w:val="single" w:sz="8" w:space="0" w:color="auto"/>
              <w:right w:val="single" w:sz="8" w:space="0" w:color="auto"/>
            </w:tcBorders>
            <w:shd w:val="clear" w:color="auto" w:fill="auto"/>
            <w:noWrap/>
            <w:vAlign w:val="center"/>
            <w:hideMark/>
          </w:tcPr>
          <w:p w14:paraId="51FD8217" w14:textId="043A8D3C"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057482FA" w14:textId="2653FC6F"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8DF0AD5" w14:textId="4181417A"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5FAF71DB" w14:textId="16B9BCB1"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8AFCEA6" w14:textId="0BE06CB0"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3B97AC51" w14:textId="59EF3FC0"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414691D0" w14:textId="56204E38"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auto"/>
            <w:noWrap/>
            <w:vAlign w:val="center"/>
            <w:hideMark/>
          </w:tcPr>
          <w:p w14:paraId="4B54C090" w14:textId="30659861"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724B1A86"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0ADFD815"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2030 to Sept 2031</w:t>
            </w:r>
          </w:p>
        </w:tc>
        <w:tc>
          <w:tcPr>
            <w:tcW w:w="0" w:type="auto"/>
            <w:tcBorders>
              <w:top w:val="nil"/>
              <w:left w:val="nil"/>
              <w:bottom w:val="single" w:sz="8" w:space="0" w:color="auto"/>
              <w:right w:val="single" w:sz="8" w:space="0" w:color="auto"/>
            </w:tcBorders>
            <w:shd w:val="clear" w:color="auto" w:fill="auto"/>
            <w:noWrap/>
            <w:vAlign w:val="center"/>
            <w:hideMark/>
          </w:tcPr>
          <w:p w14:paraId="487165EF" w14:textId="5548D84A"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41606687" w14:textId="7F08010B"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9E1017E" w14:textId="6E887DD5"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48034352" w14:textId="055042AD"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03A8711" w14:textId="4011E472"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205C6EB2" w14:textId="029A4B47"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094E6A68" w14:textId="44939981"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auto"/>
            <w:noWrap/>
            <w:vAlign w:val="center"/>
            <w:hideMark/>
          </w:tcPr>
          <w:p w14:paraId="2054DA65" w14:textId="6D74C2A7"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20E145A2"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46456B9C"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2031 to Sept 2032</w:t>
            </w:r>
          </w:p>
        </w:tc>
        <w:tc>
          <w:tcPr>
            <w:tcW w:w="0" w:type="auto"/>
            <w:tcBorders>
              <w:top w:val="nil"/>
              <w:left w:val="nil"/>
              <w:bottom w:val="single" w:sz="8" w:space="0" w:color="auto"/>
              <w:right w:val="single" w:sz="8" w:space="0" w:color="auto"/>
            </w:tcBorders>
            <w:shd w:val="clear" w:color="auto" w:fill="auto"/>
            <w:noWrap/>
            <w:vAlign w:val="center"/>
            <w:hideMark/>
          </w:tcPr>
          <w:p w14:paraId="703E0CEC" w14:textId="669E7023"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17829DFE" w14:textId="711CF137"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C3C30D7" w14:textId="731AA8B5"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7C2A556F" w14:textId="60C71AFE"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F1C7F67" w14:textId="38C52384"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03508AD5" w14:textId="08ADB3DF"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1F5FE9F6" w14:textId="335C63E0"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auto"/>
            <w:noWrap/>
            <w:vAlign w:val="center"/>
            <w:hideMark/>
          </w:tcPr>
          <w:p w14:paraId="3D9F3C83" w14:textId="7A704EBB"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2CBF4F9B"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7D391BBC"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2032 to Sept 2033</w:t>
            </w:r>
          </w:p>
        </w:tc>
        <w:tc>
          <w:tcPr>
            <w:tcW w:w="0" w:type="auto"/>
            <w:tcBorders>
              <w:top w:val="nil"/>
              <w:left w:val="nil"/>
              <w:bottom w:val="single" w:sz="8" w:space="0" w:color="auto"/>
              <w:right w:val="single" w:sz="8" w:space="0" w:color="auto"/>
            </w:tcBorders>
            <w:shd w:val="clear" w:color="auto" w:fill="auto"/>
            <w:noWrap/>
            <w:vAlign w:val="center"/>
            <w:hideMark/>
          </w:tcPr>
          <w:p w14:paraId="12E9EADE" w14:textId="6740E613"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32E40BF5" w14:textId="7E5EAC4F"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DD401FA" w14:textId="51636A33"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295CAE8F" w14:textId="6DEDFDE4"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3A17C83" w14:textId="3BD70BB7"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4532A241" w14:textId="66AAD13E"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60072D19" w14:textId="41894B47"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auto"/>
            <w:noWrap/>
            <w:vAlign w:val="center"/>
            <w:hideMark/>
          </w:tcPr>
          <w:p w14:paraId="0E59F958" w14:textId="4B19B9A2"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055ED6C1"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425DAE59"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2033 to Sept 2034</w:t>
            </w:r>
          </w:p>
        </w:tc>
        <w:tc>
          <w:tcPr>
            <w:tcW w:w="0" w:type="auto"/>
            <w:tcBorders>
              <w:top w:val="nil"/>
              <w:left w:val="nil"/>
              <w:bottom w:val="single" w:sz="8" w:space="0" w:color="auto"/>
              <w:right w:val="single" w:sz="8" w:space="0" w:color="auto"/>
            </w:tcBorders>
            <w:shd w:val="clear" w:color="auto" w:fill="auto"/>
            <w:noWrap/>
            <w:vAlign w:val="center"/>
            <w:hideMark/>
          </w:tcPr>
          <w:p w14:paraId="1EF65949" w14:textId="3FC74E4E"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6BCC0DE6" w14:textId="1105511B"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FCDB7A8" w14:textId="5E320C16"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120B9907" w14:textId="4106965D"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1FA51B8" w14:textId="4702899C"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5B1DF82D" w14:textId="318ED92A"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107E03C8" w14:textId="08667E1B"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auto"/>
            <w:noWrap/>
            <w:vAlign w:val="center"/>
            <w:hideMark/>
          </w:tcPr>
          <w:p w14:paraId="4D63B68B" w14:textId="6B1FE2A3"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r w:rsidR="000621D4" w:rsidRPr="00DA1D22" w14:paraId="4E7EC0C7" w14:textId="77777777" w:rsidTr="000621D4">
        <w:trPr>
          <w:trHeight w:val="313"/>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22615EF1" w14:textId="77777777" w:rsidR="000621D4" w:rsidRPr="00DA1D22" w:rsidRDefault="000621D4" w:rsidP="000621D4">
            <w:pPr>
              <w:spacing w:before="0" w:after="0" w:line="240" w:lineRule="auto"/>
              <w:jc w:val="center"/>
              <w:rPr>
                <w:rFonts w:ascii="Calibri" w:hAnsi="Calibri" w:cs="Calibri"/>
                <w:b/>
                <w:bCs/>
                <w:color w:val="FFFFFF"/>
                <w:sz w:val="16"/>
                <w:szCs w:val="16"/>
                <w:lang w:val="es-ES_tradnl" w:eastAsia="es-ES_tradnl"/>
              </w:rPr>
            </w:pPr>
            <w:r>
              <w:rPr>
                <w:rFonts w:ascii="Calibri" w:hAnsi="Calibri" w:cs="Calibri"/>
                <w:b/>
                <w:bCs/>
                <w:color w:val="FFFFFF"/>
                <w:sz w:val="16"/>
                <w:szCs w:val="16"/>
              </w:rPr>
              <w:t>Oct 2034 to Sept 2035</w:t>
            </w:r>
          </w:p>
        </w:tc>
        <w:tc>
          <w:tcPr>
            <w:tcW w:w="0" w:type="auto"/>
            <w:tcBorders>
              <w:top w:val="nil"/>
              <w:left w:val="nil"/>
              <w:bottom w:val="single" w:sz="8" w:space="0" w:color="auto"/>
              <w:right w:val="single" w:sz="8" w:space="0" w:color="auto"/>
            </w:tcBorders>
            <w:shd w:val="clear" w:color="auto" w:fill="auto"/>
            <w:noWrap/>
            <w:vAlign w:val="center"/>
            <w:hideMark/>
          </w:tcPr>
          <w:p w14:paraId="0C83F934" w14:textId="5C13D349" w:rsidR="000621D4" w:rsidRPr="00DA1D22" w:rsidRDefault="000621D4" w:rsidP="000621D4">
            <w:pPr>
              <w:spacing w:before="0" w:after="0" w:line="240" w:lineRule="auto"/>
              <w:jc w:val="center"/>
              <w:rPr>
                <w:rFonts w:cs="Arial"/>
                <w:color w:val="000000"/>
                <w:sz w:val="16"/>
                <w:szCs w:val="16"/>
                <w:lang w:val="es-ES_tradnl" w:eastAsia="es-ES_tradnl"/>
              </w:rPr>
            </w:pPr>
            <w:r w:rsidRPr="00DA1D22">
              <w:rPr>
                <w:rFonts w:cs="Arial"/>
                <w:color w:val="000000"/>
                <w:sz w:val="16"/>
                <w:szCs w:val="16"/>
                <w:lang w:val="es-ES_tradnl" w:eastAsia="es-ES_tradnl"/>
              </w:rPr>
              <w:t> </w:t>
            </w:r>
            <w:r>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3DFBF577" w14:textId="14053CC6"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C289C9D" w14:textId="34C3369E"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BFBFBF" w:themeFill="background1" w:themeFillShade="BF"/>
            <w:noWrap/>
            <w:vAlign w:val="center"/>
            <w:hideMark/>
          </w:tcPr>
          <w:p w14:paraId="3D0D321D" w14:textId="40131427"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0</w:t>
            </w:r>
            <w:r w:rsidRPr="00DA1D22">
              <w:rPr>
                <w:rFonts w:cs="Arial"/>
                <w:color w:val="000000"/>
                <w:sz w:val="16"/>
                <w:szCs w:val="16"/>
                <w:lang w:val="es-ES_tradnl" w:eastAsia="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E485EC6" w14:textId="4C844B6E"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79689C68" w14:textId="0328343A"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226C100A" w14:textId="074D8A31" w:rsidR="000621D4" w:rsidRPr="00F75F5E"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180.00</w:t>
            </w:r>
          </w:p>
        </w:tc>
        <w:tc>
          <w:tcPr>
            <w:tcW w:w="0" w:type="auto"/>
            <w:tcBorders>
              <w:top w:val="nil"/>
              <w:left w:val="nil"/>
              <w:bottom w:val="single" w:sz="8" w:space="0" w:color="auto"/>
              <w:right w:val="single" w:sz="8" w:space="0" w:color="auto"/>
            </w:tcBorders>
            <w:shd w:val="clear" w:color="auto" w:fill="auto"/>
            <w:noWrap/>
            <w:vAlign w:val="center"/>
            <w:hideMark/>
          </w:tcPr>
          <w:p w14:paraId="26B024C1" w14:textId="441E857A" w:rsidR="000621D4" w:rsidRPr="00DA1D22" w:rsidRDefault="000621D4" w:rsidP="000621D4">
            <w:pPr>
              <w:spacing w:before="0" w:after="0" w:line="240" w:lineRule="auto"/>
              <w:jc w:val="center"/>
              <w:rPr>
                <w:rFonts w:cs="Arial"/>
                <w:color w:val="000000"/>
                <w:sz w:val="16"/>
                <w:szCs w:val="16"/>
                <w:lang w:val="es-ES_tradnl" w:eastAsia="es-ES_tradnl"/>
              </w:rPr>
            </w:pPr>
            <w:r>
              <w:rPr>
                <w:rFonts w:cs="Arial"/>
                <w:color w:val="000000"/>
                <w:sz w:val="16"/>
                <w:szCs w:val="16"/>
              </w:rPr>
              <w:t>0,0</w:t>
            </w:r>
          </w:p>
        </w:tc>
      </w:tr>
    </w:tbl>
    <w:p w14:paraId="7DA3D0F3" w14:textId="77777777" w:rsidR="00E9792F" w:rsidRPr="00843438" w:rsidRDefault="00E9792F" w:rsidP="00E9792F">
      <w:pPr>
        <w:rPr>
          <w:i/>
          <w:sz w:val="18"/>
        </w:rPr>
      </w:pPr>
      <w:r w:rsidRPr="00843438">
        <w:rPr>
          <w:b/>
          <w:i/>
          <w:sz w:val="18"/>
          <w:lang w:val="en-US" w:eastAsia="ja-JP"/>
        </w:rPr>
        <w:t>(*</w:t>
      </w:r>
      <w:r>
        <w:rPr>
          <w:b/>
          <w:i/>
          <w:sz w:val="18"/>
          <w:lang w:val="en-US" w:eastAsia="ja-JP"/>
        </w:rPr>
        <w:t>)</w:t>
      </w:r>
      <w:r w:rsidRPr="00843438">
        <w:rPr>
          <w:i/>
          <w:sz w:val="18"/>
          <w:lang w:val="en-US" w:eastAsia="ja-JP"/>
        </w:rPr>
        <w:t xml:space="preserve"> Although there is unbundled capacity available to offer for the upcoming years, only the capacity for the first year of the next 15 years will be auctioned.</w:t>
      </w:r>
    </w:p>
    <w:p w14:paraId="619C6F72" w14:textId="16E98D2F" w:rsidR="006D6D68" w:rsidRPr="00E740A2" w:rsidRDefault="002507E1" w:rsidP="003D4527">
      <w:pPr>
        <w:pStyle w:val="Descripcin"/>
        <w:jc w:val="center"/>
        <w:rPr>
          <w:sz w:val="22"/>
          <w:lang w:val="en-US"/>
        </w:rPr>
      </w:pPr>
      <w:r w:rsidRPr="003D4527">
        <w:rPr>
          <w:sz w:val="16"/>
          <w:lang w:val="en-US"/>
        </w:rPr>
        <w:t xml:space="preserve">Table </w:t>
      </w:r>
      <w:r w:rsidRPr="002507E1">
        <w:rPr>
          <w:sz w:val="16"/>
        </w:rPr>
        <w:fldChar w:fldCharType="begin"/>
      </w:r>
      <w:r w:rsidRPr="003D4527">
        <w:rPr>
          <w:sz w:val="16"/>
          <w:lang w:val="en-US"/>
        </w:rPr>
        <w:instrText xml:space="preserve"> SEQ Table \* ARABIC </w:instrText>
      </w:r>
      <w:r w:rsidRPr="002507E1">
        <w:rPr>
          <w:sz w:val="16"/>
        </w:rPr>
        <w:fldChar w:fldCharType="separate"/>
      </w:r>
      <w:r w:rsidR="00E859C7">
        <w:rPr>
          <w:noProof/>
          <w:sz w:val="16"/>
          <w:lang w:val="en-US"/>
        </w:rPr>
        <w:t>4</w:t>
      </w:r>
      <w:r w:rsidRPr="002507E1">
        <w:rPr>
          <w:sz w:val="16"/>
        </w:rPr>
        <w:fldChar w:fldCharType="end"/>
      </w:r>
      <w:r w:rsidRPr="003D4527">
        <w:rPr>
          <w:sz w:val="16"/>
          <w:lang w:val="en-US"/>
        </w:rPr>
        <w:t xml:space="preserve">. </w:t>
      </w:r>
      <w:r w:rsidR="00156500" w:rsidRPr="00156500">
        <w:rPr>
          <w:sz w:val="16"/>
          <w:lang w:val="en-US"/>
        </w:rPr>
        <w:t xml:space="preserve"> </w:t>
      </w:r>
      <w:r w:rsidR="00156500">
        <w:rPr>
          <w:sz w:val="16"/>
          <w:lang w:val="en-US"/>
        </w:rPr>
        <w:t>Capacity to be auctioned via PRISMA in the July 2020 yearly auction (Spain to France)</w:t>
      </w:r>
    </w:p>
    <w:p w14:paraId="1ADDF983" w14:textId="794AC24C" w:rsidR="000102D6" w:rsidRDefault="00544A66" w:rsidP="000102D6">
      <w:pPr>
        <w:pStyle w:val="Ttulo3"/>
        <w:rPr>
          <w:lang w:val="en-US"/>
        </w:rPr>
      </w:pPr>
      <w:r w:rsidRPr="00940C7B">
        <w:rPr>
          <w:lang w:val="en-US"/>
        </w:rPr>
        <w:t>VIP I</w:t>
      </w:r>
      <w:r w:rsidR="00993480" w:rsidRPr="00940C7B">
        <w:rPr>
          <w:lang w:val="en-US"/>
        </w:rPr>
        <w:t>bérico</w:t>
      </w:r>
    </w:p>
    <w:p w14:paraId="2925161A" w14:textId="15084DD8" w:rsidR="006D6D68" w:rsidRDefault="008208B1" w:rsidP="003D4527">
      <w:pPr>
        <w:spacing w:line="312" w:lineRule="auto"/>
        <w:rPr>
          <w:lang w:val="en-US"/>
        </w:rPr>
      </w:pPr>
      <w:r w:rsidRPr="000621D4">
        <w:rPr>
          <w:rFonts w:cs="Arial"/>
          <w:noProof/>
          <w:color w:val="000000" w:themeColor="text1"/>
          <w:szCs w:val="22"/>
          <w:lang w:val="en-GB"/>
        </w:rPr>
        <w:t xml:space="preserve">In VIP Ibérico capacity is </w:t>
      </w:r>
      <w:r w:rsidR="00590D0D">
        <w:rPr>
          <w:rFonts w:cs="Arial"/>
          <w:noProof/>
          <w:color w:val="000000" w:themeColor="text1"/>
          <w:szCs w:val="22"/>
          <w:lang w:val="en-GB"/>
        </w:rPr>
        <w:t xml:space="preserve">annually </w:t>
      </w:r>
      <w:r w:rsidRPr="000621D4">
        <w:rPr>
          <w:rFonts w:cs="Arial"/>
          <w:noProof/>
          <w:color w:val="000000" w:themeColor="text1"/>
          <w:szCs w:val="22"/>
          <w:lang w:val="en-GB"/>
        </w:rPr>
        <w:t xml:space="preserve">offered </w:t>
      </w:r>
      <w:r w:rsidR="00590D0D">
        <w:rPr>
          <w:rFonts w:cs="Arial"/>
          <w:noProof/>
          <w:color w:val="000000" w:themeColor="text1"/>
          <w:szCs w:val="22"/>
          <w:lang w:val="en-GB"/>
        </w:rPr>
        <w:t>for a five-year</w:t>
      </w:r>
      <w:r w:rsidR="00590D0D" w:rsidRPr="000621D4">
        <w:rPr>
          <w:rFonts w:cs="Arial"/>
          <w:noProof/>
          <w:color w:val="000000" w:themeColor="text1"/>
          <w:szCs w:val="22"/>
          <w:lang w:val="en-GB"/>
        </w:rPr>
        <w:t xml:space="preserve"> period</w:t>
      </w:r>
      <w:r w:rsidRPr="000621D4">
        <w:rPr>
          <w:rFonts w:cs="Arial"/>
          <w:noProof/>
          <w:color w:val="000000" w:themeColor="text1"/>
          <w:szCs w:val="22"/>
          <w:lang w:val="en-GB"/>
        </w:rPr>
        <w:t xml:space="preserve">. Consequently, in accordance with CAM regulation, capacity </w:t>
      </w:r>
      <w:r w:rsidR="00590D0D" w:rsidRPr="000621D4">
        <w:rPr>
          <w:rFonts w:cs="Arial"/>
          <w:noProof/>
          <w:color w:val="000000" w:themeColor="text1"/>
          <w:szCs w:val="22"/>
          <w:lang w:val="en-GB"/>
        </w:rPr>
        <w:t xml:space="preserve">is set aside </w:t>
      </w:r>
      <w:r w:rsidRPr="000621D4">
        <w:rPr>
          <w:rFonts w:cs="Arial"/>
          <w:noProof/>
          <w:color w:val="000000" w:themeColor="text1"/>
          <w:szCs w:val="22"/>
          <w:lang w:val="en-GB"/>
        </w:rPr>
        <w:t>only for quarterly auctions. In addition, note that long term contracts are only booked in the Spain</w:t>
      </w:r>
      <w:r w:rsidR="006F0226">
        <w:rPr>
          <w:rFonts w:cs="Arial"/>
          <w:noProof/>
          <w:color w:val="000000" w:themeColor="text1"/>
          <w:szCs w:val="22"/>
          <w:lang w:val="en-GB"/>
        </w:rPr>
        <w:t xml:space="preserve"> </w:t>
      </w:r>
      <w:r w:rsidRPr="000621D4">
        <w:rPr>
          <w:rFonts w:cs="Arial"/>
          <w:noProof/>
          <w:color w:val="000000" w:themeColor="text1"/>
          <w:szCs w:val="22"/>
          <w:lang w:val="en-GB"/>
        </w:rPr>
        <w:t xml:space="preserve">to Portugal flow direction on the Spanish side and </w:t>
      </w:r>
      <w:r w:rsidR="00590D0D">
        <w:rPr>
          <w:rFonts w:cs="Arial"/>
          <w:noProof/>
          <w:color w:val="000000" w:themeColor="text1"/>
          <w:szCs w:val="22"/>
          <w:lang w:val="en-GB"/>
        </w:rPr>
        <w:t>the</w:t>
      </w:r>
      <w:r w:rsidR="00590D0D" w:rsidRPr="000621D4">
        <w:rPr>
          <w:rFonts w:cs="Arial"/>
          <w:noProof/>
          <w:color w:val="000000" w:themeColor="text1"/>
          <w:szCs w:val="22"/>
          <w:lang w:val="en-GB"/>
        </w:rPr>
        <w:t xml:space="preserve"> </w:t>
      </w:r>
      <w:r w:rsidRPr="000621D4">
        <w:rPr>
          <w:rFonts w:cs="Arial"/>
          <w:noProof/>
          <w:color w:val="000000" w:themeColor="text1"/>
          <w:szCs w:val="22"/>
          <w:lang w:val="en-GB"/>
        </w:rPr>
        <w:t xml:space="preserve">resulting unbundled capacity is offered on the Portuguese side. Capacity set aside is calculated </w:t>
      </w:r>
      <w:r w:rsidR="00590D0D">
        <w:rPr>
          <w:rFonts w:cs="Arial"/>
          <w:noProof/>
          <w:color w:val="000000" w:themeColor="text1"/>
          <w:szCs w:val="22"/>
          <w:lang w:val="en-GB"/>
        </w:rPr>
        <w:t xml:space="preserve">with </w:t>
      </w:r>
      <w:r w:rsidRPr="000621D4">
        <w:rPr>
          <w:rFonts w:cs="Arial"/>
          <w:noProof/>
          <w:color w:val="000000" w:themeColor="text1"/>
          <w:szCs w:val="22"/>
          <w:lang w:val="en-GB"/>
        </w:rPr>
        <w:t xml:space="preserve">respect to the technical firm common capacity (144 GWh/d </w:t>
      </w:r>
      <w:r w:rsidR="00590D0D">
        <w:rPr>
          <w:rFonts w:cs="Arial"/>
          <w:noProof/>
          <w:color w:val="000000" w:themeColor="text1"/>
          <w:szCs w:val="22"/>
          <w:lang w:val="en-GB"/>
        </w:rPr>
        <w:t xml:space="preserve">in </w:t>
      </w:r>
      <w:r w:rsidRPr="000621D4">
        <w:rPr>
          <w:rFonts w:cs="Arial"/>
          <w:noProof/>
          <w:color w:val="000000" w:themeColor="text1"/>
          <w:szCs w:val="22"/>
          <w:lang w:val="en-GB"/>
        </w:rPr>
        <w:t>the Spain to</w:t>
      </w:r>
      <w:r w:rsidR="006F0226">
        <w:rPr>
          <w:rFonts w:cs="Arial"/>
          <w:noProof/>
          <w:color w:val="000000" w:themeColor="text1"/>
          <w:szCs w:val="22"/>
          <w:lang w:val="en-GB"/>
        </w:rPr>
        <w:t xml:space="preserve"> </w:t>
      </w:r>
      <w:r w:rsidRPr="000621D4">
        <w:rPr>
          <w:rFonts w:cs="Arial"/>
          <w:noProof/>
          <w:color w:val="000000" w:themeColor="text1"/>
          <w:szCs w:val="22"/>
          <w:lang w:val="en-GB"/>
        </w:rPr>
        <w:t>Portugal direction and 80 GWh/d in the Portugal</w:t>
      </w:r>
      <w:r w:rsidR="006F0226">
        <w:rPr>
          <w:rFonts w:cs="Arial"/>
          <w:noProof/>
          <w:color w:val="000000" w:themeColor="text1"/>
          <w:szCs w:val="22"/>
          <w:lang w:val="en-GB"/>
        </w:rPr>
        <w:t xml:space="preserve"> </w:t>
      </w:r>
      <w:r w:rsidRPr="000621D4">
        <w:rPr>
          <w:rFonts w:cs="Arial"/>
          <w:noProof/>
          <w:color w:val="000000" w:themeColor="text1"/>
          <w:szCs w:val="22"/>
          <w:lang w:val="en-GB"/>
        </w:rPr>
        <w:t>to</w:t>
      </w:r>
      <w:r w:rsidR="006F0226">
        <w:rPr>
          <w:rFonts w:cs="Arial"/>
          <w:noProof/>
          <w:color w:val="000000" w:themeColor="text1"/>
          <w:szCs w:val="22"/>
          <w:lang w:val="en-GB"/>
        </w:rPr>
        <w:t xml:space="preserve"> </w:t>
      </w:r>
      <w:r w:rsidRPr="000621D4">
        <w:rPr>
          <w:rFonts w:cs="Arial"/>
          <w:noProof/>
          <w:color w:val="000000" w:themeColor="text1"/>
          <w:szCs w:val="22"/>
          <w:lang w:val="en-GB"/>
        </w:rPr>
        <w:t xml:space="preserve">Spain direction). </w:t>
      </w:r>
      <w:r w:rsidR="006D6D68" w:rsidRPr="000621D4">
        <w:rPr>
          <w:rFonts w:cs="Arial"/>
          <w:noProof/>
          <w:color w:val="000000" w:themeColor="text1"/>
          <w:szCs w:val="22"/>
          <w:lang w:val="en-GB"/>
        </w:rPr>
        <w:t>T</w:t>
      </w:r>
      <w:r w:rsidR="006D6D68" w:rsidRPr="000621D4">
        <w:rPr>
          <w:lang w:val="en-US"/>
        </w:rPr>
        <w:t>he bundled capacity to be auctioned on PRISMA follows the same procedure as in the case</w:t>
      </w:r>
      <w:r w:rsidR="006D6D68">
        <w:rPr>
          <w:lang w:val="en-US"/>
        </w:rPr>
        <w:t xml:space="preserve"> of VIP Pirineos.</w:t>
      </w:r>
    </w:p>
    <w:p w14:paraId="0ECDA17D" w14:textId="42769775" w:rsidR="006D6D68" w:rsidRPr="00993480" w:rsidRDefault="006F0226" w:rsidP="003D4527">
      <w:pPr>
        <w:spacing w:line="312" w:lineRule="auto"/>
        <w:rPr>
          <w:rFonts w:cs="Arial"/>
          <w:noProof/>
          <w:color w:val="000000" w:themeColor="text1"/>
          <w:szCs w:val="22"/>
          <w:lang w:val="en-GB"/>
        </w:rPr>
      </w:pPr>
      <w:r>
        <w:rPr>
          <w:rFonts w:cs="Arial"/>
          <w:noProof/>
          <w:color w:val="000000" w:themeColor="text1"/>
          <w:szCs w:val="22"/>
          <w:lang w:val="en-GB"/>
        </w:rPr>
        <w:t>The following t</w:t>
      </w:r>
      <w:r w:rsidR="006D6D68">
        <w:rPr>
          <w:rFonts w:cs="Arial"/>
          <w:noProof/>
          <w:color w:val="000000" w:themeColor="text1"/>
          <w:szCs w:val="22"/>
          <w:lang w:val="en-GB"/>
        </w:rPr>
        <w:t xml:space="preserve">ables show data available as </w:t>
      </w:r>
      <w:r w:rsidR="006D6D68" w:rsidRPr="00BA2453">
        <w:rPr>
          <w:rFonts w:cs="Arial"/>
          <w:noProof/>
          <w:color w:val="000000" w:themeColor="text1"/>
          <w:szCs w:val="22"/>
          <w:lang w:val="en-GB"/>
        </w:rPr>
        <w:t>from October 2019</w:t>
      </w:r>
      <w:r w:rsidR="00EC4DB5">
        <w:rPr>
          <w:rFonts w:cs="Arial"/>
          <w:noProof/>
          <w:color w:val="000000" w:themeColor="text1"/>
          <w:szCs w:val="22"/>
          <w:lang w:val="en-GB"/>
        </w:rPr>
        <w:t>:</w:t>
      </w:r>
    </w:p>
    <w:tbl>
      <w:tblPr>
        <w:tblW w:w="9797" w:type="dxa"/>
        <w:jc w:val="center"/>
        <w:tblCellMar>
          <w:left w:w="70" w:type="dxa"/>
          <w:right w:w="70" w:type="dxa"/>
        </w:tblCellMar>
        <w:tblLook w:val="04A0" w:firstRow="1" w:lastRow="0" w:firstColumn="1" w:lastColumn="0" w:noHBand="0" w:noVBand="1"/>
      </w:tblPr>
      <w:tblGrid>
        <w:gridCol w:w="1604"/>
        <w:gridCol w:w="918"/>
        <w:gridCol w:w="906"/>
        <w:gridCol w:w="1212"/>
        <w:gridCol w:w="1134"/>
        <w:gridCol w:w="918"/>
        <w:gridCol w:w="906"/>
        <w:gridCol w:w="1065"/>
        <w:gridCol w:w="1134"/>
      </w:tblGrid>
      <w:tr w:rsidR="005A22BA" w:rsidRPr="000621D4" w14:paraId="5A79AB59" w14:textId="77777777" w:rsidTr="003D4527">
        <w:trPr>
          <w:trHeight w:val="635"/>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14:paraId="128AC31B" w14:textId="59B5CE5C" w:rsidR="005A22BA" w:rsidRPr="000621D4" w:rsidRDefault="005A22BA" w:rsidP="000673CD">
            <w:pPr>
              <w:spacing w:before="0" w:after="0" w:line="240" w:lineRule="auto"/>
              <w:jc w:val="center"/>
              <w:rPr>
                <w:rFonts w:cs="Arial"/>
                <w:b/>
                <w:bCs/>
                <w:color w:val="000000"/>
                <w:sz w:val="16"/>
                <w:szCs w:val="16"/>
                <w:lang w:val="es-ES" w:eastAsia="es-ES_tradnl"/>
              </w:rPr>
            </w:pPr>
            <w:r w:rsidRPr="000621D4">
              <w:rPr>
                <w:rFonts w:cs="Arial"/>
                <w:b/>
                <w:bCs/>
                <w:color w:val="000000"/>
                <w:sz w:val="16"/>
                <w:szCs w:val="16"/>
                <w:lang w:val="es-ES" w:eastAsia="es-ES_tradnl"/>
              </w:rPr>
              <w:t xml:space="preserve">VIP </w:t>
            </w:r>
            <w:r w:rsidR="000673CD" w:rsidRPr="000621D4">
              <w:rPr>
                <w:rFonts w:cs="Arial"/>
                <w:b/>
                <w:bCs/>
                <w:color w:val="000000"/>
                <w:sz w:val="16"/>
                <w:szCs w:val="16"/>
                <w:lang w:val="es-ES" w:eastAsia="es-ES_tradnl"/>
              </w:rPr>
              <w:t>Ibérico</w:t>
            </w:r>
            <w:r w:rsidRPr="000621D4">
              <w:rPr>
                <w:rFonts w:cs="Arial"/>
                <w:b/>
                <w:bCs/>
                <w:color w:val="000000"/>
                <w:sz w:val="16"/>
                <w:szCs w:val="16"/>
                <w:lang w:val="es-ES" w:eastAsia="es-ES_tradnl"/>
              </w:rPr>
              <w:br/>
              <w:t>(</w:t>
            </w:r>
            <w:r w:rsidR="000673CD" w:rsidRPr="000621D4">
              <w:rPr>
                <w:rFonts w:cs="Arial"/>
                <w:b/>
                <w:bCs/>
                <w:color w:val="000000"/>
                <w:sz w:val="16"/>
                <w:szCs w:val="16"/>
                <w:lang w:val="es-ES" w:eastAsia="es-ES_tradnl"/>
              </w:rPr>
              <w:t>ES</w:t>
            </w:r>
            <w:r w:rsidRPr="000621D4">
              <w:rPr>
                <w:rFonts w:cs="Arial"/>
                <w:b/>
                <w:bCs/>
                <w:color w:val="000000"/>
                <w:sz w:val="16"/>
                <w:szCs w:val="16"/>
                <w:lang w:val="es-ES" w:eastAsia="es-ES_tradnl"/>
              </w:rPr>
              <w:t>-PT)</w:t>
            </w:r>
            <w:r w:rsidRPr="000621D4">
              <w:rPr>
                <w:rFonts w:cs="Arial"/>
                <w:b/>
                <w:bCs/>
                <w:color w:val="000000"/>
                <w:sz w:val="16"/>
                <w:szCs w:val="16"/>
                <w:lang w:val="es-ES" w:eastAsia="es-ES_tradnl"/>
              </w:rPr>
              <w:br/>
              <w:t>GWh/d</w:t>
            </w:r>
          </w:p>
        </w:tc>
        <w:tc>
          <w:tcPr>
            <w:tcW w:w="0" w:type="auto"/>
            <w:gridSpan w:val="4"/>
            <w:tcBorders>
              <w:top w:val="single" w:sz="8" w:space="0" w:color="auto"/>
              <w:left w:val="single" w:sz="8" w:space="0" w:color="000000"/>
              <w:bottom w:val="single" w:sz="4" w:space="0" w:color="auto"/>
              <w:right w:val="single" w:sz="8" w:space="0" w:color="000000"/>
            </w:tcBorders>
            <w:shd w:val="clear" w:color="000000" w:fill="D9D9D9"/>
            <w:noWrap/>
            <w:vAlign w:val="center"/>
            <w:hideMark/>
          </w:tcPr>
          <w:p w14:paraId="706B9D06" w14:textId="242BEFC0" w:rsidR="005A22BA" w:rsidRPr="000621D4" w:rsidRDefault="005A22BA" w:rsidP="00883E3B">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Portuguese side</w:t>
            </w:r>
          </w:p>
        </w:tc>
        <w:tc>
          <w:tcPr>
            <w:tcW w:w="0" w:type="auto"/>
            <w:gridSpan w:val="4"/>
            <w:tcBorders>
              <w:top w:val="single" w:sz="8" w:space="0" w:color="auto"/>
              <w:left w:val="single" w:sz="8" w:space="0" w:color="000000"/>
              <w:bottom w:val="single" w:sz="4" w:space="0" w:color="auto"/>
              <w:right w:val="single" w:sz="8" w:space="0" w:color="000000"/>
            </w:tcBorders>
            <w:shd w:val="clear" w:color="000000" w:fill="D9D9D9"/>
            <w:noWrap/>
            <w:vAlign w:val="center"/>
            <w:hideMark/>
          </w:tcPr>
          <w:p w14:paraId="6B73F48D" w14:textId="4AB0368A" w:rsidR="005A22BA" w:rsidRPr="000621D4" w:rsidRDefault="005A22BA" w:rsidP="00883E3B">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Spanish side</w:t>
            </w:r>
          </w:p>
        </w:tc>
      </w:tr>
      <w:tr w:rsidR="008208B1" w:rsidRPr="000621D4" w14:paraId="1CE36827" w14:textId="77777777" w:rsidTr="003D4527">
        <w:trPr>
          <w:trHeight w:val="9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C7AAD9" w14:textId="77777777" w:rsidR="008208B1" w:rsidRPr="000621D4" w:rsidRDefault="008208B1" w:rsidP="008208B1">
            <w:pPr>
              <w:spacing w:before="0" w:after="0" w:line="240" w:lineRule="auto"/>
              <w:jc w:val="left"/>
              <w:rPr>
                <w:rFonts w:cs="Arial"/>
                <w:b/>
                <w:bCs/>
                <w:color w:val="000000"/>
                <w:sz w:val="16"/>
                <w:szCs w:val="16"/>
                <w:lang w:val="es-ES_tradnl" w:eastAsia="es-ES_tradnl"/>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57F1ED0B" w14:textId="498DFF59"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Booked Capacity (LT before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71FB142" w14:textId="2C0FC0D3"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Booked Capacity (LT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54CE6341" w14:textId="09D9921E"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Bundled Capacity (to be offered on PRISMA) </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CC289E3" w14:textId="4904F94E"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Unbundled Capacity (to be offered on PRISMA)</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1E3071B4" w14:textId="77777777"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Booked Capacity (LT before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4386CE9F" w14:textId="77777777"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Booked Capacity (LT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26A7F5E5" w14:textId="358FD755"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Bundled Capacity (to be offered on PRISMA) </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1491151B" w14:textId="65FB8D30"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Unbundled Capacity (to be offered on PRISMA)</w:t>
            </w:r>
          </w:p>
        </w:tc>
      </w:tr>
      <w:tr w:rsidR="008208B1" w:rsidRPr="000621D4" w14:paraId="460E5976" w14:textId="77777777" w:rsidTr="003D4527">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5B1F749C" w14:textId="77777777" w:rsidR="008208B1" w:rsidRPr="000621D4" w:rsidRDefault="008208B1" w:rsidP="008208B1">
            <w:pPr>
              <w:spacing w:before="0" w:after="0" w:line="240" w:lineRule="auto"/>
              <w:jc w:val="center"/>
              <w:rPr>
                <w:rFonts w:ascii="Calibri" w:hAnsi="Calibri" w:cs="Calibri"/>
                <w:b/>
                <w:bCs/>
                <w:color w:val="FFFFFF"/>
                <w:sz w:val="16"/>
                <w:szCs w:val="16"/>
                <w:lang w:val="en-US" w:eastAsia="es-ES_tradnl"/>
              </w:rPr>
            </w:pPr>
            <w:r w:rsidRPr="000621D4">
              <w:rPr>
                <w:rFonts w:ascii="Calibri" w:hAnsi="Calibri" w:cs="Calibri"/>
                <w:b/>
                <w:bCs/>
                <w:color w:val="FFFFFF"/>
                <w:sz w:val="16"/>
                <w:szCs w:val="16"/>
                <w:lang w:val="en-US" w:eastAsia="es-ES_tradnl"/>
              </w:rPr>
              <w:t>Oct 2020 to Sept 2021</w:t>
            </w:r>
          </w:p>
        </w:tc>
        <w:tc>
          <w:tcPr>
            <w:tcW w:w="0" w:type="auto"/>
            <w:tcBorders>
              <w:top w:val="nil"/>
              <w:left w:val="nil"/>
              <w:bottom w:val="single" w:sz="8" w:space="0" w:color="auto"/>
              <w:right w:val="single" w:sz="8" w:space="0" w:color="auto"/>
            </w:tcBorders>
            <w:shd w:val="clear" w:color="auto" w:fill="auto"/>
            <w:noWrap/>
            <w:vAlign w:val="center"/>
          </w:tcPr>
          <w:p w14:paraId="60C979B5" w14:textId="5EDCFE46"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2C4F0A51" w14:textId="5F13B492"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432125C3" w14:textId="12032985"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36,8 (***)</w:t>
            </w:r>
          </w:p>
        </w:tc>
        <w:tc>
          <w:tcPr>
            <w:tcW w:w="0" w:type="auto"/>
            <w:tcBorders>
              <w:top w:val="nil"/>
              <w:left w:val="nil"/>
              <w:bottom w:val="single" w:sz="8" w:space="0" w:color="auto"/>
              <w:right w:val="single" w:sz="8" w:space="0" w:color="auto"/>
            </w:tcBorders>
            <w:shd w:val="clear" w:color="auto" w:fill="auto"/>
            <w:noWrap/>
            <w:vAlign w:val="center"/>
          </w:tcPr>
          <w:p w14:paraId="69B28FAA" w14:textId="1E5C9D0C"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2 (***)</w:t>
            </w:r>
          </w:p>
        </w:tc>
        <w:tc>
          <w:tcPr>
            <w:tcW w:w="0" w:type="auto"/>
            <w:tcBorders>
              <w:top w:val="nil"/>
              <w:left w:val="nil"/>
              <w:bottom w:val="single" w:sz="8" w:space="0" w:color="auto"/>
              <w:right w:val="single" w:sz="8" w:space="0" w:color="auto"/>
            </w:tcBorders>
            <w:shd w:val="clear" w:color="auto" w:fill="auto"/>
            <w:noWrap/>
            <w:vAlign w:val="center"/>
            <w:hideMark/>
          </w:tcPr>
          <w:p w14:paraId="023E6732" w14:textId="15310909"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93</w:t>
            </w:r>
          </w:p>
        </w:tc>
        <w:tc>
          <w:tcPr>
            <w:tcW w:w="0" w:type="auto"/>
            <w:tcBorders>
              <w:top w:val="nil"/>
              <w:left w:val="nil"/>
              <w:bottom w:val="single" w:sz="8" w:space="0" w:color="auto"/>
              <w:right w:val="single" w:sz="8" w:space="0" w:color="auto"/>
            </w:tcBorders>
            <w:shd w:val="clear" w:color="auto" w:fill="auto"/>
            <w:noWrap/>
            <w:vAlign w:val="center"/>
            <w:hideMark/>
          </w:tcPr>
          <w:p w14:paraId="2F099500" w14:textId="150B28B9"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F5383CB" w14:textId="34F369B3"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36.6</w:t>
            </w:r>
          </w:p>
        </w:tc>
        <w:tc>
          <w:tcPr>
            <w:tcW w:w="0" w:type="auto"/>
            <w:tcBorders>
              <w:top w:val="nil"/>
              <w:left w:val="nil"/>
              <w:bottom w:val="single" w:sz="8" w:space="0" w:color="auto"/>
              <w:right w:val="single" w:sz="8" w:space="0" w:color="auto"/>
            </w:tcBorders>
            <w:shd w:val="clear" w:color="auto" w:fill="auto"/>
            <w:noWrap/>
            <w:vAlign w:val="center"/>
            <w:hideMark/>
          </w:tcPr>
          <w:p w14:paraId="41F3EE6B" w14:textId="140F4764"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r>
      <w:tr w:rsidR="008208B1" w:rsidRPr="000621D4" w14:paraId="439A47F2" w14:textId="77777777" w:rsidTr="003D4527">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2F8ACE7F" w14:textId="77777777" w:rsidR="008208B1" w:rsidRPr="000621D4" w:rsidRDefault="008208B1" w:rsidP="008208B1">
            <w:pPr>
              <w:spacing w:before="0" w:after="0" w:line="240" w:lineRule="auto"/>
              <w:jc w:val="center"/>
              <w:rPr>
                <w:rFonts w:ascii="Calibri" w:hAnsi="Calibri" w:cs="Calibri"/>
                <w:b/>
                <w:bCs/>
                <w:color w:val="FFFFFF"/>
                <w:sz w:val="16"/>
                <w:szCs w:val="16"/>
                <w:lang w:val="en-US" w:eastAsia="es-ES_tradnl"/>
              </w:rPr>
            </w:pPr>
            <w:r w:rsidRPr="000621D4">
              <w:rPr>
                <w:rFonts w:ascii="Calibri" w:hAnsi="Calibri" w:cs="Calibri"/>
                <w:b/>
                <w:bCs/>
                <w:color w:val="FFFFFF"/>
                <w:sz w:val="16"/>
                <w:szCs w:val="16"/>
                <w:lang w:val="en-US" w:eastAsia="es-ES_tradnl"/>
              </w:rPr>
              <w:t>Oct 2021 to Sept 2022</w:t>
            </w:r>
          </w:p>
        </w:tc>
        <w:tc>
          <w:tcPr>
            <w:tcW w:w="0" w:type="auto"/>
            <w:tcBorders>
              <w:top w:val="nil"/>
              <w:left w:val="nil"/>
              <w:bottom w:val="single" w:sz="8" w:space="0" w:color="auto"/>
              <w:right w:val="single" w:sz="8" w:space="0" w:color="auto"/>
            </w:tcBorders>
            <w:shd w:val="clear" w:color="auto" w:fill="auto"/>
            <w:noWrap/>
            <w:vAlign w:val="center"/>
          </w:tcPr>
          <w:p w14:paraId="7B20B4AD" w14:textId="6201A502"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30C0492F" w14:textId="74241AC9"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17821A4E" w14:textId="282481CA"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127.6 8 (***)</w:t>
            </w:r>
          </w:p>
        </w:tc>
        <w:tc>
          <w:tcPr>
            <w:tcW w:w="0" w:type="auto"/>
            <w:tcBorders>
              <w:top w:val="nil"/>
              <w:left w:val="nil"/>
              <w:bottom w:val="single" w:sz="8" w:space="0" w:color="auto"/>
              <w:right w:val="single" w:sz="8" w:space="0" w:color="auto"/>
            </w:tcBorders>
            <w:shd w:val="clear" w:color="auto" w:fill="auto"/>
            <w:noWrap/>
            <w:vAlign w:val="center"/>
          </w:tcPr>
          <w:p w14:paraId="7537E758" w14:textId="5A9D38D9" w:rsidR="008208B1" w:rsidRPr="000621D4" w:rsidRDefault="004E2197" w:rsidP="008208B1">
            <w:pPr>
              <w:spacing w:before="0" w:after="0" w:line="240" w:lineRule="auto"/>
              <w:jc w:val="center"/>
              <w:rPr>
                <w:rFonts w:cs="Arial"/>
                <w:color w:val="000000"/>
                <w:sz w:val="16"/>
                <w:szCs w:val="16"/>
                <w:lang w:val="en-US" w:eastAsia="es-ES_tradnl"/>
              </w:rPr>
            </w:pPr>
            <w:r>
              <w:rPr>
                <w:rFonts w:cs="Arial"/>
                <w:color w:val="000000"/>
                <w:sz w:val="16"/>
                <w:szCs w:val="16"/>
                <w:lang w:val="en-US" w:eastAsia="es-ES_tradnl"/>
              </w:rPr>
              <w:t>0</w:t>
            </w:r>
            <w:r w:rsidRPr="000621D4">
              <w:rPr>
                <w:rFonts w:cs="Arial"/>
                <w:color w:val="000000"/>
                <w:sz w:val="16"/>
                <w:szCs w:val="16"/>
                <w:lang w:val="en-US" w:eastAsia="es-ES_tradnl"/>
              </w:rPr>
              <w:t xml:space="preserve"> </w:t>
            </w:r>
            <w:r w:rsidR="008208B1"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7CB2FFF8" w14:textId="0F537162"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2</w:t>
            </w:r>
          </w:p>
        </w:tc>
        <w:tc>
          <w:tcPr>
            <w:tcW w:w="0" w:type="auto"/>
            <w:tcBorders>
              <w:top w:val="nil"/>
              <w:left w:val="nil"/>
              <w:bottom w:val="single" w:sz="8" w:space="0" w:color="auto"/>
              <w:right w:val="single" w:sz="8" w:space="0" w:color="auto"/>
            </w:tcBorders>
            <w:shd w:val="clear" w:color="auto" w:fill="auto"/>
            <w:noWrap/>
            <w:vAlign w:val="center"/>
            <w:hideMark/>
          </w:tcPr>
          <w:p w14:paraId="7A12C799" w14:textId="789C8A4D"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AF849CC" w14:textId="792AB670"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127.6</w:t>
            </w:r>
          </w:p>
        </w:tc>
        <w:tc>
          <w:tcPr>
            <w:tcW w:w="0" w:type="auto"/>
            <w:tcBorders>
              <w:top w:val="nil"/>
              <w:left w:val="nil"/>
              <w:bottom w:val="single" w:sz="8" w:space="0" w:color="auto"/>
              <w:right w:val="single" w:sz="8" w:space="0" w:color="auto"/>
            </w:tcBorders>
            <w:shd w:val="clear" w:color="auto" w:fill="auto"/>
            <w:noWrap/>
            <w:vAlign w:val="center"/>
            <w:hideMark/>
          </w:tcPr>
          <w:p w14:paraId="22341870" w14:textId="684BC096"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r>
      <w:tr w:rsidR="008208B1" w:rsidRPr="000621D4" w14:paraId="19E66DCA" w14:textId="77777777" w:rsidTr="003D4527">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10C6DECA" w14:textId="77777777" w:rsidR="008208B1" w:rsidRPr="000621D4" w:rsidRDefault="008208B1" w:rsidP="008208B1">
            <w:pPr>
              <w:spacing w:before="0" w:after="0" w:line="240" w:lineRule="auto"/>
              <w:jc w:val="center"/>
              <w:rPr>
                <w:rFonts w:ascii="Calibri" w:hAnsi="Calibri" w:cs="Calibri"/>
                <w:b/>
                <w:bCs/>
                <w:color w:val="FFFFFF"/>
                <w:sz w:val="16"/>
                <w:szCs w:val="16"/>
                <w:lang w:val="en-US" w:eastAsia="es-ES_tradnl"/>
              </w:rPr>
            </w:pPr>
            <w:r w:rsidRPr="000621D4">
              <w:rPr>
                <w:rFonts w:ascii="Calibri" w:hAnsi="Calibri" w:cs="Calibri"/>
                <w:b/>
                <w:bCs/>
                <w:color w:val="FFFFFF"/>
                <w:sz w:val="16"/>
                <w:szCs w:val="16"/>
                <w:lang w:val="en-US" w:eastAsia="es-ES_tradnl"/>
              </w:rPr>
              <w:t>Oct 2022 to Sept 2023</w:t>
            </w:r>
          </w:p>
        </w:tc>
        <w:tc>
          <w:tcPr>
            <w:tcW w:w="0" w:type="auto"/>
            <w:tcBorders>
              <w:top w:val="nil"/>
              <w:left w:val="nil"/>
              <w:bottom w:val="single" w:sz="8" w:space="0" w:color="auto"/>
              <w:right w:val="single" w:sz="8" w:space="0" w:color="auto"/>
            </w:tcBorders>
            <w:shd w:val="clear" w:color="auto" w:fill="auto"/>
            <w:noWrap/>
            <w:vAlign w:val="center"/>
          </w:tcPr>
          <w:p w14:paraId="385DB6FC" w14:textId="13A25206"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7E41C5F3" w14:textId="553179D5"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796E1742" w14:textId="661BCF6C"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129.6</w:t>
            </w:r>
          </w:p>
        </w:tc>
        <w:tc>
          <w:tcPr>
            <w:tcW w:w="0" w:type="auto"/>
            <w:tcBorders>
              <w:top w:val="nil"/>
              <w:left w:val="nil"/>
              <w:bottom w:val="single" w:sz="8" w:space="0" w:color="auto"/>
              <w:right w:val="single" w:sz="8" w:space="0" w:color="auto"/>
            </w:tcBorders>
            <w:shd w:val="clear" w:color="auto" w:fill="auto"/>
            <w:noWrap/>
            <w:vAlign w:val="center"/>
          </w:tcPr>
          <w:p w14:paraId="0F7F48FF" w14:textId="53F1436A"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1202898" w14:textId="4AEAB5A3"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9C20D68" w14:textId="274E98C4"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31493AFF" w14:textId="76A5F2A7"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129.6</w:t>
            </w:r>
          </w:p>
        </w:tc>
        <w:tc>
          <w:tcPr>
            <w:tcW w:w="0" w:type="auto"/>
            <w:tcBorders>
              <w:top w:val="nil"/>
              <w:left w:val="nil"/>
              <w:bottom w:val="single" w:sz="8" w:space="0" w:color="auto"/>
              <w:right w:val="single" w:sz="8" w:space="0" w:color="auto"/>
            </w:tcBorders>
            <w:shd w:val="clear" w:color="auto" w:fill="auto"/>
            <w:noWrap/>
            <w:vAlign w:val="center"/>
            <w:hideMark/>
          </w:tcPr>
          <w:p w14:paraId="61692612" w14:textId="5C91CDF8"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r>
      <w:tr w:rsidR="008208B1" w:rsidRPr="000621D4" w14:paraId="25D4AADD" w14:textId="77777777" w:rsidTr="003D4527">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380E8B6A" w14:textId="77777777" w:rsidR="008208B1" w:rsidRPr="000621D4" w:rsidRDefault="008208B1" w:rsidP="008208B1">
            <w:pPr>
              <w:spacing w:before="0" w:after="0" w:line="240" w:lineRule="auto"/>
              <w:jc w:val="center"/>
              <w:rPr>
                <w:rFonts w:ascii="Calibri" w:hAnsi="Calibri" w:cs="Calibri"/>
                <w:b/>
                <w:bCs/>
                <w:color w:val="FFFFFF"/>
                <w:sz w:val="16"/>
                <w:szCs w:val="16"/>
                <w:lang w:val="en-US" w:eastAsia="es-ES_tradnl"/>
              </w:rPr>
            </w:pPr>
            <w:r w:rsidRPr="000621D4">
              <w:rPr>
                <w:rFonts w:ascii="Calibri" w:hAnsi="Calibri" w:cs="Calibri"/>
                <w:b/>
                <w:bCs/>
                <w:color w:val="FFFFFF"/>
                <w:sz w:val="16"/>
                <w:szCs w:val="16"/>
                <w:lang w:val="en-US" w:eastAsia="es-ES_tradnl"/>
              </w:rPr>
              <w:t>Oct 2023 to Sept 2024</w:t>
            </w:r>
          </w:p>
        </w:tc>
        <w:tc>
          <w:tcPr>
            <w:tcW w:w="0" w:type="auto"/>
            <w:tcBorders>
              <w:top w:val="nil"/>
              <w:left w:val="nil"/>
              <w:bottom w:val="single" w:sz="8" w:space="0" w:color="auto"/>
              <w:right w:val="single" w:sz="8" w:space="0" w:color="auto"/>
            </w:tcBorders>
            <w:shd w:val="clear" w:color="auto" w:fill="auto"/>
            <w:noWrap/>
            <w:vAlign w:val="center"/>
          </w:tcPr>
          <w:p w14:paraId="210741B8" w14:textId="69B429E6"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2E70EC03" w14:textId="3FB84814"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50608D93" w14:textId="1BB1F3D8"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129.6</w:t>
            </w:r>
          </w:p>
        </w:tc>
        <w:tc>
          <w:tcPr>
            <w:tcW w:w="0" w:type="auto"/>
            <w:tcBorders>
              <w:top w:val="nil"/>
              <w:left w:val="nil"/>
              <w:bottom w:val="single" w:sz="8" w:space="0" w:color="auto"/>
              <w:right w:val="single" w:sz="8" w:space="0" w:color="auto"/>
            </w:tcBorders>
            <w:shd w:val="clear" w:color="auto" w:fill="auto"/>
            <w:noWrap/>
            <w:vAlign w:val="center"/>
          </w:tcPr>
          <w:p w14:paraId="232413BA" w14:textId="14E47160"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3A157973" w14:textId="2E8F6F46"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4E0F110" w14:textId="2BF0830E"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4D737C36" w14:textId="575AD632"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129.6</w:t>
            </w:r>
          </w:p>
        </w:tc>
        <w:tc>
          <w:tcPr>
            <w:tcW w:w="0" w:type="auto"/>
            <w:tcBorders>
              <w:top w:val="nil"/>
              <w:left w:val="nil"/>
              <w:bottom w:val="single" w:sz="8" w:space="0" w:color="auto"/>
              <w:right w:val="single" w:sz="8" w:space="0" w:color="auto"/>
            </w:tcBorders>
            <w:shd w:val="clear" w:color="auto" w:fill="auto"/>
            <w:noWrap/>
            <w:vAlign w:val="center"/>
            <w:hideMark/>
          </w:tcPr>
          <w:p w14:paraId="62710B8A" w14:textId="29E8DC6B"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r>
      <w:tr w:rsidR="008208B1" w:rsidRPr="000621D4" w14:paraId="23FCEE59" w14:textId="77777777" w:rsidTr="003D4527">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6AABB22E" w14:textId="77777777" w:rsidR="008208B1" w:rsidRPr="000621D4" w:rsidRDefault="008208B1" w:rsidP="008208B1">
            <w:pPr>
              <w:spacing w:before="0" w:after="0" w:line="240" w:lineRule="auto"/>
              <w:jc w:val="center"/>
              <w:rPr>
                <w:rFonts w:ascii="Calibri" w:hAnsi="Calibri" w:cs="Calibri"/>
                <w:b/>
                <w:bCs/>
                <w:color w:val="FFFFFF"/>
                <w:sz w:val="16"/>
                <w:szCs w:val="16"/>
                <w:lang w:val="en-US" w:eastAsia="es-ES_tradnl"/>
              </w:rPr>
            </w:pPr>
            <w:r w:rsidRPr="000621D4">
              <w:rPr>
                <w:rFonts w:ascii="Calibri" w:hAnsi="Calibri" w:cs="Calibri"/>
                <w:b/>
                <w:bCs/>
                <w:color w:val="FFFFFF"/>
                <w:sz w:val="16"/>
                <w:szCs w:val="16"/>
                <w:lang w:val="en-US" w:eastAsia="es-ES_tradnl"/>
              </w:rPr>
              <w:t>Oct 2024 to Sept 2025</w:t>
            </w:r>
          </w:p>
        </w:tc>
        <w:tc>
          <w:tcPr>
            <w:tcW w:w="0" w:type="auto"/>
            <w:tcBorders>
              <w:top w:val="nil"/>
              <w:left w:val="nil"/>
              <w:bottom w:val="single" w:sz="8" w:space="0" w:color="auto"/>
              <w:right w:val="single" w:sz="8" w:space="0" w:color="auto"/>
            </w:tcBorders>
            <w:shd w:val="clear" w:color="auto" w:fill="auto"/>
            <w:noWrap/>
            <w:vAlign w:val="center"/>
          </w:tcPr>
          <w:p w14:paraId="57DF7D01" w14:textId="1ADE236E"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33CB7797" w14:textId="5701E53D"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63D0F5B5" w14:textId="7EC42A6D"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129.6</w:t>
            </w:r>
          </w:p>
        </w:tc>
        <w:tc>
          <w:tcPr>
            <w:tcW w:w="0" w:type="auto"/>
            <w:tcBorders>
              <w:top w:val="nil"/>
              <w:left w:val="nil"/>
              <w:bottom w:val="single" w:sz="8" w:space="0" w:color="auto"/>
              <w:right w:val="single" w:sz="8" w:space="0" w:color="auto"/>
            </w:tcBorders>
            <w:shd w:val="clear" w:color="auto" w:fill="auto"/>
            <w:noWrap/>
            <w:vAlign w:val="center"/>
          </w:tcPr>
          <w:p w14:paraId="626F108C" w14:textId="469C8C90"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59DAA4FF" w14:textId="30E696A8"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33F8B82F" w14:textId="284A7515"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18D88BE9" w14:textId="52D81ACC"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129.6</w:t>
            </w:r>
          </w:p>
        </w:tc>
        <w:tc>
          <w:tcPr>
            <w:tcW w:w="0" w:type="auto"/>
            <w:tcBorders>
              <w:top w:val="nil"/>
              <w:left w:val="nil"/>
              <w:bottom w:val="single" w:sz="8" w:space="0" w:color="auto"/>
              <w:right w:val="single" w:sz="8" w:space="0" w:color="auto"/>
            </w:tcBorders>
            <w:shd w:val="clear" w:color="auto" w:fill="auto"/>
            <w:noWrap/>
            <w:vAlign w:val="center"/>
            <w:hideMark/>
          </w:tcPr>
          <w:p w14:paraId="467C274F" w14:textId="742CED4F" w:rsidR="008208B1" w:rsidRPr="000621D4" w:rsidRDefault="008208B1" w:rsidP="008208B1">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0(*)</w:t>
            </w:r>
          </w:p>
        </w:tc>
      </w:tr>
    </w:tbl>
    <w:p w14:paraId="076DE87F" w14:textId="22412115" w:rsidR="003D4527" w:rsidRPr="000621D4" w:rsidRDefault="003D4527" w:rsidP="003D4527">
      <w:pPr>
        <w:rPr>
          <w:i/>
          <w:sz w:val="18"/>
          <w:lang w:val="en-US" w:eastAsia="ja-JP"/>
        </w:rPr>
      </w:pPr>
      <w:r w:rsidRPr="000621D4">
        <w:rPr>
          <w:b/>
          <w:i/>
          <w:sz w:val="18"/>
          <w:lang w:val="en-US" w:eastAsia="ja-JP"/>
        </w:rPr>
        <w:t>(*)</w:t>
      </w:r>
      <w:r w:rsidRPr="000621D4">
        <w:rPr>
          <w:i/>
          <w:sz w:val="18"/>
          <w:lang w:val="en-US" w:eastAsia="ja-JP"/>
        </w:rPr>
        <w:t xml:space="preserve"> There is no unbundled capacity offer on the Spanish side of VIP </w:t>
      </w:r>
      <w:r w:rsidR="00E740A2" w:rsidRPr="000621D4">
        <w:rPr>
          <w:i/>
          <w:sz w:val="18"/>
          <w:lang w:val="en-US" w:eastAsia="ja-JP"/>
        </w:rPr>
        <w:t>Ibérico</w:t>
      </w:r>
      <w:r w:rsidRPr="000621D4">
        <w:rPr>
          <w:i/>
          <w:sz w:val="18"/>
          <w:lang w:val="en-US" w:eastAsia="ja-JP"/>
        </w:rPr>
        <w:t>.</w:t>
      </w:r>
    </w:p>
    <w:p w14:paraId="3709005E" w14:textId="77777777" w:rsidR="008208B1" w:rsidRPr="000621D4" w:rsidRDefault="008208B1" w:rsidP="008208B1">
      <w:pPr>
        <w:spacing w:line="240" w:lineRule="auto"/>
        <w:rPr>
          <w:i/>
          <w:sz w:val="18"/>
          <w:lang w:val="en-US" w:eastAsia="ja-JP"/>
        </w:rPr>
      </w:pPr>
      <w:r w:rsidRPr="000621D4">
        <w:rPr>
          <w:b/>
          <w:i/>
          <w:sz w:val="18"/>
          <w:lang w:val="en-US" w:eastAsia="ja-JP"/>
        </w:rPr>
        <w:t>(**)</w:t>
      </w:r>
      <w:r w:rsidRPr="000621D4">
        <w:rPr>
          <w:i/>
          <w:sz w:val="18"/>
          <w:lang w:val="en-US" w:eastAsia="ja-JP"/>
        </w:rPr>
        <w:t xml:space="preserve"> There is no unbundled capacity offer on the Portuguese side of VIP Ibérico</w:t>
      </w:r>
    </w:p>
    <w:p w14:paraId="379EEEFB" w14:textId="5CD16227" w:rsidR="008208B1" w:rsidRPr="008208B1" w:rsidRDefault="008208B1" w:rsidP="008208B1">
      <w:pPr>
        <w:spacing w:line="240" w:lineRule="auto"/>
        <w:rPr>
          <w:i/>
          <w:sz w:val="18"/>
          <w:lang w:val="en-US" w:eastAsia="ja-JP"/>
        </w:rPr>
      </w:pPr>
      <w:r w:rsidRPr="000621D4">
        <w:rPr>
          <w:i/>
          <w:sz w:val="18"/>
          <w:lang w:val="en-US" w:eastAsia="ja-JP"/>
        </w:rPr>
        <w:t xml:space="preserve">(***) Due to the ending of some LT contracts (before CAM) </w:t>
      </w:r>
      <w:r w:rsidR="00EC4DB5">
        <w:rPr>
          <w:i/>
          <w:sz w:val="18"/>
          <w:lang w:val="en-US" w:eastAsia="ja-JP"/>
        </w:rPr>
        <w:t>during</w:t>
      </w:r>
      <w:r w:rsidR="00EC4DB5" w:rsidRPr="000621D4">
        <w:rPr>
          <w:i/>
          <w:sz w:val="18"/>
          <w:lang w:val="en-US" w:eastAsia="ja-JP"/>
        </w:rPr>
        <w:t xml:space="preserve"> </w:t>
      </w:r>
      <w:r w:rsidRPr="000621D4">
        <w:rPr>
          <w:i/>
          <w:sz w:val="18"/>
          <w:lang w:val="en-US" w:eastAsia="ja-JP"/>
        </w:rPr>
        <w:t>the year, unbundled capacity will gradually be offered on PRISMA as bundled capacity</w:t>
      </w:r>
      <w:r w:rsidR="00D22A6F">
        <w:rPr>
          <w:i/>
          <w:sz w:val="18"/>
          <w:lang w:val="en-US" w:eastAsia="ja-JP"/>
        </w:rPr>
        <w:t>,</w:t>
      </w:r>
      <w:r w:rsidRPr="000621D4">
        <w:rPr>
          <w:i/>
          <w:sz w:val="18"/>
          <w:lang w:val="en-US" w:eastAsia="ja-JP"/>
        </w:rPr>
        <w:t xml:space="preserve"> as LT contracts reach an end on the Spanish side. Hence, the available capacity to be booked through gas years 2020</w:t>
      </w:r>
      <w:r w:rsidR="006F0226">
        <w:rPr>
          <w:i/>
          <w:sz w:val="18"/>
          <w:lang w:val="en-US" w:eastAsia="ja-JP"/>
        </w:rPr>
        <w:t>-</w:t>
      </w:r>
      <w:r w:rsidRPr="000621D4">
        <w:rPr>
          <w:i/>
          <w:sz w:val="18"/>
          <w:lang w:val="en-US" w:eastAsia="ja-JP"/>
        </w:rPr>
        <w:t>2021 and 2021</w:t>
      </w:r>
      <w:r w:rsidR="006F0226">
        <w:rPr>
          <w:i/>
          <w:sz w:val="18"/>
          <w:lang w:val="en-US" w:eastAsia="ja-JP"/>
        </w:rPr>
        <w:t>-</w:t>
      </w:r>
      <w:r w:rsidRPr="000621D4">
        <w:rPr>
          <w:i/>
          <w:sz w:val="18"/>
          <w:lang w:val="en-US" w:eastAsia="ja-JP"/>
        </w:rPr>
        <w:t>2022 is as follows, on table 6 and 7.</w:t>
      </w:r>
      <w:r>
        <w:rPr>
          <w:i/>
          <w:sz w:val="18"/>
          <w:lang w:val="en-US" w:eastAsia="ja-JP"/>
        </w:rPr>
        <w:t xml:space="preserve"> </w:t>
      </w:r>
    </w:p>
    <w:p w14:paraId="494CDC69" w14:textId="4FEDF7A2" w:rsidR="00300957" w:rsidRPr="00615179" w:rsidRDefault="003D75E4" w:rsidP="00130C2F">
      <w:pPr>
        <w:pStyle w:val="Descripcin"/>
        <w:jc w:val="center"/>
        <w:rPr>
          <w:i/>
          <w:sz w:val="18"/>
          <w:highlight w:val="yellow"/>
          <w:lang w:val="en-US"/>
        </w:rPr>
      </w:pPr>
      <w:r w:rsidRPr="003D4527">
        <w:rPr>
          <w:sz w:val="16"/>
          <w:lang w:val="en-US"/>
        </w:rPr>
        <w:t xml:space="preserve">Table </w:t>
      </w:r>
      <w:r w:rsidRPr="003D75E4">
        <w:rPr>
          <w:sz w:val="16"/>
        </w:rPr>
        <w:fldChar w:fldCharType="begin"/>
      </w:r>
      <w:r w:rsidRPr="003D4527">
        <w:rPr>
          <w:sz w:val="16"/>
          <w:lang w:val="en-US"/>
        </w:rPr>
        <w:instrText xml:space="preserve"> SEQ Table \* ARABIC </w:instrText>
      </w:r>
      <w:r w:rsidRPr="003D75E4">
        <w:rPr>
          <w:sz w:val="16"/>
        </w:rPr>
        <w:fldChar w:fldCharType="separate"/>
      </w:r>
      <w:r w:rsidR="00E859C7">
        <w:rPr>
          <w:noProof/>
          <w:sz w:val="16"/>
          <w:lang w:val="en-US"/>
        </w:rPr>
        <w:t>5</w:t>
      </w:r>
      <w:r w:rsidRPr="003D75E4">
        <w:rPr>
          <w:sz w:val="16"/>
        </w:rPr>
        <w:fldChar w:fldCharType="end"/>
      </w:r>
      <w:r w:rsidR="00235433" w:rsidRPr="003D4527">
        <w:rPr>
          <w:sz w:val="16"/>
          <w:lang w:val="en-US"/>
        </w:rPr>
        <w:t xml:space="preserve">. </w:t>
      </w:r>
      <w:r w:rsidR="008D5A4E">
        <w:rPr>
          <w:sz w:val="16"/>
          <w:lang w:val="en-US"/>
        </w:rPr>
        <w:t>Capacity to be auctioned via PRISMA in the July 2020 yearly auction (Spain to Portugal)</w:t>
      </w:r>
      <w:r w:rsidR="00300957" w:rsidRPr="00615179">
        <w:rPr>
          <w:i/>
          <w:sz w:val="18"/>
          <w:highlight w:val="yellow"/>
          <w:lang w:val="en-US"/>
        </w:rPr>
        <w:t xml:space="preserve"> </w:t>
      </w:r>
    </w:p>
    <w:p w14:paraId="15FDB306" w14:textId="6CE07C92" w:rsidR="00372BE8" w:rsidRPr="000621D4" w:rsidRDefault="00300957" w:rsidP="00B84AE2">
      <w:pPr>
        <w:pStyle w:val="Descripcin"/>
        <w:jc w:val="center"/>
        <w:rPr>
          <w:sz w:val="16"/>
          <w:lang w:val="en-US"/>
        </w:rPr>
      </w:pPr>
      <w:r w:rsidRPr="000621D4">
        <w:rPr>
          <w:sz w:val="16"/>
          <w:lang w:val="en-US"/>
        </w:rPr>
        <w:t xml:space="preserve">Table </w:t>
      </w:r>
      <w:r w:rsidRPr="000621D4">
        <w:rPr>
          <w:sz w:val="16"/>
          <w:lang w:val="en-US"/>
        </w:rPr>
        <w:fldChar w:fldCharType="begin"/>
      </w:r>
      <w:r w:rsidRPr="000621D4">
        <w:rPr>
          <w:sz w:val="16"/>
          <w:lang w:val="en-US"/>
        </w:rPr>
        <w:instrText xml:space="preserve"> SEQ Table \* ARABIC </w:instrText>
      </w:r>
      <w:r w:rsidRPr="000621D4">
        <w:rPr>
          <w:sz w:val="16"/>
          <w:lang w:val="en-US"/>
        </w:rPr>
        <w:fldChar w:fldCharType="separate"/>
      </w:r>
      <w:r w:rsidR="00E859C7">
        <w:rPr>
          <w:noProof/>
          <w:sz w:val="16"/>
          <w:lang w:val="en-US"/>
        </w:rPr>
        <w:t>6</w:t>
      </w:r>
      <w:r w:rsidRPr="000621D4">
        <w:rPr>
          <w:sz w:val="16"/>
          <w:lang w:val="en-US"/>
        </w:rPr>
        <w:fldChar w:fldCharType="end"/>
      </w:r>
      <w:r w:rsidRPr="000621D4">
        <w:rPr>
          <w:sz w:val="16"/>
          <w:lang w:val="en-US"/>
        </w:rPr>
        <w:t>. Detail of the capacity to be auctioned throughout gas year 2021</w:t>
      </w:r>
      <w:r w:rsidR="006F0226">
        <w:rPr>
          <w:sz w:val="16"/>
          <w:lang w:val="en-US"/>
        </w:rPr>
        <w:t>-</w:t>
      </w:r>
      <w:r w:rsidRPr="000621D4">
        <w:rPr>
          <w:sz w:val="16"/>
          <w:lang w:val="en-US"/>
        </w:rPr>
        <w:t>2022</w:t>
      </w:r>
    </w:p>
    <w:tbl>
      <w:tblPr>
        <w:tblW w:w="9174" w:type="dxa"/>
        <w:jc w:val="center"/>
        <w:tblCellMar>
          <w:left w:w="70" w:type="dxa"/>
          <w:right w:w="70" w:type="dxa"/>
        </w:tblCellMar>
        <w:tblLook w:val="04A0" w:firstRow="1" w:lastRow="0" w:firstColumn="1" w:lastColumn="0" w:noHBand="0" w:noVBand="1"/>
      </w:tblPr>
      <w:tblGrid>
        <w:gridCol w:w="1604"/>
        <w:gridCol w:w="867"/>
        <w:gridCol w:w="860"/>
        <w:gridCol w:w="996"/>
        <w:gridCol w:w="1062"/>
        <w:gridCol w:w="867"/>
        <w:gridCol w:w="860"/>
        <w:gridCol w:w="996"/>
        <w:gridCol w:w="1062"/>
      </w:tblGrid>
      <w:tr w:rsidR="005A22BA" w:rsidRPr="000621D4" w14:paraId="079F76C3" w14:textId="77777777" w:rsidTr="003D4527">
        <w:trPr>
          <w:trHeight w:val="637"/>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14:paraId="3B5D8014" w14:textId="422CB820" w:rsidR="005A22BA" w:rsidRPr="000621D4" w:rsidRDefault="005A22BA" w:rsidP="000673CD">
            <w:pPr>
              <w:spacing w:before="0" w:after="0" w:line="240" w:lineRule="auto"/>
              <w:jc w:val="center"/>
              <w:rPr>
                <w:rFonts w:cs="Arial"/>
                <w:b/>
                <w:bCs/>
                <w:color w:val="000000"/>
                <w:sz w:val="16"/>
                <w:szCs w:val="16"/>
                <w:lang w:val="es-ES" w:eastAsia="es-ES_tradnl"/>
              </w:rPr>
            </w:pPr>
            <w:r w:rsidRPr="000621D4">
              <w:rPr>
                <w:rFonts w:cs="Arial"/>
                <w:b/>
                <w:bCs/>
                <w:color w:val="000000"/>
                <w:sz w:val="16"/>
                <w:szCs w:val="16"/>
                <w:lang w:val="es-ES" w:eastAsia="es-ES_tradnl"/>
              </w:rPr>
              <w:t xml:space="preserve">VIP </w:t>
            </w:r>
            <w:r w:rsidR="000673CD" w:rsidRPr="000621D4">
              <w:rPr>
                <w:rFonts w:cs="Arial"/>
                <w:b/>
                <w:bCs/>
                <w:color w:val="000000"/>
                <w:sz w:val="16"/>
                <w:szCs w:val="16"/>
                <w:lang w:val="es-ES" w:eastAsia="es-ES_tradnl"/>
              </w:rPr>
              <w:t>Ibérico</w:t>
            </w:r>
            <w:r w:rsidRPr="000621D4">
              <w:rPr>
                <w:rFonts w:cs="Arial"/>
                <w:b/>
                <w:bCs/>
                <w:color w:val="000000"/>
                <w:sz w:val="16"/>
                <w:szCs w:val="16"/>
                <w:lang w:val="es-ES" w:eastAsia="es-ES_tradnl"/>
              </w:rPr>
              <w:br/>
              <w:t>(PT-</w:t>
            </w:r>
            <w:r w:rsidR="000673CD" w:rsidRPr="000621D4">
              <w:rPr>
                <w:rFonts w:cs="Arial"/>
                <w:b/>
                <w:bCs/>
                <w:color w:val="000000"/>
                <w:sz w:val="16"/>
                <w:szCs w:val="16"/>
                <w:lang w:val="es-ES" w:eastAsia="es-ES_tradnl"/>
              </w:rPr>
              <w:t>ES</w:t>
            </w:r>
            <w:r w:rsidRPr="000621D4">
              <w:rPr>
                <w:rFonts w:cs="Arial"/>
                <w:b/>
                <w:bCs/>
                <w:color w:val="000000"/>
                <w:sz w:val="16"/>
                <w:szCs w:val="16"/>
                <w:lang w:val="es-ES" w:eastAsia="es-ES_tradnl"/>
              </w:rPr>
              <w:t>)</w:t>
            </w:r>
            <w:r w:rsidRPr="000621D4">
              <w:rPr>
                <w:rFonts w:cs="Arial"/>
                <w:b/>
                <w:bCs/>
                <w:color w:val="000000"/>
                <w:sz w:val="16"/>
                <w:szCs w:val="16"/>
                <w:lang w:val="es-ES" w:eastAsia="es-ES_tradnl"/>
              </w:rPr>
              <w:br/>
              <w:t>GWh/d</w:t>
            </w:r>
          </w:p>
        </w:tc>
        <w:tc>
          <w:tcPr>
            <w:tcW w:w="0" w:type="auto"/>
            <w:gridSpan w:val="4"/>
            <w:tcBorders>
              <w:top w:val="single" w:sz="8" w:space="0" w:color="auto"/>
              <w:left w:val="single" w:sz="8" w:space="0" w:color="000000"/>
              <w:bottom w:val="single" w:sz="4" w:space="0" w:color="auto"/>
              <w:right w:val="single" w:sz="8" w:space="0" w:color="000000"/>
            </w:tcBorders>
            <w:shd w:val="clear" w:color="000000" w:fill="D9D9D9"/>
            <w:noWrap/>
            <w:vAlign w:val="center"/>
            <w:hideMark/>
          </w:tcPr>
          <w:p w14:paraId="0D07506B" w14:textId="4192F507" w:rsidR="005A22BA" w:rsidRPr="000621D4" w:rsidRDefault="005A22BA">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Portuguese side</w:t>
            </w:r>
          </w:p>
        </w:tc>
        <w:tc>
          <w:tcPr>
            <w:tcW w:w="0" w:type="auto"/>
            <w:gridSpan w:val="4"/>
            <w:tcBorders>
              <w:top w:val="single" w:sz="8" w:space="0" w:color="auto"/>
              <w:left w:val="single" w:sz="8" w:space="0" w:color="000000"/>
              <w:bottom w:val="single" w:sz="4" w:space="0" w:color="auto"/>
              <w:right w:val="single" w:sz="8" w:space="0" w:color="000000"/>
            </w:tcBorders>
            <w:shd w:val="clear" w:color="000000" w:fill="D9D9D9"/>
            <w:noWrap/>
            <w:vAlign w:val="center"/>
            <w:hideMark/>
          </w:tcPr>
          <w:p w14:paraId="6CA4C17B" w14:textId="18946625" w:rsidR="005A22BA" w:rsidRPr="000621D4" w:rsidRDefault="005A22BA">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Spanish side</w:t>
            </w:r>
          </w:p>
        </w:tc>
      </w:tr>
      <w:tr w:rsidR="00300957" w:rsidRPr="000621D4" w14:paraId="76D97B8F" w14:textId="77777777" w:rsidTr="003D4527">
        <w:trPr>
          <w:trHeight w:val="9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132DC9" w14:textId="77777777" w:rsidR="00300957" w:rsidRPr="000621D4" w:rsidRDefault="00300957" w:rsidP="00300957">
            <w:pPr>
              <w:spacing w:before="0" w:after="0" w:line="240" w:lineRule="auto"/>
              <w:jc w:val="left"/>
              <w:rPr>
                <w:rFonts w:cs="Arial"/>
                <w:b/>
                <w:bCs/>
                <w:color w:val="000000"/>
                <w:sz w:val="16"/>
                <w:szCs w:val="16"/>
                <w:lang w:val="es-ES_tradnl" w:eastAsia="es-ES_tradnl"/>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3ED022CE" w14:textId="15CC1A6A" w:rsidR="00300957" w:rsidRPr="000621D4" w:rsidRDefault="00300957" w:rsidP="00300957">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Booked Capacity (LT before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51D407CF" w14:textId="6797C406" w:rsidR="00300957" w:rsidRPr="000621D4" w:rsidRDefault="00300957" w:rsidP="00300957">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Booked Capacity (LT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151F590" w14:textId="1AB08FBA" w:rsidR="00300957" w:rsidRPr="000621D4" w:rsidRDefault="00300957" w:rsidP="00300957">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Bundled Capacity (to be offered on PRISMA) </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40465394" w14:textId="016362E9" w:rsidR="00300957" w:rsidRPr="000621D4" w:rsidRDefault="00300957" w:rsidP="00300957">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Unbundled Capacity (to be offered on PRISMA)</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65012C6E" w14:textId="77777777" w:rsidR="00300957" w:rsidRPr="000621D4" w:rsidRDefault="00300957" w:rsidP="00300957">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Booked Capacity (LT before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9127131" w14:textId="77777777" w:rsidR="00300957" w:rsidRPr="000621D4" w:rsidRDefault="00300957" w:rsidP="00300957">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Booked Capacity (LT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1CD7017" w14:textId="4E2F0640" w:rsidR="00300957" w:rsidRPr="000621D4" w:rsidRDefault="00300957" w:rsidP="00300957">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Bundled Capacity (to be offered on PRISMA) </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152216E" w14:textId="5DC6CAF6" w:rsidR="00300957" w:rsidRPr="000621D4" w:rsidRDefault="00300957" w:rsidP="00300957">
            <w:pPr>
              <w:spacing w:before="0" w:after="0" w:line="240" w:lineRule="auto"/>
              <w:jc w:val="center"/>
              <w:rPr>
                <w:rFonts w:cs="Arial"/>
                <w:color w:val="000000"/>
                <w:sz w:val="16"/>
                <w:szCs w:val="16"/>
                <w:lang w:val="en-US" w:eastAsia="es-ES_tradnl"/>
              </w:rPr>
            </w:pPr>
            <w:r w:rsidRPr="000621D4">
              <w:rPr>
                <w:rFonts w:cs="Arial"/>
                <w:color w:val="000000"/>
                <w:sz w:val="16"/>
                <w:szCs w:val="16"/>
                <w:lang w:val="en-US" w:eastAsia="es-ES_tradnl"/>
              </w:rPr>
              <w:t>Unbundled Capacity (to be offered on PRISMA)</w:t>
            </w:r>
          </w:p>
        </w:tc>
      </w:tr>
      <w:tr w:rsidR="00300957" w:rsidRPr="000621D4" w14:paraId="06560B46" w14:textId="77777777" w:rsidTr="003D4527">
        <w:trPr>
          <w:trHeight w:val="316"/>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10660DDF" w14:textId="77777777" w:rsidR="00300957" w:rsidRPr="000621D4" w:rsidRDefault="00300957" w:rsidP="00300957">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Oct 2020 to Sept 2021</w:t>
            </w:r>
          </w:p>
        </w:tc>
        <w:tc>
          <w:tcPr>
            <w:tcW w:w="0" w:type="auto"/>
            <w:tcBorders>
              <w:top w:val="nil"/>
              <w:left w:val="nil"/>
              <w:bottom w:val="single" w:sz="8" w:space="0" w:color="auto"/>
              <w:right w:val="single" w:sz="8" w:space="0" w:color="auto"/>
            </w:tcBorders>
            <w:shd w:val="clear" w:color="auto" w:fill="auto"/>
            <w:noWrap/>
            <w:vAlign w:val="center"/>
          </w:tcPr>
          <w:p w14:paraId="362ECD4C" w14:textId="5CD63187"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3C86B9AC" w14:textId="2036F150"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34ED7D77" w14:textId="76D458A9"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tcPr>
          <w:p w14:paraId="15F31C91" w14:textId="4B5A39FD"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2A9BB474" w14:textId="0BA69142"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32668E73" w14:textId="1D7A6652"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36CAD89" w14:textId="7AE41508"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hideMark/>
          </w:tcPr>
          <w:p w14:paraId="1B4A240F" w14:textId="14C8DA49"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r>
      <w:tr w:rsidR="00300957" w:rsidRPr="000621D4" w14:paraId="3077213C" w14:textId="77777777" w:rsidTr="003D4527">
        <w:trPr>
          <w:trHeight w:val="316"/>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2DFB3C45" w14:textId="77777777" w:rsidR="00300957" w:rsidRPr="000621D4" w:rsidRDefault="00300957" w:rsidP="00300957">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Oct 2021 to Sept 2022</w:t>
            </w:r>
          </w:p>
        </w:tc>
        <w:tc>
          <w:tcPr>
            <w:tcW w:w="0" w:type="auto"/>
            <w:tcBorders>
              <w:top w:val="nil"/>
              <w:left w:val="nil"/>
              <w:bottom w:val="single" w:sz="8" w:space="0" w:color="auto"/>
              <w:right w:val="single" w:sz="8" w:space="0" w:color="auto"/>
            </w:tcBorders>
            <w:shd w:val="clear" w:color="auto" w:fill="auto"/>
            <w:noWrap/>
            <w:vAlign w:val="center"/>
          </w:tcPr>
          <w:p w14:paraId="1A43F39E" w14:textId="5F6F7CA5"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3BE5B1FD" w14:textId="530DA8B2"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315792FD" w14:textId="4E0D9DF0"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tcPr>
          <w:p w14:paraId="07AECE5A" w14:textId="7B70E1E4"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582F0F63" w14:textId="38102D3F"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06E27C0" w14:textId="48527D74"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07D94367" w14:textId="71ED438A"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hideMark/>
          </w:tcPr>
          <w:p w14:paraId="34FB8702" w14:textId="11F2FA18"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r>
      <w:tr w:rsidR="00300957" w:rsidRPr="000621D4" w14:paraId="2AC8E53F" w14:textId="77777777" w:rsidTr="003D4527">
        <w:trPr>
          <w:trHeight w:val="316"/>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6542B58A" w14:textId="77777777" w:rsidR="00300957" w:rsidRPr="000621D4" w:rsidRDefault="00300957" w:rsidP="00300957">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Oct 2022 to Sept 2023</w:t>
            </w:r>
          </w:p>
        </w:tc>
        <w:tc>
          <w:tcPr>
            <w:tcW w:w="0" w:type="auto"/>
            <w:tcBorders>
              <w:top w:val="nil"/>
              <w:left w:val="nil"/>
              <w:bottom w:val="single" w:sz="8" w:space="0" w:color="auto"/>
              <w:right w:val="single" w:sz="8" w:space="0" w:color="auto"/>
            </w:tcBorders>
            <w:shd w:val="clear" w:color="auto" w:fill="auto"/>
            <w:noWrap/>
            <w:vAlign w:val="center"/>
          </w:tcPr>
          <w:p w14:paraId="4B3B588E" w14:textId="3496E2A3"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3EC12F3B" w14:textId="1B8155F8"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1E945AA4" w14:textId="4BCBBAE6"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tcPr>
          <w:p w14:paraId="3C660DBC" w14:textId="61CDDF0C"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3229BC11" w14:textId="5D46C2D3"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062098B1" w14:textId="4D01F062"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14F176F9" w14:textId="08D5B17C"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hideMark/>
          </w:tcPr>
          <w:p w14:paraId="0E6DF126" w14:textId="5DD0D9C5"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r>
      <w:tr w:rsidR="00300957" w:rsidRPr="000621D4" w14:paraId="1C778916" w14:textId="77777777" w:rsidTr="003D4527">
        <w:trPr>
          <w:trHeight w:val="316"/>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780F5C54" w14:textId="77777777" w:rsidR="00300957" w:rsidRPr="000621D4" w:rsidRDefault="00300957" w:rsidP="00300957">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Oct 2023 to Sept 2024</w:t>
            </w:r>
          </w:p>
        </w:tc>
        <w:tc>
          <w:tcPr>
            <w:tcW w:w="0" w:type="auto"/>
            <w:tcBorders>
              <w:top w:val="nil"/>
              <w:left w:val="nil"/>
              <w:bottom w:val="single" w:sz="8" w:space="0" w:color="auto"/>
              <w:right w:val="single" w:sz="8" w:space="0" w:color="auto"/>
            </w:tcBorders>
            <w:shd w:val="clear" w:color="auto" w:fill="auto"/>
            <w:noWrap/>
            <w:vAlign w:val="center"/>
          </w:tcPr>
          <w:p w14:paraId="0055F66F" w14:textId="31F2B2DE"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7CDBB3CC" w14:textId="46C4AA84"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39062038" w14:textId="01CE68D1"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tcPr>
          <w:p w14:paraId="3B0ECDC6" w14:textId="6697CBC0"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41F8FF12" w14:textId="07DDBC83"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085E1CBA" w14:textId="67483B3C"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6CA45E42" w14:textId="1B85C507"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hideMark/>
          </w:tcPr>
          <w:p w14:paraId="78C0EE01" w14:textId="533B9C08"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r>
      <w:tr w:rsidR="00300957" w:rsidRPr="000621D4" w14:paraId="6AF21C11" w14:textId="77777777" w:rsidTr="003D4527">
        <w:trPr>
          <w:trHeight w:val="316"/>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30D2DA0C" w14:textId="77777777" w:rsidR="00300957" w:rsidRPr="000621D4" w:rsidRDefault="00300957" w:rsidP="00300957">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Oct 2024 to Sept 2025</w:t>
            </w:r>
          </w:p>
        </w:tc>
        <w:tc>
          <w:tcPr>
            <w:tcW w:w="0" w:type="auto"/>
            <w:tcBorders>
              <w:top w:val="nil"/>
              <w:left w:val="nil"/>
              <w:bottom w:val="single" w:sz="8" w:space="0" w:color="auto"/>
              <w:right w:val="single" w:sz="8" w:space="0" w:color="auto"/>
            </w:tcBorders>
            <w:shd w:val="clear" w:color="auto" w:fill="auto"/>
            <w:noWrap/>
            <w:vAlign w:val="center"/>
          </w:tcPr>
          <w:p w14:paraId="2403DC06" w14:textId="68707CEF"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w:t>
            </w:r>
          </w:p>
        </w:tc>
        <w:tc>
          <w:tcPr>
            <w:tcW w:w="0" w:type="auto"/>
            <w:tcBorders>
              <w:top w:val="nil"/>
              <w:left w:val="nil"/>
              <w:bottom w:val="single" w:sz="8" w:space="0" w:color="auto"/>
              <w:right w:val="single" w:sz="8" w:space="0" w:color="auto"/>
            </w:tcBorders>
            <w:shd w:val="clear" w:color="auto" w:fill="auto"/>
            <w:noWrap/>
            <w:vAlign w:val="center"/>
          </w:tcPr>
          <w:p w14:paraId="431C879B" w14:textId="3E75DB27"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tcPr>
          <w:p w14:paraId="496546F0" w14:textId="4A654A73"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tcPr>
          <w:p w14:paraId="4D5F3D27" w14:textId="2AE5EB1B"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59B9E472" w14:textId="44BA8C6C"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4B7DDD1A" w14:textId="6683EA0F"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041D8C31" w14:textId="1F0BB613"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72</w:t>
            </w:r>
          </w:p>
        </w:tc>
        <w:tc>
          <w:tcPr>
            <w:tcW w:w="0" w:type="auto"/>
            <w:tcBorders>
              <w:top w:val="nil"/>
              <w:left w:val="nil"/>
              <w:bottom w:val="single" w:sz="8" w:space="0" w:color="auto"/>
              <w:right w:val="single" w:sz="8" w:space="0" w:color="auto"/>
            </w:tcBorders>
            <w:shd w:val="clear" w:color="auto" w:fill="auto"/>
            <w:noWrap/>
            <w:vAlign w:val="center"/>
            <w:hideMark/>
          </w:tcPr>
          <w:p w14:paraId="7C97E9D2" w14:textId="12352D94" w:rsidR="00300957" w:rsidRPr="000621D4" w:rsidRDefault="00300957" w:rsidP="0030095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r w:rsidRPr="000621D4">
              <w:rPr>
                <w:rFonts w:cs="Arial"/>
                <w:color w:val="000000"/>
                <w:sz w:val="16"/>
                <w:szCs w:val="16"/>
                <w:lang w:val="en-US" w:eastAsia="es-ES_tradnl"/>
              </w:rPr>
              <w:t>(*)</w:t>
            </w:r>
          </w:p>
        </w:tc>
      </w:tr>
    </w:tbl>
    <w:p w14:paraId="5BDEF263" w14:textId="7B17D63C" w:rsidR="00883E3B" w:rsidRPr="003D4527" w:rsidRDefault="003D4527" w:rsidP="003D4527">
      <w:pPr>
        <w:pStyle w:val="Descripcin"/>
        <w:jc w:val="left"/>
        <w:rPr>
          <w:rFonts w:ascii="Arial" w:hAnsi="Arial" w:cs="Arial"/>
          <w:b w:val="0"/>
          <w:i/>
          <w:sz w:val="16"/>
          <w:lang w:val="en-US"/>
        </w:rPr>
      </w:pPr>
      <w:r w:rsidRPr="000621D4">
        <w:rPr>
          <w:rFonts w:ascii="Arial" w:hAnsi="Arial" w:cs="Arial"/>
          <w:b w:val="0"/>
          <w:i/>
          <w:sz w:val="18"/>
          <w:lang w:val="en-US"/>
        </w:rPr>
        <w:t xml:space="preserve">(*) There is no unbundled capacity offer on </w:t>
      </w:r>
      <w:r w:rsidR="00D22A6F">
        <w:rPr>
          <w:rFonts w:ascii="Arial" w:hAnsi="Arial" w:cs="Arial"/>
          <w:b w:val="0"/>
          <w:i/>
          <w:sz w:val="18"/>
          <w:lang w:val="en-US"/>
        </w:rPr>
        <w:t>either</w:t>
      </w:r>
      <w:r w:rsidRPr="000621D4">
        <w:rPr>
          <w:rFonts w:ascii="Arial" w:hAnsi="Arial" w:cs="Arial"/>
          <w:b w:val="0"/>
          <w:i/>
          <w:sz w:val="18"/>
          <w:lang w:val="en-US"/>
        </w:rPr>
        <w:t xml:space="preserve"> side of VIP </w:t>
      </w:r>
      <w:r w:rsidR="00E740A2" w:rsidRPr="000621D4">
        <w:rPr>
          <w:rFonts w:ascii="Arial" w:hAnsi="Arial" w:cs="Arial"/>
          <w:b w:val="0"/>
          <w:i/>
          <w:sz w:val="18"/>
          <w:lang w:val="en-US"/>
        </w:rPr>
        <w:t>Ibérico</w:t>
      </w:r>
      <w:r w:rsidRPr="000621D4">
        <w:rPr>
          <w:rFonts w:ascii="Arial" w:hAnsi="Arial" w:cs="Arial"/>
          <w:b w:val="0"/>
          <w:i/>
          <w:sz w:val="18"/>
          <w:lang w:val="en-US"/>
        </w:rPr>
        <w:t>.</w:t>
      </w:r>
    </w:p>
    <w:p w14:paraId="49E46469" w14:textId="54B6C12A" w:rsidR="00F86092" w:rsidRDefault="003D75E4" w:rsidP="003D4527">
      <w:pPr>
        <w:pStyle w:val="Descripcin"/>
        <w:jc w:val="center"/>
        <w:rPr>
          <w:sz w:val="16"/>
          <w:lang w:val="en-US"/>
        </w:rPr>
      </w:pPr>
      <w:r w:rsidRPr="003D4527">
        <w:rPr>
          <w:sz w:val="16"/>
          <w:lang w:val="en-US"/>
        </w:rPr>
        <w:t xml:space="preserve">Table </w:t>
      </w:r>
      <w:r w:rsidRPr="003D75E4">
        <w:rPr>
          <w:sz w:val="16"/>
        </w:rPr>
        <w:fldChar w:fldCharType="begin"/>
      </w:r>
      <w:r w:rsidRPr="003D4527">
        <w:rPr>
          <w:sz w:val="16"/>
          <w:lang w:val="en-US"/>
        </w:rPr>
        <w:instrText xml:space="preserve"> SEQ Table \* ARABIC </w:instrText>
      </w:r>
      <w:r w:rsidRPr="003D75E4">
        <w:rPr>
          <w:sz w:val="16"/>
        </w:rPr>
        <w:fldChar w:fldCharType="separate"/>
      </w:r>
      <w:r w:rsidR="00E859C7">
        <w:rPr>
          <w:noProof/>
          <w:sz w:val="16"/>
          <w:lang w:val="en-US"/>
        </w:rPr>
        <w:t>7</w:t>
      </w:r>
      <w:r w:rsidRPr="003D75E4">
        <w:rPr>
          <w:sz w:val="16"/>
        </w:rPr>
        <w:fldChar w:fldCharType="end"/>
      </w:r>
      <w:r w:rsidRPr="003D4527">
        <w:rPr>
          <w:sz w:val="16"/>
          <w:lang w:val="en-US"/>
        </w:rPr>
        <w:t xml:space="preserve">. </w:t>
      </w:r>
      <w:r w:rsidR="008D5A4E">
        <w:rPr>
          <w:sz w:val="16"/>
          <w:lang w:val="en-US"/>
        </w:rPr>
        <w:t>Capacity to be auctioned via PRISMA in the July 2020 yearly auction (Portugal to Spain)</w:t>
      </w:r>
    </w:p>
    <w:p w14:paraId="6BAEB686" w14:textId="62F18774" w:rsidR="00E91DAC" w:rsidRPr="00940C7B" w:rsidRDefault="00E91DAC" w:rsidP="00E91DAC">
      <w:pPr>
        <w:pStyle w:val="Ttulo3"/>
        <w:rPr>
          <w:lang w:val="en-US"/>
        </w:rPr>
      </w:pPr>
      <w:bookmarkStart w:id="51" w:name="_ph16ol1ab7w" w:colFirst="0" w:colLast="0"/>
      <w:bookmarkEnd w:id="51"/>
      <w:r w:rsidRPr="00940C7B">
        <w:rPr>
          <w:lang w:val="en-US"/>
        </w:rPr>
        <w:t>North – South Link</w:t>
      </w:r>
    </w:p>
    <w:p w14:paraId="07CFF977" w14:textId="272D1599" w:rsidR="00544A66" w:rsidRDefault="00277506" w:rsidP="00ED5978">
      <w:pPr>
        <w:keepNext/>
        <w:spacing w:after="240" w:line="312" w:lineRule="auto"/>
        <w:jc w:val="left"/>
        <w:rPr>
          <w:sz w:val="24"/>
        </w:rPr>
      </w:pPr>
      <w:r w:rsidRPr="00D472A5">
        <w:t>N</w:t>
      </w:r>
      <w:r>
        <w:t>ot applicable.</w:t>
      </w:r>
      <w:r w:rsidR="002F1B03">
        <w:t xml:space="preserve"> </w:t>
      </w:r>
      <w:r w:rsidR="002F1B03">
        <w:rPr>
          <w:rFonts w:cs="Arial"/>
          <w:color w:val="000000" w:themeColor="text1"/>
          <w:szCs w:val="22"/>
          <w:lang w:val="en-GB"/>
        </w:rPr>
        <w:t>Since November 2018, no auctions have taken place as the North-South link has been removed.</w:t>
      </w:r>
      <w:bookmarkStart w:id="52" w:name="_dp3i42ozm0x0" w:colFirst="0" w:colLast="0"/>
      <w:bookmarkStart w:id="53" w:name="_rf45k8oi55io" w:colFirst="0" w:colLast="0"/>
      <w:bookmarkEnd w:id="52"/>
      <w:bookmarkEnd w:id="53"/>
    </w:p>
    <w:p w14:paraId="1DC65445" w14:textId="77777777" w:rsidR="00D326EF" w:rsidRDefault="00D326EF">
      <w:pPr>
        <w:spacing w:before="0" w:after="0" w:line="240" w:lineRule="auto"/>
        <w:jc w:val="left"/>
        <w:rPr>
          <w:rFonts w:cs="Arial"/>
          <w:b/>
          <w:bCs/>
          <w:sz w:val="28"/>
          <w:u w:val="single"/>
          <w:lang w:val="en-US"/>
        </w:rPr>
      </w:pPr>
      <w:bookmarkStart w:id="54" w:name="_8bjskxygsrgt" w:colFirst="0" w:colLast="0"/>
      <w:bookmarkStart w:id="55" w:name="_nb4ntw5jqxi2" w:colFirst="0" w:colLast="0"/>
      <w:bookmarkStart w:id="56" w:name="_c6y9qftib3ye" w:colFirst="0" w:colLast="0"/>
      <w:bookmarkStart w:id="57" w:name="_2v4tzyly7j3j" w:colFirst="0" w:colLast="0"/>
      <w:bookmarkStart w:id="58" w:name="_Toc43389397"/>
      <w:bookmarkStart w:id="59" w:name="_Toc43733522"/>
      <w:bookmarkStart w:id="60" w:name="_Toc43389406"/>
      <w:bookmarkStart w:id="61" w:name="_Toc43733531"/>
      <w:bookmarkStart w:id="62" w:name="_Toc43389419"/>
      <w:bookmarkStart w:id="63" w:name="_Toc43733544"/>
      <w:bookmarkStart w:id="64" w:name="_Toc43389426"/>
      <w:bookmarkStart w:id="65" w:name="_Toc43733551"/>
      <w:bookmarkStart w:id="66" w:name="_Toc43389440"/>
      <w:bookmarkStart w:id="67" w:name="_Toc43733565"/>
      <w:bookmarkStart w:id="68" w:name="_Toc43389447"/>
      <w:bookmarkStart w:id="69" w:name="_Toc43733572"/>
      <w:bookmarkStart w:id="70" w:name="_Toc43389461"/>
      <w:bookmarkStart w:id="71" w:name="_Toc43733586"/>
      <w:bookmarkStart w:id="72" w:name="_Toc43389468"/>
      <w:bookmarkStart w:id="73" w:name="_Toc43733593"/>
      <w:bookmarkStart w:id="74" w:name="_Toc43389476"/>
      <w:bookmarkStart w:id="75" w:name="_Toc43733601"/>
      <w:bookmarkStart w:id="76" w:name="_Toc43389477"/>
      <w:bookmarkStart w:id="77" w:name="_Toc43733602"/>
      <w:bookmarkStart w:id="78" w:name="_Toc43389484"/>
      <w:bookmarkStart w:id="79" w:name="_Toc43733609"/>
      <w:bookmarkStart w:id="80" w:name="_Toc43389497"/>
      <w:bookmarkStart w:id="81" w:name="_Toc43733622"/>
      <w:bookmarkStart w:id="82" w:name="_Toc43389504"/>
      <w:bookmarkStart w:id="83" w:name="_Toc43733629"/>
      <w:bookmarkStart w:id="84" w:name="_Toc43389518"/>
      <w:bookmarkStart w:id="85" w:name="_Toc43733643"/>
      <w:bookmarkStart w:id="86" w:name="_Toc43389525"/>
      <w:bookmarkStart w:id="87" w:name="_Toc43733650"/>
      <w:bookmarkStart w:id="88" w:name="_Toc43389539"/>
      <w:bookmarkStart w:id="89" w:name="_Toc43733664"/>
      <w:bookmarkStart w:id="90" w:name="_Toc43389546"/>
      <w:bookmarkStart w:id="91" w:name="_Toc43733671"/>
      <w:bookmarkStart w:id="92" w:name="_Toc43389553"/>
      <w:bookmarkStart w:id="93" w:name="_Toc43733678"/>
      <w:bookmarkStart w:id="94" w:name="_tkpaam8689yy" w:colFirst="0" w:colLast="0"/>
      <w:bookmarkStart w:id="95" w:name="_Toc43389554"/>
      <w:bookmarkStart w:id="96" w:name="_Toc43733679"/>
      <w:bookmarkStart w:id="97" w:name="_is4razg4y9mp" w:colFirst="0" w:colLast="0"/>
      <w:bookmarkStart w:id="98" w:name="_Toc43389555"/>
      <w:bookmarkStart w:id="99" w:name="_Toc43733680"/>
      <w:bookmarkStart w:id="100" w:name="_Toc43389556"/>
      <w:bookmarkStart w:id="101" w:name="_Toc43733681"/>
      <w:bookmarkStart w:id="102" w:name="_Toc43389557"/>
      <w:bookmarkStart w:id="103" w:name="_Toc43733682"/>
      <w:bookmarkStart w:id="104" w:name="_Toc43389564"/>
      <w:bookmarkStart w:id="105" w:name="_Toc43733689"/>
      <w:bookmarkStart w:id="106" w:name="_Toc43389577"/>
      <w:bookmarkStart w:id="107" w:name="_Toc43733702"/>
      <w:bookmarkStart w:id="108" w:name="_Toc43389584"/>
      <w:bookmarkStart w:id="109" w:name="_Toc43733709"/>
      <w:bookmarkStart w:id="110" w:name="_Toc43389598"/>
      <w:bookmarkStart w:id="111" w:name="_Toc43733723"/>
      <w:bookmarkStart w:id="112" w:name="_Toc43389605"/>
      <w:bookmarkStart w:id="113" w:name="_Toc43733730"/>
      <w:bookmarkStart w:id="114" w:name="_Toc43389619"/>
      <w:bookmarkStart w:id="115" w:name="_Toc43733744"/>
      <w:bookmarkStart w:id="116" w:name="_Toc43389626"/>
      <w:bookmarkStart w:id="117" w:name="_Toc43733751"/>
      <w:bookmarkStart w:id="118" w:name="_Toc43389633"/>
      <w:bookmarkStart w:id="119" w:name="_Toc43733758"/>
      <w:bookmarkStart w:id="120" w:name="_Toc43389635"/>
      <w:bookmarkStart w:id="121" w:name="_Toc43733760"/>
      <w:bookmarkStart w:id="122" w:name="_Toc43389642"/>
      <w:bookmarkStart w:id="123" w:name="_Toc43733767"/>
      <w:bookmarkStart w:id="124" w:name="_Toc43389655"/>
      <w:bookmarkStart w:id="125" w:name="_Toc43733780"/>
      <w:bookmarkStart w:id="126" w:name="_Toc43389662"/>
      <w:bookmarkStart w:id="127" w:name="_Toc43733787"/>
      <w:bookmarkStart w:id="128" w:name="_Toc43389676"/>
      <w:bookmarkStart w:id="129" w:name="_Toc43733801"/>
      <w:bookmarkStart w:id="130" w:name="_Toc43389683"/>
      <w:bookmarkStart w:id="131" w:name="_Toc43733808"/>
      <w:bookmarkStart w:id="132" w:name="_Toc43389697"/>
      <w:bookmarkStart w:id="133" w:name="_Toc43733822"/>
      <w:bookmarkStart w:id="134" w:name="_Toc43389704"/>
      <w:bookmarkStart w:id="135" w:name="_Toc43733829"/>
      <w:bookmarkStart w:id="136" w:name="_Toc43389711"/>
      <w:bookmarkStart w:id="137" w:name="_Toc4373383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lang w:val="en-US"/>
        </w:rPr>
        <w:br w:type="page"/>
      </w:r>
    </w:p>
    <w:p w14:paraId="25B23D31" w14:textId="024D7858" w:rsidR="00FF615F" w:rsidRDefault="005A1B4A" w:rsidP="004215EB">
      <w:pPr>
        <w:pStyle w:val="Ttulo1"/>
        <w:spacing w:before="240"/>
      </w:pPr>
      <w:bookmarkStart w:id="138" w:name="_Toc43389712"/>
      <w:bookmarkStart w:id="139" w:name="_Toc43733837"/>
      <w:bookmarkStart w:id="140" w:name="_Toc43389713"/>
      <w:bookmarkStart w:id="141" w:name="_Toc43733838"/>
      <w:bookmarkStart w:id="142" w:name="_Toc43389714"/>
      <w:bookmarkStart w:id="143" w:name="_Toc43733839"/>
      <w:bookmarkStart w:id="144" w:name="_Toc483986716"/>
      <w:bookmarkStart w:id="145" w:name="_Toc483986803"/>
      <w:bookmarkStart w:id="146" w:name="_Toc481748750"/>
      <w:bookmarkStart w:id="147" w:name="_Toc481748780"/>
      <w:bookmarkStart w:id="148" w:name="_Toc481748751"/>
      <w:bookmarkStart w:id="149" w:name="_Toc481748781"/>
      <w:bookmarkStart w:id="150" w:name="_Ref27493518"/>
      <w:bookmarkStart w:id="151" w:name="_Toc49770592"/>
      <w:bookmarkStart w:id="152" w:name="_Toc327532080"/>
      <w:bookmarkEnd w:id="138"/>
      <w:bookmarkEnd w:id="139"/>
      <w:bookmarkEnd w:id="140"/>
      <w:bookmarkEnd w:id="141"/>
      <w:bookmarkEnd w:id="142"/>
      <w:bookmarkEnd w:id="143"/>
      <w:bookmarkEnd w:id="144"/>
      <w:bookmarkEnd w:id="145"/>
      <w:bookmarkEnd w:id="146"/>
      <w:bookmarkEnd w:id="147"/>
      <w:bookmarkEnd w:id="148"/>
      <w:bookmarkEnd w:id="149"/>
      <w:r>
        <w:t>Assessment of capacity bookings</w:t>
      </w:r>
      <w:bookmarkEnd w:id="150"/>
      <w:bookmarkEnd w:id="151"/>
    </w:p>
    <w:p w14:paraId="4F764060" w14:textId="517513EC" w:rsidR="004007C0" w:rsidRPr="00D326EF" w:rsidRDefault="00596E96" w:rsidP="00D326EF">
      <w:pPr>
        <w:spacing w:line="312" w:lineRule="auto"/>
        <w:rPr>
          <w:lang w:val="en-US"/>
        </w:rPr>
      </w:pPr>
      <w:r w:rsidRPr="00D326EF">
        <w:rPr>
          <w:lang w:val="en-US"/>
        </w:rPr>
        <w:t xml:space="preserve">In this part of the report, capacity bookings will be analyzed distinguishing </w:t>
      </w:r>
      <w:r w:rsidR="00D326EF" w:rsidRPr="00D326EF">
        <w:rPr>
          <w:lang w:val="en-US"/>
        </w:rPr>
        <w:t>between</w:t>
      </w:r>
      <w:r w:rsidRPr="00D326EF">
        <w:rPr>
          <w:lang w:val="en-US"/>
        </w:rPr>
        <w:t xml:space="preserve"> bundled </w:t>
      </w:r>
      <w:r w:rsidR="00007196">
        <w:rPr>
          <w:lang w:val="en-US"/>
        </w:rPr>
        <w:t>and</w:t>
      </w:r>
      <w:r w:rsidR="00007196" w:rsidRPr="00D326EF">
        <w:rPr>
          <w:lang w:val="en-US"/>
        </w:rPr>
        <w:t xml:space="preserve"> </w:t>
      </w:r>
      <w:r w:rsidRPr="00D326EF">
        <w:rPr>
          <w:lang w:val="en-US"/>
        </w:rPr>
        <w:t>unbundled</w:t>
      </w:r>
      <w:r w:rsidR="00D326EF" w:rsidRPr="00D326EF">
        <w:rPr>
          <w:lang w:val="en-US"/>
        </w:rPr>
        <w:t xml:space="preserve"> capacity</w:t>
      </w:r>
      <w:r w:rsidRPr="00D326EF">
        <w:rPr>
          <w:lang w:val="en-US"/>
        </w:rPr>
        <w:t>, different time horizon</w:t>
      </w:r>
      <w:r w:rsidR="00D326EF" w:rsidRPr="00D326EF">
        <w:rPr>
          <w:lang w:val="en-US"/>
        </w:rPr>
        <w:t>s</w:t>
      </w:r>
      <w:r w:rsidRPr="00D326EF">
        <w:rPr>
          <w:lang w:val="en-US"/>
        </w:rPr>
        <w:t xml:space="preserve"> (Long term, Yearly, Quarterly…) and firm</w:t>
      </w:r>
      <w:r w:rsidR="00D326EF" w:rsidRPr="00D326EF">
        <w:rPr>
          <w:lang w:val="en-US"/>
        </w:rPr>
        <w:t xml:space="preserve"> </w:t>
      </w:r>
      <w:r w:rsidR="00971645">
        <w:rPr>
          <w:lang w:val="en-US"/>
        </w:rPr>
        <w:t>and</w:t>
      </w:r>
      <w:r w:rsidR="00971645" w:rsidRPr="00D326EF">
        <w:rPr>
          <w:lang w:val="en-US"/>
        </w:rPr>
        <w:t xml:space="preserve"> </w:t>
      </w:r>
      <w:r w:rsidRPr="00D326EF">
        <w:rPr>
          <w:lang w:val="en-US"/>
        </w:rPr>
        <w:t>interruptible</w:t>
      </w:r>
      <w:r w:rsidR="00D326EF" w:rsidRPr="00D326EF">
        <w:rPr>
          <w:lang w:val="en-US"/>
        </w:rPr>
        <w:t xml:space="preserve"> capacity</w:t>
      </w:r>
      <w:r w:rsidRPr="00D326EF">
        <w:rPr>
          <w:lang w:val="en-US"/>
        </w:rPr>
        <w:t>. Also, a brief</w:t>
      </w:r>
      <w:r w:rsidR="003A3BC6" w:rsidRPr="00D326EF">
        <w:rPr>
          <w:lang w:val="en-US"/>
        </w:rPr>
        <w:t xml:space="preserve"> </w:t>
      </w:r>
      <w:r w:rsidR="00D326EF" w:rsidRPr="00D326EF">
        <w:rPr>
          <w:lang w:val="en-US"/>
        </w:rPr>
        <w:t>summary</w:t>
      </w:r>
      <w:r w:rsidR="003A3BC6" w:rsidRPr="00D326EF">
        <w:rPr>
          <w:lang w:val="en-US"/>
        </w:rPr>
        <w:t xml:space="preserve"> of the secondary market </w:t>
      </w:r>
      <w:r w:rsidR="00971645">
        <w:rPr>
          <w:lang w:val="en-US"/>
        </w:rPr>
        <w:t>is</w:t>
      </w:r>
      <w:r w:rsidR="00D326EF" w:rsidRPr="00D326EF">
        <w:rPr>
          <w:lang w:val="en-US"/>
        </w:rPr>
        <w:t xml:space="preserve"> </w:t>
      </w:r>
      <w:r w:rsidR="003A3BC6" w:rsidRPr="00D326EF">
        <w:rPr>
          <w:lang w:val="en-US"/>
        </w:rPr>
        <w:t>included.</w:t>
      </w:r>
    </w:p>
    <w:p w14:paraId="3796FE33" w14:textId="19407FB2" w:rsidR="00FE16C9" w:rsidRDefault="000B35B2" w:rsidP="00FE16C9">
      <w:pPr>
        <w:pStyle w:val="Ttulo2"/>
        <w:rPr>
          <w:lang w:val="en-US"/>
        </w:rPr>
      </w:pPr>
      <w:bookmarkStart w:id="153" w:name="_Toc481748753"/>
      <w:bookmarkStart w:id="154" w:name="_Toc481748783"/>
      <w:bookmarkStart w:id="155" w:name="_Toc43733841"/>
      <w:bookmarkStart w:id="156" w:name="_Toc43733842"/>
      <w:bookmarkStart w:id="157" w:name="_Toc43733844"/>
      <w:bookmarkStart w:id="158" w:name="_Toc43733845"/>
      <w:bookmarkStart w:id="159" w:name="_Toc43733855"/>
      <w:bookmarkStart w:id="160" w:name="_Toc43733864"/>
      <w:bookmarkStart w:id="161" w:name="_Toc43733869"/>
      <w:bookmarkStart w:id="162" w:name="_Toc43389717"/>
      <w:bookmarkStart w:id="163" w:name="_Toc43733870"/>
      <w:bookmarkStart w:id="164" w:name="_Toc494791208"/>
      <w:bookmarkStart w:id="165" w:name="_Toc492388802"/>
      <w:bookmarkStart w:id="166" w:name="_Toc493085970"/>
      <w:bookmarkStart w:id="167" w:name="_Toc493086026"/>
      <w:bookmarkStart w:id="168" w:name="_Toc493607651"/>
      <w:bookmarkStart w:id="169" w:name="_Toc493607936"/>
      <w:bookmarkStart w:id="170" w:name="_Toc493607987"/>
      <w:bookmarkStart w:id="171" w:name="_Toc493608021"/>
      <w:bookmarkStart w:id="172" w:name="_Toc493608054"/>
      <w:bookmarkStart w:id="173" w:name="_Toc493608314"/>
      <w:bookmarkStart w:id="174" w:name="_Toc493608348"/>
      <w:bookmarkStart w:id="175" w:name="_Ref27493528"/>
      <w:bookmarkStart w:id="176" w:name="_Toc49770593"/>
      <w:bookmarkStart w:id="177" w:name="_Ref493604639"/>
      <w:bookmarkStart w:id="178" w:name="_Ref493604643"/>
      <w:bookmarkStart w:id="179" w:name="_Ref493604650"/>
      <w:bookmarkStart w:id="180" w:name="_Ref322533161"/>
      <w:bookmarkStart w:id="181" w:name="_Ref322533164"/>
      <w:bookmarkStart w:id="182" w:name="_Ref323218389"/>
      <w:bookmarkStart w:id="183" w:name="_Toc32753208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lang w:val="en-US"/>
        </w:rPr>
        <w:t>Firm booked</w:t>
      </w:r>
      <w:r w:rsidR="00FE16C9">
        <w:rPr>
          <w:lang w:val="en-US"/>
        </w:rPr>
        <w:t xml:space="preserve"> capacities (bundled/unbundled)</w:t>
      </w:r>
      <w:bookmarkEnd w:id="175"/>
      <w:bookmarkEnd w:id="176"/>
    </w:p>
    <w:p w14:paraId="361850ED" w14:textId="138A3368" w:rsidR="000B35B2" w:rsidRPr="00D326EF" w:rsidRDefault="005D030C" w:rsidP="00D326EF">
      <w:pPr>
        <w:spacing w:line="312" w:lineRule="auto"/>
        <w:rPr>
          <w:rFonts w:cs="Arial"/>
          <w:color w:val="000000" w:themeColor="text1"/>
          <w:szCs w:val="22"/>
          <w:lang w:val="en-GB"/>
        </w:rPr>
      </w:pPr>
      <w:r w:rsidRPr="00D326EF">
        <w:rPr>
          <w:rFonts w:cs="Arial"/>
          <w:lang w:val="en-GB"/>
        </w:rPr>
        <w:t xml:space="preserve">The purpose of this section is to analyse the </w:t>
      </w:r>
      <w:r w:rsidR="000B35B2" w:rsidRPr="00D326EF">
        <w:rPr>
          <w:rFonts w:cs="Arial"/>
          <w:lang w:val="en-GB"/>
        </w:rPr>
        <w:t xml:space="preserve">firm </w:t>
      </w:r>
      <w:r w:rsidRPr="00D326EF">
        <w:rPr>
          <w:rFonts w:cs="Arial"/>
          <w:lang w:val="en-GB"/>
        </w:rPr>
        <w:t xml:space="preserve">capacity bookings of the </w:t>
      </w:r>
      <w:r w:rsidR="00F50854" w:rsidRPr="00D326EF">
        <w:rPr>
          <w:rFonts w:cs="Arial"/>
          <w:lang w:val="en-GB"/>
        </w:rPr>
        <w:t>two</w:t>
      </w:r>
      <w:r w:rsidRPr="00D326EF">
        <w:rPr>
          <w:rFonts w:cs="Arial"/>
          <w:lang w:val="en-GB"/>
        </w:rPr>
        <w:t xml:space="preserve"> VIPs in comparison with the technical capacity</w:t>
      </w:r>
      <w:r w:rsidR="00890D03" w:rsidRPr="00D326EF">
        <w:rPr>
          <w:rFonts w:cs="Arial"/>
          <w:lang w:val="en-GB"/>
        </w:rPr>
        <w:t xml:space="preserve">, </w:t>
      </w:r>
      <w:r w:rsidRPr="00D326EF">
        <w:rPr>
          <w:rFonts w:cs="Arial"/>
          <w:lang w:val="en-GB"/>
        </w:rPr>
        <w:t xml:space="preserve">distinguishing between bundled and unbundled capacity.  </w:t>
      </w:r>
      <w:r w:rsidR="000B35B2" w:rsidRPr="00D326EF">
        <w:rPr>
          <w:rFonts w:cs="Arial"/>
          <w:color w:val="000000" w:themeColor="text1"/>
          <w:szCs w:val="22"/>
          <w:lang w:val="en-GB"/>
        </w:rPr>
        <w:t>It must be noted that interruptible capacity will not be taken into account in this part of the report, as it will be analysed in its specific chapter.</w:t>
      </w:r>
    </w:p>
    <w:p w14:paraId="36A2B5E8" w14:textId="77777777" w:rsidR="00FE16C9" w:rsidRPr="00D326EF" w:rsidRDefault="00FE16C9" w:rsidP="00D326EF">
      <w:pPr>
        <w:spacing w:line="312" w:lineRule="auto"/>
        <w:rPr>
          <w:rFonts w:cs="Arial"/>
          <w:color w:val="000000" w:themeColor="text1"/>
          <w:szCs w:val="22"/>
          <w:lang w:val="en-GB"/>
        </w:rPr>
      </w:pPr>
      <w:r w:rsidRPr="00D326EF">
        <w:rPr>
          <w:rFonts w:cs="Arial"/>
          <w:color w:val="000000" w:themeColor="text1"/>
          <w:szCs w:val="22"/>
          <w:lang w:val="en-GB"/>
        </w:rPr>
        <w:t>The concept of bundled capacity is defined in Article 3 (4) of CAM NC in the following way:</w:t>
      </w:r>
    </w:p>
    <w:p w14:paraId="1B2954C8" w14:textId="77777777" w:rsidR="00FE16C9" w:rsidRPr="00D326EF" w:rsidRDefault="00FE16C9" w:rsidP="00D326EF">
      <w:pPr>
        <w:spacing w:line="312" w:lineRule="auto"/>
        <w:rPr>
          <w:rFonts w:cs="Arial"/>
          <w:i/>
          <w:lang w:val="en-GB"/>
        </w:rPr>
      </w:pPr>
      <w:r w:rsidRPr="00D326EF">
        <w:rPr>
          <w:rFonts w:cs="Arial"/>
          <w:i/>
          <w:lang w:val="en-GB"/>
        </w:rPr>
        <w:t>«‘Bundled capacity’ means a standard capacity product offered on a firm basis which consists of corresponding entry and exit capacity at both sides of every interconnection point».</w:t>
      </w:r>
    </w:p>
    <w:p w14:paraId="55B60A4D" w14:textId="136FACEA" w:rsidR="00FE16C9" w:rsidRPr="00D326EF" w:rsidRDefault="00FE16C9" w:rsidP="00D326EF">
      <w:pPr>
        <w:spacing w:line="312" w:lineRule="auto"/>
        <w:rPr>
          <w:rFonts w:cs="Arial"/>
          <w:color w:val="000000" w:themeColor="text1"/>
          <w:szCs w:val="22"/>
          <w:lang w:val="en-GB"/>
        </w:rPr>
      </w:pPr>
      <w:r w:rsidRPr="00D326EF">
        <w:rPr>
          <w:rFonts w:cs="Arial"/>
          <w:color w:val="000000" w:themeColor="text1"/>
          <w:szCs w:val="22"/>
          <w:lang w:val="en-GB"/>
        </w:rPr>
        <w:t>Before the “early implementation” of the CAM NC, capacity was booked in an unbundled way, through the South Region TSOs</w:t>
      </w:r>
      <w:r w:rsidR="00655B62" w:rsidRPr="00D326EF">
        <w:rPr>
          <w:rFonts w:cs="Arial"/>
          <w:color w:val="000000" w:themeColor="text1"/>
          <w:szCs w:val="22"/>
          <w:lang w:val="en-GB"/>
        </w:rPr>
        <w:t>`</w:t>
      </w:r>
      <w:r w:rsidRPr="00D326EF">
        <w:rPr>
          <w:rFonts w:cs="Arial"/>
          <w:color w:val="000000" w:themeColor="text1"/>
          <w:szCs w:val="22"/>
          <w:lang w:val="en-GB"/>
        </w:rPr>
        <w:t xml:space="preserve"> allocation capacity platforms. The Ministerial Order ITC/2607/2008 defines these procedures for the interconnection points between Spain and France.</w:t>
      </w:r>
    </w:p>
    <w:p w14:paraId="09564E6F" w14:textId="37E2DB1F" w:rsidR="001E51B7" w:rsidRPr="00D326EF" w:rsidRDefault="00122F76" w:rsidP="00D326EF">
      <w:pPr>
        <w:spacing w:line="312" w:lineRule="auto"/>
        <w:rPr>
          <w:rFonts w:cs="Arial"/>
          <w:color w:val="000000" w:themeColor="text1"/>
          <w:szCs w:val="22"/>
          <w:lang w:val="en-GB"/>
        </w:rPr>
      </w:pPr>
      <w:r w:rsidRPr="00D326EF">
        <w:rPr>
          <w:rFonts w:cs="Arial"/>
          <w:color w:val="000000" w:themeColor="text1"/>
          <w:szCs w:val="22"/>
          <w:lang w:val="en-GB"/>
        </w:rPr>
        <w:t xml:space="preserve">After the entry into force of CAM NC, available capacity is offered preferably as </w:t>
      </w:r>
      <w:r w:rsidR="005D030C" w:rsidRPr="00D326EF">
        <w:rPr>
          <w:rFonts w:cs="Arial"/>
          <w:color w:val="000000" w:themeColor="text1"/>
          <w:szCs w:val="22"/>
          <w:lang w:val="en-GB"/>
        </w:rPr>
        <w:t xml:space="preserve">bundled </w:t>
      </w:r>
      <w:r w:rsidRPr="00D326EF">
        <w:rPr>
          <w:rFonts w:cs="Arial"/>
          <w:color w:val="000000" w:themeColor="text1"/>
          <w:szCs w:val="22"/>
          <w:lang w:val="en-GB"/>
        </w:rPr>
        <w:t>capacity, or unbundled if it is not possible to</w:t>
      </w:r>
      <w:r w:rsidR="00655B62" w:rsidRPr="00D326EF">
        <w:rPr>
          <w:rFonts w:cs="Arial"/>
          <w:color w:val="000000" w:themeColor="text1"/>
          <w:szCs w:val="22"/>
          <w:lang w:val="en-GB"/>
        </w:rPr>
        <w:t xml:space="preserve"> offer it as</w:t>
      </w:r>
      <w:r w:rsidRPr="00D326EF">
        <w:rPr>
          <w:rFonts w:cs="Arial"/>
          <w:color w:val="000000" w:themeColor="text1"/>
          <w:szCs w:val="22"/>
          <w:lang w:val="en-GB"/>
        </w:rPr>
        <w:t xml:space="preserve"> bundle</w:t>
      </w:r>
      <w:r w:rsidR="00655B62" w:rsidRPr="00D326EF">
        <w:rPr>
          <w:rFonts w:cs="Arial"/>
          <w:color w:val="000000" w:themeColor="text1"/>
          <w:szCs w:val="22"/>
          <w:lang w:val="en-GB"/>
        </w:rPr>
        <w:t>d</w:t>
      </w:r>
      <w:r w:rsidRPr="00D326EF">
        <w:rPr>
          <w:rFonts w:cs="Arial"/>
          <w:color w:val="000000" w:themeColor="text1"/>
          <w:szCs w:val="22"/>
          <w:lang w:val="en-GB"/>
        </w:rPr>
        <w:t xml:space="preserve">, in </w:t>
      </w:r>
      <w:r w:rsidR="00FE16C9" w:rsidRPr="00D326EF">
        <w:rPr>
          <w:rFonts w:cs="Arial"/>
          <w:color w:val="000000" w:themeColor="text1"/>
          <w:szCs w:val="22"/>
          <w:lang w:val="en-GB"/>
        </w:rPr>
        <w:t xml:space="preserve">auctions held </w:t>
      </w:r>
      <w:r w:rsidR="00882CDC" w:rsidRPr="00D326EF">
        <w:rPr>
          <w:rFonts w:cs="Arial"/>
          <w:color w:val="000000" w:themeColor="text1"/>
          <w:szCs w:val="22"/>
          <w:lang w:val="en-GB"/>
        </w:rPr>
        <w:t>on PRISMA</w:t>
      </w:r>
      <w:r w:rsidRPr="00D326EF">
        <w:rPr>
          <w:rFonts w:cs="Arial"/>
          <w:color w:val="000000" w:themeColor="text1"/>
          <w:szCs w:val="22"/>
          <w:lang w:val="en-GB"/>
        </w:rPr>
        <w:t xml:space="preserve"> platform</w:t>
      </w:r>
      <w:r w:rsidR="00890D03" w:rsidRPr="00D326EF">
        <w:rPr>
          <w:rFonts w:cs="Arial"/>
          <w:color w:val="000000" w:themeColor="text1"/>
          <w:szCs w:val="22"/>
          <w:lang w:val="en-GB"/>
        </w:rPr>
        <w:t xml:space="preserve">. </w:t>
      </w:r>
      <w:r w:rsidR="00FC0A88" w:rsidRPr="00D326EF">
        <w:rPr>
          <w:rFonts w:cs="Arial"/>
          <w:color w:val="000000" w:themeColor="text1"/>
          <w:szCs w:val="22"/>
          <w:lang w:val="en-GB"/>
        </w:rPr>
        <w:t xml:space="preserve">Despite the fact that according to the article </w:t>
      </w:r>
      <w:r w:rsidR="00AD5E02" w:rsidRPr="00D326EF">
        <w:rPr>
          <w:rFonts w:cs="Arial"/>
          <w:color w:val="000000" w:themeColor="text1"/>
          <w:szCs w:val="22"/>
          <w:lang w:val="en-GB"/>
        </w:rPr>
        <w:t>21(3) of the CAM NC Ame</w:t>
      </w:r>
      <w:r w:rsidR="00D326EF" w:rsidRPr="00D326EF">
        <w:rPr>
          <w:rFonts w:cs="Arial"/>
          <w:color w:val="000000" w:themeColor="text1"/>
          <w:szCs w:val="22"/>
          <w:lang w:val="en-GB"/>
        </w:rPr>
        <w:t>n</w:t>
      </w:r>
      <w:r w:rsidR="00AD5E02" w:rsidRPr="00D326EF">
        <w:rPr>
          <w:rFonts w:cs="Arial"/>
          <w:color w:val="000000" w:themeColor="text1"/>
          <w:szCs w:val="22"/>
          <w:lang w:val="en-GB"/>
        </w:rPr>
        <w:t>dment the conversion of unbundled capacity into bundled capacity for network users that hold mismatched unbundled capacity at one side of the interconnection point is allowed, there is still unbundled capacity contracted due to LT contracts previous to the CAM Network Code implementation</w:t>
      </w:r>
      <w:r w:rsidR="000B35B2" w:rsidRPr="00D326EF">
        <w:rPr>
          <w:rFonts w:cs="Arial"/>
          <w:color w:val="000000" w:themeColor="text1"/>
          <w:szCs w:val="22"/>
          <w:lang w:val="en-GB"/>
        </w:rPr>
        <w:t>. However</w:t>
      </w:r>
      <w:r w:rsidR="001E51B7" w:rsidRPr="00D326EF">
        <w:rPr>
          <w:rFonts w:cs="Arial"/>
          <w:color w:val="000000" w:themeColor="text1"/>
          <w:szCs w:val="22"/>
          <w:lang w:val="en-GB"/>
        </w:rPr>
        <w:t>, it should be noted that most of this unbundled LT contracts work as if they we</w:t>
      </w:r>
      <w:r w:rsidR="000B35B2" w:rsidRPr="00D326EF">
        <w:rPr>
          <w:rFonts w:cs="Arial"/>
          <w:color w:val="000000" w:themeColor="text1"/>
          <w:szCs w:val="22"/>
          <w:lang w:val="en-GB"/>
        </w:rPr>
        <w:t>re bundled. Most shippers contracted the same amount of capacity at both sides of the VIP in order to use th</w:t>
      </w:r>
      <w:r w:rsidR="00971645">
        <w:rPr>
          <w:rFonts w:cs="Arial"/>
          <w:color w:val="000000" w:themeColor="text1"/>
          <w:szCs w:val="22"/>
          <w:lang w:val="en-GB"/>
        </w:rPr>
        <w:t>e</w:t>
      </w:r>
      <w:r w:rsidR="000B35B2" w:rsidRPr="00D326EF">
        <w:rPr>
          <w:rFonts w:cs="Arial"/>
          <w:color w:val="000000" w:themeColor="text1"/>
          <w:szCs w:val="22"/>
          <w:lang w:val="en-GB"/>
        </w:rPr>
        <w:t>s</w:t>
      </w:r>
      <w:r w:rsidR="00971645">
        <w:rPr>
          <w:rFonts w:cs="Arial"/>
          <w:color w:val="000000" w:themeColor="text1"/>
          <w:szCs w:val="22"/>
          <w:lang w:val="en-GB"/>
        </w:rPr>
        <w:t>e</w:t>
      </w:r>
      <w:r w:rsidR="000B35B2" w:rsidRPr="00D326EF">
        <w:rPr>
          <w:rFonts w:cs="Arial"/>
          <w:color w:val="000000" w:themeColor="text1"/>
          <w:szCs w:val="22"/>
          <w:lang w:val="en-GB"/>
        </w:rPr>
        <w:t xml:space="preserve"> contracts as if they were bundled. </w:t>
      </w:r>
      <w:r w:rsidR="001E51B7" w:rsidRPr="00D326EF">
        <w:rPr>
          <w:rFonts w:cs="Arial"/>
          <w:color w:val="000000" w:themeColor="text1"/>
          <w:szCs w:val="22"/>
          <w:lang w:val="en-GB"/>
        </w:rPr>
        <w:t xml:space="preserve"> </w:t>
      </w:r>
    </w:p>
    <w:p w14:paraId="3B0C5716" w14:textId="14FD12E6" w:rsidR="00FE16C9" w:rsidRPr="00D326EF" w:rsidRDefault="00FE16C9" w:rsidP="00D326EF">
      <w:pPr>
        <w:spacing w:line="312" w:lineRule="auto"/>
        <w:rPr>
          <w:rFonts w:cs="Arial"/>
          <w:color w:val="000000" w:themeColor="text1"/>
          <w:szCs w:val="22"/>
          <w:lang w:val="en-GB"/>
        </w:rPr>
      </w:pPr>
      <w:r w:rsidRPr="00D326EF">
        <w:rPr>
          <w:rFonts w:cs="Arial"/>
          <w:color w:val="000000" w:themeColor="text1"/>
          <w:szCs w:val="22"/>
          <w:lang w:val="en-GB"/>
        </w:rPr>
        <w:t>Due to the fact that</w:t>
      </w:r>
      <w:r w:rsidR="0065011F" w:rsidRPr="00D326EF">
        <w:rPr>
          <w:rFonts w:cs="Arial"/>
          <w:color w:val="000000" w:themeColor="text1"/>
          <w:szCs w:val="22"/>
          <w:lang w:val="en-GB"/>
        </w:rPr>
        <w:t xml:space="preserve"> in the period analyzed the existing</w:t>
      </w:r>
      <w:r w:rsidRPr="00D326EF">
        <w:rPr>
          <w:rFonts w:cs="Arial"/>
          <w:color w:val="000000" w:themeColor="text1"/>
          <w:szCs w:val="22"/>
          <w:lang w:val="en-GB"/>
        </w:rPr>
        <w:t xml:space="preserve"> LT contracts represent a significant percentage of the technical capacity</w:t>
      </w:r>
      <w:r w:rsidR="0065011F" w:rsidRPr="00D326EF">
        <w:rPr>
          <w:rFonts w:cs="Arial"/>
          <w:color w:val="000000" w:themeColor="text1"/>
          <w:szCs w:val="22"/>
          <w:lang w:val="en-GB"/>
        </w:rPr>
        <w:t xml:space="preserve"> bookings</w:t>
      </w:r>
      <w:r w:rsidRPr="00D326EF">
        <w:rPr>
          <w:rFonts w:cs="Arial"/>
          <w:color w:val="000000" w:themeColor="text1"/>
          <w:szCs w:val="22"/>
          <w:lang w:val="en-GB"/>
        </w:rPr>
        <w:t xml:space="preserve">, the amount of </w:t>
      </w:r>
      <w:r w:rsidR="00890D03" w:rsidRPr="00D326EF">
        <w:rPr>
          <w:rFonts w:cs="Arial"/>
          <w:color w:val="000000" w:themeColor="text1"/>
          <w:szCs w:val="22"/>
          <w:lang w:val="en-GB"/>
        </w:rPr>
        <w:t xml:space="preserve">bundled capacity </w:t>
      </w:r>
      <w:r w:rsidRPr="00D326EF">
        <w:rPr>
          <w:rFonts w:cs="Arial"/>
          <w:color w:val="000000" w:themeColor="text1"/>
          <w:szCs w:val="22"/>
          <w:lang w:val="en-GB"/>
        </w:rPr>
        <w:t>offer</w:t>
      </w:r>
      <w:r w:rsidR="00890D03" w:rsidRPr="00D326EF">
        <w:rPr>
          <w:rFonts w:cs="Arial"/>
          <w:color w:val="000000" w:themeColor="text1"/>
          <w:szCs w:val="22"/>
          <w:lang w:val="en-GB"/>
        </w:rPr>
        <w:t>ed</w:t>
      </w:r>
      <w:r w:rsidRPr="00D326EF">
        <w:rPr>
          <w:rFonts w:cs="Arial"/>
          <w:color w:val="000000" w:themeColor="text1"/>
          <w:szCs w:val="22"/>
          <w:lang w:val="en-GB"/>
        </w:rPr>
        <w:t xml:space="preserve"> in the auctions is</w:t>
      </w:r>
      <w:r w:rsidR="0065011F" w:rsidRPr="00D326EF">
        <w:rPr>
          <w:rFonts w:cs="Arial"/>
          <w:color w:val="000000" w:themeColor="text1"/>
          <w:szCs w:val="22"/>
          <w:lang w:val="en-GB"/>
        </w:rPr>
        <w:t xml:space="preserve"> quite</w:t>
      </w:r>
      <w:r w:rsidRPr="00D326EF">
        <w:rPr>
          <w:rFonts w:cs="Arial"/>
          <w:color w:val="000000" w:themeColor="text1"/>
          <w:szCs w:val="22"/>
          <w:lang w:val="en-GB"/>
        </w:rPr>
        <w:t xml:space="preserve"> limited.</w:t>
      </w:r>
    </w:p>
    <w:p w14:paraId="3611ECF5" w14:textId="77777777" w:rsidR="00FE16C9" w:rsidRPr="001F74A6" w:rsidRDefault="00FE16C9" w:rsidP="00FE16C9">
      <w:pPr>
        <w:pStyle w:val="Ttulo3"/>
        <w:spacing w:line="360" w:lineRule="auto"/>
        <w:jc w:val="left"/>
        <w:rPr>
          <w:lang w:val="en-US"/>
        </w:rPr>
      </w:pPr>
      <w:r w:rsidRPr="001F74A6">
        <w:rPr>
          <w:lang w:val="en-US"/>
        </w:rPr>
        <w:t>VIP Pirineos</w:t>
      </w:r>
    </w:p>
    <w:p w14:paraId="17FF6D8B" w14:textId="243EB6F2" w:rsidR="003B6682" w:rsidRDefault="003B6682" w:rsidP="00E740A2">
      <w:pPr>
        <w:spacing w:line="312" w:lineRule="auto"/>
        <w:rPr>
          <w:rFonts w:cs="Arial"/>
          <w:color w:val="000000" w:themeColor="text1"/>
          <w:szCs w:val="22"/>
          <w:lang w:val="en-GB"/>
        </w:rPr>
      </w:pPr>
      <w:r>
        <w:rPr>
          <w:rFonts w:cs="Arial"/>
          <w:color w:val="000000" w:themeColor="text1"/>
          <w:szCs w:val="22"/>
          <w:lang w:val="en-GB"/>
        </w:rPr>
        <w:t xml:space="preserve">The following tables show the booked capacity (on average) </w:t>
      </w:r>
      <w:r w:rsidR="000B35B2">
        <w:rPr>
          <w:rFonts w:cs="Arial"/>
          <w:color w:val="000000" w:themeColor="text1"/>
          <w:szCs w:val="22"/>
          <w:lang w:val="en-GB"/>
        </w:rPr>
        <w:t xml:space="preserve">on </w:t>
      </w:r>
      <w:r>
        <w:rPr>
          <w:rFonts w:cs="Arial"/>
          <w:color w:val="000000" w:themeColor="text1"/>
          <w:szCs w:val="22"/>
          <w:lang w:val="en-GB"/>
        </w:rPr>
        <w:t>the total technical</w:t>
      </w:r>
      <w:r w:rsidR="00CD455B">
        <w:rPr>
          <w:rFonts w:cs="Arial"/>
          <w:color w:val="000000" w:themeColor="text1"/>
          <w:szCs w:val="22"/>
          <w:lang w:val="en-GB"/>
        </w:rPr>
        <w:t xml:space="preserve"> firm</w:t>
      </w:r>
      <w:r>
        <w:rPr>
          <w:rFonts w:cs="Arial"/>
          <w:color w:val="000000" w:themeColor="text1"/>
          <w:szCs w:val="22"/>
          <w:lang w:val="en-GB"/>
        </w:rPr>
        <w:t xml:space="preserve"> capacity per gas year of the period under study, considering LT before CAM NC implementation capacity, unbundled capacity</w:t>
      </w:r>
      <w:r w:rsidR="00540FA9">
        <w:rPr>
          <w:rFonts w:cs="Arial"/>
          <w:color w:val="000000" w:themeColor="text1"/>
          <w:szCs w:val="22"/>
          <w:lang w:val="en-GB"/>
        </w:rPr>
        <w:t xml:space="preserve"> after CAM NC implementation</w:t>
      </w:r>
      <w:r>
        <w:rPr>
          <w:rFonts w:cs="Arial"/>
          <w:color w:val="000000" w:themeColor="text1"/>
          <w:szCs w:val="22"/>
          <w:lang w:val="en-GB"/>
        </w:rPr>
        <w:t xml:space="preserve"> (as the one that the shippers can contract through the PRISMA platform) and the bundled capacity for each side of the VIP.</w:t>
      </w:r>
    </w:p>
    <w:p w14:paraId="1EEAA7DE" w14:textId="6B0E496E" w:rsidR="00933513" w:rsidRDefault="00933513" w:rsidP="00E740A2">
      <w:pPr>
        <w:pStyle w:val="Ttulo4"/>
      </w:pPr>
      <w:r>
        <w:t>North to South flow direction</w:t>
      </w:r>
    </w:p>
    <w:tbl>
      <w:tblPr>
        <w:tblW w:w="0" w:type="auto"/>
        <w:tblCellMar>
          <w:left w:w="70" w:type="dxa"/>
          <w:right w:w="70" w:type="dxa"/>
        </w:tblCellMar>
        <w:tblLook w:val="04A0" w:firstRow="1" w:lastRow="0" w:firstColumn="1" w:lastColumn="0" w:noHBand="0" w:noVBand="1"/>
      </w:tblPr>
      <w:tblGrid>
        <w:gridCol w:w="982"/>
        <w:gridCol w:w="1052"/>
        <w:gridCol w:w="1110"/>
        <w:gridCol w:w="925"/>
        <w:gridCol w:w="877"/>
        <w:gridCol w:w="1052"/>
        <w:gridCol w:w="1110"/>
        <w:gridCol w:w="925"/>
        <w:gridCol w:w="877"/>
      </w:tblGrid>
      <w:tr w:rsidR="00DB71D8" w:rsidRPr="004007C0" w14:paraId="563407E6" w14:textId="77777777" w:rsidTr="00DB71D8">
        <w:trPr>
          <w:trHeight w:val="635"/>
        </w:trPr>
        <w:tc>
          <w:tcPr>
            <w:tcW w:w="0" w:type="auto"/>
            <w:vMerge w:val="restart"/>
            <w:tcBorders>
              <w:top w:val="single" w:sz="8" w:space="0" w:color="auto"/>
              <w:left w:val="single" w:sz="8" w:space="0" w:color="auto"/>
              <w:bottom w:val="nil"/>
              <w:right w:val="single" w:sz="8" w:space="0" w:color="auto"/>
            </w:tcBorders>
            <w:shd w:val="clear" w:color="000000" w:fill="EBF1DE"/>
            <w:vAlign w:val="center"/>
            <w:hideMark/>
          </w:tcPr>
          <w:p w14:paraId="1FFD3E80" w14:textId="77777777" w:rsidR="00DB71D8" w:rsidRPr="004007C0" w:rsidRDefault="00DB71D8" w:rsidP="004007C0">
            <w:pPr>
              <w:spacing w:before="0" w:after="0" w:line="240" w:lineRule="auto"/>
              <w:jc w:val="center"/>
              <w:rPr>
                <w:rFonts w:cs="Arial"/>
                <w:b/>
                <w:bCs/>
                <w:color w:val="000000"/>
                <w:sz w:val="16"/>
                <w:szCs w:val="16"/>
                <w:lang w:val="es-ES_tradnl" w:eastAsia="es-ES_tradnl"/>
              </w:rPr>
            </w:pPr>
            <w:r w:rsidRPr="004007C0">
              <w:rPr>
                <w:rFonts w:cs="Arial"/>
                <w:b/>
                <w:bCs/>
                <w:color w:val="000000"/>
                <w:sz w:val="16"/>
                <w:szCs w:val="16"/>
                <w:lang w:val="en-US" w:eastAsia="es-ES_tradnl"/>
              </w:rPr>
              <w:t>VIP PIRINEOS</w:t>
            </w:r>
          </w:p>
          <w:p w14:paraId="5153771C" w14:textId="48A0797E" w:rsidR="00DB71D8" w:rsidRPr="004007C0" w:rsidRDefault="00DB71D8" w:rsidP="004007C0">
            <w:pPr>
              <w:spacing w:before="0" w:after="0" w:line="240" w:lineRule="auto"/>
              <w:jc w:val="center"/>
              <w:rPr>
                <w:rFonts w:cs="Arial"/>
                <w:b/>
                <w:bCs/>
                <w:color w:val="000000"/>
                <w:sz w:val="16"/>
                <w:szCs w:val="16"/>
                <w:lang w:val="es-ES_tradnl" w:eastAsia="es-ES_tradnl"/>
              </w:rPr>
            </w:pPr>
            <w:r w:rsidRPr="004007C0">
              <w:rPr>
                <w:rFonts w:cs="Arial"/>
                <w:b/>
                <w:bCs/>
                <w:color w:val="000000"/>
                <w:sz w:val="16"/>
                <w:szCs w:val="16"/>
                <w:lang w:val="es-ES_tradnl" w:eastAsia="es-ES_tradnl"/>
              </w:rPr>
              <w:t xml:space="preserve"> (FR-</w:t>
            </w:r>
            <w:r w:rsidR="000673CD">
              <w:rPr>
                <w:rFonts w:cs="Arial"/>
                <w:b/>
                <w:bCs/>
                <w:color w:val="000000"/>
                <w:sz w:val="16"/>
                <w:szCs w:val="16"/>
                <w:lang w:val="es-ES_tradnl" w:eastAsia="es-ES_tradnl"/>
              </w:rPr>
              <w:t>ES</w:t>
            </w:r>
            <w:r w:rsidRPr="004007C0">
              <w:rPr>
                <w:rFonts w:cs="Arial"/>
                <w:b/>
                <w:bCs/>
                <w:color w:val="000000"/>
                <w:sz w:val="16"/>
                <w:szCs w:val="16"/>
                <w:lang w:val="es-ES_tradnl" w:eastAsia="es-ES_tradnl"/>
              </w:rPr>
              <w:t>)</w:t>
            </w:r>
          </w:p>
          <w:p w14:paraId="2C632484" w14:textId="0A0D595F" w:rsidR="00DB71D8" w:rsidRPr="004007C0" w:rsidRDefault="00DB71D8" w:rsidP="004007C0">
            <w:pPr>
              <w:spacing w:before="0" w:after="0" w:line="240" w:lineRule="auto"/>
              <w:jc w:val="center"/>
              <w:rPr>
                <w:rFonts w:cs="Arial"/>
                <w:b/>
                <w:bCs/>
                <w:color w:val="000000"/>
                <w:sz w:val="16"/>
                <w:szCs w:val="16"/>
                <w:lang w:val="es-ES_tradnl" w:eastAsia="es-ES_tradnl"/>
              </w:rPr>
            </w:pPr>
            <w:r w:rsidRPr="004007C0">
              <w:rPr>
                <w:rFonts w:cs="Arial"/>
                <w:b/>
                <w:bCs/>
                <w:color w:val="000000"/>
                <w:sz w:val="16"/>
                <w:szCs w:val="16"/>
                <w:lang w:val="es-ES_tradnl" w:eastAsia="es-ES_tradnl"/>
              </w:rPr>
              <w:t>GWh/d</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727CA036" w14:textId="77777777" w:rsidR="00DB71D8" w:rsidRPr="004007C0" w:rsidRDefault="00DB71D8" w:rsidP="004007C0">
            <w:pPr>
              <w:spacing w:before="0" w:after="0" w:line="240" w:lineRule="auto"/>
              <w:jc w:val="center"/>
              <w:rPr>
                <w:rFonts w:cs="Arial"/>
                <w:b/>
                <w:bCs/>
                <w:color w:val="000000"/>
                <w:sz w:val="16"/>
                <w:szCs w:val="16"/>
                <w:lang w:val="es-ES_tradnl" w:eastAsia="es-ES_tradnl"/>
              </w:rPr>
            </w:pPr>
            <w:r w:rsidRPr="004007C0">
              <w:rPr>
                <w:rFonts w:cs="Arial"/>
                <w:b/>
                <w:bCs/>
                <w:color w:val="000000"/>
                <w:sz w:val="16"/>
                <w:szCs w:val="16"/>
                <w:lang w:val="es-ES_tradnl" w:eastAsia="es-ES_tradnl"/>
              </w:rPr>
              <w:t>French side</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321B23AA" w14:textId="77777777" w:rsidR="00DB71D8" w:rsidRPr="004007C0" w:rsidRDefault="00DB71D8" w:rsidP="004007C0">
            <w:pPr>
              <w:spacing w:before="0" w:after="0" w:line="240" w:lineRule="auto"/>
              <w:jc w:val="center"/>
              <w:rPr>
                <w:rFonts w:cs="Arial"/>
                <w:b/>
                <w:bCs/>
                <w:color w:val="000000"/>
                <w:sz w:val="16"/>
                <w:szCs w:val="16"/>
                <w:lang w:val="es-ES_tradnl" w:eastAsia="es-ES_tradnl"/>
              </w:rPr>
            </w:pPr>
            <w:r w:rsidRPr="004007C0">
              <w:rPr>
                <w:rFonts w:cs="Arial"/>
                <w:b/>
                <w:bCs/>
                <w:color w:val="000000"/>
                <w:sz w:val="16"/>
                <w:szCs w:val="16"/>
                <w:lang w:val="es-ES_tradnl" w:eastAsia="es-ES_tradnl"/>
              </w:rPr>
              <w:t>Spanish side</w:t>
            </w:r>
          </w:p>
        </w:tc>
      </w:tr>
      <w:tr w:rsidR="00DB71D8" w:rsidRPr="004007C0" w14:paraId="31AC424C" w14:textId="77777777" w:rsidTr="00DB71D8">
        <w:trPr>
          <w:trHeight w:val="465"/>
        </w:trPr>
        <w:tc>
          <w:tcPr>
            <w:tcW w:w="0" w:type="auto"/>
            <w:vMerge/>
            <w:tcBorders>
              <w:left w:val="single" w:sz="8" w:space="0" w:color="auto"/>
              <w:bottom w:val="single" w:sz="8" w:space="0" w:color="000000"/>
              <w:right w:val="single" w:sz="8" w:space="0" w:color="auto"/>
            </w:tcBorders>
            <w:shd w:val="clear" w:color="000000" w:fill="EBF1DE"/>
            <w:vAlign w:val="center"/>
            <w:hideMark/>
          </w:tcPr>
          <w:p w14:paraId="41EEB804" w14:textId="7DD3D121" w:rsidR="00DB71D8" w:rsidRPr="004007C0" w:rsidRDefault="00DB71D8" w:rsidP="004007C0">
            <w:pPr>
              <w:spacing w:before="0" w:after="0" w:line="240" w:lineRule="auto"/>
              <w:jc w:val="center"/>
              <w:rPr>
                <w:rFonts w:cs="Arial"/>
                <w:b/>
                <w:bCs/>
                <w:color w:val="000000"/>
                <w:sz w:val="16"/>
                <w:szCs w:val="16"/>
                <w:lang w:val="es-ES_tradnl" w:eastAsia="es-ES_tradnl"/>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E165BC6" w14:textId="77777777" w:rsidR="00DB71D8" w:rsidRPr="004007C0" w:rsidRDefault="00DB71D8" w:rsidP="004007C0">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LT before CAM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3ACBB178" w14:textId="77777777" w:rsidR="00DB71D8" w:rsidRPr="004007C0" w:rsidRDefault="00DB71D8" w:rsidP="004007C0">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Unbundled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336409DB" w14:textId="77777777" w:rsidR="00DB71D8" w:rsidRPr="004007C0" w:rsidRDefault="00DB71D8" w:rsidP="004007C0">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Bundled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1FDAF86B" w14:textId="77777777" w:rsidR="00DB71D8" w:rsidRPr="004007C0" w:rsidRDefault="00DB71D8" w:rsidP="004007C0">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Booked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2E78DCE4" w14:textId="77777777" w:rsidR="00DB71D8" w:rsidRPr="004007C0" w:rsidRDefault="00DB71D8" w:rsidP="004007C0">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LT before CAM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6DBEDD42" w14:textId="77777777" w:rsidR="00DB71D8" w:rsidRPr="004007C0" w:rsidRDefault="00DB71D8" w:rsidP="004007C0">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Unbundled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4E3B234A" w14:textId="4273E172" w:rsidR="00DB71D8" w:rsidRPr="004007C0" w:rsidRDefault="00DB71D8" w:rsidP="004007C0">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Bundled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4DC5A087" w14:textId="77777777" w:rsidR="00DB71D8" w:rsidRPr="004007C0" w:rsidRDefault="00DB71D8" w:rsidP="004007C0">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Booked capacity</w:t>
            </w:r>
          </w:p>
        </w:tc>
      </w:tr>
      <w:tr w:rsidR="00416F14" w:rsidRPr="004007C0" w14:paraId="0AA37DCA" w14:textId="77777777" w:rsidTr="000621D4">
        <w:trPr>
          <w:trHeight w:val="315"/>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38781CA0" w14:textId="1C0F00D4" w:rsidR="00416F14" w:rsidRPr="004007C0" w:rsidRDefault="00416F14" w:rsidP="00416F14">
            <w:pPr>
              <w:spacing w:before="0" w:after="0" w:line="240" w:lineRule="auto"/>
              <w:jc w:val="center"/>
              <w:rPr>
                <w:rFonts w:ascii="Calibri" w:hAnsi="Calibri" w:cs="Calibri"/>
                <w:b/>
                <w:bCs/>
                <w:color w:val="FFFFFF"/>
                <w:sz w:val="16"/>
                <w:szCs w:val="16"/>
                <w:lang w:val="es-ES_tradnl" w:eastAsia="es-ES_tradnl"/>
              </w:rPr>
            </w:pPr>
            <w:r w:rsidRPr="004007C0">
              <w:rPr>
                <w:rFonts w:ascii="Calibri" w:hAnsi="Calibri" w:cs="Calibri"/>
                <w:b/>
                <w:bCs/>
                <w:color w:val="FFFFFF"/>
                <w:sz w:val="16"/>
                <w:szCs w:val="16"/>
                <w:lang w:val="es-ES_tradnl" w:eastAsia="es-ES_tradnl"/>
              </w:rPr>
              <w:t>2016</w:t>
            </w:r>
            <w:r>
              <w:rPr>
                <w:rFonts w:ascii="Calibri" w:hAnsi="Calibri" w:cs="Calibri"/>
                <w:b/>
                <w:bCs/>
                <w:color w:val="FFFFFF"/>
                <w:sz w:val="16"/>
                <w:szCs w:val="16"/>
                <w:lang w:val="es-ES_tradnl" w:eastAsia="es-ES_tradnl"/>
              </w:rPr>
              <w:t>-17</w:t>
            </w:r>
          </w:p>
        </w:tc>
        <w:tc>
          <w:tcPr>
            <w:tcW w:w="0" w:type="auto"/>
            <w:tcBorders>
              <w:top w:val="nil"/>
              <w:left w:val="nil"/>
              <w:bottom w:val="single" w:sz="8" w:space="0" w:color="auto"/>
              <w:right w:val="single" w:sz="8" w:space="0" w:color="auto"/>
            </w:tcBorders>
            <w:shd w:val="clear" w:color="auto" w:fill="auto"/>
            <w:noWrap/>
            <w:vAlign w:val="center"/>
            <w:hideMark/>
          </w:tcPr>
          <w:p w14:paraId="72EEF6BF" w14:textId="02309F12"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rPr>
              <w:t>63%</w:t>
            </w:r>
          </w:p>
        </w:tc>
        <w:tc>
          <w:tcPr>
            <w:tcW w:w="0" w:type="auto"/>
            <w:tcBorders>
              <w:top w:val="nil"/>
              <w:left w:val="nil"/>
              <w:bottom w:val="single" w:sz="8" w:space="0" w:color="auto"/>
              <w:right w:val="single" w:sz="8" w:space="0" w:color="auto"/>
            </w:tcBorders>
            <w:shd w:val="clear" w:color="auto" w:fill="auto"/>
            <w:noWrap/>
            <w:vAlign w:val="center"/>
            <w:hideMark/>
          </w:tcPr>
          <w:p w14:paraId="547CE84F" w14:textId="1E533275"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rPr>
              <w:t>0,4%</w:t>
            </w:r>
          </w:p>
        </w:tc>
        <w:tc>
          <w:tcPr>
            <w:tcW w:w="0" w:type="auto"/>
            <w:tcBorders>
              <w:top w:val="nil"/>
              <w:left w:val="nil"/>
              <w:bottom w:val="single" w:sz="8" w:space="0" w:color="auto"/>
              <w:right w:val="single" w:sz="8" w:space="0" w:color="auto"/>
            </w:tcBorders>
            <w:shd w:val="clear" w:color="auto" w:fill="auto"/>
            <w:noWrap/>
            <w:vAlign w:val="center"/>
            <w:hideMark/>
          </w:tcPr>
          <w:p w14:paraId="56E90054" w14:textId="78C37FD4"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rPr>
              <w:t>2,3%</w:t>
            </w:r>
          </w:p>
        </w:tc>
        <w:tc>
          <w:tcPr>
            <w:tcW w:w="0" w:type="auto"/>
            <w:tcBorders>
              <w:top w:val="nil"/>
              <w:left w:val="nil"/>
              <w:bottom w:val="single" w:sz="8" w:space="0" w:color="auto"/>
              <w:right w:val="single" w:sz="8" w:space="0" w:color="auto"/>
            </w:tcBorders>
            <w:shd w:val="clear" w:color="auto" w:fill="auto"/>
            <w:noWrap/>
            <w:vAlign w:val="center"/>
            <w:hideMark/>
          </w:tcPr>
          <w:p w14:paraId="43BE8A5B" w14:textId="7F0BEA3D"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lang w:val="es-ES_tradnl"/>
              </w:rPr>
              <w:t>66%</w:t>
            </w:r>
          </w:p>
        </w:tc>
        <w:tc>
          <w:tcPr>
            <w:tcW w:w="0" w:type="auto"/>
            <w:tcBorders>
              <w:top w:val="nil"/>
              <w:left w:val="nil"/>
              <w:bottom w:val="single" w:sz="8" w:space="0" w:color="auto"/>
              <w:right w:val="single" w:sz="8" w:space="0" w:color="auto"/>
            </w:tcBorders>
            <w:shd w:val="clear" w:color="auto" w:fill="auto"/>
            <w:noWrap/>
            <w:vAlign w:val="center"/>
            <w:hideMark/>
          </w:tcPr>
          <w:p w14:paraId="7FCE97DA"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65%</w:t>
            </w:r>
          </w:p>
        </w:tc>
        <w:tc>
          <w:tcPr>
            <w:tcW w:w="0" w:type="auto"/>
            <w:tcBorders>
              <w:top w:val="nil"/>
              <w:left w:val="nil"/>
              <w:bottom w:val="single" w:sz="8" w:space="0" w:color="auto"/>
              <w:right w:val="single" w:sz="8" w:space="0" w:color="auto"/>
            </w:tcBorders>
            <w:shd w:val="clear" w:color="auto" w:fill="auto"/>
            <w:noWrap/>
            <w:vAlign w:val="center"/>
            <w:hideMark/>
          </w:tcPr>
          <w:p w14:paraId="33A47B62"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3%</w:t>
            </w:r>
          </w:p>
        </w:tc>
        <w:tc>
          <w:tcPr>
            <w:tcW w:w="0" w:type="auto"/>
            <w:tcBorders>
              <w:top w:val="nil"/>
              <w:left w:val="nil"/>
              <w:bottom w:val="single" w:sz="8" w:space="0" w:color="auto"/>
              <w:right w:val="single" w:sz="8" w:space="0" w:color="auto"/>
            </w:tcBorders>
            <w:shd w:val="clear" w:color="auto" w:fill="auto"/>
            <w:vAlign w:val="center"/>
            <w:hideMark/>
          </w:tcPr>
          <w:p w14:paraId="481E3BBD"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2%</w:t>
            </w:r>
          </w:p>
        </w:tc>
        <w:tc>
          <w:tcPr>
            <w:tcW w:w="0" w:type="auto"/>
            <w:tcBorders>
              <w:top w:val="nil"/>
              <w:left w:val="nil"/>
              <w:bottom w:val="single" w:sz="8" w:space="0" w:color="auto"/>
              <w:right w:val="single" w:sz="8" w:space="0" w:color="auto"/>
            </w:tcBorders>
            <w:shd w:val="clear" w:color="auto" w:fill="auto"/>
            <w:noWrap/>
            <w:vAlign w:val="center"/>
            <w:hideMark/>
          </w:tcPr>
          <w:p w14:paraId="4AE69308"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70%</w:t>
            </w:r>
          </w:p>
        </w:tc>
      </w:tr>
      <w:tr w:rsidR="00416F14" w:rsidRPr="004007C0" w14:paraId="27D787DF" w14:textId="77777777" w:rsidTr="000621D4">
        <w:trPr>
          <w:trHeight w:val="315"/>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3D1D66BB" w14:textId="069F7B44" w:rsidR="00416F14" w:rsidRPr="004007C0" w:rsidRDefault="00416F14" w:rsidP="00416F14">
            <w:pPr>
              <w:spacing w:before="0" w:after="0" w:line="240" w:lineRule="auto"/>
              <w:jc w:val="center"/>
              <w:rPr>
                <w:rFonts w:ascii="Calibri" w:hAnsi="Calibri" w:cs="Calibri"/>
                <w:b/>
                <w:bCs/>
                <w:color w:val="FFFFFF"/>
                <w:sz w:val="16"/>
                <w:szCs w:val="16"/>
                <w:lang w:val="es-ES_tradnl" w:eastAsia="es-ES_tradnl"/>
              </w:rPr>
            </w:pPr>
            <w:r w:rsidRPr="004007C0">
              <w:rPr>
                <w:rFonts w:ascii="Calibri" w:hAnsi="Calibri" w:cs="Calibri"/>
                <w:b/>
                <w:bCs/>
                <w:color w:val="FFFFFF"/>
                <w:sz w:val="16"/>
                <w:szCs w:val="16"/>
                <w:lang w:val="es-ES_tradnl" w:eastAsia="es-ES_tradnl"/>
              </w:rPr>
              <w:t>2017</w:t>
            </w:r>
            <w:r>
              <w:rPr>
                <w:rFonts w:ascii="Calibri" w:hAnsi="Calibri" w:cs="Calibri"/>
                <w:b/>
                <w:bCs/>
                <w:color w:val="FFFFFF"/>
                <w:sz w:val="16"/>
                <w:szCs w:val="16"/>
                <w:lang w:val="es-ES_tradnl" w:eastAsia="es-ES_tradnl"/>
              </w:rPr>
              <w:t>-18</w:t>
            </w:r>
          </w:p>
        </w:tc>
        <w:tc>
          <w:tcPr>
            <w:tcW w:w="0" w:type="auto"/>
            <w:tcBorders>
              <w:top w:val="nil"/>
              <w:left w:val="nil"/>
              <w:bottom w:val="single" w:sz="8" w:space="0" w:color="auto"/>
              <w:right w:val="single" w:sz="8" w:space="0" w:color="auto"/>
            </w:tcBorders>
            <w:shd w:val="clear" w:color="auto" w:fill="auto"/>
            <w:noWrap/>
            <w:vAlign w:val="center"/>
            <w:hideMark/>
          </w:tcPr>
          <w:p w14:paraId="2BFADE30" w14:textId="07261AAD"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rPr>
              <w:t>63%</w:t>
            </w:r>
          </w:p>
        </w:tc>
        <w:tc>
          <w:tcPr>
            <w:tcW w:w="0" w:type="auto"/>
            <w:tcBorders>
              <w:top w:val="nil"/>
              <w:left w:val="nil"/>
              <w:bottom w:val="single" w:sz="8" w:space="0" w:color="auto"/>
              <w:right w:val="single" w:sz="8" w:space="0" w:color="auto"/>
            </w:tcBorders>
            <w:shd w:val="clear" w:color="auto" w:fill="auto"/>
            <w:noWrap/>
            <w:vAlign w:val="center"/>
            <w:hideMark/>
          </w:tcPr>
          <w:p w14:paraId="522AB180" w14:textId="5BDA23B5"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rPr>
              <w:t>0,3%</w:t>
            </w:r>
          </w:p>
        </w:tc>
        <w:tc>
          <w:tcPr>
            <w:tcW w:w="0" w:type="auto"/>
            <w:tcBorders>
              <w:top w:val="nil"/>
              <w:left w:val="nil"/>
              <w:bottom w:val="single" w:sz="8" w:space="0" w:color="auto"/>
              <w:right w:val="single" w:sz="8" w:space="0" w:color="auto"/>
            </w:tcBorders>
            <w:shd w:val="clear" w:color="auto" w:fill="auto"/>
            <w:noWrap/>
            <w:vAlign w:val="center"/>
            <w:hideMark/>
          </w:tcPr>
          <w:p w14:paraId="4AE86214" w14:textId="5A98ADD2"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14:paraId="5007664B" w14:textId="2E512DAD"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lang w:val="es-ES_tradnl"/>
              </w:rPr>
              <w:t>65%</w:t>
            </w:r>
          </w:p>
        </w:tc>
        <w:tc>
          <w:tcPr>
            <w:tcW w:w="0" w:type="auto"/>
            <w:tcBorders>
              <w:top w:val="nil"/>
              <w:left w:val="nil"/>
              <w:bottom w:val="single" w:sz="8" w:space="0" w:color="auto"/>
              <w:right w:val="single" w:sz="8" w:space="0" w:color="auto"/>
            </w:tcBorders>
            <w:shd w:val="clear" w:color="auto" w:fill="auto"/>
            <w:noWrap/>
            <w:vAlign w:val="center"/>
            <w:hideMark/>
          </w:tcPr>
          <w:p w14:paraId="46EC1A98"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65%</w:t>
            </w:r>
          </w:p>
        </w:tc>
        <w:tc>
          <w:tcPr>
            <w:tcW w:w="0" w:type="auto"/>
            <w:tcBorders>
              <w:top w:val="nil"/>
              <w:left w:val="nil"/>
              <w:bottom w:val="single" w:sz="8" w:space="0" w:color="auto"/>
              <w:right w:val="single" w:sz="8" w:space="0" w:color="auto"/>
            </w:tcBorders>
            <w:shd w:val="clear" w:color="auto" w:fill="auto"/>
            <w:noWrap/>
            <w:vAlign w:val="center"/>
            <w:hideMark/>
          </w:tcPr>
          <w:p w14:paraId="6AC520C4"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4%</w:t>
            </w:r>
          </w:p>
        </w:tc>
        <w:tc>
          <w:tcPr>
            <w:tcW w:w="0" w:type="auto"/>
            <w:tcBorders>
              <w:top w:val="nil"/>
              <w:left w:val="nil"/>
              <w:bottom w:val="single" w:sz="8" w:space="0" w:color="auto"/>
              <w:right w:val="single" w:sz="8" w:space="0" w:color="auto"/>
            </w:tcBorders>
            <w:shd w:val="clear" w:color="auto" w:fill="auto"/>
            <w:vAlign w:val="center"/>
            <w:hideMark/>
          </w:tcPr>
          <w:p w14:paraId="27870075"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2%</w:t>
            </w:r>
          </w:p>
        </w:tc>
        <w:tc>
          <w:tcPr>
            <w:tcW w:w="0" w:type="auto"/>
            <w:tcBorders>
              <w:top w:val="nil"/>
              <w:left w:val="nil"/>
              <w:bottom w:val="single" w:sz="8" w:space="0" w:color="auto"/>
              <w:right w:val="single" w:sz="8" w:space="0" w:color="auto"/>
            </w:tcBorders>
            <w:shd w:val="clear" w:color="auto" w:fill="auto"/>
            <w:noWrap/>
            <w:vAlign w:val="center"/>
            <w:hideMark/>
          </w:tcPr>
          <w:p w14:paraId="012948B9"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71%</w:t>
            </w:r>
          </w:p>
        </w:tc>
      </w:tr>
      <w:tr w:rsidR="00416F14" w:rsidRPr="004007C0" w14:paraId="6CADD8B3" w14:textId="77777777" w:rsidTr="000621D4">
        <w:trPr>
          <w:trHeight w:val="315"/>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1284455D" w14:textId="2F48A6A9" w:rsidR="00416F14" w:rsidRPr="004007C0" w:rsidRDefault="00416F14" w:rsidP="00416F14">
            <w:pPr>
              <w:spacing w:before="0" w:after="0" w:line="240" w:lineRule="auto"/>
              <w:jc w:val="center"/>
              <w:rPr>
                <w:rFonts w:ascii="Calibri" w:hAnsi="Calibri" w:cs="Calibri"/>
                <w:b/>
                <w:bCs/>
                <w:color w:val="FFFFFF"/>
                <w:sz w:val="16"/>
                <w:szCs w:val="16"/>
                <w:lang w:val="es-ES_tradnl" w:eastAsia="es-ES_tradnl"/>
              </w:rPr>
            </w:pPr>
            <w:r w:rsidRPr="004007C0">
              <w:rPr>
                <w:rFonts w:ascii="Calibri" w:hAnsi="Calibri" w:cs="Calibri"/>
                <w:b/>
                <w:bCs/>
                <w:color w:val="FFFFFF"/>
                <w:sz w:val="16"/>
                <w:szCs w:val="16"/>
                <w:lang w:val="es-ES_tradnl" w:eastAsia="es-ES_tradnl"/>
              </w:rPr>
              <w:t>2018</w:t>
            </w:r>
            <w:r>
              <w:rPr>
                <w:rFonts w:ascii="Calibri" w:hAnsi="Calibri" w:cs="Calibri"/>
                <w:b/>
                <w:bCs/>
                <w:color w:val="FFFFFF"/>
                <w:sz w:val="16"/>
                <w:szCs w:val="16"/>
                <w:lang w:val="es-ES_tradnl" w:eastAsia="es-ES_tradnl"/>
              </w:rPr>
              <w:t>-19</w:t>
            </w:r>
          </w:p>
        </w:tc>
        <w:tc>
          <w:tcPr>
            <w:tcW w:w="0" w:type="auto"/>
            <w:tcBorders>
              <w:top w:val="nil"/>
              <w:left w:val="nil"/>
              <w:bottom w:val="single" w:sz="8" w:space="0" w:color="auto"/>
              <w:right w:val="single" w:sz="8" w:space="0" w:color="auto"/>
            </w:tcBorders>
            <w:shd w:val="clear" w:color="auto" w:fill="auto"/>
            <w:noWrap/>
            <w:vAlign w:val="center"/>
            <w:hideMark/>
          </w:tcPr>
          <w:p w14:paraId="7765CD79" w14:textId="7B521E42"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rPr>
              <w:t>63%</w:t>
            </w:r>
          </w:p>
        </w:tc>
        <w:tc>
          <w:tcPr>
            <w:tcW w:w="0" w:type="auto"/>
            <w:tcBorders>
              <w:top w:val="nil"/>
              <w:left w:val="nil"/>
              <w:bottom w:val="single" w:sz="8" w:space="0" w:color="auto"/>
              <w:right w:val="single" w:sz="8" w:space="0" w:color="auto"/>
            </w:tcBorders>
            <w:shd w:val="clear" w:color="auto" w:fill="auto"/>
            <w:noWrap/>
            <w:vAlign w:val="center"/>
            <w:hideMark/>
          </w:tcPr>
          <w:p w14:paraId="1788847F" w14:textId="185FD712"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rPr>
              <w:t>4,4%</w:t>
            </w:r>
          </w:p>
        </w:tc>
        <w:tc>
          <w:tcPr>
            <w:tcW w:w="0" w:type="auto"/>
            <w:tcBorders>
              <w:top w:val="nil"/>
              <w:left w:val="nil"/>
              <w:bottom w:val="single" w:sz="8" w:space="0" w:color="auto"/>
              <w:right w:val="single" w:sz="8" w:space="0" w:color="auto"/>
            </w:tcBorders>
            <w:shd w:val="clear" w:color="auto" w:fill="auto"/>
            <w:noWrap/>
            <w:vAlign w:val="center"/>
            <w:hideMark/>
          </w:tcPr>
          <w:p w14:paraId="6B4FBCCC" w14:textId="2FCA8237"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rPr>
              <w:t>6,2%</w:t>
            </w:r>
          </w:p>
        </w:tc>
        <w:tc>
          <w:tcPr>
            <w:tcW w:w="0" w:type="auto"/>
            <w:tcBorders>
              <w:top w:val="nil"/>
              <w:left w:val="nil"/>
              <w:bottom w:val="single" w:sz="8" w:space="0" w:color="auto"/>
              <w:right w:val="single" w:sz="8" w:space="0" w:color="auto"/>
            </w:tcBorders>
            <w:shd w:val="clear" w:color="auto" w:fill="auto"/>
            <w:noWrap/>
            <w:vAlign w:val="center"/>
            <w:hideMark/>
          </w:tcPr>
          <w:p w14:paraId="6D0AD4F1" w14:textId="06F2460F"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lang w:val="es-ES_tradnl"/>
              </w:rPr>
              <w:t>74%</w:t>
            </w:r>
          </w:p>
        </w:tc>
        <w:tc>
          <w:tcPr>
            <w:tcW w:w="0" w:type="auto"/>
            <w:tcBorders>
              <w:top w:val="nil"/>
              <w:left w:val="nil"/>
              <w:bottom w:val="single" w:sz="8" w:space="0" w:color="auto"/>
              <w:right w:val="single" w:sz="8" w:space="0" w:color="auto"/>
            </w:tcBorders>
            <w:shd w:val="clear" w:color="auto" w:fill="auto"/>
            <w:noWrap/>
            <w:vAlign w:val="center"/>
            <w:hideMark/>
          </w:tcPr>
          <w:p w14:paraId="5398250D"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65%</w:t>
            </w:r>
          </w:p>
        </w:tc>
        <w:tc>
          <w:tcPr>
            <w:tcW w:w="0" w:type="auto"/>
            <w:tcBorders>
              <w:top w:val="nil"/>
              <w:left w:val="nil"/>
              <w:bottom w:val="single" w:sz="8" w:space="0" w:color="auto"/>
              <w:right w:val="single" w:sz="8" w:space="0" w:color="auto"/>
            </w:tcBorders>
            <w:shd w:val="clear" w:color="auto" w:fill="auto"/>
            <w:noWrap/>
            <w:vAlign w:val="center"/>
            <w:hideMark/>
          </w:tcPr>
          <w:p w14:paraId="0ED2352C"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12%</w:t>
            </w:r>
          </w:p>
        </w:tc>
        <w:tc>
          <w:tcPr>
            <w:tcW w:w="0" w:type="auto"/>
            <w:tcBorders>
              <w:top w:val="nil"/>
              <w:left w:val="nil"/>
              <w:bottom w:val="single" w:sz="8" w:space="0" w:color="auto"/>
              <w:right w:val="single" w:sz="8" w:space="0" w:color="auto"/>
            </w:tcBorders>
            <w:shd w:val="clear" w:color="auto" w:fill="auto"/>
            <w:vAlign w:val="center"/>
            <w:hideMark/>
          </w:tcPr>
          <w:p w14:paraId="314E9D78" w14:textId="77777777" w:rsidR="00416F14" w:rsidRPr="004007C0" w:rsidRDefault="00416F14" w:rsidP="00416F14">
            <w:pPr>
              <w:spacing w:before="0" w:after="0" w:line="240" w:lineRule="auto"/>
              <w:jc w:val="center"/>
              <w:rPr>
                <w:rFonts w:cs="Arial"/>
                <w:color w:val="000000"/>
                <w:sz w:val="16"/>
                <w:szCs w:val="16"/>
                <w:lang w:val="es-ES_tradnl" w:eastAsia="es-ES_tradnl"/>
              </w:rPr>
            </w:pPr>
            <w:r w:rsidRPr="004007C0">
              <w:rPr>
                <w:rFonts w:cs="Arial"/>
                <w:color w:val="000000"/>
                <w:sz w:val="16"/>
                <w:szCs w:val="16"/>
                <w:lang w:val="es-ES_tradnl" w:eastAsia="es-ES_tradnl"/>
              </w:rPr>
              <w:t>6% </w:t>
            </w:r>
          </w:p>
        </w:tc>
        <w:tc>
          <w:tcPr>
            <w:tcW w:w="0" w:type="auto"/>
            <w:tcBorders>
              <w:top w:val="nil"/>
              <w:left w:val="nil"/>
              <w:bottom w:val="single" w:sz="8" w:space="0" w:color="auto"/>
              <w:right w:val="single" w:sz="8" w:space="0" w:color="auto"/>
            </w:tcBorders>
            <w:shd w:val="clear" w:color="auto" w:fill="auto"/>
            <w:noWrap/>
            <w:vAlign w:val="center"/>
            <w:hideMark/>
          </w:tcPr>
          <w:p w14:paraId="2FFBDF2F" w14:textId="49074F58" w:rsidR="00416F14" w:rsidRPr="004007C0" w:rsidRDefault="00416F14" w:rsidP="00416F14">
            <w:pPr>
              <w:spacing w:before="0" w:after="0" w:line="240" w:lineRule="auto"/>
              <w:jc w:val="center"/>
              <w:rPr>
                <w:rFonts w:cs="Arial"/>
                <w:color w:val="000000"/>
                <w:sz w:val="16"/>
                <w:szCs w:val="16"/>
                <w:lang w:val="es-ES_tradnl" w:eastAsia="es-ES_tradnl"/>
              </w:rPr>
            </w:pPr>
            <w:r>
              <w:rPr>
                <w:rFonts w:cs="Arial"/>
                <w:color w:val="000000"/>
                <w:sz w:val="16"/>
                <w:szCs w:val="16"/>
                <w:lang w:val="es-ES_tradnl" w:eastAsia="es-ES_tradnl"/>
              </w:rPr>
              <w:t>83</w:t>
            </w:r>
            <w:r w:rsidRPr="004007C0">
              <w:rPr>
                <w:rFonts w:cs="Arial"/>
                <w:color w:val="000000"/>
                <w:sz w:val="16"/>
                <w:szCs w:val="16"/>
                <w:lang w:val="es-ES_tradnl" w:eastAsia="es-ES_tradnl"/>
              </w:rPr>
              <w:t>%</w:t>
            </w:r>
          </w:p>
        </w:tc>
      </w:tr>
    </w:tbl>
    <w:p w14:paraId="6F786B8A" w14:textId="2CF8B208" w:rsidR="00235433" w:rsidRDefault="00235433" w:rsidP="00E740A2">
      <w:pPr>
        <w:pStyle w:val="Descripcin"/>
        <w:jc w:val="center"/>
        <w:rPr>
          <w:sz w:val="16"/>
          <w:lang w:val="en-US"/>
        </w:rPr>
      </w:pPr>
      <w:r w:rsidRPr="00E740A2">
        <w:rPr>
          <w:sz w:val="16"/>
          <w:lang w:val="en-US"/>
        </w:rPr>
        <w:t xml:space="preserve">Table </w:t>
      </w:r>
      <w:r w:rsidRPr="00E740A2">
        <w:rPr>
          <w:sz w:val="16"/>
        </w:rPr>
        <w:fldChar w:fldCharType="begin"/>
      </w:r>
      <w:r w:rsidRPr="00E740A2">
        <w:rPr>
          <w:sz w:val="16"/>
          <w:lang w:val="en-US"/>
        </w:rPr>
        <w:instrText xml:space="preserve"> SEQ Table \* ARABIC </w:instrText>
      </w:r>
      <w:r w:rsidRPr="00E740A2">
        <w:rPr>
          <w:sz w:val="16"/>
        </w:rPr>
        <w:fldChar w:fldCharType="separate"/>
      </w:r>
      <w:r w:rsidR="00E859C7">
        <w:rPr>
          <w:noProof/>
          <w:sz w:val="16"/>
          <w:lang w:val="en-US"/>
        </w:rPr>
        <w:t>8</w:t>
      </w:r>
      <w:r w:rsidRPr="00E740A2">
        <w:rPr>
          <w:sz w:val="16"/>
        </w:rPr>
        <w:fldChar w:fldCharType="end"/>
      </w:r>
      <w:r w:rsidRPr="00E740A2">
        <w:rPr>
          <w:sz w:val="16"/>
          <w:lang w:val="en-US"/>
        </w:rPr>
        <w:t>. Booked capacities VIP Pirineos o</w:t>
      </w:r>
      <w:r w:rsidR="00F035B3">
        <w:rPr>
          <w:sz w:val="16"/>
          <w:lang w:val="en-US"/>
        </w:rPr>
        <w:t>n</w:t>
      </w:r>
      <w:r w:rsidRPr="00E740A2">
        <w:rPr>
          <w:sz w:val="16"/>
          <w:lang w:val="en-US"/>
        </w:rPr>
        <w:t xml:space="preserve"> technical firm capacity</w:t>
      </w:r>
      <w:r w:rsidR="006C22A1" w:rsidRPr="00E740A2">
        <w:rPr>
          <w:sz w:val="16"/>
          <w:lang w:val="en-US"/>
        </w:rPr>
        <w:t xml:space="preserve"> – </w:t>
      </w:r>
      <w:r w:rsidR="00E740A2">
        <w:rPr>
          <w:sz w:val="16"/>
          <w:lang w:val="en-US"/>
        </w:rPr>
        <w:t>France</w:t>
      </w:r>
      <w:r w:rsidR="00E740A2" w:rsidRPr="00E740A2">
        <w:rPr>
          <w:sz w:val="16"/>
          <w:lang w:val="en-US"/>
        </w:rPr>
        <w:t xml:space="preserve"> </w:t>
      </w:r>
      <w:r w:rsidR="006C22A1" w:rsidRPr="00E740A2">
        <w:rPr>
          <w:sz w:val="16"/>
          <w:lang w:val="en-US"/>
        </w:rPr>
        <w:t xml:space="preserve">to </w:t>
      </w:r>
      <w:r w:rsidR="00E740A2">
        <w:rPr>
          <w:sz w:val="16"/>
          <w:lang w:val="en-US"/>
        </w:rPr>
        <w:t>Spain</w:t>
      </w:r>
    </w:p>
    <w:p w14:paraId="41F189E3" w14:textId="13F6EBD9" w:rsidR="00140815" w:rsidRPr="00E740A2" w:rsidRDefault="000621D4" w:rsidP="00E740A2">
      <w:pPr>
        <w:spacing w:line="312" w:lineRule="auto"/>
        <w:rPr>
          <w:lang w:val="en-US"/>
        </w:rPr>
      </w:pPr>
      <w:r>
        <w:rPr>
          <w:lang w:val="en-US" w:eastAsia="ja-JP"/>
        </w:rPr>
        <w:t>I</w:t>
      </w:r>
      <w:r w:rsidR="00140815" w:rsidRPr="00140815">
        <w:rPr>
          <w:lang w:val="en-US" w:eastAsia="ja-JP"/>
        </w:rPr>
        <w:t>t should be mentioned</w:t>
      </w:r>
      <w:r w:rsidR="00140815">
        <w:rPr>
          <w:lang w:val="en-US" w:eastAsia="ja-JP"/>
        </w:rPr>
        <w:t xml:space="preserve"> </w:t>
      </w:r>
      <w:r w:rsidR="00140815" w:rsidRPr="00140815">
        <w:rPr>
          <w:lang w:val="en-US" w:eastAsia="ja-JP"/>
        </w:rPr>
        <w:t xml:space="preserve"> that </w:t>
      </w:r>
      <w:r>
        <w:rPr>
          <w:lang w:val="en-US" w:eastAsia="ja-JP"/>
        </w:rPr>
        <w:t xml:space="preserve">on </w:t>
      </w:r>
      <w:r w:rsidR="00140815" w:rsidRPr="00140815">
        <w:rPr>
          <w:lang w:val="en-US" w:eastAsia="ja-JP"/>
        </w:rPr>
        <w:t>2</w:t>
      </w:r>
      <w:r w:rsidR="00140815" w:rsidRPr="00E740A2">
        <w:rPr>
          <w:vertAlign w:val="superscript"/>
          <w:lang w:val="en-US" w:eastAsia="ja-JP"/>
        </w:rPr>
        <w:t>nd</w:t>
      </w:r>
      <w:r w:rsidR="00140815" w:rsidRPr="00140815">
        <w:rPr>
          <w:lang w:val="en-US" w:eastAsia="ja-JP"/>
        </w:rPr>
        <w:t xml:space="preserve"> of March 2018 gas year, a total amount of 21.9 GWh/d were booked via OSBB</w:t>
      </w:r>
      <w:r w:rsidR="00140815">
        <w:rPr>
          <w:lang w:val="en-US" w:eastAsia="ja-JP"/>
        </w:rPr>
        <w:t>, representing a bundled capacity and making the total capacity bookings to raise above the total technical firm capacity on the Spanish side.</w:t>
      </w:r>
    </w:p>
    <w:p w14:paraId="69EA01A7" w14:textId="45324C84" w:rsidR="00D70321" w:rsidRDefault="00D70321" w:rsidP="00E740A2">
      <w:pPr>
        <w:spacing w:line="312" w:lineRule="auto"/>
        <w:rPr>
          <w:rFonts w:cs="Arial"/>
          <w:b/>
          <w:color w:val="000000" w:themeColor="text1"/>
          <w:szCs w:val="22"/>
          <w:u w:val="single"/>
          <w:lang w:val="en-GB"/>
        </w:rPr>
      </w:pPr>
      <w:r w:rsidRPr="00E740A2">
        <w:rPr>
          <w:rFonts w:cs="Arial"/>
          <w:b/>
          <w:color w:val="000000" w:themeColor="text1"/>
          <w:szCs w:val="22"/>
          <w:u w:val="single"/>
          <w:lang w:val="en-GB"/>
        </w:rPr>
        <w:t>French side</w:t>
      </w:r>
    </w:p>
    <w:p w14:paraId="11F23BF1" w14:textId="7D842B42" w:rsidR="006A513B" w:rsidRPr="000621D4" w:rsidRDefault="006A513B" w:rsidP="006A513B">
      <w:pPr>
        <w:spacing w:line="312" w:lineRule="auto"/>
        <w:rPr>
          <w:rFonts w:cs="Arial"/>
          <w:color w:val="000000" w:themeColor="text1"/>
          <w:szCs w:val="22"/>
          <w:lang w:val="en-GB"/>
        </w:rPr>
      </w:pPr>
      <w:r w:rsidRPr="000621D4">
        <w:rPr>
          <w:rFonts w:cs="Arial"/>
          <w:color w:val="000000" w:themeColor="text1"/>
          <w:szCs w:val="22"/>
          <w:lang w:val="en-GB"/>
        </w:rPr>
        <w:t>+ 8% increase over the studied period for the booked capacity.</w:t>
      </w:r>
    </w:p>
    <w:p w14:paraId="306631FD" w14:textId="77777777" w:rsidR="006A513B" w:rsidRPr="000621D4" w:rsidRDefault="006A513B" w:rsidP="006A513B">
      <w:pPr>
        <w:spacing w:line="312" w:lineRule="auto"/>
        <w:rPr>
          <w:rFonts w:cs="Arial"/>
          <w:color w:val="000000" w:themeColor="text1"/>
          <w:szCs w:val="22"/>
          <w:lang w:val="en-GB"/>
        </w:rPr>
      </w:pPr>
      <w:r w:rsidRPr="000621D4">
        <w:rPr>
          <w:rFonts w:cs="Arial"/>
          <w:color w:val="000000" w:themeColor="text1"/>
          <w:szCs w:val="22"/>
          <w:lang w:val="en-GB"/>
        </w:rPr>
        <w:t>Since the entry into force of the TRF on the 1st of November 2018, booking and flow level from France to Spain have been maintained at a high level. The subscription rate at the exit firm capacity has increased to 100% over 6 months, from October 2018 to March 2019, triggering daily interruptible capacity each day of that period. For the period Jan-March 2019, the Total technical capacity was reached 10 times (100%), with an average subscription of 90%.</w:t>
      </w:r>
    </w:p>
    <w:p w14:paraId="5B9873FA" w14:textId="77777777" w:rsidR="006A513B" w:rsidRPr="000621D4" w:rsidRDefault="006A513B" w:rsidP="006A513B">
      <w:pPr>
        <w:spacing w:line="312" w:lineRule="auto"/>
        <w:rPr>
          <w:rFonts w:cs="Arial"/>
          <w:color w:val="000000" w:themeColor="text1"/>
          <w:szCs w:val="22"/>
          <w:lang w:val="en-GB"/>
        </w:rPr>
      </w:pPr>
      <w:r w:rsidRPr="000621D4">
        <w:rPr>
          <w:rFonts w:cs="Arial"/>
          <w:color w:val="000000" w:themeColor="text1"/>
          <w:szCs w:val="22"/>
          <w:lang w:val="en-GB"/>
        </w:rPr>
        <w:t>This effect was induced by the decrease of the PEG price, which accentuated the France-Spain spread and triggered opportunities for market players.</w:t>
      </w:r>
    </w:p>
    <w:p w14:paraId="02A61916" w14:textId="77777777" w:rsidR="006A513B" w:rsidRPr="000621D4" w:rsidRDefault="006A513B" w:rsidP="006A513B">
      <w:pPr>
        <w:spacing w:line="312" w:lineRule="auto"/>
        <w:rPr>
          <w:rFonts w:cs="Arial"/>
          <w:color w:val="000000" w:themeColor="text1"/>
          <w:szCs w:val="22"/>
          <w:lang w:val="en-GB"/>
        </w:rPr>
      </w:pPr>
      <w:r w:rsidRPr="000621D4">
        <w:rPr>
          <w:rFonts w:cs="Arial"/>
          <w:color w:val="000000" w:themeColor="text1"/>
          <w:szCs w:val="22"/>
          <w:lang w:val="en-GB"/>
        </w:rPr>
        <w:t>Over the first quarter of 2019, commercial flows reached a historically high level, with an average of 201 GWh/day.</w:t>
      </w:r>
    </w:p>
    <w:p w14:paraId="391D1D9C" w14:textId="77777777" w:rsidR="006A513B" w:rsidRPr="000621D4" w:rsidRDefault="006A513B" w:rsidP="006A513B">
      <w:pPr>
        <w:spacing w:line="312" w:lineRule="auto"/>
        <w:rPr>
          <w:rFonts w:cs="Arial"/>
          <w:color w:val="000000" w:themeColor="text1"/>
          <w:szCs w:val="22"/>
          <w:lang w:val="en-GB"/>
        </w:rPr>
      </w:pPr>
      <w:r w:rsidRPr="000621D4">
        <w:rPr>
          <w:rFonts w:cs="Arial"/>
          <w:color w:val="000000" w:themeColor="text1"/>
          <w:szCs w:val="22"/>
          <w:lang w:val="en-GB"/>
        </w:rPr>
        <w:t xml:space="preserve">In 2016, the interruptible capacity was booked for 27 days. </w:t>
      </w:r>
    </w:p>
    <w:p w14:paraId="2D05C17E" w14:textId="77777777" w:rsidR="006A513B" w:rsidRPr="000621D4" w:rsidRDefault="006A513B" w:rsidP="006A513B">
      <w:pPr>
        <w:spacing w:line="312" w:lineRule="auto"/>
        <w:rPr>
          <w:rFonts w:cs="Arial"/>
          <w:color w:val="000000" w:themeColor="text1"/>
          <w:szCs w:val="22"/>
          <w:lang w:val="en-GB"/>
        </w:rPr>
      </w:pPr>
      <w:r w:rsidRPr="000621D4">
        <w:rPr>
          <w:rFonts w:cs="Arial"/>
          <w:color w:val="000000" w:themeColor="text1"/>
          <w:szCs w:val="22"/>
          <w:lang w:val="en-GB"/>
        </w:rPr>
        <w:t>In 2017, interruptible capacity were booked for only 10 days.</w:t>
      </w:r>
    </w:p>
    <w:p w14:paraId="50DCC4C1" w14:textId="77777777" w:rsidR="006A513B" w:rsidRPr="000621D4" w:rsidRDefault="006A513B" w:rsidP="006A513B">
      <w:pPr>
        <w:spacing w:line="312" w:lineRule="auto"/>
        <w:rPr>
          <w:rFonts w:cs="Arial"/>
          <w:color w:val="000000" w:themeColor="text1"/>
          <w:szCs w:val="22"/>
          <w:lang w:val="en-GB"/>
        </w:rPr>
      </w:pPr>
      <w:r w:rsidRPr="000621D4">
        <w:rPr>
          <w:rFonts w:cs="Arial"/>
          <w:color w:val="000000" w:themeColor="text1"/>
          <w:szCs w:val="22"/>
          <w:lang w:val="en-GB"/>
        </w:rPr>
        <w:t>In 2018 the number of days during which interruptible capacities were marketed increased to 131 days.</w:t>
      </w:r>
    </w:p>
    <w:p w14:paraId="407512FB" w14:textId="1EEEA966" w:rsidR="006A513B" w:rsidRDefault="00B82B99" w:rsidP="006A513B">
      <w:pPr>
        <w:spacing w:line="312" w:lineRule="auto"/>
        <w:rPr>
          <w:rFonts w:cs="Arial"/>
          <w:b/>
          <w:color w:val="000000" w:themeColor="text1"/>
          <w:szCs w:val="22"/>
          <w:u w:val="single"/>
          <w:lang w:val="en-GB"/>
        </w:rPr>
      </w:pPr>
      <w:r w:rsidRPr="00B82B99">
        <w:rPr>
          <w:rFonts w:cs="Arial"/>
          <w:b/>
          <w:noProof/>
          <w:color w:val="000000" w:themeColor="text1"/>
          <w:szCs w:val="22"/>
          <w:lang w:val="es-ES" w:eastAsia="es-ES"/>
        </w:rPr>
        <w:drawing>
          <wp:inline distT="0" distB="0" distL="0" distR="0" wp14:anchorId="5654B84D" wp14:editId="265A531F">
            <wp:extent cx="5669915" cy="2916341"/>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1971"/>
                    <a:stretch/>
                  </pic:blipFill>
                  <pic:spPr bwMode="auto">
                    <a:xfrm>
                      <a:off x="0" y="0"/>
                      <a:ext cx="5669915" cy="2916341"/>
                    </a:xfrm>
                    <a:prstGeom prst="rect">
                      <a:avLst/>
                    </a:prstGeom>
                    <a:noFill/>
                    <a:ln>
                      <a:noFill/>
                    </a:ln>
                    <a:extLst>
                      <a:ext uri="{53640926-AAD7-44D8-BBD7-CCE9431645EC}">
                        <a14:shadowObscured xmlns:a14="http://schemas.microsoft.com/office/drawing/2010/main"/>
                      </a:ext>
                    </a:extLst>
                  </pic:spPr>
                </pic:pic>
              </a:graphicData>
            </a:graphic>
          </wp:inline>
        </w:drawing>
      </w:r>
    </w:p>
    <w:p w14:paraId="1857A301" w14:textId="17A6F191" w:rsidR="00A27A57" w:rsidRPr="00E740A2" w:rsidRDefault="00A27A57" w:rsidP="00A27A57">
      <w:pPr>
        <w:pStyle w:val="Descripcin"/>
        <w:jc w:val="center"/>
        <w:rPr>
          <w:rFonts w:cs="Arial"/>
          <w:color w:val="000000" w:themeColor="text1"/>
          <w:sz w:val="16"/>
          <w:szCs w:val="22"/>
          <w:lang w:val="en-GB"/>
        </w:rPr>
      </w:pPr>
      <w:r w:rsidRPr="00E740A2">
        <w:rPr>
          <w:sz w:val="16"/>
          <w:lang w:val="en-US"/>
        </w:rPr>
        <w:t xml:space="preserve">Figure </w:t>
      </w:r>
      <w:r w:rsidRPr="00E740A2">
        <w:rPr>
          <w:sz w:val="16"/>
        </w:rPr>
        <w:fldChar w:fldCharType="begin"/>
      </w:r>
      <w:r w:rsidRPr="00E740A2">
        <w:rPr>
          <w:sz w:val="16"/>
          <w:lang w:val="en-US"/>
        </w:rPr>
        <w:instrText xml:space="preserve"> SEQ Figure \* ARABIC </w:instrText>
      </w:r>
      <w:r w:rsidRPr="00E740A2">
        <w:rPr>
          <w:sz w:val="16"/>
        </w:rPr>
        <w:fldChar w:fldCharType="separate"/>
      </w:r>
      <w:r w:rsidR="00E859C7">
        <w:rPr>
          <w:noProof/>
          <w:sz w:val="16"/>
          <w:lang w:val="en-US"/>
        </w:rPr>
        <w:t>13</w:t>
      </w:r>
      <w:r w:rsidRPr="00E740A2">
        <w:rPr>
          <w:sz w:val="16"/>
        </w:rPr>
        <w:fldChar w:fldCharType="end"/>
      </w:r>
      <w:r w:rsidRPr="00E740A2">
        <w:rPr>
          <w:sz w:val="16"/>
          <w:lang w:val="en-US"/>
        </w:rPr>
        <w:t>. Capacity bookings on VIP Pirineos - France to Spain direction (</w:t>
      </w:r>
      <w:r>
        <w:rPr>
          <w:sz w:val="16"/>
          <w:lang w:val="en-US"/>
        </w:rPr>
        <w:t>French</w:t>
      </w:r>
      <w:r w:rsidRPr="00E740A2">
        <w:rPr>
          <w:sz w:val="16"/>
          <w:lang w:val="en-US"/>
        </w:rPr>
        <w:t xml:space="preserve"> side)</w:t>
      </w:r>
    </w:p>
    <w:p w14:paraId="6F2018EE" w14:textId="77777777" w:rsidR="006A513B" w:rsidRPr="000621D4" w:rsidRDefault="006A513B" w:rsidP="006A513B">
      <w:pPr>
        <w:spacing w:line="312" w:lineRule="auto"/>
        <w:rPr>
          <w:rFonts w:cs="Arial"/>
          <w:color w:val="000000" w:themeColor="text1"/>
          <w:szCs w:val="22"/>
          <w:lang w:val="en-GB"/>
        </w:rPr>
      </w:pPr>
      <w:r w:rsidRPr="000621D4">
        <w:rPr>
          <w:rFonts w:cs="Arial"/>
          <w:color w:val="000000" w:themeColor="text1"/>
          <w:szCs w:val="22"/>
          <w:lang w:val="en-GB"/>
        </w:rPr>
        <w:t>The fraction of firm capacity booking related to unbundled capacity prevails (grey : 86%). The remaining firm capacity is sold as bundled thru PRISMA (yellow). As shown earlier in the report, bundling of firm capacities will occur gradually with the end of the long term contracts.</w:t>
      </w:r>
    </w:p>
    <w:p w14:paraId="3D696117" w14:textId="77777777" w:rsidR="006A513B" w:rsidRPr="000621D4" w:rsidRDefault="006A513B" w:rsidP="006A513B">
      <w:pPr>
        <w:spacing w:line="312" w:lineRule="auto"/>
        <w:rPr>
          <w:rFonts w:cs="Arial"/>
          <w:color w:val="000000" w:themeColor="text1"/>
          <w:szCs w:val="22"/>
          <w:lang w:val="en-GB"/>
        </w:rPr>
      </w:pPr>
      <w:r w:rsidRPr="000621D4">
        <w:rPr>
          <w:rFonts w:cs="Arial"/>
          <w:color w:val="000000" w:themeColor="text1"/>
          <w:szCs w:val="22"/>
          <w:lang w:val="en-GB"/>
        </w:rPr>
        <w:t>The interruptible capacity (unbundled, blue), is used as an optimization of the total technical capacity, consecutively to the booking saturation of the firm capacity.</w:t>
      </w:r>
    </w:p>
    <w:p w14:paraId="13B92072" w14:textId="401E6A8A" w:rsidR="00D70321" w:rsidRDefault="00D70321" w:rsidP="00E740A2">
      <w:pPr>
        <w:spacing w:line="312" w:lineRule="auto"/>
        <w:rPr>
          <w:rFonts w:cs="Arial"/>
          <w:b/>
          <w:color w:val="000000" w:themeColor="text1"/>
          <w:szCs w:val="22"/>
          <w:u w:val="single"/>
          <w:lang w:val="en-GB"/>
        </w:rPr>
      </w:pPr>
      <w:r>
        <w:rPr>
          <w:rFonts w:cs="Arial"/>
          <w:b/>
          <w:color w:val="000000" w:themeColor="text1"/>
          <w:szCs w:val="22"/>
          <w:u w:val="single"/>
          <w:lang w:val="en-GB"/>
        </w:rPr>
        <w:t>Spanish side</w:t>
      </w:r>
    </w:p>
    <w:p w14:paraId="7A2323C9" w14:textId="6A00EF9C" w:rsidR="006C7A9F" w:rsidRPr="006C7A9F" w:rsidRDefault="006C7A9F" w:rsidP="00E740A2">
      <w:pPr>
        <w:spacing w:line="312" w:lineRule="auto"/>
        <w:rPr>
          <w:rFonts w:cs="Arial"/>
          <w:color w:val="000000" w:themeColor="text1"/>
          <w:szCs w:val="22"/>
          <w:lang w:val="en-GB"/>
        </w:rPr>
      </w:pPr>
      <w:r>
        <w:rPr>
          <w:rFonts w:cs="Arial"/>
          <w:color w:val="000000" w:themeColor="text1"/>
          <w:szCs w:val="22"/>
          <w:lang w:val="en-GB"/>
        </w:rPr>
        <w:t>The next figure show the evolution of the different types of capacities through the studied period, namely, the capacity of the LT contracts before the CAM NC implementation and the bundled and unbundled capacity bookings</w:t>
      </w:r>
      <w:r w:rsidR="00F035B3">
        <w:rPr>
          <w:rFonts w:cs="Arial"/>
          <w:color w:val="000000" w:themeColor="text1"/>
          <w:szCs w:val="22"/>
          <w:lang w:val="en-GB"/>
        </w:rPr>
        <w:t xml:space="preserve"> after the CAM NC</w:t>
      </w:r>
      <w:r>
        <w:rPr>
          <w:rFonts w:cs="Arial"/>
          <w:color w:val="000000" w:themeColor="text1"/>
          <w:szCs w:val="22"/>
          <w:lang w:val="en-GB"/>
        </w:rPr>
        <w:t>.</w:t>
      </w:r>
    </w:p>
    <w:p w14:paraId="313CF2F8" w14:textId="6A2F9FAF" w:rsidR="00235433" w:rsidRDefault="00836C34" w:rsidP="00E740A2">
      <w:pPr>
        <w:keepNext/>
        <w:jc w:val="center"/>
      </w:pPr>
      <w:r>
        <w:rPr>
          <w:rFonts w:cs="Arial"/>
          <w:noProof/>
          <w:color w:val="000000" w:themeColor="text1"/>
          <w:szCs w:val="22"/>
          <w:lang w:val="es-ES" w:eastAsia="es-ES"/>
        </w:rPr>
        <w:drawing>
          <wp:inline distT="0" distB="0" distL="0" distR="0" wp14:anchorId="15141534" wp14:editId="32DF0F97">
            <wp:extent cx="5657215" cy="2156064"/>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1307" cy="2165246"/>
                    </a:xfrm>
                    <a:prstGeom prst="rect">
                      <a:avLst/>
                    </a:prstGeom>
                    <a:noFill/>
                  </pic:spPr>
                </pic:pic>
              </a:graphicData>
            </a:graphic>
          </wp:inline>
        </w:drawing>
      </w:r>
    </w:p>
    <w:p w14:paraId="6615D718" w14:textId="318B7DB9" w:rsidR="003B6682" w:rsidRPr="00E740A2" w:rsidRDefault="00235433" w:rsidP="00E740A2">
      <w:pPr>
        <w:pStyle w:val="Descripcin"/>
        <w:jc w:val="center"/>
        <w:rPr>
          <w:rFonts w:cs="Arial"/>
          <w:color w:val="000000" w:themeColor="text1"/>
          <w:sz w:val="16"/>
          <w:szCs w:val="22"/>
          <w:lang w:val="en-GB"/>
        </w:rPr>
      </w:pPr>
      <w:r w:rsidRPr="00E740A2">
        <w:rPr>
          <w:sz w:val="16"/>
          <w:lang w:val="en-US"/>
        </w:rPr>
        <w:t xml:space="preserve">Figure </w:t>
      </w:r>
      <w:r w:rsidRPr="00E740A2">
        <w:rPr>
          <w:sz w:val="16"/>
        </w:rPr>
        <w:fldChar w:fldCharType="begin"/>
      </w:r>
      <w:r w:rsidRPr="00E740A2">
        <w:rPr>
          <w:sz w:val="16"/>
          <w:lang w:val="en-US"/>
        </w:rPr>
        <w:instrText xml:space="preserve"> SEQ Figure \* ARABIC </w:instrText>
      </w:r>
      <w:r w:rsidRPr="00E740A2">
        <w:rPr>
          <w:sz w:val="16"/>
        </w:rPr>
        <w:fldChar w:fldCharType="separate"/>
      </w:r>
      <w:r w:rsidR="00E859C7">
        <w:rPr>
          <w:noProof/>
          <w:sz w:val="16"/>
          <w:lang w:val="en-US"/>
        </w:rPr>
        <w:t>14</w:t>
      </w:r>
      <w:r w:rsidRPr="00E740A2">
        <w:rPr>
          <w:sz w:val="16"/>
        </w:rPr>
        <w:fldChar w:fldCharType="end"/>
      </w:r>
      <w:r w:rsidRPr="00E740A2">
        <w:rPr>
          <w:sz w:val="16"/>
          <w:lang w:val="en-US"/>
        </w:rPr>
        <w:t xml:space="preserve">. Capacity bookings on VIP Pirineos - France to Spain </w:t>
      </w:r>
      <w:r w:rsidR="006C22A1" w:rsidRPr="00E740A2">
        <w:rPr>
          <w:sz w:val="16"/>
          <w:lang w:val="en-US"/>
        </w:rPr>
        <w:t>d</w:t>
      </w:r>
      <w:r w:rsidRPr="00E740A2">
        <w:rPr>
          <w:sz w:val="16"/>
          <w:lang w:val="en-US"/>
        </w:rPr>
        <w:t>irection (Spanish side)</w:t>
      </w:r>
    </w:p>
    <w:p w14:paraId="71F91C4C" w14:textId="5CCC2D41" w:rsidR="00836C34" w:rsidRDefault="00836C34" w:rsidP="00E740A2">
      <w:pPr>
        <w:spacing w:line="312" w:lineRule="auto"/>
        <w:rPr>
          <w:rFonts w:cs="Arial"/>
          <w:color w:val="000000" w:themeColor="text1"/>
          <w:szCs w:val="22"/>
          <w:lang w:val="en-GB"/>
        </w:rPr>
      </w:pPr>
      <w:r>
        <w:rPr>
          <w:rFonts w:cs="Arial"/>
          <w:color w:val="000000" w:themeColor="text1"/>
          <w:szCs w:val="22"/>
          <w:lang w:val="en-GB"/>
        </w:rPr>
        <w:t xml:space="preserve">As it can be seen, capacity bookings via </w:t>
      </w:r>
      <w:r w:rsidRPr="00105290">
        <w:rPr>
          <w:rFonts w:cs="Arial"/>
          <w:color w:val="000000" w:themeColor="text1"/>
          <w:szCs w:val="22"/>
          <w:lang w:val="en-GB"/>
        </w:rPr>
        <w:t>LT contracts represent a significant percentage of the technical capacity</w:t>
      </w:r>
      <w:r>
        <w:rPr>
          <w:rFonts w:cs="Arial"/>
          <w:color w:val="000000" w:themeColor="text1"/>
          <w:szCs w:val="22"/>
          <w:lang w:val="en-GB"/>
        </w:rPr>
        <w:t xml:space="preserve"> in the period analysed</w:t>
      </w:r>
      <w:r w:rsidR="006C22A1">
        <w:rPr>
          <w:rFonts w:cs="Arial"/>
          <w:color w:val="000000" w:themeColor="text1"/>
          <w:szCs w:val="22"/>
          <w:lang w:val="en-GB"/>
        </w:rPr>
        <w:t xml:space="preserve"> (65%)</w:t>
      </w:r>
      <w:r>
        <w:rPr>
          <w:rFonts w:cs="Arial"/>
          <w:color w:val="000000" w:themeColor="text1"/>
          <w:szCs w:val="22"/>
          <w:lang w:val="en-GB"/>
        </w:rPr>
        <w:t>,</w:t>
      </w:r>
      <w:r w:rsidR="00D70321">
        <w:rPr>
          <w:rFonts w:cs="Arial"/>
          <w:color w:val="000000" w:themeColor="text1"/>
          <w:szCs w:val="22"/>
          <w:lang w:val="en-GB"/>
        </w:rPr>
        <w:t xml:space="preserve"> and so</w:t>
      </w:r>
      <w:r w:rsidR="00212890">
        <w:rPr>
          <w:rFonts w:cs="Arial"/>
          <w:color w:val="000000" w:themeColor="text1"/>
          <w:szCs w:val="22"/>
          <w:lang w:val="en-GB"/>
        </w:rPr>
        <w:t>,</w:t>
      </w:r>
      <w:r>
        <w:rPr>
          <w:rFonts w:cs="Arial"/>
          <w:color w:val="000000" w:themeColor="text1"/>
          <w:szCs w:val="22"/>
          <w:lang w:val="en-GB"/>
        </w:rPr>
        <w:t xml:space="preserve"> </w:t>
      </w:r>
      <w:r w:rsidRPr="00105290">
        <w:rPr>
          <w:rFonts w:cs="Arial"/>
          <w:color w:val="000000" w:themeColor="text1"/>
          <w:szCs w:val="22"/>
          <w:lang w:val="en-GB"/>
        </w:rPr>
        <w:t xml:space="preserve">the amount of </w:t>
      </w:r>
      <w:r w:rsidRPr="00772E99">
        <w:rPr>
          <w:rFonts w:cs="Arial"/>
          <w:color w:val="000000" w:themeColor="text1"/>
          <w:szCs w:val="22"/>
          <w:lang w:val="en-GB"/>
        </w:rPr>
        <w:t>bundled capacity offered in the auctions is limited.</w:t>
      </w:r>
    </w:p>
    <w:p w14:paraId="2975BF62" w14:textId="28D3D78E" w:rsidR="00D70321" w:rsidRDefault="00D70321" w:rsidP="00E740A2">
      <w:pPr>
        <w:spacing w:line="312" w:lineRule="auto"/>
        <w:rPr>
          <w:rFonts w:cs="Arial"/>
          <w:color w:val="000000" w:themeColor="text1"/>
          <w:szCs w:val="22"/>
          <w:lang w:val="en-GB"/>
        </w:rPr>
      </w:pPr>
      <w:r>
        <w:rPr>
          <w:rFonts w:cs="Arial"/>
          <w:color w:val="000000" w:themeColor="text1"/>
          <w:szCs w:val="22"/>
          <w:lang w:val="en-GB"/>
        </w:rPr>
        <w:t>Particularly noteworthy is the increase in the 2018 gas year bookings (18.</w:t>
      </w:r>
      <w:r w:rsidR="00292EAC">
        <w:rPr>
          <w:rFonts w:cs="Arial"/>
          <w:color w:val="000000" w:themeColor="text1"/>
          <w:szCs w:val="22"/>
          <w:lang w:val="en-GB"/>
        </w:rPr>
        <w:t>3</w:t>
      </w:r>
      <w:r>
        <w:rPr>
          <w:rFonts w:cs="Arial"/>
          <w:color w:val="000000" w:themeColor="text1"/>
          <w:szCs w:val="22"/>
          <w:lang w:val="en-GB"/>
        </w:rPr>
        <w:t>% more compared to 2016 and 1</w:t>
      </w:r>
      <w:r w:rsidR="00292EAC">
        <w:rPr>
          <w:rFonts w:cs="Arial"/>
          <w:color w:val="000000" w:themeColor="text1"/>
          <w:szCs w:val="22"/>
          <w:lang w:val="en-GB"/>
        </w:rPr>
        <w:t>7</w:t>
      </w:r>
      <w:r w:rsidR="004E3B6B">
        <w:rPr>
          <w:rFonts w:cs="Arial"/>
          <w:color w:val="000000" w:themeColor="text1"/>
          <w:szCs w:val="22"/>
          <w:lang w:val="en-GB"/>
        </w:rPr>
        <w:t>.</w:t>
      </w:r>
      <w:r w:rsidR="00292EAC">
        <w:rPr>
          <w:rFonts w:cs="Arial"/>
          <w:color w:val="000000" w:themeColor="text1"/>
          <w:szCs w:val="22"/>
          <w:lang w:val="en-GB"/>
        </w:rPr>
        <w:t>3</w:t>
      </w:r>
      <w:r w:rsidR="004E3B6B">
        <w:rPr>
          <w:rFonts w:cs="Arial"/>
          <w:color w:val="000000" w:themeColor="text1"/>
          <w:szCs w:val="22"/>
          <w:lang w:val="en-GB"/>
        </w:rPr>
        <w:t xml:space="preserve">% more compared to 2017). </w:t>
      </w:r>
      <w:r>
        <w:rPr>
          <w:rFonts w:cs="Arial"/>
          <w:color w:val="000000" w:themeColor="text1"/>
          <w:szCs w:val="22"/>
          <w:lang w:val="en-GB"/>
        </w:rPr>
        <w:t xml:space="preserve">To understand the reason, see Chapter 5, “Gas prices in the South Region” to find the reason of these increases. </w:t>
      </w:r>
    </w:p>
    <w:p w14:paraId="0A368029" w14:textId="4EDD535D" w:rsidR="00D70321" w:rsidRDefault="00F035B3" w:rsidP="00E740A2">
      <w:pPr>
        <w:spacing w:line="312" w:lineRule="auto"/>
        <w:rPr>
          <w:rFonts w:cs="Arial"/>
          <w:color w:val="000000" w:themeColor="text1"/>
          <w:szCs w:val="22"/>
          <w:lang w:val="en-GB"/>
        </w:rPr>
      </w:pPr>
      <w:r>
        <w:rPr>
          <w:rFonts w:cs="Arial"/>
          <w:color w:val="000000" w:themeColor="text1"/>
          <w:szCs w:val="22"/>
          <w:lang w:val="en-GB"/>
        </w:rPr>
        <w:t xml:space="preserve">As </w:t>
      </w:r>
      <w:r w:rsidR="00D70321" w:rsidRPr="0031213B">
        <w:rPr>
          <w:rFonts w:cs="Arial"/>
          <w:color w:val="000000" w:themeColor="text1"/>
          <w:szCs w:val="22"/>
          <w:lang w:val="en-GB"/>
        </w:rPr>
        <w:t>technical</w:t>
      </w:r>
      <w:r w:rsidR="00D70321">
        <w:rPr>
          <w:rFonts w:cs="Arial"/>
          <w:color w:val="000000" w:themeColor="text1"/>
          <w:szCs w:val="22"/>
          <w:lang w:val="en-GB"/>
        </w:rPr>
        <w:t xml:space="preserve"> firm</w:t>
      </w:r>
      <w:r w:rsidR="00D70321" w:rsidRPr="0031213B">
        <w:rPr>
          <w:rFonts w:cs="Arial"/>
          <w:color w:val="000000" w:themeColor="text1"/>
          <w:szCs w:val="22"/>
          <w:lang w:val="en-GB"/>
        </w:rPr>
        <w:t xml:space="preserve"> capacity in French side is 165/175 GWh/d, the remaining capacity in the Spanish side until 225 GWh/d is offered in an unbundled way, and matched with the interruptible unbundled capacity at the French side.</w:t>
      </w:r>
    </w:p>
    <w:p w14:paraId="21CF5BC0" w14:textId="1837A920" w:rsidR="0020133A" w:rsidRPr="0020133A" w:rsidRDefault="0020133A" w:rsidP="00E740A2">
      <w:pPr>
        <w:spacing w:line="312" w:lineRule="auto"/>
        <w:rPr>
          <w:rFonts w:cs="Arial"/>
          <w:color w:val="000000" w:themeColor="text1"/>
          <w:szCs w:val="22"/>
          <w:lang w:val="en-GB"/>
        </w:rPr>
      </w:pPr>
      <w:r w:rsidRPr="0020133A">
        <w:rPr>
          <w:rFonts w:cs="Arial"/>
          <w:color w:val="000000" w:themeColor="text1"/>
          <w:szCs w:val="22"/>
          <w:lang w:val="en-GB"/>
        </w:rPr>
        <w:t>During the 2016 gas year, total booked capacity has been above 90% of the technical capacity</w:t>
      </w:r>
      <w:r w:rsidR="0026487A">
        <w:rPr>
          <w:rFonts w:cs="Arial"/>
          <w:color w:val="000000" w:themeColor="text1"/>
          <w:szCs w:val="22"/>
          <w:lang w:val="en-GB"/>
        </w:rPr>
        <w:t xml:space="preserve"> (225 GWh/day)</w:t>
      </w:r>
      <w:r w:rsidRPr="0020133A">
        <w:rPr>
          <w:rFonts w:cs="Arial"/>
          <w:color w:val="000000" w:themeColor="text1"/>
          <w:szCs w:val="22"/>
          <w:lang w:val="en-GB"/>
        </w:rPr>
        <w:t xml:space="preserve"> for </w:t>
      </w:r>
      <w:r w:rsidRPr="00E740A2">
        <w:rPr>
          <w:rFonts w:cs="Arial"/>
          <w:color w:val="000000" w:themeColor="text1"/>
          <w:szCs w:val="22"/>
          <w:lang w:val="en-GB"/>
        </w:rPr>
        <w:t>3</w:t>
      </w:r>
      <w:r w:rsidRPr="0020133A">
        <w:rPr>
          <w:rFonts w:cs="Arial"/>
          <w:color w:val="000000" w:themeColor="text1"/>
          <w:szCs w:val="22"/>
          <w:lang w:val="en-GB"/>
        </w:rPr>
        <w:t xml:space="preserve"> days (</w:t>
      </w:r>
      <w:r w:rsidRPr="00E740A2">
        <w:rPr>
          <w:rFonts w:cs="Arial"/>
          <w:color w:val="000000" w:themeColor="text1"/>
          <w:szCs w:val="22"/>
          <w:lang w:val="en-GB"/>
        </w:rPr>
        <w:t>1</w:t>
      </w:r>
      <w:r w:rsidRPr="0020133A">
        <w:rPr>
          <w:rFonts w:cs="Arial"/>
          <w:color w:val="000000" w:themeColor="text1"/>
          <w:szCs w:val="22"/>
          <w:lang w:val="en-GB"/>
        </w:rPr>
        <w:t xml:space="preserve">% of the year), while as in the 2017 gas year they were </w:t>
      </w:r>
      <w:r w:rsidRPr="00E740A2">
        <w:rPr>
          <w:rFonts w:cs="Arial"/>
          <w:color w:val="000000" w:themeColor="text1"/>
          <w:szCs w:val="22"/>
          <w:lang w:val="en-GB"/>
        </w:rPr>
        <w:t>6</w:t>
      </w:r>
      <w:r w:rsidRPr="0020133A">
        <w:rPr>
          <w:rFonts w:cs="Arial"/>
          <w:color w:val="000000" w:themeColor="text1"/>
          <w:szCs w:val="22"/>
          <w:lang w:val="en-GB"/>
        </w:rPr>
        <w:t xml:space="preserve"> days (</w:t>
      </w:r>
      <w:r w:rsidRPr="00E740A2">
        <w:rPr>
          <w:rFonts w:cs="Arial"/>
          <w:color w:val="000000" w:themeColor="text1"/>
          <w:szCs w:val="22"/>
          <w:lang w:val="en-GB"/>
        </w:rPr>
        <w:t>2</w:t>
      </w:r>
      <w:r w:rsidRPr="0020133A">
        <w:rPr>
          <w:rFonts w:cs="Arial"/>
          <w:color w:val="000000" w:themeColor="text1"/>
          <w:szCs w:val="22"/>
          <w:lang w:val="en-GB"/>
        </w:rPr>
        <w:t xml:space="preserve">% of the year). </w:t>
      </w:r>
      <w:r w:rsidRPr="00E740A2">
        <w:rPr>
          <w:rFonts w:cs="Arial"/>
          <w:color w:val="000000" w:themeColor="text1"/>
          <w:szCs w:val="22"/>
          <w:lang w:val="en-GB"/>
        </w:rPr>
        <w:t>In the gas year of 2018, the number of days with more of 90% booked capacity increased notably to 95 (26% of the year)</w:t>
      </w:r>
      <w:r w:rsidRPr="0020133A">
        <w:rPr>
          <w:rFonts w:cs="Arial"/>
          <w:color w:val="000000" w:themeColor="text1"/>
          <w:szCs w:val="22"/>
          <w:lang w:val="en-GB"/>
        </w:rPr>
        <w:t>.</w:t>
      </w:r>
    </w:p>
    <w:p w14:paraId="2264CFBF" w14:textId="3CFE3946" w:rsidR="0026487A" w:rsidRPr="0020133A" w:rsidRDefault="0026487A" w:rsidP="00E740A2">
      <w:pPr>
        <w:spacing w:line="312" w:lineRule="auto"/>
        <w:rPr>
          <w:rFonts w:cs="Arial"/>
          <w:color w:val="000000" w:themeColor="text1"/>
          <w:szCs w:val="22"/>
          <w:lang w:val="en-GB"/>
        </w:rPr>
      </w:pPr>
      <w:r w:rsidRPr="0020133A">
        <w:rPr>
          <w:rFonts w:cs="Arial"/>
          <w:color w:val="000000" w:themeColor="text1"/>
          <w:szCs w:val="22"/>
          <w:lang w:val="en-GB"/>
        </w:rPr>
        <w:t>During the 2016 gas year, total booked capacity has been above 90% of the</w:t>
      </w:r>
      <w:r>
        <w:rPr>
          <w:rFonts w:cs="Arial"/>
          <w:color w:val="000000" w:themeColor="text1"/>
          <w:szCs w:val="22"/>
          <w:lang w:val="en-GB"/>
        </w:rPr>
        <w:t xml:space="preserve"> common firm</w:t>
      </w:r>
      <w:r w:rsidRPr="0020133A">
        <w:rPr>
          <w:rFonts w:cs="Arial"/>
          <w:color w:val="000000" w:themeColor="text1"/>
          <w:szCs w:val="22"/>
          <w:lang w:val="en-GB"/>
        </w:rPr>
        <w:t xml:space="preserve"> technical capacity</w:t>
      </w:r>
      <w:r>
        <w:rPr>
          <w:rFonts w:cs="Arial"/>
          <w:color w:val="000000" w:themeColor="text1"/>
          <w:szCs w:val="22"/>
          <w:lang w:val="en-GB"/>
        </w:rPr>
        <w:t xml:space="preserve"> (165 GWh/day)</w:t>
      </w:r>
      <w:r w:rsidRPr="0020133A">
        <w:rPr>
          <w:rFonts w:cs="Arial"/>
          <w:color w:val="000000" w:themeColor="text1"/>
          <w:szCs w:val="22"/>
          <w:lang w:val="en-GB"/>
        </w:rPr>
        <w:t xml:space="preserve"> for </w:t>
      </w:r>
      <w:r w:rsidR="004E3B6B">
        <w:rPr>
          <w:rFonts w:cs="Arial"/>
          <w:color w:val="000000" w:themeColor="text1"/>
          <w:szCs w:val="22"/>
          <w:lang w:val="en-GB"/>
        </w:rPr>
        <w:t>263</w:t>
      </w:r>
      <w:r w:rsidRPr="0020133A">
        <w:rPr>
          <w:rFonts w:cs="Arial"/>
          <w:color w:val="000000" w:themeColor="text1"/>
          <w:szCs w:val="22"/>
          <w:lang w:val="en-GB"/>
        </w:rPr>
        <w:t xml:space="preserve"> days (</w:t>
      </w:r>
      <w:r w:rsidR="004E3B6B">
        <w:rPr>
          <w:rFonts w:cs="Arial"/>
          <w:color w:val="000000" w:themeColor="text1"/>
          <w:szCs w:val="22"/>
          <w:lang w:val="en-GB"/>
        </w:rPr>
        <w:t>72</w:t>
      </w:r>
      <w:r w:rsidRPr="0020133A">
        <w:rPr>
          <w:rFonts w:cs="Arial"/>
          <w:color w:val="000000" w:themeColor="text1"/>
          <w:szCs w:val="22"/>
          <w:lang w:val="en-GB"/>
        </w:rPr>
        <w:t xml:space="preserve">% of the year), while as in the 2017 gas year they were </w:t>
      </w:r>
      <w:r w:rsidR="0012263D">
        <w:rPr>
          <w:rFonts w:cs="Arial"/>
          <w:color w:val="000000" w:themeColor="text1"/>
          <w:szCs w:val="22"/>
          <w:lang w:val="en-GB"/>
        </w:rPr>
        <w:t>3</w:t>
      </w:r>
      <w:r w:rsidRPr="00B47E17">
        <w:rPr>
          <w:rFonts w:cs="Arial"/>
          <w:color w:val="000000" w:themeColor="text1"/>
          <w:szCs w:val="22"/>
          <w:lang w:val="en-GB"/>
        </w:rPr>
        <w:t>6</w:t>
      </w:r>
      <w:r w:rsidR="0012263D">
        <w:rPr>
          <w:rFonts w:cs="Arial"/>
          <w:color w:val="000000" w:themeColor="text1"/>
          <w:szCs w:val="22"/>
          <w:lang w:val="en-GB"/>
        </w:rPr>
        <w:t>5</w:t>
      </w:r>
      <w:r w:rsidRPr="0020133A">
        <w:rPr>
          <w:rFonts w:cs="Arial"/>
          <w:color w:val="000000" w:themeColor="text1"/>
          <w:szCs w:val="22"/>
          <w:lang w:val="en-GB"/>
        </w:rPr>
        <w:t xml:space="preserve"> days (</w:t>
      </w:r>
      <w:r w:rsidR="0012263D">
        <w:rPr>
          <w:rFonts w:cs="Arial"/>
          <w:color w:val="000000" w:themeColor="text1"/>
          <w:szCs w:val="22"/>
          <w:lang w:val="en-GB"/>
        </w:rPr>
        <w:t>100</w:t>
      </w:r>
      <w:r w:rsidRPr="0020133A">
        <w:rPr>
          <w:rFonts w:cs="Arial"/>
          <w:color w:val="000000" w:themeColor="text1"/>
          <w:szCs w:val="22"/>
          <w:lang w:val="en-GB"/>
        </w:rPr>
        <w:t xml:space="preserve">% of the year). </w:t>
      </w:r>
      <w:r w:rsidRPr="00B47E17">
        <w:rPr>
          <w:rFonts w:cs="Arial"/>
          <w:color w:val="000000" w:themeColor="text1"/>
          <w:szCs w:val="22"/>
          <w:lang w:val="en-GB"/>
        </w:rPr>
        <w:t>In the gas year of 2018, th</w:t>
      </w:r>
      <w:r w:rsidR="0012263D">
        <w:rPr>
          <w:rFonts w:cs="Arial"/>
          <w:color w:val="000000" w:themeColor="text1"/>
          <w:szCs w:val="22"/>
          <w:lang w:val="en-GB"/>
        </w:rPr>
        <w:t>is tendency continued</w:t>
      </w:r>
      <w:r w:rsidRPr="00B47E17">
        <w:rPr>
          <w:rFonts w:cs="Arial"/>
          <w:color w:val="000000" w:themeColor="text1"/>
          <w:szCs w:val="22"/>
          <w:lang w:val="en-GB"/>
        </w:rPr>
        <w:t xml:space="preserve"> </w:t>
      </w:r>
      <w:r w:rsidR="0012263D">
        <w:rPr>
          <w:rFonts w:cs="Arial"/>
          <w:color w:val="000000" w:themeColor="text1"/>
          <w:szCs w:val="22"/>
          <w:lang w:val="en-GB"/>
        </w:rPr>
        <w:t>as the whole year (the 365 days) had the capacity booked for each day above 90% of the common firm technical capacity</w:t>
      </w:r>
      <w:r w:rsidRPr="0020133A">
        <w:rPr>
          <w:rFonts w:cs="Arial"/>
          <w:color w:val="000000" w:themeColor="text1"/>
          <w:szCs w:val="22"/>
          <w:lang w:val="en-GB"/>
        </w:rPr>
        <w:t>.</w:t>
      </w:r>
    </w:p>
    <w:p w14:paraId="1E23FFD1" w14:textId="6619BC55" w:rsidR="00933513" w:rsidRDefault="00933513" w:rsidP="00B82B99">
      <w:pPr>
        <w:pStyle w:val="Ttulo4"/>
      </w:pPr>
      <w:r>
        <w:t>South to North flow direction</w:t>
      </w:r>
    </w:p>
    <w:tbl>
      <w:tblPr>
        <w:tblW w:w="0" w:type="auto"/>
        <w:tblInd w:w="-10" w:type="dxa"/>
        <w:tblCellMar>
          <w:left w:w="70" w:type="dxa"/>
          <w:right w:w="70" w:type="dxa"/>
        </w:tblCellMar>
        <w:tblLook w:val="04A0" w:firstRow="1" w:lastRow="0" w:firstColumn="1" w:lastColumn="0" w:noHBand="0" w:noVBand="1"/>
      </w:tblPr>
      <w:tblGrid>
        <w:gridCol w:w="982"/>
        <w:gridCol w:w="1054"/>
        <w:gridCol w:w="1111"/>
        <w:gridCol w:w="926"/>
        <w:gridCol w:w="878"/>
        <w:gridCol w:w="1054"/>
        <w:gridCol w:w="1111"/>
        <w:gridCol w:w="926"/>
        <w:gridCol w:w="878"/>
      </w:tblGrid>
      <w:tr w:rsidR="00292EAC" w:rsidRPr="00292EAC" w14:paraId="47AB9819" w14:textId="77777777" w:rsidTr="00292EAC">
        <w:trPr>
          <w:trHeight w:val="635"/>
        </w:trPr>
        <w:tc>
          <w:tcPr>
            <w:tcW w:w="0" w:type="auto"/>
            <w:vMerge w:val="restart"/>
            <w:tcBorders>
              <w:top w:val="single" w:sz="8" w:space="0" w:color="auto"/>
              <w:left w:val="single" w:sz="8" w:space="0" w:color="auto"/>
              <w:bottom w:val="nil"/>
              <w:right w:val="single" w:sz="8" w:space="0" w:color="auto"/>
            </w:tcBorders>
            <w:shd w:val="clear" w:color="000000" w:fill="EBF1DE"/>
            <w:vAlign w:val="center"/>
            <w:hideMark/>
          </w:tcPr>
          <w:p w14:paraId="10800CB8" w14:textId="77777777" w:rsidR="00292EAC" w:rsidRPr="00292EAC" w:rsidRDefault="00292EAC" w:rsidP="00B82B99">
            <w:pPr>
              <w:keepNext/>
              <w:spacing w:before="0" w:after="0" w:line="240" w:lineRule="auto"/>
              <w:jc w:val="center"/>
              <w:rPr>
                <w:rFonts w:cs="Arial"/>
                <w:b/>
                <w:bCs/>
                <w:color w:val="000000"/>
                <w:sz w:val="16"/>
                <w:szCs w:val="16"/>
                <w:lang w:val="es-ES_tradnl" w:eastAsia="es-ES_tradnl"/>
              </w:rPr>
            </w:pPr>
            <w:r w:rsidRPr="00292EAC">
              <w:rPr>
                <w:rFonts w:cs="Arial"/>
                <w:b/>
                <w:bCs/>
                <w:color w:val="000000"/>
                <w:sz w:val="16"/>
                <w:szCs w:val="16"/>
                <w:lang w:val="en-US" w:eastAsia="es-ES_tradnl"/>
              </w:rPr>
              <w:t>VIP PIRINEOS</w:t>
            </w:r>
          </w:p>
          <w:p w14:paraId="1B74AE03" w14:textId="4F61B6C2" w:rsidR="00292EAC" w:rsidRPr="00292EAC" w:rsidRDefault="00292EAC" w:rsidP="00B82B99">
            <w:pPr>
              <w:keepNext/>
              <w:spacing w:before="0" w:after="0" w:line="240" w:lineRule="auto"/>
              <w:jc w:val="center"/>
              <w:rPr>
                <w:rFonts w:cs="Arial"/>
                <w:b/>
                <w:bCs/>
                <w:color w:val="000000"/>
                <w:sz w:val="16"/>
                <w:szCs w:val="16"/>
                <w:lang w:val="es-ES_tradnl" w:eastAsia="es-ES_tradnl"/>
              </w:rPr>
            </w:pPr>
            <w:r w:rsidRPr="00292EAC">
              <w:rPr>
                <w:rFonts w:cs="Arial"/>
                <w:b/>
                <w:bCs/>
                <w:color w:val="000000"/>
                <w:sz w:val="16"/>
                <w:szCs w:val="16"/>
                <w:lang w:val="es-ES_tradnl" w:eastAsia="es-ES_tradnl"/>
              </w:rPr>
              <w:t xml:space="preserve"> (</w:t>
            </w:r>
            <w:r w:rsidR="000673CD">
              <w:rPr>
                <w:rFonts w:cs="Arial"/>
                <w:b/>
                <w:bCs/>
                <w:color w:val="000000"/>
                <w:sz w:val="16"/>
                <w:szCs w:val="16"/>
                <w:lang w:val="es-ES_tradnl" w:eastAsia="es-ES_tradnl"/>
              </w:rPr>
              <w:t>ES</w:t>
            </w:r>
            <w:r w:rsidRPr="00292EAC">
              <w:rPr>
                <w:rFonts w:cs="Arial"/>
                <w:b/>
                <w:bCs/>
                <w:color w:val="000000"/>
                <w:sz w:val="16"/>
                <w:szCs w:val="16"/>
                <w:lang w:val="es-ES_tradnl" w:eastAsia="es-ES_tradnl"/>
              </w:rPr>
              <w:t>-FR)</w:t>
            </w:r>
          </w:p>
          <w:p w14:paraId="52E50A3B" w14:textId="66446149" w:rsidR="00292EAC" w:rsidRPr="00292EAC" w:rsidRDefault="00292EAC" w:rsidP="00B82B99">
            <w:pPr>
              <w:keepNext/>
              <w:spacing w:before="0" w:after="0" w:line="240" w:lineRule="auto"/>
              <w:jc w:val="center"/>
              <w:rPr>
                <w:rFonts w:cs="Arial"/>
                <w:b/>
                <w:bCs/>
                <w:color w:val="000000"/>
                <w:sz w:val="16"/>
                <w:szCs w:val="16"/>
                <w:lang w:val="es-ES_tradnl" w:eastAsia="es-ES_tradnl"/>
              </w:rPr>
            </w:pPr>
            <w:r w:rsidRPr="00292EAC">
              <w:rPr>
                <w:rFonts w:cs="Arial"/>
                <w:b/>
                <w:bCs/>
                <w:color w:val="000000"/>
                <w:sz w:val="16"/>
                <w:szCs w:val="16"/>
                <w:lang w:val="es-ES_tradnl" w:eastAsia="es-ES_tradnl"/>
              </w:rPr>
              <w:t>GWh/d</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37C66C73" w14:textId="77777777" w:rsidR="00292EAC" w:rsidRPr="00292EAC" w:rsidRDefault="00292EAC" w:rsidP="00B82B99">
            <w:pPr>
              <w:keepNext/>
              <w:spacing w:before="0" w:after="0" w:line="240" w:lineRule="auto"/>
              <w:jc w:val="center"/>
              <w:rPr>
                <w:rFonts w:cs="Arial"/>
                <w:b/>
                <w:bCs/>
                <w:color w:val="000000"/>
                <w:sz w:val="16"/>
                <w:szCs w:val="16"/>
                <w:lang w:val="es-ES_tradnl" w:eastAsia="es-ES_tradnl"/>
              </w:rPr>
            </w:pPr>
            <w:r w:rsidRPr="00292EAC">
              <w:rPr>
                <w:rFonts w:cs="Arial"/>
                <w:b/>
                <w:bCs/>
                <w:color w:val="000000"/>
                <w:sz w:val="16"/>
                <w:szCs w:val="16"/>
                <w:lang w:val="es-ES_tradnl" w:eastAsia="es-ES_tradnl"/>
              </w:rPr>
              <w:t>French side</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523B4AA6" w14:textId="77777777" w:rsidR="00292EAC" w:rsidRPr="00292EAC" w:rsidRDefault="00292EAC" w:rsidP="00B82B99">
            <w:pPr>
              <w:keepNext/>
              <w:spacing w:before="0" w:after="0" w:line="240" w:lineRule="auto"/>
              <w:jc w:val="center"/>
              <w:rPr>
                <w:rFonts w:cs="Arial"/>
                <w:b/>
                <w:bCs/>
                <w:color w:val="000000"/>
                <w:sz w:val="16"/>
                <w:szCs w:val="16"/>
                <w:lang w:val="es-ES_tradnl" w:eastAsia="es-ES_tradnl"/>
              </w:rPr>
            </w:pPr>
            <w:r w:rsidRPr="00292EAC">
              <w:rPr>
                <w:rFonts w:cs="Arial"/>
                <w:b/>
                <w:bCs/>
                <w:color w:val="000000"/>
                <w:sz w:val="16"/>
                <w:szCs w:val="16"/>
                <w:lang w:val="es-ES_tradnl" w:eastAsia="es-ES_tradnl"/>
              </w:rPr>
              <w:t>Spanish side</w:t>
            </w:r>
          </w:p>
        </w:tc>
      </w:tr>
      <w:tr w:rsidR="00292EAC" w:rsidRPr="00292EAC" w14:paraId="2CA1B11A" w14:textId="77777777" w:rsidTr="00292EAC">
        <w:trPr>
          <w:trHeight w:val="465"/>
        </w:trPr>
        <w:tc>
          <w:tcPr>
            <w:tcW w:w="0" w:type="auto"/>
            <w:vMerge/>
            <w:tcBorders>
              <w:left w:val="single" w:sz="8" w:space="0" w:color="auto"/>
              <w:bottom w:val="single" w:sz="8" w:space="0" w:color="000000"/>
              <w:right w:val="single" w:sz="8" w:space="0" w:color="auto"/>
            </w:tcBorders>
            <w:shd w:val="clear" w:color="000000" w:fill="EBF1DE"/>
            <w:vAlign w:val="center"/>
            <w:hideMark/>
          </w:tcPr>
          <w:p w14:paraId="7E7A924F" w14:textId="7220D512" w:rsidR="00292EAC" w:rsidRPr="00292EAC" w:rsidRDefault="00292EAC" w:rsidP="00B82B99">
            <w:pPr>
              <w:keepNext/>
              <w:spacing w:before="0" w:after="0" w:line="240" w:lineRule="auto"/>
              <w:jc w:val="center"/>
              <w:rPr>
                <w:rFonts w:cs="Arial"/>
                <w:b/>
                <w:bCs/>
                <w:color w:val="000000"/>
                <w:sz w:val="16"/>
                <w:szCs w:val="16"/>
                <w:lang w:val="es-ES_tradnl" w:eastAsia="es-ES_tradnl"/>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3F4BCF85" w14:textId="77777777" w:rsidR="00292EAC" w:rsidRPr="00292EAC" w:rsidRDefault="00292EAC"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LT before CAM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5A64EDAB" w14:textId="77777777" w:rsidR="00292EAC" w:rsidRPr="00292EAC" w:rsidRDefault="00292EAC"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Unbundled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6CFE967B" w14:textId="77777777" w:rsidR="00292EAC" w:rsidRPr="00292EAC" w:rsidRDefault="00292EAC"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Bundled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DDFD2F5" w14:textId="77777777" w:rsidR="00292EAC" w:rsidRPr="00292EAC" w:rsidRDefault="00292EAC"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Booked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EACFEF6" w14:textId="77777777" w:rsidR="00292EAC" w:rsidRPr="00292EAC" w:rsidRDefault="00292EAC"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LT before CAM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1DBDE3E2" w14:textId="77777777" w:rsidR="00292EAC" w:rsidRPr="00292EAC" w:rsidRDefault="00292EAC"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Unbundled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18DC17A4" w14:textId="77777777" w:rsidR="00292EAC" w:rsidRPr="00292EAC" w:rsidRDefault="00292EAC"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Bundled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4E83AD71" w14:textId="77777777" w:rsidR="00292EAC" w:rsidRPr="00292EAC" w:rsidRDefault="00292EAC"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Booked capacity</w:t>
            </w:r>
          </w:p>
        </w:tc>
      </w:tr>
      <w:tr w:rsidR="00416F14" w:rsidRPr="00292EAC" w14:paraId="48B1B199" w14:textId="77777777" w:rsidTr="00E740A2">
        <w:trPr>
          <w:trHeight w:val="315"/>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5213FF3F" w14:textId="112E7BC3" w:rsidR="00416F14" w:rsidRPr="00292EAC" w:rsidRDefault="00416F14" w:rsidP="00B82B99">
            <w:pPr>
              <w:keepNext/>
              <w:spacing w:before="0" w:after="0" w:line="240" w:lineRule="auto"/>
              <w:jc w:val="center"/>
              <w:rPr>
                <w:rFonts w:ascii="Calibri" w:hAnsi="Calibri" w:cs="Calibri"/>
                <w:b/>
                <w:bCs/>
                <w:color w:val="FFFFFF"/>
                <w:sz w:val="16"/>
                <w:szCs w:val="16"/>
                <w:lang w:val="es-ES_tradnl" w:eastAsia="es-ES_tradnl"/>
              </w:rPr>
            </w:pPr>
            <w:r w:rsidRPr="00292EAC">
              <w:rPr>
                <w:rFonts w:ascii="Calibri" w:hAnsi="Calibri" w:cs="Calibri"/>
                <w:b/>
                <w:bCs/>
                <w:color w:val="FFFFFF"/>
                <w:sz w:val="16"/>
                <w:szCs w:val="16"/>
                <w:lang w:val="es-ES_tradnl" w:eastAsia="es-ES_tradnl"/>
              </w:rPr>
              <w:t>2016</w:t>
            </w:r>
            <w:r>
              <w:rPr>
                <w:rFonts w:ascii="Calibri" w:hAnsi="Calibri" w:cs="Calibri"/>
                <w:b/>
                <w:bCs/>
                <w:color w:val="FFFFFF"/>
                <w:sz w:val="16"/>
                <w:szCs w:val="16"/>
                <w:lang w:val="es-ES_tradnl" w:eastAsia="es-ES_tradnl"/>
              </w:rPr>
              <w:t>-17</w:t>
            </w:r>
          </w:p>
        </w:tc>
        <w:tc>
          <w:tcPr>
            <w:tcW w:w="0" w:type="auto"/>
            <w:tcBorders>
              <w:top w:val="nil"/>
              <w:left w:val="nil"/>
              <w:bottom w:val="single" w:sz="8" w:space="0" w:color="auto"/>
              <w:right w:val="single" w:sz="8" w:space="0" w:color="auto"/>
            </w:tcBorders>
            <w:shd w:val="clear" w:color="auto" w:fill="auto"/>
            <w:noWrap/>
            <w:vAlign w:val="center"/>
            <w:hideMark/>
          </w:tcPr>
          <w:p w14:paraId="6433F4B1" w14:textId="1A57CD82"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rPr>
              <w:t>79%</w:t>
            </w:r>
          </w:p>
        </w:tc>
        <w:tc>
          <w:tcPr>
            <w:tcW w:w="0" w:type="auto"/>
            <w:tcBorders>
              <w:top w:val="nil"/>
              <w:left w:val="nil"/>
              <w:bottom w:val="single" w:sz="8" w:space="0" w:color="auto"/>
              <w:right w:val="single" w:sz="8" w:space="0" w:color="auto"/>
            </w:tcBorders>
            <w:shd w:val="clear" w:color="auto" w:fill="auto"/>
            <w:noWrap/>
            <w:vAlign w:val="center"/>
            <w:hideMark/>
          </w:tcPr>
          <w:p w14:paraId="383F1E37" w14:textId="3573A4B5"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center"/>
            <w:hideMark/>
          </w:tcPr>
          <w:p w14:paraId="6876FDBE" w14:textId="30827B3D"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center"/>
            <w:hideMark/>
          </w:tcPr>
          <w:p w14:paraId="37F15317" w14:textId="18BE9194"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lang w:val="es-ES_tradnl"/>
              </w:rPr>
              <w:t>79%</w:t>
            </w:r>
          </w:p>
        </w:tc>
        <w:tc>
          <w:tcPr>
            <w:tcW w:w="0" w:type="auto"/>
            <w:tcBorders>
              <w:top w:val="nil"/>
              <w:left w:val="nil"/>
              <w:bottom w:val="single" w:sz="8" w:space="0" w:color="auto"/>
              <w:right w:val="single" w:sz="8" w:space="0" w:color="auto"/>
            </w:tcBorders>
            <w:shd w:val="clear" w:color="auto" w:fill="auto"/>
            <w:noWrap/>
            <w:vAlign w:val="center"/>
            <w:hideMark/>
          </w:tcPr>
          <w:p w14:paraId="400D76DE" w14:textId="4788EDC2"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55</w:t>
            </w:r>
            <w:r>
              <w:rPr>
                <w:rFonts w:cs="Arial"/>
                <w:color w:val="000000"/>
                <w:sz w:val="16"/>
                <w:szCs w:val="16"/>
                <w:lang w:val="es-ES_tradnl" w:eastAsia="es-ES_tradnl"/>
              </w:rPr>
              <w:t>.</w:t>
            </w:r>
            <w:r w:rsidRPr="00292EAC">
              <w:rPr>
                <w:rFonts w:cs="Arial"/>
                <w:color w:val="000000"/>
                <w:sz w:val="16"/>
                <w:szCs w:val="16"/>
                <w:lang w:val="es-ES_tradnl" w:eastAsia="es-ES_tradnl"/>
              </w:rPr>
              <w:t>81%</w:t>
            </w:r>
          </w:p>
        </w:tc>
        <w:tc>
          <w:tcPr>
            <w:tcW w:w="0" w:type="auto"/>
            <w:tcBorders>
              <w:top w:val="nil"/>
              <w:left w:val="nil"/>
              <w:bottom w:val="single" w:sz="8" w:space="0" w:color="auto"/>
              <w:right w:val="single" w:sz="8" w:space="0" w:color="auto"/>
            </w:tcBorders>
            <w:shd w:val="clear" w:color="auto" w:fill="auto"/>
            <w:noWrap/>
            <w:vAlign w:val="center"/>
            <w:hideMark/>
          </w:tcPr>
          <w:p w14:paraId="5F95F07F" w14:textId="1C6A499F"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0</w:t>
            </w:r>
            <w:r>
              <w:rPr>
                <w:rFonts w:cs="Arial"/>
                <w:color w:val="000000"/>
                <w:sz w:val="16"/>
                <w:szCs w:val="16"/>
                <w:lang w:val="es-ES_tradnl" w:eastAsia="es-ES_tradnl"/>
              </w:rPr>
              <w:t>.00</w:t>
            </w:r>
            <w:r w:rsidRPr="00292EAC">
              <w:rPr>
                <w:rFonts w:cs="Arial"/>
                <w:color w:val="000000"/>
                <w:sz w:val="16"/>
                <w:szCs w:val="16"/>
                <w:lang w:val="es-ES_tradnl" w:eastAsia="es-ES_tradnl"/>
              </w:rPr>
              <w:t>%</w:t>
            </w:r>
          </w:p>
        </w:tc>
        <w:tc>
          <w:tcPr>
            <w:tcW w:w="0" w:type="auto"/>
            <w:tcBorders>
              <w:top w:val="nil"/>
              <w:left w:val="nil"/>
              <w:bottom w:val="single" w:sz="8" w:space="0" w:color="auto"/>
              <w:right w:val="single" w:sz="8" w:space="0" w:color="auto"/>
            </w:tcBorders>
            <w:shd w:val="clear" w:color="auto" w:fill="auto"/>
            <w:vAlign w:val="center"/>
            <w:hideMark/>
          </w:tcPr>
          <w:p w14:paraId="16382DC7" w14:textId="6B1609A9"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0</w:t>
            </w:r>
            <w:r>
              <w:rPr>
                <w:rFonts w:cs="Arial"/>
                <w:color w:val="000000"/>
                <w:sz w:val="16"/>
                <w:szCs w:val="16"/>
                <w:lang w:val="es-ES_tradnl" w:eastAsia="es-ES_tradnl"/>
              </w:rPr>
              <w:t>.</w:t>
            </w:r>
            <w:r w:rsidRPr="00292EAC">
              <w:rPr>
                <w:rFonts w:cs="Arial"/>
                <w:color w:val="000000"/>
                <w:sz w:val="16"/>
                <w:szCs w:val="16"/>
                <w:lang w:val="es-ES_tradnl" w:eastAsia="es-ES_tradnl"/>
              </w:rPr>
              <w:t>38%</w:t>
            </w:r>
          </w:p>
        </w:tc>
        <w:tc>
          <w:tcPr>
            <w:tcW w:w="0" w:type="auto"/>
            <w:tcBorders>
              <w:top w:val="nil"/>
              <w:left w:val="nil"/>
              <w:bottom w:val="single" w:sz="8" w:space="0" w:color="auto"/>
              <w:right w:val="single" w:sz="8" w:space="0" w:color="auto"/>
            </w:tcBorders>
            <w:shd w:val="clear" w:color="auto" w:fill="auto"/>
            <w:noWrap/>
            <w:vAlign w:val="center"/>
            <w:hideMark/>
          </w:tcPr>
          <w:p w14:paraId="0440E584" w14:textId="477D7E99"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56</w:t>
            </w:r>
            <w:r>
              <w:rPr>
                <w:rFonts w:cs="Arial"/>
                <w:color w:val="000000"/>
                <w:sz w:val="16"/>
                <w:szCs w:val="16"/>
                <w:lang w:val="es-ES_tradnl" w:eastAsia="es-ES_tradnl"/>
              </w:rPr>
              <w:t>.</w:t>
            </w:r>
            <w:r w:rsidRPr="00292EAC">
              <w:rPr>
                <w:rFonts w:cs="Arial"/>
                <w:color w:val="000000"/>
                <w:sz w:val="16"/>
                <w:szCs w:val="16"/>
                <w:lang w:val="es-ES_tradnl" w:eastAsia="es-ES_tradnl"/>
              </w:rPr>
              <w:t>19%</w:t>
            </w:r>
          </w:p>
        </w:tc>
      </w:tr>
      <w:tr w:rsidR="00416F14" w:rsidRPr="00292EAC" w14:paraId="68566B60" w14:textId="77777777" w:rsidTr="00E740A2">
        <w:trPr>
          <w:trHeight w:val="315"/>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63F720B5" w14:textId="3F4E9D90" w:rsidR="00416F14" w:rsidRPr="00292EAC" w:rsidRDefault="00416F14" w:rsidP="00B82B99">
            <w:pPr>
              <w:keepNext/>
              <w:spacing w:before="0" w:after="0" w:line="240" w:lineRule="auto"/>
              <w:jc w:val="center"/>
              <w:rPr>
                <w:rFonts w:ascii="Calibri" w:hAnsi="Calibri" w:cs="Calibri"/>
                <w:b/>
                <w:bCs/>
                <w:color w:val="FFFFFF"/>
                <w:sz w:val="16"/>
                <w:szCs w:val="16"/>
                <w:lang w:val="es-ES_tradnl" w:eastAsia="es-ES_tradnl"/>
              </w:rPr>
            </w:pPr>
            <w:r w:rsidRPr="00292EAC">
              <w:rPr>
                <w:rFonts w:ascii="Calibri" w:hAnsi="Calibri" w:cs="Calibri"/>
                <w:b/>
                <w:bCs/>
                <w:color w:val="FFFFFF"/>
                <w:sz w:val="16"/>
                <w:szCs w:val="16"/>
                <w:lang w:val="es-ES_tradnl" w:eastAsia="es-ES_tradnl"/>
              </w:rPr>
              <w:t>2017</w:t>
            </w:r>
            <w:r>
              <w:rPr>
                <w:rFonts w:ascii="Calibri" w:hAnsi="Calibri" w:cs="Calibri"/>
                <w:b/>
                <w:bCs/>
                <w:color w:val="FFFFFF"/>
                <w:sz w:val="16"/>
                <w:szCs w:val="16"/>
                <w:lang w:val="es-ES_tradnl" w:eastAsia="es-ES_tradnl"/>
              </w:rPr>
              <w:t>-18</w:t>
            </w:r>
          </w:p>
        </w:tc>
        <w:tc>
          <w:tcPr>
            <w:tcW w:w="0" w:type="auto"/>
            <w:tcBorders>
              <w:top w:val="nil"/>
              <w:left w:val="nil"/>
              <w:bottom w:val="single" w:sz="8" w:space="0" w:color="auto"/>
              <w:right w:val="single" w:sz="8" w:space="0" w:color="auto"/>
            </w:tcBorders>
            <w:shd w:val="clear" w:color="auto" w:fill="auto"/>
            <w:noWrap/>
            <w:vAlign w:val="center"/>
            <w:hideMark/>
          </w:tcPr>
          <w:p w14:paraId="1AAEAFB3" w14:textId="61E39A01"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rPr>
              <w:t>79%</w:t>
            </w:r>
          </w:p>
        </w:tc>
        <w:tc>
          <w:tcPr>
            <w:tcW w:w="0" w:type="auto"/>
            <w:tcBorders>
              <w:top w:val="nil"/>
              <w:left w:val="nil"/>
              <w:bottom w:val="single" w:sz="8" w:space="0" w:color="auto"/>
              <w:right w:val="single" w:sz="8" w:space="0" w:color="auto"/>
            </w:tcBorders>
            <w:shd w:val="clear" w:color="auto" w:fill="auto"/>
            <w:noWrap/>
            <w:vAlign w:val="center"/>
            <w:hideMark/>
          </w:tcPr>
          <w:p w14:paraId="3A9727BD" w14:textId="7397FDE3"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center"/>
            <w:hideMark/>
          </w:tcPr>
          <w:p w14:paraId="53DC62F6" w14:textId="28F3F264"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rPr>
              <w:t>0,22%</w:t>
            </w:r>
          </w:p>
        </w:tc>
        <w:tc>
          <w:tcPr>
            <w:tcW w:w="0" w:type="auto"/>
            <w:tcBorders>
              <w:top w:val="nil"/>
              <w:left w:val="nil"/>
              <w:bottom w:val="single" w:sz="8" w:space="0" w:color="auto"/>
              <w:right w:val="single" w:sz="8" w:space="0" w:color="auto"/>
            </w:tcBorders>
            <w:shd w:val="clear" w:color="auto" w:fill="auto"/>
            <w:noWrap/>
            <w:vAlign w:val="center"/>
            <w:hideMark/>
          </w:tcPr>
          <w:p w14:paraId="48CD6763" w14:textId="31A6A2CC"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lang w:val="es-ES_tradnl"/>
              </w:rPr>
              <w:t>79%</w:t>
            </w:r>
          </w:p>
        </w:tc>
        <w:tc>
          <w:tcPr>
            <w:tcW w:w="0" w:type="auto"/>
            <w:tcBorders>
              <w:top w:val="nil"/>
              <w:left w:val="nil"/>
              <w:bottom w:val="single" w:sz="8" w:space="0" w:color="auto"/>
              <w:right w:val="single" w:sz="8" w:space="0" w:color="auto"/>
            </w:tcBorders>
            <w:shd w:val="clear" w:color="auto" w:fill="auto"/>
            <w:noWrap/>
            <w:vAlign w:val="center"/>
            <w:hideMark/>
          </w:tcPr>
          <w:p w14:paraId="0B0409A6" w14:textId="346E8422"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55</w:t>
            </w:r>
            <w:r>
              <w:rPr>
                <w:rFonts w:cs="Arial"/>
                <w:color w:val="000000"/>
                <w:sz w:val="16"/>
                <w:szCs w:val="16"/>
                <w:lang w:val="es-ES_tradnl" w:eastAsia="es-ES_tradnl"/>
              </w:rPr>
              <w:t>.</w:t>
            </w:r>
            <w:r w:rsidRPr="00292EAC">
              <w:rPr>
                <w:rFonts w:cs="Arial"/>
                <w:color w:val="000000"/>
                <w:sz w:val="16"/>
                <w:szCs w:val="16"/>
                <w:lang w:val="es-ES_tradnl" w:eastAsia="es-ES_tradnl"/>
              </w:rPr>
              <w:t>81%</w:t>
            </w:r>
          </w:p>
        </w:tc>
        <w:tc>
          <w:tcPr>
            <w:tcW w:w="0" w:type="auto"/>
            <w:tcBorders>
              <w:top w:val="nil"/>
              <w:left w:val="nil"/>
              <w:bottom w:val="single" w:sz="8" w:space="0" w:color="auto"/>
              <w:right w:val="single" w:sz="8" w:space="0" w:color="auto"/>
            </w:tcBorders>
            <w:shd w:val="clear" w:color="auto" w:fill="auto"/>
            <w:noWrap/>
            <w:vAlign w:val="center"/>
            <w:hideMark/>
          </w:tcPr>
          <w:p w14:paraId="34F2E020" w14:textId="0ECFC9F2"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0</w:t>
            </w:r>
            <w:r>
              <w:rPr>
                <w:rFonts w:cs="Arial"/>
                <w:color w:val="000000"/>
                <w:sz w:val="16"/>
                <w:szCs w:val="16"/>
                <w:lang w:val="es-ES_tradnl" w:eastAsia="es-ES_tradnl"/>
              </w:rPr>
              <w:t>.</w:t>
            </w:r>
            <w:r w:rsidRPr="00292EAC">
              <w:rPr>
                <w:rFonts w:cs="Arial"/>
                <w:color w:val="000000"/>
                <w:sz w:val="16"/>
                <w:szCs w:val="16"/>
                <w:lang w:val="es-ES_tradnl" w:eastAsia="es-ES_tradnl"/>
              </w:rPr>
              <w:t>13%</w:t>
            </w:r>
          </w:p>
        </w:tc>
        <w:tc>
          <w:tcPr>
            <w:tcW w:w="0" w:type="auto"/>
            <w:tcBorders>
              <w:top w:val="nil"/>
              <w:left w:val="nil"/>
              <w:bottom w:val="single" w:sz="8" w:space="0" w:color="auto"/>
              <w:right w:val="single" w:sz="8" w:space="0" w:color="auto"/>
            </w:tcBorders>
            <w:shd w:val="clear" w:color="auto" w:fill="auto"/>
            <w:vAlign w:val="center"/>
            <w:hideMark/>
          </w:tcPr>
          <w:p w14:paraId="648CF5A7" w14:textId="5483083A"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0</w:t>
            </w:r>
            <w:r>
              <w:rPr>
                <w:rFonts w:cs="Arial"/>
                <w:color w:val="000000"/>
                <w:sz w:val="16"/>
                <w:szCs w:val="16"/>
                <w:lang w:val="es-ES_tradnl" w:eastAsia="es-ES_tradnl"/>
              </w:rPr>
              <w:t>.</w:t>
            </w:r>
            <w:r w:rsidRPr="00292EAC">
              <w:rPr>
                <w:rFonts w:cs="Arial"/>
                <w:color w:val="000000"/>
                <w:sz w:val="16"/>
                <w:szCs w:val="16"/>
                <w:lang w:val="es-ES_tradnl" w:eastAsia="es-ES_tradnl"/>
              </w:rPr>
              <w:t>60%</w:t>
            </w:r>
          </w:p>
        </w:tc>
        <w:tc>
          <w:tcPr>
            <w:tcW w:w="0" w:type="auto"/>
            <w:tcBorders>
              <w:top w:val="nil"/>
              <w:left w:val="nil"/>
              <w:bottom w:val="single" w:sz="8" w:space="0" w:color="auto"/>
              <w:right w:val="single" w:sz="8" w:space="0" w:color="auto"/>
            </w:tcBorders>
            <w:shd w:val="clear" w:color="auto" w:fill="auto"/>
            <w:noWrap/>
            <w:vAlign w:val="center"/>
            <w:hideMark/>
          </w:tcPr>
          <w:p w14:paraId="0EB8F332" w14:textId="41DF8591"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56</w:t>
            </w:r>
            <w:r>
              <w:rPr>
                <w:rFonts w:cs="Arial"/>
                <w:color w:val="000000"/>
                <w:sz w:val="16"/>
                <w:szCs w:val="16"/>
                <w:lang w:val="es-ES_tradnl" w:eastAsia="es-ES_tradnl"/>
              </w:rPr>
              <w:t>.</w:t>
            </w:r>
            <w:r w:rsidRPr="00292EAC">
              <w:rPr>
                <w:rFonts w:cs="Arial"/>
                <w:color w:val="000000"/>
                <w:sz w:val="16"/>
                <w:szCs w:val="16"/>
                <w:lang w:val="es-ES_tradnl" w:eastAsia="es-ES_tradnl"/>
              </w:rPr>
              <w:t>54%</w:t>
            </w:r>
          </w:p>
        </w:tc>
      </w:tr>
      <w:tr w:rsidR="00416F14" w:rsidRPr="00292EAC" w14:paraId="7F7DE816" w14:textId="77777777" w:rsidTr="00E740A2">
        <w:trPr>
          <w:trHeight w:val="315"/>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56623424" w14:textId="45FF8038" w:rsidR="00416F14" w:rsidRPr="00292EAC" w:rsidRDefault="00416F14" w:rsidP="00B82B99">
            <w:pPr>
              <w:keepNext/>
              <w:spacing w:before="0" w:after="0" w:line="240" w:lineRule="auto"/>
              <w:jc w:val="center"/>
              <w:rPr>
                <w:rFonts w:ascii="Calibri" w:hAnsi="Calibri" w:cs="Calibri"/>
                <w:b/>
                <w:bCs/>
                <w:color w:val="FFFFFF"/>
                <w:sz w:val="16"/>
                <w:szCs w:val="16"/>
                <w:lang w:val="es-ES_tradnl" w:eastAsia="es-ES_tradnl"/>
              </w:rPr>
            </w:pPr>
            <w:r w:rsidRPr="00292EAC">
              <w:rPr>
                <w:rFonts w:ascii="Calibri" w:hAnsi="Calibri" w:cs="Calibri"/>
                <w:b/>
                <w:bCs/>
                <w:color w:val="FFFFFF"/>
                <w:sz w:val="16"/>
                <w:szCs w:val="16"/>
                <w:lang w:val="es-ES_tradnl" w:eastAsia="es-ES_tradnl"/>
              </w:rPr>
              <w:t>2018</w:t>
            </w:r>
            <w:r>
              <w:rPr>
                <w:rFonts w:ascii="Calibri" w:hAnsi="Calibri" w:cs="Calibri"/>
                <w:b/>
                <w:bCs/>
                <w:color w:val="FFFFFF"/>
                <w:sz w:val="16"/>
                <w:szCs w:val="16"/>
                <w:lang w:val="es-ES_tradnl" w:eastAsia="es-ES_tradnl"/>
              </w:rPr>
              <w:t>-19</w:t>
            </w:r>
          </w:p>
        </w:tc>
        <w:tc>
          <w:tcPr>
            <w:tcW w:w="0" w:type="auto"/>
            <w:tcBorders>
              <w:top w:val="nil"/>
              <w:left w:val="nil"/>
              <w:bottom w:val="single" w:sz="8" w:space="0" w:color="auto"/>
              <w:right w:val="single" w:sz="8" w:space="0" w:color="auto"/>
            </w:tcBorders>
            <w:shd w:val="clear" w:color="auto" w:fill="auto"/>
            <w:noWrap/>
            <w:vAlign w:val="center"/>
            <w:hideMark/>
          </w:tcPr>
          <w:p w14:paraId="107722FF" w14:textId="60C035FD"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rPr>
              <w:t>79%</w:t>
            </w:r>
          </w:p>
        </w:tc>
        <w:tc>
          <w:tcPr>
            <w:tcW w:w="0" w:type="auto"/>
            <w:tcBorders>
              <w:top w:val="nil"/>
              <w:left w:val="nil"/>
              <w:bottom w:val="single" w:sz="8" w:space="0" w:color="auto"/>
              <w:right w:val="single" w:sz="8" w:space="0" w:color="auto"/>
            </w:tcBorders>
            <w:shd w:val="clear" w:color="auto" w:fill="auto"/>
            <w:noWrap/>
            <w:vAlign w:val="center"/>
            <w:hideMark/>
          </w:tcPr>
          <w:p w14:paraId="458642EA" w14:textId="48E4087F"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center"/>
            <w:hideMark/>
          </w:tcPr>
          <w:p w14:paraId="4AC1E047" w14:textId="6F26C4F4"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rPr>
              <w:t>0,20%</w:t>
            </w:r>
          </w:p>
        </w:tc>
        <w:tc>
          <w:tcPr>
            <w:tcW w:w="0" w:type="auto"/>
            <w:tcBorders>
              <w:top w:val="nil"/>
              <w:left w:val="nil"/>
              <w:bottom w:val="single" w:sz="8" w:space="0" w:color="auto"/>
              <w:right w:val="single" w:sz="8" w:space="0" w:color="auto"/>
            </w:tcBorders>
            <w:shd w:val="clear" w:color="auto" w:fill="auto"/>
            <w:noWrap/>
            <w:vAlign w:val="center"/>
            <w:hideMark/>
          </w:tcPr>
          <w:p w14:paraId="0AC5D265" w14:textId="3D5EB628" w:rsidR="00416F14" w:rsidRPr="00292EAC" w:rsidRDefault="00416F14" w:rsidP="00B82B99">
            <w:pPr>
              <w:keepNext/>
              <w:spacing w:before="0" w:after="0" w:line="240" w:lineRule="auto"/>
              <w:jc w:val="center"/>
              <w:rPr>
                <w:rFonts w:cs="Arial"/>
                <w:color w:val="000000"/>
                <w:sz w:val="16"/>
                <w:szCs w:val="16"/>
                <w:lang w:val="es-ES_tradnl" w:eastAsia="es-ES_tradnl"/>
              </w:rPr>
            </w:pPr>
            <w:r>
              <w:rPr>
                <w:rFonts w:cs="Arial"/>
                <w:color w:val="000000"/>
                <w:sz w:val="16"/>
                <w:szCs w:val="16"/>
                <w:lang w:val="es-ES_tradnl"/>
              </w:rPr>
              <w:t>79%</w:t>
            </w:r>
          </w:p>
        </w:tc>
        <w:tc>
          <w:tcPr>
            <w:tcW w:w="0" w:type="auto"/>
            <w:tcBorders>
              <w:top w:val="nil"/>
              <w:left w:val="nil"/>
              <w:bottom w:val="single" w:sz="8" w:space="0" w:color="auto"/>
              <w:right w:val="single" w:sz="8" w:space="0" w:color="auto"/>
            </w:tcBorders>
            <w:shd w:val="clear" w:color="auto" w:fill="auto"/>
            <w:noWrap/>
            <w:vAlign w:val="center"/>
            <w:hideMark/>
          </w:tcPr>
          <w:p w14:paraId="622534EC" w14:textId="3713E61D"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55</w:t>
            </w:r>
            <w:r>
              <w:rPr>
                <w:rFonts w:cs="Arial"/>
                <w:color w:val="000000"/>
                <w:sz w:val="16"/>
                <w:szCs w:val="16"/>
                <w:lang w:val="es-ES_tradnl" w:eastAsia="es-ES_tradnl"/>
              </w:rPr>
              <w:t>.</w:t>
            </w:r>
            <w:r w:rsidRPr="00292EAC">
              <w:rPr>
                <w:rFonts w:cs="Arial"/>
                <w:color w:val="000000"/>
                <w:sz w:val="16"/>
                <w:szCs w:val="16"/>
                <w:lang w:val="es-ES_tradnl" w:eastAsia="es-ES_tradnl"/>
              </w:rPr>
              <w:t>81%</w:t>
            </w:r>
          </w:p>
        </w:tc>
        <w:tc>
          <w:tcPr>
            <w:tcW w:w="0" w:type="auto"/>
            <w:tcBorders>
              <w:top w:val="nil"/>
              <w:left w:val="nil"/>
              <w:bottom w:val="single" w:sz="8" w:space="0" w:color="auto"/>
              <w:right w:val="single" w:sz="8" w:space="0" w:color="auto"/>
            </w:tcBorders>
            <w:shd w:val="clear" w:color="auto" w:fill="auto"/>
            <w:noWrap/>
            <w:vAlign w:val="center"/>
            <w:hideMark/>
          </w:tcPr>
          <w:p w14:paraId="486C1F78" w14:textId="116FC998"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0</w:t>
            </w:r>
            <w:r>
              <w:rPr>
                <w:rFonts w:cs="Arial"/>
                <w:color w:val="000000"/>
                <w:sz w:val="16"/>
                <w:szCs w:val="16"/>
                <w:lang w:val="es-ES_tradnl" w:eastAsia="es-ES_tradnl"/>
              </w:rPr>
              <w:t>.</w:t>
            </w:r>
            <w:r w:rsidRPr="00292EAC">
              <w:rPr>
                <w:rFonts w:cs="Arial"/>
                <w:color w:val="000000"/>
                <w:sz w:val="16"/>
                <w:szCs w:val="16"/>
                <w:lang w:val="es-ES_tradnl" w:eastAsia="es-ES_tradnl"/>
              </w:rPr>
              <w:t>30%</w:t>
            </w:r>
          </w:p>
        </w:tc>
        <w:tc>
          <w:tcPr>
            <w:tcW w:w="0" w:type="auto"/>
            <w:tcBorders>
              <w:top w:val="nil"/>
              <w:left w:val="nil"/>
              <w:bottom w:val="single" w:sz="8" w:space="0" w:color="auto"/>
              <w:right w:val="single" w:sz="8" w:space="0" w:color="auto"/>
            </w:tcBorders>
            <w:shd w:val="clear" w:color="auto" w:fill="auto"/>
            <w:vAlign w:val="center"/>
            <w:hideMark/>
          </w:tcPr>
          <w:p w14:paraId="77002159" w14:textId="089584A5"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0</w:t>
            </w:r>
            <w:r>
              <w:rPr>
                <w:rFonts w:cs="Arial"/>
                <w:color w:val="000000"/>
                <w:sz w:val="16"/>
                <w:szCs w:val="16"/>
                <w:lang w:val="es-ES_tradnl" w:eastAsia="es-ES_tradnl"/>
              </w:rPr>
              <w:t>.</w:t>
            </w:r>
            <w:r w:rsidRPr="00292EAC">
              <w:rPr>
                <w:rFonts w:cs="Arial"/>
                <w:color w:val="000000"/>
                <w:sz w:val="16"/>
                <w:szCs w:val="16"/>
                <w:lang w:val="es-ES_tradnl" w:eastAsia="es-ES_tradnl"/>
              </w:rPr>
              <w:t>59%</w:t>
            </w:r>
          </w:p>
        </w:tc>
        <w:tc>
          <w:tcPr>
            <w:tcW w:w="0" w:type="auto"/>
            <w:tcBorders>
              <w:top w:val="nil"/>
              <w:left w:val="nil"/>
              <w:bottom w:val="single" w:sz="8" w:space="0" w:color="auto"/>
              <w:right w:val="single" w:sz="8" w:space="0" w:color="auto"/>
            </w:tcBorders>
            <w:shd w:val="clear" w:color="auto" w:fill="auto"/>
            <w:noWrap/>
            <w:vAlign w:val="center"/>
            <w:hideMark/>
          </w:tcPr>
          <w:p w14:paraId="5B0C3C9B" w14:textId="6B0E58CC" w:rsidR="00416F14" w:rsidRPr="00292EAC" w:rsidRDefault="00416F14" w:rsidP="00B82B99">
            <w:pPr>
              <w:keepNext/>
              <w:spacing w:before="0" w:after="0" w:line="240" w:lineRule="auto"/>
              <w:jc w:val="center"/>
              <w:rPr>
                <w:rFonts w:cs="Arial"/>
                <w:color w:val="000000"/>
                <w:sz w:val="16"/>
                <w:szCs w:val="16"/>
                <w:lang w:val="es-ES_tradnl" w:eastAsia="es-ES_tradnl"/>
              </w:rPr>
            </w:pPr>
            <w:r w:rsidRPr="00292EAC">
              <w:rPr>
                <w:rFonts w:cs="Arial"/>
                <w:color w:val="000000"/>
                <w:sz w:val="16"/>
                <w:szCs w:val="16"/>
                <w:lang w:val="es-ES_tradnl" w:eastAsia="es-ES_tradnl"/>
              </w:rPr>
              <w:t>56</w:t>
            </w:r>
            <w:r>
              <w:rPr>
                <w:rFonts w:cs="Arial"/>
                <w:color w:val="000000"/>
                <w:sz w:val="16"/>
                <w:szCs w:val="16"/>
                <w:lang w:val="es-ES_tradnl" w:eastAsia="es-ES_tradnl"/>
              </w:rPr>
              <w:t>.</w:t>
            </w:r>
            <w:r w:rsidRPr="00292EAC">
              <w:rPr>
                <w:rFonts w:cs="Arial"/>
                <w:color w:val="000000"/>
                <w:sz w:val="16"/>
                <w:szCs w:val="16"/>
                <w:lang w:val="es-ES_tradnl" w:eastAsia="es-ES_tradnl"/>
              </w:rPr>
              <w:t>70%</w:t>
            </w:r>
          </w:p>
        </w:tc>
      </w:tr>
    </w:tbl>
    <w:p w14:paraId="499B71C3" w14:textId="7E5D17F7" w:rsidR="006C22A1" w:rsidRPr="00E740A2" w:rsidRDefault="006C22A1" w:rsidP="00E740A2">
      <w:pPr>
        <w:pStyle w:val="Descripcin"/>
        <w:jc w:val="center"/>
        <w:rPr>
          <w:sz w:val="16"/>
          <w:lang w:val="en-US"/>
        </w:rPr>
      </w:pPr>
      <w:r w:rsidRPr="00E740A2">
        <w:rPr>
          <w:sz w:val="16"/>
          <w:lang w:val="en-US"/>
        </w:rPr>
        <w:t xml:space="preserve">Table </w:t>
      </w:r>
      <w:r w:rsidRPr="00E740A2">
        <w:rPr>
          <w:sz w:val="16"/>
        </w:rPr>
        <w:fldChar w:fldCharType="begin"/>
      </w:r>
      <w:r w:rsidRPr="00E740A2">
        <w:rPr>
          <w:sz w:val="16"/>
          <w:lang w:val="en-US"/>
        </w:rPr>
        <w:instrText xml:space="preserve"> SEQ Table \* ARABIC </w:instrText>
      </w:r>
      <w:r w:rsidRPr="00E740A2">
        <w:rPr>
          <w:sz w:val="16"/>
        </w:rPr>
        <w:fldChar w:fldCharType="separate"/>
      </w:r>
      <w:r w:rsidR="00E859C7">
        <w:rPr>
          <w:noProof/>
          <w:sz w:val="16"/>
          <w:lang w:val="en-US"/>
        </w:rPr>
        <w:t>9</w:t>
      </w:r>
      <w:r w:rsidRPr="00E740A2">
        <w:rPr>
          <w:sz w:val="16"/>
        </w:rPr>
        <w:fldChar w:fldCharType="end"/>
      </w:r>
      <w:r w:rsidRPr="00E740A2">
        <w:rPr>
          <w:sz w:val="16"/>
          <w:lang w:val="en-US"/>
        </w:rPr>
        <w:t xml:space="preserve">. Booked capacities on VIP Pirineos </w:t>
      </w:r>
      <w:r w:rsidR="002D3920" w:rsidRPr="00E740A2">
        <w:rPr>
          <w:sz w:val="16"/>
          <w:lang w:val="en-US"/>
        </w:rPr>
        <w:t>vs</w:t>
      </w:r>
      <w:r w:rsidRPr="00E740A2">
        <w:rPr>
          <w:sz w:val="16"/>
          <w:lang w:val="en-US"/>
        </w:rPr>
        <w:t xml:space="preserve"> technical firm capacity – South to North direction</w:t>
      </w:r>
    </w:p>
    <w:p w14:paraId="68BC548F" w14:textId="0154EBE7" w:rsidR="00FE16C9" w:rsidRDefault="00FE16C9" w:rsidP="00E740A2">
      <w:pPr>
        <w:spacing w:line="312" w:lineRule="auto"/>
        <w:rPr>
          <w:rFonts w:cs="Arial"/>
          <w:color w:val="000000" w:themeColor="text1"/>
          <w:szCs w:val="22"/>
          <w:lang w:val="en-GB"/>
        </w:rPr>
      </w:pPr>
      <w:r>
        <w:rPr>
          <w:rFonts w:cs="Arial"/>
          <w:color w:val="000000" w:themeColor="text1"/>
          <w:szCs w:val="22"/>
          <w:lang w:val="en-GB"/>
        </w:rPr>
        <w:t xml:space="preserve">As shown on the figures hereafter, flow direction from France to Spain prevails in terms of booked capacity. </w:t>
      </w:r>
    </w:p>
    <w:p w14:paraId="0F100125" w14:textId="77777777" w:rsidR="00377834" w:rsidRDefault="00377834" w:rsidP="00377834">
      <w:pPr>
        <w:rPr>
          <w:rFonts w:cs="Arial"/>
          <w:b/>
          <w:color w:val="000000" w:themeColor="text1"/>
          <w:szCs w:val="22"/>
          <w:u w:val="single"/>
          <w:lang w:val="en-GB"/>
        </w:rPr>
      </w:pPr>
      <w:r>
        <w:rPr>
          <w:rFonts w:cs="Arial"/>
          <w:b/>
          <w:color w:val="000000" w:themeColor="text1"/>
          <w:szCs w:val="22"/>
          <w:u w:val="single"/>
          <w:lang w:val="en-GB"/>
        </w:rPr>
        <w:t>French side</w:t>
      </w:r>
    </w:p>
    <w:p w14:paraId="24863348" w14:textId="777D9BBC" w:rsidR="006A513B" w:rsidRDefault="006A513B" w:rsidP="006A513B">
      <w:pPr>
        <w:rPr>
          <w:rFonts w:cs="Arial"/>
          <w:b/>
          <w:color w:val="000000" w:themeColor="text1"/>
          <w:szCs w:val="22"/>
          <w:u w:val="single"/>
          <w:lang w:val="en-GB"/>
        </w:rPr>
      </w:pPr>
      <w:r>
        <w:rPr>
          <w:noProof/>
          <w:lang w:val="es-ES" w:eastAsia="es-ES"/>
        </w:rPr>
        <w:drawing>
          <wp:inline distT="0" distB="0" distL="0" distR="0" wp14:anchorId="28CC7A9A" wp14:editId="18B7D9FA">
            <wp:extent cx="5670550" cy="3123565"/>
            <wp:effectExtent l="0" t="0" r="635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0550" cy="3123565"/>
                    </a:xfrm>
                    <a:prstGeom prst="rect">
                      <a:avLst/>
                    </a:prstGeom>
                  </pic:spPr>
                </pic:pic>
              </a:graphicData>
            </a:graphic>
          </wp:inline>
        </w:drawing>
      </w:r>
    </w:p>
    <w:p w14:paraId="36B498A3" w14:textId="4F62EF4F" w:rsidR="00A27A57" w:rsidRPr="00A27A57" w:rsidRDefault="00A27A57" w:rsidP="00A27A57">
      <w:pPr>
        <w:jc w:val="center"/>
        <w:rPr>
          <w:rFonts w:ascii="Verdana" w:hAnsi="Verdana" w:cs="Arial"/>
          <w:b/>
          <w:color w:val="000000" w:themeColor="text1"/>
          <w:szCs w:val="22"/>
          <w:u w:val="single"/>
          <w:lang w:val="en-GB"/>
        </w:rPr>
      </w:pPr>
      <w:r w:rsidRPr="00A27A57">
        <w:rPr>
          <w:rFonts w:ascii="Verdana" w:hAnsi="Verdana"/>
          <w:b/>
          <w:sz w:val="16"/>
          <w:lang w:val="en-US"/>
        </w:rPr>
        <w:t xml:space="preserve">Table </w:t>
      </w:r>
      <w:r w:rsidRPr="00A27A57">
        <w:rPr>
          <w:rFonts w:ascii="Verdana" w:hAnsi="Verdana"/>
          <w:b/>
          <w:sz w:val="16"/>
        </w:rPr>
        <w:fldChar w:fldCharType="begin"/>
      </w:r>
      <w:r w:rsidRPr="00A27A57">
        <w:rPr>
          <w:rFonts w:ascii="Verdana" w:hAnsi="Verdana"/>
          <w:b/>
          <w:sz w:val="16"/>
          <w:lang w:val="en-US"/>
        </w:rPr>
        <w:instrText xml:space="preserve"> SEQ Table \* ARABIC </w:instrText>
      </w:r>
      <w:r w:rsidRPr="00A27A57">
        <w:rPr>
          <w:rFonts w:ascii="Verdana" w:hAnsi="Verdana"/>
          <w:b/>
          <w:sz w:val="16"/>
        </w:rPr>
        <w:fldChar w:fldCharType="separate"/>
      </w:r>
      <w:r w:rsidR="00E859C7">
        <w:rPr>
          <w:rFonts w:ascii="Verdana" w:hAnsi="Verdana"/>
          <w:b/>
          <w:noProof/>
          <w:sz w:val="16"/>
          <w:lang w:val="en-US"/>
        </w:rPr>
        <w:t>10</w:t>
      </w:r>
      <w:r w:rsidRPr="00A27A57">
        <w:rPr>
          <w:rFonts w:ascii="Verdana" w:hAnsi="Verdana"/>
          <w:b/>
          <w:sz w:val="16"/>
        </w:rPr>
        <w:fldChar w:fldCharType="end"/>
      </w:r>
      <w:r w:rsidRPr="00A27A57">
        <w:rPr>
          <w:rFonts w:ascii="Verdana" w:hAnsi="Verdana"/>
          <w:b/>
          <w:sz w:val="16"/>
          <w:lang w:val="en-US"/>
        </w:rPr>
        <w:t>. Booked capacities on VIP Pirineos vs technical firm capacity – South to North direction</w:t>
      </w:r>
    </w:p>
    <w:p w14:paraId="40A78557" w14:textId="31DDB233" w:rsidR="006A513B" w:rsidRPr="000621D4" w:rsidRDefault="005260D1" w:rsidP="006A513B">
      <w:pPr>
        <w:rPr>
          <w:rFonts w:cs="Arial"/>
          <w:color w:val="000000" w:themeColor="text1"/>
          <w:szCs w:val="22"/>
          <w:lang w:val="en-GB"/>
        </w:rPr>
      </w:pPr>
      <w:r w:rsidRPr="000621D4">
        <w:rPr>
          <w:rFonts w:cs="Arial"/>
          <w:color w:val="000000" w:themeColor="text1"/>
          <w:szCs w:val="22"/>
          <w:lang w:val="en-GB"/>
        </w:rPr>
        <w:t>The s</w:t>
      </w:r>
      <w:r w:rsidR="006A513B" w:rsidRPr="000621D4">
        <w:rPr>
          <w:rFonts w:cs="Arial"/>
          <w:color w:val="000000" w:themeColor="text1"/>
          <w:szCs w:val="22"/>
          <w:lang w:val="en-GB"/>
        </w:rPr>
        <w:t xml:space="preserve">ame remark </w:t>
      </w:r>
      <w:r w:rsidRPr="000621D4">
        <w:rPr>
          <w:rFonts w:cs="Arial"/>
          <w:color w:val="000000" w:themeColor="text1"/>
          <w:szCs w:val="22"/>
          <w:lang w:val="en-GB"/>
        </w:rPr>
        <w:t>can be made for the</w:t>
      </w:r>
      <w:r w:rsidR="006A513B" w:rsidRPr="000621D4">
        <w:rPr>
          <w:rFonts w:cs="Arial"/>
          <w:color w:val="000000" w:themeColor="text1"/>
          <w:szCs w:val="22"/>
          <w:lang w:val="en-GB"/>
        </w:rPr>
        <w:t xml:space="preserve"> Firm Unbundled capacity booked via long term contracts, it represents the majority of the marketed capacity. </w:t>
      </w:r>
    </w:p>
    <w:p w14:paraId="75B31EF0" w14:textId="67A08292" w:rsidR="006A513B" w:rsidRPr="000621D4" w:rsidRDefault="006A513B" w:rsidP="006A513B">
      <w:pPr>
        <w:rPr>
          <w:rFonts w:cs="Arial"/>
          <w:color w:val="000000" w:themeColor="text1"/>
          <w:szCs w:val="22"/>
          <w:lang w:val="en-GB"/>
        </w:rPr>
      </w:pPr>
      <w:r w:rsidRPr="000621D4">
        <w:rPr>
          <w:rFonts w:cs="Arial"/>
          <w:color w:val="000000" w:themeColor="text1"/>
          <w:szCs w:val="22"/>
          <w:lang w:val="en-GB"/>
        </w:rPr>
        <w:t xml:space="preserve">However, price signals due to particular events induced – for the first time – total booking of the </w:t>
      </w:r>
      <w:r w:rsidR="00A27A57" w:rsidRPr="000621D4">
        <w:rPr>
          <w:rFonts w:cs="Arial"/>
          <w:color w:val="000000" w:themeColor="text1"/>
          <w:szCs w:val="22"/>
          <w:lang w:val="en-GB"/>
        </w:rPr>
        <w:t>interconne</w:t>
      </w:r>
      <w:r w:rsidR="00A27A57">
        <w:rPr>
          <w:rFonts w:cs="Arial"/>
          <w:color w:val="000000" w:themeColor="text1"/>
          <w:szCs w:val="22"/>
          <w:lang w:val="en-GB"/>
        </w:rPr>
        <w:t>ction</w:t>
      </w:r>
      <w:r w:rsidRPr="000621D4">
        <w:rPr>
          <w:rFonts w:cs="Arial"/>
          <w:color w:val="000000" w:themeColor="text1"/>
          <w:szCs w:val="22"/>
          <w:lang w:val="en-GB"/>
        </w:rPr>
        <w:t xml:space="preserve">. For example, on the 1st of </w:t>
      </w:r>
      <w:r w:rsidR="000621D4">
        <w:rPr>
          <w:rFonts w:cs="Arial"/>
          <w:color w:val="000000" w:themeColor="text1"/>
          <w:szCs w:val="22"/>
          <w:lang w:val="en-GB"/>
        </w:rPr>
        <w:t>M</w:t>
      </w:r>
      <w:r w:rsidRPr="000621D4">
        <w:rPr>
          <w:rFonts w:cs="Arial"/>
          <w:color w:val="000000" w:themeColor="text1"/>
          <w:szCs w:val="22"/>
          <w:lang w:val="en-GB"/>
        </w:rPr>
        <w:t>arch 2018, physical flow has been observed due to the shutdown of Gasco terminal. Hub prices kicked off in the northern Europe and gas transited from Spain to France.</w:t>
      </w:r>
    </w:p>
    <w:p w14:paraId="45B99046" w14:textId="0CCB4A7B" w:rsidR="006A513B" w:rsidRPr="000621D4" w:rsidRDefault="006A513B" w:rsidP="006A513B">
      <w:pPr>
        <w:rPr>
          <w:rFonts w:cs="Arial"/>
          <w:color w:val="000000" w:themeColor="text1"/>
          <w:szCs w:val="22"/>
          <w:lang w:val="en-GB"/>
        </w:rPr>
      </w:pPr>
      <w:r w:rsidRPr="000621D4">
        <w:rPr>
          <w:rFonts w:cs="Arial"/>
          <w:color w:val="000000" w:themeColor="text1"/>
          <w:szCs w:val="22"/>
          <w:lang w:val="en-GB"/>
        </w:rPr>
        <w:t>Note: at the end of 2019, massive delivery of LNG at global scale set a price taker position for Europe that decreased gas hub prices. A permanent south to north physical flow is observed in November and December 2019 (out of the period of study but relevant to be mentioned).</w:t>
      </w:r>
    </w:p>
    <w:p w14:paraId="09B9D364" w14:textId="77777777" w:rsidR="00377834" w:rsidRPr="00C34F07" w:rsidRDefault="00377834" w:rsidP="00377834">
      <w:pPr>
        <w:rPr>
          <w:rFonts w:cs="Arial"/>
          <w:b/>
          <w:color w:val="000000" w:themeColor="text1"/>
          <w:szCs w:val="22"/>
          <w:u w:val="single"/>
          <w:lang w:val="en-GB"/>
        </w:rPr>
      </w:pPr>
      <w:r>
        <w:rPr>
          <w:rFonts w:cs="Arial"/>
          <w:b/>
          <w:color w:val="000000" w:themeColor="text1"/>
          <w:szCs w:val="22"/>
          <w:u w:val="single"/>
          <w:lang w:val="en-GB"/>
        </w:rPr>
        <w:t>Spanish side</w:t>
      </w:r>
    </w:p>
    <w:p w14:paraId="1678489F" w14:textId="19F7A8A3" w:rsidR="006C22A1" w:rsidRDefault="001B08AD" w:rsidP="00E740A2">
      <w:pPr>
        <w:keepNext/>
      </w:pPr>
      <w:r>
        <w:rPr>
          <w:rFonts w:ascii="Verdana" w:hAnsi="Verdana"/>
          <w:b/>
          <w:noProof/>
          <w:sz w:val="16"/>
          <w:lang w:val="es-ES" w:eastAsia="es-ES"/>
        </w:rPr>
        <w:drawing>
          <wp:inline distT="0" distB="0" distL="0" distR="0" wp14:anchorId="596FD2FC" wp14:editId="459FF6EA">
            <wp:extent cx="5691096" cy="2141377"/>
            <wp:effectExtent l="0" t="0" r="508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4404" cy="2146384"/>
                    </a:xfrm>
                    <a:prstGeom prst="rect">
                      <a:avLst/>
                    </a:prstGeom>
                    <a:noFill/>
                  </pic:spPr>
                </pic:pic>
              </a:graphicData>
            </a:graphic>
          </wp:inline>
        </w:drawing>
      </w:r>
    </w:p>
    <w:p w14:paraId="5785D989" w14:textId="21838005" w:rsidR="00257CE0" w:rsidRPr="00E740A2" w:rsidRDefault="006C22A1" w:rsidP="00E740A2">
      <w:pPr>
        <w:pStyle w:val="Descripcin"/>
        <w:jc w:val="center"/>
        <w:rPr>
          <w:rFonts w:cs="Arial"/>
          <w:b w:val="0"/>
          <w:color w:val="000000" w:themeColor="text1"/>
          <w:sz w:val="12"/>
          <w:szCs w:val="22"/>
          <w:u w:val="single"/>
          <w:lang w:val="en-GB"/>
        </w:rPr>
      </w:pPr>
      <w:r w:rsidRPr="00E740A2">
        <w:rPr>
          <w:sz w:val="16"/>
          <w:lang w:val="en-US"/>
        </w:rPr>
        <w:t xml:space="preserve">Figure </w:t>
      </w:r>
      <w:r w:rsidRPr="00E740A2">
        <w:rPr>
          <w:sz w:val="16"/>
        </w:rPr>
        <w:fldChar w:fldCharType="begin"/>
      </w:r>
      <w:r w:rsidRPr="00E740A2">
        <w:rPr>
          <w:sz w:val="16"/>
          <w:lang w:val="en-US"/>
        </w:rPr>
        <w:instrText xml:space="preserve"> SEQ Figure \* ARABIC </w:instrText>
      </w:r>
      <w:r w:rsidRPr="00E740A2">
        <w:rPr>
          <w:sz w:val="16"/>
        </w:rPr>
        <w:fldChar w:fldCharType="separate"/>
      </w:r>
      <w:r w:rsidR="00E859C7">
        <w:rPr>
          <w:noProof/>
          <w:sz w:val="16"/>
          <w:lang w:val="en-US"/>
        </w:rPr>
        <w:t>15</w:t>
      </w:r>
      <w:r w:rsidRPr="00E740A2">
        <w:rPr>
          <w:sz w:val="16"/>
        </w:rPr>
        <w:fldChar w:fldCharType="end"/>
      </w:r>
      <w:r w:rsidRPr="00E740A2">
        <w:rPr>
          <w:sz w:val="16"/>
          <w:lang w:val="en-US"/>
        </w:rPr>
        <w:t>. Capacity bookings on VIP Pirineos - Spain to France (Spanish side)</w:t>
      </w:r>
    </w:p>
    <w:p w14:paraId="722EA849" w14:textId="3F6C67A7" w:rsidR="001B08AD" w:rsidRPr="00D444AE" w:rsidRDefault="009F7B57" w:rsidP="00E740A2">
      <w:pPr>
        <w:spacing w:line="312" w:lineRule="auto"/>
        <w:rPr>
          <w:rFonts w:cs="Arial"/>
        </w:rPr>
      </w:pPr>
      <w:r w:rsidRPr="00866E0E">
        <w:rPr>
          <w:rFonts w:cs="Arial"/>
          <w:color w:val="000000" w:themeColor="text1"/>
          <w:szCs w:val="22"/>
          <w:lang w:val="en-US"/>
        </w:rPr>
        <w:t>Regarding the booked capacity, t</w:t>
      </w:r>
      <w:r>
        <w:rPr>
          <w:rFonts w:cs="Arial"/>
          <w:color w:val="000000" w:themeColor="text1"/>
          <w:szCs w:val="22"/>
          <w:lang w:val="en-GB"/>
        </w:rPr>
        <w:t xml:space="preserve">here are hardly any changes </w:t>
      </w:r>
      <w:r w:rsidR="00BA5483">
        <w:rPr>
          <w:rFonts w:cs="Arial"/>
          <w:color w:val="000000" w:themeColor="text1"/>
          <w:szCs w:val="22"/>
          <w:lang w:val="en-GB"/>
        </w:rPr>
        <w:t xml:space="preserve">in </w:t>
      </w:r>
      <w:r>
        <w:rPr>
          <w:rFonts w:cs="Arial"/>
          <w:color w:val="000000" w:themeColor="text1"/>
          <w:szCs w:val="22"/>
          <w:lang w:val="en-GB"/>
        </w:rPr>
        <w:t xml:space="preserve">the </w:t>
      </w:r>
      <w:r w:rsidR="00BA5483">
        <w:rPr>
          <w:rFonts w:cs="Arial"/>
          <w:color w:val="000000" w:themeColor="text1"/>
          <w:szCs w:val="22"/>
          <w:lang w:val="en-GB"/>
        </w:rPr>
        <w:t xml:space="preserve">three </w:t>
      </w:r>
      <w:r>
        <w:rPr>
          <w:rFonts w:cs="Arial"/>
          <w:color w:val="000000" w:themeColor="text1"/>
          <w:szCs w:val="22"/>
          <w:lang w:val="en-GB"/>
        </w:rPr>
        <w:t xml:space="preserve">gas years under study. This is because </w:t>
      </w:r>
      <w:r w:rsidR="00641043">
        <w:rPr>
          <w:rFonts w:cs="Arial"/>
          <w:color w:val="000000" w:themeColor="text1"/>
          <w:szCs w:val="22"/>
          <w:lang w:val="en-GB"/>
        </w:rPr>
        <w:t>there are hardly any bookings after the Open Season. A</w:t>
      </w:r>
      <w:r>
        <w:rPr>
          <w:rFonts w:cs="Arial"/>
          <w:color w:val="000000" w:themeColor="text1"/>
          <w:szCs w:val="22"/>
          <w:lang w:val="en-GB"/>
        </w:rPr>
        <w:t xml:space="preserve">round </w:t>
      </w:r>
      <w:r w:rsidR="00641043">
        <w:rPr>
          <w:rFonts w:cs="Arial"/>
          <w:color w:val="000000" w:themeColor="text1"/>
          <w:szCs w:val="22"/>
          <w:lang w:val="en-GB"/>
        </w:rPr>
        <w:t>99</w:t>
      </w:r>
      <w:r>
        <w:rPr>
          <w:rFonts w:cs="Arial"/>
          <w:color w:val="000000" w:themeColor="text1"/>
          <w:szCs w:val="22"/>
          <w:lang w:val="en-GB"/>
        </w:rPr>
        <w:t xml:space="preserve"> %</w:t>
      </w:r>
      <w:r w:rsidR="00641043">
        <w:rPr>
          <w:rFonts w:cs="Arial"/>
          <w:color w:val="000000" w:themeColor="text1"/>
          <w:szCs w:val="22"/>
          <w:lang w:val="en-GB"/>
        </w:rPr>
        <w:t xml:space="preserve"> (125 G</w:t>
      </w:r>
      <w:r w:rsidR="00750ED8">
        <w:rPr>
          <w:rFonts w:cs="Arial"/>
          <w:color w:val="000000" w:themeColor="text1"/>
          <w:szCs w:val="22"/>
          <w:lang w:val="en-GB"/>
        </w:rPr>
        <w:t>Wh</w:t>
      </w:r>
      <w:r w:rsidR="00641043">
        <w:rPr>
          <w:rFonts w:cs="Arial"/>
          <w:color w:val="000000" w:themeColor="text1"/>
          <w:szCs w:val="22"/>
          <w:lang w:val="en-GB"/>
        </w:rPr>
        <w:t>)</w:t>
      </w:r>
      <w:r>
        <w:rPr>
          <w:rFonts w:cs="Arial"/>
          <w:color w:val="000000" w:themeColor="text1"/>
          <w:szCs w:val="22"/>
          <w:lang w:val="en-GB"/>
        </w:rPr>
        <w:t xml:space="preserve"> of the </w:t>
      </w:r>
      <w:r w:rsidR="00641043">
        <w:rPr>
          <w:rFonts w:cs="Arial"/>
          <w:color w:val="000000" w:themeColor="text1"/>
          <w:szCs w:val="22"/>
          <w:lang w:val="en-GB"/>
        </w:rPr>
        <w:t xml:space="preserve">allocated </w:t>
      </w:r>
      <w:r>
        <w:rPr>
          <w:rFonts w:cs="Arial"/>
          <w:color w:val="000000" w:themeColor="text1"/>
          <w:szCs w:val="22"/>
          <w:lang w:val="en-GB"/>
        </w:rPr>
        <w:t>capacity</w:t>
      </w:r>
      <w:r w:rsidR="00641043">
        <w:rPr>
          <w:rFonts w:cs="Arial"/>
          <w:color w:val="000000" w:themeColor="text1"/>
          <w:szCs w:val="22"/>
          <w:lang w:val="en-GB"/>
        </w:rPr>
        <w:t xml:space="preserve"> was</w:t>
      </w:r>
      <w:r>
        <w:rPr>
          <w:rFonts w:cs="Arial"/>
          <w:color w:val="000000" w:themeColor="text1"/>
          <w:szCs w:val="22"/>
          <w:lang w:val="en-GB"/>
        </w:rPr>
        <w:t xml:space="preserve"> booked during the Open Seasons</w:t>
      </w:r>
      <w:r w:rsidR="00641043">
        <w:rPr>
          <w:rFonts w:cs="Arial"/>
          <w:color w:val="000000" w:themeColor="text1"/>
          <w:szCs w:val="22"/>
          <w:lang w:val="en-GB"/>
        </w:rPr>
        <w:t xml:space="preserve"> (unbundled)</w:t>
      </w:r>
      <w:r>
        <w:rPr>
          <w:rFonts w:cs="Arial"/>
          <w:color w:val="000000" w:themeColor="text1"/>
          <w:szCs w:val="22"/>
          <w:lang w:val="en-GB"/>
        </w:rPr>
        <w:t xml:space="preserve"> and only 1%</w:t>
      </w:r>
      <w:r w:rsidR="00641043">
        <w:rPr>
          <w:rFonts w:cs="Arial"/>
          <w:color w:val="000000" w:themeColor="text1"/>
          <w:szCs w:val="22"/>
          <w:lang w:val="en-GB"/>
        </w:rPr>
        <w:t xml:space="preserve"> (0</w:t>
      </w:r>
      <w:r w:rsidR="008B5565">
        <w:rPr>
          <w:rFonts w:cs="Arial"/>
          <w:color w:val="000000" w:themeColor="text1"/>
          <w:szCs w:val="22"/>
          <w:lang w:val="en-GB"/>
        </w:rPr>
        <w:t>.</w:t>
      </w:r>
      <w:r w:rsidR="00641043">
        <w:rPr>
          <w:rFonts w:cs="Arial"/>
          <w:color w:val="000000" w:themeColor="text1"/>
          <w:szCs w:val="22"/>
          <w:lang w:val="en-GB"/>
        </w:rPr>
        <w:t>85 GWh/d)</w:t>
      </w:r>
      <w:r>
        <w:rPr>
          <w:rFonts w:cs="Arial"/>
          <w:color w:val="000000" w:themeColor="text1"/>
          <w:szCs w:val="22"/>
          <w:lang w:val="en-GB"/>
        </w:rPr>
        <w:t xml:space="preserve"> of the booked capacity was allocated on Prisma</w:t>
      </w:r>
      <w:r w:rsidR="00641043">
        <w:rPr>
          <w:rFonts w:cs="Arial"/>
          <w:color w:val="000000" w:themeColor="text1"/>
          <w:szCs w:val="22"/>
          <w:lang w:val="en-GB"/>
        </w:rPr>
        <w:t xml:space="preserve"> (Bundled)</w:t>
      </w:r>
      <w:r>
        <w:rPr>
          <w:rFonts w:cs="Arial"/>
          <w:color w:val="000000" w:themeColor="text1"/>
          <w:szCs w:val="22"/>
          <w:lang w:val="en-GB"/>
        </w:rPr>
        <w:t xml:space="preserve">. </w:t>
      </w:r>
      <w:r w:rsidR="001B08AD" w:rsidRPr="00D444AE">
        <w:rPr>
          <w:rFonts w:cs="Arial"/>
        </w:rPr>
        <w:t>In addition, it should be mentioned</w:t>
      </w:r>
      <w:r w:rsidR="001B08AD">
        <w:rPr>
          <w:rFonts w:cs="Arial"/>
        </w:rPr>
        <w:t xml:space="preserve"> that the 2</w:t>
      </w:r>
      <w:r w:rsidR="001B08AD" w:rsidRPr="00D444AE">
        <w:rPr>
          <w:rFonts w:cs="Arial"/>
          <w:vertAlign w:val="superscript"/>
        </w:rPr>
        <w:t>nd</w:t>
      </w:r>
      <w:r w:rsidR="001B08AD">
        <w:rPr>
          <w:rFonts w:cs="Arial"/>
        </w:rPr>
        <w:t xml:space="preserve"> of March, 2018 gas year, a total amount of </w:t>
      </w:r>
      <w:r w:rsidR="001B08AD">
        <w:rPr>
          <w:rFonts w:cs="Arial"/>
          <w:color w:val="000000" w:themeColor="text1"/>
          <w:szCs w:val="22"/>
          <w:lang w:val="en-US"/>
        </w:rPr>
        <w:t>21.9 GWh/d were booked via OSBB</w:t>
      </w:r>
      <w:r w:rsidR="00FD744B">
        <w:rPr>
          <w:rFonts w:cs="Arial"/>
          <w:color w:val="000000" w:themeColor="text1"/>
          <w:szCs w:val="22"/>
          <w:lang w:val="en-US"/>
        </w:rPr>
        <w:t>, nonetheless, and despite the fact that firm capacity bookings were above the technical capacity that day, the physical flow did not exceeded the total technical capacity</w:t>
      </w:r>
      <w:r w:rsidR="001B08AD">
        <w:rPr>
          <w:rFonts w:cs="Arial"/>
          <w:color w:val="000000" w:themeColor="text1"/>
          <w:szCs w:val="22"/>
          <w:lang w:val="en-US"/>
        </w:rPr>
        <w:t xml:space="preserve">. The reason lying behind of this capacity bookings is explained in the chapter </w:t>
      </w:r>
      <w:r w:rsidR="001B08AD">
        <w:rPr>
          <w:rFonts w:cs="Arial"/>
          <w:color w:val="000000" w:themeColor="text1"/>
          <w:szCs w:val="22"/>
          <w:lang w:val="en-US"/>
        </w:rPr>
        <w:fldChar w:fldCharType="begin"/>
      </w:r>
      <w:r w:rsidR="001B08AD">
        <w:rPr>
          <w:rFonts w:cs="Arial"/>
          <w:color w:val="000000" w:themeColor="text1"/>
          <w:szCs w:val="22"/>
          <w:lang w:val="en-US"/>
        </w:rPr>
        <w:instrText xml:space="preserve"> REF _Ref43726012 \r \h </w:instrText>
      </w:r>
      <w:r w:rsidR="001B08AD">
        <w:rPr>
          <w:rFonts w:cs="Arial"/>
          <w:color w:val="000000" w:themeColor="text1"/>
          <w:szCs w:val="22"/>
          <w:lang w:val="en-US"/>
        </w:rPr>
      </w:r>
      <w:r w:rsidR="001B08AD">
        <w:rPr>
          <w:rFonts w:cs="Arial"/>
          <w:color w:val="000000" w:themeColor="text1"/>
          <w:szCs w:val="22"/>
          <w:lang w:val="en-US"/>
        </w:rPr>
        <w:fldChar w:fldCharType="separate"/>
      </w:r>
      <w:r w:rsidR="00E859C7">
        <w:rPr>
          <w:rFonts w:cs="Arial"/>
          <w:color w:val="000000" w:themeColor="text1"/>
          <w:szCs w:val="22"/>
          <w:lang w:val="en-US"/>
        </w:rPr>
        <w:t>3.1.1.2</w:t>
      </w:r>
      <w:r w:rsidR="001B08AD">
        <w:rPr>
          <w:rFonts w:cs="Arial"/>
          <w:color w:val="000000" w:themeColor="text1"/>
          <w:szCs w:val="22"/>
          <w:lang w:val="en-US"/>
        </w:rPr>
        <w:fldChar w:fldCharType="end"/>
      </w:r>
      <w:r w:rsidR="001B08AD">
        <w:rPr>
          <w:rFonts w:cs="Arial"/>
          <w:color w:val="000000" w:themeColor="text1"/>
          <w:szCs w:val="22"/>
          <w:lang w:val="en-US"/>
        </w:rPr>
        <w:t>.</w:t>
      </w:r>
    </w:p>
    <w:p w14:paraId="42118D3D" w14:textId="7E6B59E1" w:rsidR="00641043" w:rsidRDefault="00641043" w:rsidP="00E740A2">
      <w:pPr>
        <w:spacing w:line="312" w:lineRule="auto"/>
        <w:rPr>
          <w:rFonts w:cs="Arial"/>
          <w:color w:val="000000" w:themeColor="text1"/>
          <w:szCs w:val="22"/>
          <w:lang w:val="en-GB"/>
        </w:rPr>
      </w:pPr>
      <w:r w:rsidRPr="003111D2">
        <w:rPr>
          <w:rFonts w:cs="Arial"/>
          <w:color w:val="000000" w:themeColor="text1"/>
          <w:szCs w:val="22"/>
          <w:lang w:val="en-GB"/>
        </w:rPr>
        <w:t>As</w:t>
      </w:r>
      <w:r>
        <w:rPr>
          <w:rFonts w:cs="Arial"/>
          <w:color w:val="000000" w:themeColor="text1"/>
          <w:szCs w:val="22"/>
          <w:lang w:val="en-GB"/>
        </w:rPr>
        <w:t xml:space="preserve"> it</w:t>
      </w:r>
      <w:r w:rsidRPr="003111D2">
        <w:rPr>
          <w:rFonts w:cs="Arial"/>
          <w:color w:val="000000" w:themeColor="text1"/>
          <w:szCs w:val="22"/>
          <w:lang w:val="en-GB"/>
        </w:rPr>
        <w:t xml:space="preserve"> can be observed, unbundled </w:t>
      </w:r>
      <w:r w:rsidR="006A513B">
        <w:rPr>
          <w:rFonts w:cs="Arial"/>
          <w:color w:val="000000" w:themeColor="text1"/>
          <w:szCs w:val="22"/>
          <w:lang w:val="en-GB"/>
        </w:rPr>
        <w:t xml:space="preserve">LT </w:t>
      </w:r>
      <w:r w:rsidRPr="003111D2">
        <w:rPr>
          <w:rFonts w:cs="Arial"/>
          <w:color w:val="000000" w:themeColor="text1"/>
          <w:szCs w:val="22"/>
          <w:lang w:val="en-GB"/>
        </w:rPr>
        <w:t>booked capacity on French side is 50 GWh/d higher than on</w:t>
      </w:r>
      <w:r>
        <w:rPr>
          <w:rFonts w:cs="Arial"/>
          <w:color w:val="000000" w:themeColor="text1"/>
          <w:szCs w:val="22"/>
          <w:lang w:val="en-GB"/>
        </w:rPr>
        <w:t xml:space="preserve"> the</w:t>
      </w:r>
      <w:r w:rsidRPr="003111D2">
        <w:rPr>
          <w:rFonts w:cs="Arial"/>
          <w:color w:val="000000" w:themeColor="text1"/>
          <w:szCs w:val="22"/>
          <w:lang w:val="en-GB"/>
        </w:rPr>
        <w:t xml:space="preserve"> Spanish side. This is because one shipper booked 50 GWh/d on the Open </w:t>
      </w:r>
      <w:r w:rsidRPr="00A37759">
        <w:rPr>
          <w:rFonts w:cs="Arial"/>
          <w:color w:val="000000" w:themeColor="text1"/>
          <w:szCs w:val="22"/>
          <w:lang w:val="en-GB"/>
        </w:rPr>
        <w:t xml:space="preserve">Season 2013 </w:t>
      </w:r>
      <w:r>
        <w:rPr>
          <w:rFonts w:cs="Arial"/>
          <w:color w:val="000000" w:themeColor="text1"/>
          <w:szCs w:val="22"/>
          <w:lang w:val="en-GB"/>
        </w:rPr>
        <w:t>at both sides of the interconnection, but this shipper reduced this capacity on the Spanish side before the “early implementation” of the CAM NC</w:t>
      </w:r>
      <w:r w:rsidRPr="003111D2">
        <w:rPr>
          <w:rFonts w:cs="Arial"/>
          <w:color w:val="000000" w:themeColor="text1"/>
          <w:szCs w:val="22"/>
          <w:lang w:val="en-GB"/>
        </w:rPr>
        <w:t>. Therefore, the status of booked capacity during this period is different at each side of the interconnection point.</w:t>
      </w:r>
    </w:p>
    <w:p w14:paraId="66615ED8" w14:textId="2728905C" w:rsidR="00685C71" w:rsidRDefault="00750ED8" w:rsidP="00E740A2">
      <w:pPr>
        <w:spacing w:line="312" w:lineRule="auto"/>
        <w:rPr>
          <w:rFonts w:cs="Arial"/>
          <w:color w:val="000000" w:themeColor="text1"/>
          <w:szCs w:val="22"/>
          <w:lang w:val="en-GB"/>
        </w:rPr>
      </w:pPr>
      <w:r>
        <w:rPr>
          <w:rFonts w:cs="Arial"/>
          <w:color w:val="000000" w:themeColor="text1"/>
          <w:szCs w:val="22"/>
          <w:lang w:val="en-US"/>
        </w:rPr>
        <w:t xml:space="preserve">Unbundled </w:t>
      </w:r>
      <w:r w:rsidR="00685C71" w:rsidRPr="00105290">
        <w:rPr>
          <w:rFonts w:cs="Arial"/>
          <w:color w:val="000000" w:themeColor="text1"/>
          <w:szCs w:val="22"/>
          <w:lang w:val="en-GB"/>
        </w:rPr>
        <w:t>LT contracts represent</w:t>
      </w:r>
      <w:r>
        <w:rPr>
          <w:rFonts w:cs="Arial"/>
          <w:color w:val="000000" w:themeColor="text1"/>
          <w:szCs w:val="22"/>
          <w:lang w:val="en-GB"/>
        </w:rPr>
        <w:t xml:space="preserve"> 56% of the technical capacity so that there is still an important amount of capacity that could be booked in a bundled way.</w:t>
      </w:r>
      <w:r w:rsidR="00685C71" w:rsidRPr="00105290">
        <w:rPr>
          <w:rFonts w:cs="Arial"/>
          <w:color w:val="000000" w:themeColor="text1"/>
          <w:szCs w:val="22"/>
          <w:lang w:val="en-GB"/>
        </w:rPr>
        <w:t xml:space="preserve"> </w:t>
      </w:r>
    </w:p>
    <w:p w14:paraId="1336848A" w14:textId="7CD66DE1" w:rsidR="0020133A" w:rsidRPr="00523B08" w:rsidRDefault="003217ED" w:rsidP="00E740A2">
      <w:pPr>
        <w:spacing w:line="312" w:lineRule="auto"/>
        <w:rPr>
          <w:rFonts w:cs="Arial"/>
          <w:color w:val="000000" w:themeColor="text1"/>
          <w:szCs w:val="22"/>
          <w:lang w:val="en-GB"/>
        </w:rPr>
      </w:pPr>
      <w:r>
        <w:rPr>
          <w:rFonts w:cs="Arial"/>
          <w:color w:val="000000" w:themeColor="text1"/>
          <w:szCs w:val="22"/>
          <w:lang w:val="en-GB"/>
        </w:rPr>
        <w:t>On</w:t>
      </w:r>
      <w:r w:rsidR="00523B08" w:rsidRPr="00E740A2">
        <w:rPr>
          <w:rFonts w:cs="Arial"/>
          <w:color w:val="000000" w:themeColor="text1"/>
          <w:szCs w:val="22"/>
          <w:lang w:val="en-GB"/>
        </w:rPr>
        <w:t xml:space="preserve"> the studied period, they were only 2 days (&lt;1% of a year), both in the gas year of 2017, in which the total booked capacity has been above 90% of the total technical capacity</w:t>
      </w:r>
      <w:r w:rsidR="0020133A" w:rsidRPr="00523B08">
        <w:rPr>
          <w:rFonts w:cs="Arial"/>
          <w:color w:val="000000" w:themeColor="text1"/>
          <w:szCs w:val="22"/>
          <w:lang w:val="en-GB"/>
        </w:rPr>
        <w:t>.</w:t>
      </w:r>
    </w:p>
    <w:p w14:paraId="1E3E1838" w14:textId="6EBADD42" w:rsidR="00FE16C9" w:rsidRPr="003F545A" w:rsidRDefault="00FE16C9" w:rsidP="00FE16C9">
      <w:pPr>
        <w:pStyle w:val="Ttulo3"/>
        <w:spacing w:line="360" w:lineRule="auto"/>
        <w:jc w:val="left"/>
        <w:rPr>
          <w:lang w:val="en-US"/>
        </w:rPr>
      </w:pPr>
      <w:r w:rsidRPr="003F545A">
        <w:rPr>
          <w:noProof/>
          <w:lang w:val="es-ES" w:eastAsia="es-ES"/>
        </w:rPr>
        <mc:AlternateContent>
          <mc:Choice Requires="wps">
            <w:drawing>
              <wp:anchor distT="0" distB="0" distL="114300" distR="114300" simplePos="0" relativeHeight="251682304" behindDoc="0" locked="0" layoutInCell="1" allowOverlap="1" wp14:anchorId="4409A87E" wp14:editId="4191BC7F">
                <wp:simplePos x="0" y="0"/>
                <wp:positionH relativeFrom="column">
                  <wp:posOffset>10678253</wp:posOffset>
                </wp:positionH>
                <wp:positionV relativeFrom="paragraph">
                  <wp:posOffset>4679094</wp:posOffset>
                </wp:positionV>
                <wp:extent cx="163286" cy="116061"/>
                <wp:effectExtent l="0" t="0" r="8255" b="17780"/>
                <wp:wrapNone/>
                <wp:docPr id="50" name="9 Multiplicar"/>
                <wp:cNvGraphicFramePr/>
                <a:graphic xmlns:a="http://schemas.openxmlformats.org/drawingml/2006/main">
                  <a:graphicData uri="http://schemas.microsoft.com/office/word/2010/wordprocessingShape">
                    <wps:wsp>
                      <wps:cNvSpPr/>
                      <wps:spPr>
                        <a:xfrm>
                          <a:off x="0" y="0"/>
                          <a:ext cx="163286" cy="116061"/>
                        </a:xfrm>
                        <a:prstGeom prst="mathMultiply">
                          <a:avLst/>
                        </a:prstGeom>
                        <a:solidFill>
                          <a:srgbClr val="007AAE"/>
                        </a:solidFill>
                        <a:ln w="25400" cap="flat" cmpd="sng" algn="ctr">
                          <a:solidFill>
                            <a:srgbClr val="007AAE"/>
                          </a:solidFill>
                          <a:prstDash val="solid"/>
                        </a:ln>
                        <a:effectLst/>
                      </wps:spPr>
                      <wps:bodyPr vertOverflow="clip" horzOverflow="clip" rtlCol="0" anchor="t"/>
                    </wps:wsp>
                  </a:graphicData>
                </a:graphic>
              </wp:anchor>
            </w:drawing>
          </mc:Choice>
          <mc:Fallback>
            <w:pict>
              <v:shape w14:anchorId="54AA5199" id="9 Multiplicar" o:spid="_x0000_s1026" style="position:absolute;margin-left:840.8pt;margin-top:368.45pt;width:12.85pt;height:9.15pt;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163286,11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" path="m31310,39000l47125,16750,81643,41285,116161,16750r15815,22250l105202,58031r26774,19030l116161,99311,81643,74776,47125,99311,31310,77061,58084,58031,31310,39000xe" fillcolor="#007aae" strokecolor="#007aae" strokeweight="2pt">
                <v:path arrowok="t" o:connecttype="custom" o:connectlocs="31310,39000;47125,16750;81643,41285;116161,16750;131976,39000;105202,58031;131976,77061;116161,99311;81643,74776;47125,99311;31310,77061;58084,58031;31310,39000" o:connectangles="0,0,0,0,0,0,0,0,0,0,0,0,0"/>
              </v:shape>
            </w:pict>
          </mc:Fallback>
        </mc:AlternateContent>
      </w:r>
      <w:r w:rsidRPr="003F545A">
        <w:rPr>
          <w:noProof/>
          <w:lang w:val="es-ES" w:eastAsia="es-ES"/>
        </w:rPr>
        <mc:AlternateContent>
          <mc:Choice Requires="wps">
            <w:drawing>
              <wp:anchor distT="0" distB="0" distL="114300" distR="114300" simplePos="0" relativeHeight="251681280" behindDoc="0" locked="0" layoutInCell="1" allowOverlap="1" wp14:anchorId="0EF91BFF" wp14:editId="05B3C089">
                <wp:simplePos x="0" y="0"/>
                <wp:positionH relativeFrom="column">
                  <wp:posOffset>10678253</wp:posOffset>
                </wp:positionH>
                <wp:positionV relativeFrom="paragraph">
                  <wp:posOffset>4679094</wp:posOffset>
                </wp:positionV>
                <wp:extent cx="163286" cy="116061"/>
                <wp:effectExtent l="0" t="0" r="8255" b="17780"/>
                <wp:wrapNone/>
                <wp:docPr id="51" name="9 Multiplicar"/>
                <wp:cNvGraphicFramePr/>
                <a:graphic xmlns:a="http://schemas.openxmlformats.org/drawingml/2006/main">
                  <a:graphicData uri="http://schemas.microsoft.com/office/word/2010/wordprocessingShape">
                    <wps:wsp>
                      <wps:cNvSpPr/>
                      <wps:spPr>
                        <a:xfrm>
                          <a:off x="0" y="0"/>
                          <a:ext cx="163286" cy="116061"/>
                        </a:xfrm>
                        <a:prstGeom prst="mathMultiply">
                          <a:avLst/>
                        </a:prstGeom>
                        <a:solidFill>
                          <a:srgbClr val="007AAE"/>
                        </a:solidFill>
                        <a:ln>
                          <a:solidFill>
                            <a:srgbClr val="007AAE"/>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 w14:anchorId="6E2320BE" id="9 Multiplicar" o:spid="_x0000_s1026" style="position:absolute;margin-left:840.8pt;margin-top:368.45pt;width:12.85pt;height:9.15pt;z-index:251681280;visibility:visible;mso-wrap-style:square;mso-wrap-distance-left:9pt;mso-wrap-distance-top:0;mso-wrap-distance-right:9pt;mso-wrap-distance-bottom:0;mso-position-horizontal:absolute;mso-position-horizontal-relative:text;mso-position-vertical:absolute;mso-position-vertical-relative:text;v-text-anchor:top" coordsize="163286,11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" path="m31310,39000l47125,16750,81643,41285,116161,16750r15815,22250l105202,58031r26774,19030l116161,99311,81643,74776,47125,99311,31310,77061,58084,58031,31310,39000xe" fillcolor="#007aae" strokecolor="#007aae" strokeweight="2pt">
                <v:path arrowok="t" o:connecttype="custom" o:connectlocs="31310,39000;47125,16750;81643,41285;116161,16750;131976,39000;105202,58031;131976,77061;116161,99311;81643,74776;47125,99311;31310,77061;58084,58031;31310,39000" o:connectangles="0,0,0,0,0,0,0,0,0,0,0,0,0"/>
              </v:shape>
            </w:pict>
          </mc:Fallback>
        </mc:AlternateContent>
      </w:r>
      <w:r w:rsidRPr="003F545A">
        <w:rPr>
          <w:lang w:val="en-US"/>
        </w:rPr>
        <w:t xml:space="preserve">VIP </w:t>
      </w:r>
      <w:r w:rsidR="00E740A2" w:rsidRPr="003F545A">
        <w:rPr>
          <w:lang w:val="en-US"/>
        </w:rPr>
        <w:t>Ib</w:t>
      </w:r>
      <w:r w:rsidR="00E740A2">
        <w:rPr>
          <w:lang w:val="en-US"/>
        </w:rPr>
        <w:t>é</w:t>
      </w:r>
      <w:r w:rsidR="00E740A2" w:rsidRPr="003F545A">
        <w:rPr>
          <w:lang w:val="en-US"/>
        </w:rPr>
        <w:t>rico</w:t>
      </w:r>
    </w:p>
    <w:p w14:paraId="4F33CCD2" w14:textId="423ECF12" w:rsidR="00FE16C9" w:rsidRPr="003F545A" w:rsidRDefault="00FE16C9" w:rsidP="00E740A2">
      <w:pPr>
        <w:spacing w:line="312" w:lineRule="auto"/>
        <w:rPr>
          <w:rFonts w:cs="Arial"/>
          <w:color w:val="000000" w:themeColor="text1"/>
          <w:szCs w:val="22"/>
          <w:lang w:val="en-GB"/>
        </w:rPr>
      </w:pPr>
      <w:r w:rsidRPr="003F545A">
        <w:rPr>
          <w:rFonts w:cs="Arial"/>
          <w:color w:val="000000" w:themeColor="text1"/>
          <w:szCs w:val="22"/>
          <w:lang w:val="en-GB"/>
        </w:rPr>
        <w:t>At this interconnection point</w:t>
      </w:r>
      <w:r w:rsidR="00AB3B2E">
        <w:rPr>
          <w:rFonts w:cs="Arial"/>
          <w:color w:val="000000" w:themeColor="text1"/>
          <w:szCs w:val="22"/>
          <w:lang w:val="en-GB"/>
        </w:rPr>
        <w:t>,</w:t>
      </w:r>
      <w:r w:rsidRPr="003F545A">
        <w:rPr>
          <w:rFonts w:cs="Arial"/>
          <w:color w:val="000000" w:themeColor="text1"/>
          <w:szCs w:val="22"/>
          <w:lang w:val="en-GB"/>
        </w:rPr>
        <w:t xml:space="preserve"> flow direction from Spain to Portugal prevails over Portugal to Spain direction. However, the</w:t>
      </w:r>
      <w:r w:rsidR="00AB3B2E">
        <w:rPr>
          <w:rFonts w:cs="Arial"/>
          <w:color w:val="000000" w:themeColor="text1"/>
          <w:szCs w:val="22"/>
          <w:lang w:val="en-GB"/>
        </w:rPr>
        <w:t xml:space="preserve"> </w:t>
      </w:r>
      <w:r w:rsidR="00971645">
        <w:rPr>
          <w:rFonts w:cs="Arial"/>
          <w:color w:val="000000" w:themeColor="text1"/>
          <w:szCs w:val="22"/>
          <w:lang w:val="en-GB"/>
        </w:rPr>
        <w:t xml:space="preserve">flow at this </w:t>
      </w:r>
      <w:r w:rsidR="00AB3B2E">
        <w:rPr>
          <w:rFonts w:cs="Arial"/>
          <w:color w:val="000000" w:themeColor="text1"/>
          <w:szCs w:val="22"/>
          <w:lang w:val="en-GB"/>
        </w:rPr>
        <w:t>V</w:t>
      </w:r>
      <w:r w:rsidRPr="003F545A">
        <w:rPr>
          <w:rFonts w:cs="Arial"/>
          <w:color w:val="000000" w:themeColor="text1"/>
          <w:szCs w:val="22"/>
          <w:lang w:val="en-GB"/>
        </w:rPr>
        <w:t>IP has changed its behaviour</w:t>
      </w:r>
      <w:r w:rsidR="00172409">
        <w:rPr>
          <w:rFonts w:cs="Arial"/>
          <w:color w:val="000000" w:themeColor="text1"/>
          <w:szCs w:val="22"/>
          <w:lang w:val="en-GB"/>
        </w:rPr>
        <w:t xml:space="preserve"> during the last year</w:t>
      </w:r>
      <w:r w:rsidRPr="003F545A">
        <w:rPr>
          <w:rFonts w:cs="Arial"/>
          <w:color w:val="000000" w:themeColor="text1"/>
          <w:szCs w:val="22"/>
          <w:lang w:val="en-GB"/>
        </w:rPr>
        <w:t>, even reverting the physical flow</w:t>
      </w:r>
      <w:r w:rsidR="00172409">
        <w:rPr>
          <w:rFonts w:cs="Arial"/>
          <w:color w:val="000000" w:themeColor="text1"/>
          <w:szCs w:val="22"/>
          <w:lang w:val="en-GB"/>
        </w:rPr>
        <w:t>.</w:t>
      </w:r>
    </w:p>
    <w:p w14:paraId="7800E158" w14:textId="77777777" w:rsidR="005B251E" w:rsidRPr="000621D4" w:rsidRDefault="005B251E" w:rsidP="00E740A2">
      <w:pPr>
        <w:pStyle w:val="Ttulo4"/>
        <w:spacing w:line="240" w:lineRule="auto"/>
      </w:pPr>
      <w:r w:rsidRPr="000621D4">
        <w:t>Spain to Portugal flow direction</w:t>
      </w:r>
    </w:p>
    <w:p w14:paraId="54D1D245" w14:textId="77777777" w:rsidR="005B251E" w:rsidRPr="006E70B0" w:rsidRDefault="005B251E" w:rsidP="00E740A2">
      <w:pPr>
        <w:spacing w:line="312" w:lineRule="auto"/>
        <w:rPr>
          <w:rFonts w:cs="Arial"/>
          <w:color w:val="000000" w:themeColor="text1"/>
          <w:szCs w:val="22"/>
          <w:lang w:val="en-GB"/>
        </w:rPr>
      </w:pPr>
      <w:r w:rsidRPr="006E70B0">
        <w:rPr>
          <w:rFonts w:cs="Arial"/>
          <w:color w:val="000000" w:themeColor="text1"/>
          <w:szCs w:val="22"/>
          <w:lang w:val="en-GB"/>
        </w:rPr>
        <w:t>The following table shows the booked capacity (on average) per gas year of the period under study.</w:t>
      </w:r>
    </w:p>
    <w:tbl>
      <w:tblPr>
        <w:tblW w:w="0" w:type="auto"/>
        <w:jc w:val="center"/>
        <w:tblCellMar>
          <w:left w:w="70" w:type="dxa"/>
          <w:right w:w="70" w:type="dxa"/>
        </w:tblCellMar>
        <w:tblLook w:val="04A0" w:firstRow="1" w:lastRow="0" w:firstColumn="1" w:lastColumn="0" w:noHBand="0" w:noVBand="1"/>
      </w:tblPr>
      <w:tblGrid>
        <w:gridCol w:w="750"/>
        <w:gridCol w:w="1083"/>
        <w:gridCol w:w="1191"/>
        <w:gridCol w:w="942"/>
        <w:gridCol w:w="894"/>
        <w:gridCol w:w="1083"/>
        <w:gridCol w:w="1131"/>
        <w:gridCol w:w="942"/>
        <w:gridCol w:w="894"/>
      </w:tblGrid>
      <w:tr w:rsidR="005B251E" w:rsidRPr="000621D4" w14:paraId="32C97A18" w14:textId="77777777" w:rsidTr="00130C2F">
        <w:trPr>
          <w:trHeight w:val="635"/>
          <w:jc w:val="center"/>
        </w:trPr>
        <w:tc>
          <w:tcPr>
            <w:tcW w:w="0" w:type="auto"/>
            <w:vMerge w:val="restart"/>
            <w:tcBorders>
              <w:top w:val="single" w:sz="8" w:space="0" w:color="auto"/>
              <w:left w:val="single" w:sz="8" w:space="0" w:color="auto"/>
              <w:bottom w:val="nil"/>
              <w:right w:val="single" w:sz="8" w:space="0" w:color="auto"/>
            </w:tcBorders>
            <w:shd w:val="clear" w:color="000000" w:fill="EBF1DE"/>
            <w:vAlign w:val="center"/>
            <w:hideMark/>
          </w:tcPr>
          <w:p w14:paraId="107C9116" w14:textId="72ACFE19" w:rsidR="005B251E" w:rsidRPr="000621D4" w:rsidRDefault="005B251E" w:rsidP="003217ED">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 w:eastAsia="es-ES_tradnl"/>
              </w:rPr>
              <w:t xml:space="preserve">VIP </w:t>
            </w:r>
            <w:r w:rsidR="000673CD" w:rsidRPr="000621D4">
              <w:rPr>
                <w:rFonts w:cs="Arial"/>
                <w:b/>
                <w:bCs/>
                <w:color w:val="000000"/>
                <w:sz w:val="16"/>
                <w:szCs w:val="16"/>
                <w:lang w:val="es-ES" w:eastAsia="es-ES_tradnl"/>
              </w:rPr>
              <w:t>Iberico</w:t>
            </w:r>
          </w:p>
          <w:p w14:paraId="15D6C1AD" w14:textId="719D0C2D" w:rsidR="005B251E" w:rsidRPr="000621D4" w:rsidRDefault="005B251E" w:rsidP="003217ED">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 xml:space="preserve"> (</w:t>
            </w:r>
            <w:r w:rsidR="000673CD" w:rsidRPr="000621D4">
              <w:rPr>
                <w:rFonts w:cs="Arial"/>
                <w:b/>
                <w:bCs/>
                <w:color w:val="000000"/>
                <w:sz w:val="16"/>
                <w:szCs w:val="16"/>
                <w:lang w:val="es-ES_tradnl" w:eastAsia="es-ES_tradnl"/>
              </w:rPr>
              <w:t>ES</w:t>
            </w:r>
            <w:r w:rsidRPr="000621D4">
              <w:rPr>
                <w:rFonts w:cs="Arial"/>
                <w:b/>
                <w:bCs/>
                <w:color w:val="000000"/>
                <w:sz w:val="16"/>
                <w:szCs w:val="16"/>
                <w:lang w:val="es-ES_tradnl" w:eastAsia="es-ES_tradnl"/>
              </w:rPr>
              <w:t>-PT)</w:t>
            </w:r>
          </w:p>
          <w:p w14:paraId="6AD0C4AA" w14:textId="77777777" w:rsidR="005B251E" w:rsidRPr="000621D4" w:rsidRDefault="005B251E" w:rsidP="003217ED">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GWh/d</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66159E26" w14:textId="77777777" w:rsidR="005B251E" w:rsidRPr="000621D4" w:rsidRDefault="005B251E" w:rsidP="003217ED">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Spanish side</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66610353" w14:textId="77777777" w:rsidR="005B251E" w:rsidRPr="000621D4" w:rsidRDefault="005B251E" w:rsidP="003217ED">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Portuguese side</w:t>
            </w:r>
          </w:p>
        </w:tc>
      </w:tr>
      <w:tr w:rsidR="00B84AE2" w:rsidRPr="000621D4" w14:paraId="4D4EA613" w14:textId="77777777" w:rsidTr="003217ED">
        <w:trPr>
          <w:trHeight w:val="465"/>
          <w:jc w:val="center"/>
        </w:trPr>
        <w:tc>
          <w:tcPr>
            <w:tcW w:w="0" w:type="auto"/>
            <w:vMerge/>
            <w:tcBorders>
              <w:left w:val="single" w:sz="8" w:space="0" w:color="auto"/>
              <w:bottom w:val="single" w:sz="8" w:space="0" w:color="000000"/>
              <w:right w:val="single" w:sz="8" w:space="0" w:color="auto"/>
            </w:tcBorders>
            <w:shd w:val="clear" w:color="000000" w:fill="EBF1DE"/>
            <w:vAlign w:val="center"/>
            <w:hideMark/>
          </w:tcPr>
          <w:p w14:paraId="765DB69E" w14:textId="77777777" w:rsidR="00B84AE2" w:rsidRPr="000621D4" w:rsidRDefault="00B84AE2" w:rsidP="00B84AE2">
            <w:pPr>
              <w:spacing w:before="0" w:after="0" w:line="240" w:lineRule="auto"/>
              <w:jc w:val="center"/>
              <w:rPr>
                <w:rFonts w:cs="Arial"/>
                <w:b/>
                <w:bCs/>
                <w:color w:val="000000"/>
                <w:sz w:val="16"/>
                <w:szCs w:val="16"/>
                <w:lang w:val="es-ES_tradnl" w:eastAsia="es-ES_tradnl"/>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433CBAE" w14:textId="716C44B9"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LT before CAM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5219847D" w14:textId="7777777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Unbundled after CAM</w:t>
            </w:r>
            <w:r w:rsidR="00971645">
              <w:rPr>
                <w:rFonts w:cs="Arial"/>
                <w:color w:val="000000"/>
                <w:sz w:val="16"/>
                <w:szCs w:val="16"/>
                <w:lang w:val="es-ES_tradnl" w:eastAsia="es-ES_tradnl"/>
              </w:rPr>
              <w:t xml:space="preserve"> (*)</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37FC84AE" w14:textId="7777777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Bundled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6D7AD5CF" w14:textId="7777777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Booked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1C6954CC" w14:textId="50EB319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LT before CAM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FE6CD7C" w14:textId="7789F77C"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Unbundled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2465CA71" w14:textId="264CEE23"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Bundled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01413F6" w14:textId="0B799EC8"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Booked capacity</w:t>
            </w:r>
          </w:p>
        </w:tc>
      </w:tr>
      <w:tr w:rsidR="00B84AE2" w:rsidRPr="000621D4" w14:paraId="1B4AD5CF" w14:textId="77777777" w:rsidTr="00130C2F">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5D45FB58" w14:textId="77777777" w:rsidR="00B84AE2" w:rsidRPr="000621D4" w:rsidRDefault="00B84AE2" w:rsidP="00B84AE2">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2016</w:t>
            </w:r>
          </w:p>
        </w:tc>
        <w:tc>
          <w:tcPr>
            <w:tcW w:w="0" w:type="auto"/>
            <w:tcBorders>
              <w:top w:val="nil"/>
              <w:left w:val="nil"/>
              <w:bottom w:val="single" w:sz="8" w:space="0" w:color="auto"/>
              <w:right w:val="single" w:sz="8" w:space="0" w:color="auto"/>
            </w:tcBorders>
            <w:shd w:val="clear" w:color="auto" w:fill="auto"/>
            <w:noWrap/>
            <w:vAlign w:val="center"/>
            <w:hideMark/>
          </w:tcPr>
          <w:p w14:paraId="60C85401" w14:textId="7777777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64,41%</w:t>
            </w:r>
          </w:p>
        </w:tc>
        <w:tc>
          <w:tcPr>
            <w:tcW w:w="0" w:type="auto"/>
            <w:tcBorders>
              <w:top w:val="nil"/>
              <w:left w:val="nil"/>
              <w:bottom w:val="single" w:sz="8" w:space="0" w:color="auto"/>
              <w:right w:val="single" w:sz="8" w:space="0" w:color="auto"/>
            </w:tcBorders>
            <w:shd w:val="clear" w:color="auto" w:fill="auto"/>
            <w:noWrap/>
            <w:vAlign w:val="center"/>
            <w:hideMark/>
          </w:tcPr>
          <w:p w14:paraId="004B9FEE" w14:textId="7777777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04320B6" w14:textId="2071866B"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19.40%</w:t>
            </w:r>
          </w:p>
        </w:tc>
        <w:tc>
          <w:tcPr>
            <w:tcW w:w="0" w:type="auto"/>
            <w:tcBorders>
              <w:top w:val="nil"/>
              <w:left w:val="nil"/>
              <w:bottom w:val="single" w:sz="8" w:space="0" w:color="auto"/>
              <w:right w:val="single" w:sz="8" w:space="0" w:color="auto"/>
            </w:tcBorders>
            <w:shd w:val="clear" w:color="auto" w:fill="auto"/>
            <w:noWrap/>
            <w:vAlign w:val="center"/>
            <w:hideMark/>
          </w:tcPr>
          <w:p w14:paraId="5A4AC93F" w14:textId="3E3E7789"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83.81%</w:t>
            </w:r>
          </w:p>
        </w:tc>
        <w:tc>
          <w:tcPr>
            <w:tcW w:w="0" w:type="auto"/>
            <w:tcBorders>
              <w:top w:val="nil"/>
              <w:left w:val="nil"/>
              <w:bottom w:val="single" w:sz="8" w:space="0" w:color="auto"/>
              <w:right w:val="single" w:sz="8" w:space="0" w:color="auto"/>
            </w:tcBorders>
            <w:shd w:val="clear" w:color="auto" w:fill="auto"/>
            <w:noWrap/>
            <w:vAlign w:val="center"/>
            <w:hideMark/>
          </w:tcPr>
          <w:p w14:paraId="02176A1B" w14:textId="7B7D0832"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574E36B8" w14:textId="36DE46B5"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61,12%</w:t>
            </w:r>
          </w:p>
        </w:tc>
        <w:tc>
          <w:tcPr>
            <w:tcW w:w="0" w:type="auto"/>
            <w:tcBorders>
              <w:top w:val="nil"/>
              <w:left w:val="nil"/>
              <w:bottom w:val="single" w:sz="8" w:space="0" w:color="auto"/>
              <w:right w:val="single" w:sz="8" w:space="0" w:color="auto"/>
            </w:tcBorders>
            <w:shd w:val="clear" w:color="auto" w:fill="auto"/>
            <w:vAlign w:val="center"/>
            <w:hideMark/>
          </w:tcPr>
          <w:p w14:paraId="6E96116D" w14:textId="50985AF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19.40%</w:t>
            </w:r>
          </w:p>
        </w:tc>
        <w:tc>
          <w:tcPr>
            <w:tcW w:w="0" w:type="auto"/>
            <w:tcBorders>
              <w:top w:val="nil"/>
              <w:left w:val="nil"/>
              <w:bottom w:val="single" w:sz="8" w:space="0" w:color="auto"/>
              <w:right w:val="single" w:sz="8" w:space="0" w:color="auto"/>
            </w:tcBorders>
            <w:shd w:val="clear" w:color="auto" w:fill="auto"/>
            <w:noWrap/>
            <w:vAlign w:val="bottom"/>
            <w:hideMark/>
          </w:tcPr>
          <w:p w14:paraId="0E27789D" w14:textId="4E6E9F8F"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80,44%</w:t>
            </w:r>
          </w:p>
        </w:tc>
      </w:tr>
      <w:tr w:rsidR="00B84AE2" w:rsidRPr="000621D4" w14:paraId="6C5D36EF" w14:textId="77777777" w:rsidTr="00130C2F">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20F93793" w14:textId="77777777" w:rsidR="00B84AE2" w:rsidRPr="000621D4" w:rsidRDefault="00B84AE2" w:rsidP="00B84AE2">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2017</w:t>
            </w:r>
          </w:p>
        </w:tc>
        <w:tc>
          <w:tcPr>
            <w:tcW w:w="0" w:type="auto"/>
            <w:tcBorders>
              <w:top w:val="nil"/>
              <w:left w:val="nil"/>
              <w:bottom w:val="single" w:sz="8" w:space="0" w:color="auto"/>
              <w:right w:val="single" w:sz="8" w:space="0" w:color="auto"/>
            </w:tcBorders>
            <w:shd w:val="clear" w:color="auto" w:fill="auto"/>
            <w:noWrap/>
            <w:vAlign w:val="center"/>
            <w:hideMark/>
          </w:tcPr>
          <w:p w14:paraId="13D5BFEC" w14:textId="7777777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64,41%</w:t>
            </w:r>
          </w:p>
        </w:tc>
        <w:tc>
          <w:tcPr>
            <w:tcW w:w="0" w:type="auto"/>
            <w:tcBorders>
              <w:top w:val="nil"/>
              <w:left w:val="nil"/>
              <w:bottom w:val="single" w:sz="8" w:space="0" w:color="auto"/>
              <w:right w:val="single" w:sz="8" w:space="0" w:color="auto"/>
            </w:tcBorders>
            <w:shd w:val="clear" w:color="auto" w:fill="auto"/>
            <w:noWrap/>
            <w:vAlign w:val="center"/>
            <w:hideMark/>
          </w:tcPr>
          <w:p w14:paraId="0A307916" w14:textId="7777777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00A1E4E3" w14:textId="7D7C933D"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12.46%</w:t>
            </w:r>
          </w:p>
        </w:tc>
        <w:tc>
          <w:tcPr>
            <w:tcW w:w="0" w:type="auto"/>
            <w:tcBorders>
              <w:top w:val="nil"/>
              <w:left w:val="nil"/>
              <w:bottom w:val="single" w:sz="8" w:space="0" w:color="auto"/>
              <w:right w:val="single" w:sz="8" w:space="0" w:color="auto"/>
            </w:tcBorders>
            <w:shd w:val="clear" w:color="auto" w:fill="auto"/>
            <w:noWrap/>
            <w:vAlign w:val="center"/>
            <w:hideMark/>
          </w:tcPr>
          <w:p w14:paraId="5DD68C2A" w14:textId="2F298E83"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76.87%</w:t>
            </w:r>
          </w:p>
        </w:tc>
        <w:tc>
          <w:tcPr>
            <w:tcW w:w="0" w:type="auto"/>
            <w:tcBorders>
              <w:top w:val="nil"/>
              <w:left w:val="nil"/>
              <w:bottom w:val="single" w:sz="8" w:space="0" w:color="auto"/>
              <w:right w:val="single" w:sz="8" w:space="0" w:color="auto"/>
            </w:tcBorders>
            <w:shd w:val="clear" w:color="auto" w:fill="auto"/>
            <w:noWrap/>
            <w:vAlign w:val="center"/>
            <w:hideMark/>
          </w:tcPr>
          <w:p w14:paraId="0ACC0DD7" w14:textId="70216523"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513BA33B" w14:textId="2F9D80D9"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60,95%</w:t>
            </w:r>
          </w:p>
        </w:tc>
        <w:tc>
          <w:tcPr>
            <w:tcW w:w="0" w:type="auto"/>
            <w:tcBorders>
              <w:top w:val="nil"/>
              <w:left w:val="nil"/>
              <w:bottom w:val="single" w:sz="8" w:space="0" w:color="auto"/>
              <w:right w:val="single" w:sz="8" w:space="0" w:color="auto"/>
            </w:tcBorders>
            <w:shd w:val="clear" w:color="auto" w:fill="auto"/>
            <w:vAlign w:val="center"/>
            <w:hideMark/>
          </w:tcPr>
          <w:p w14:paraId="77F1FC20" w14:textId="5EE4F37E"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12.46%</w:t>
            </w:r>
          </w:p>
        </w:tc>
        <w:tc>
          <w:tcPr>
            <w:tcW w:w="0" w:type="auto"/>
            <w:tcBorders>
              <w:top w:val="nil"/>
              <w:left w:val="nil"/>
              <w:bottom w:val="single" w:sz="8" w:space="0" w:color="auto"/>
              <w:right w:val="single" w:sz="8" w:space="0" w:color="auto"/>
            </w:tcBorders>
            <w:shd w:val="clear" w:color="auto" w:fill="auto"/>
            <w:noWrap/>
            <w:vAlign w:val="bottom"/>
            <w:hideMark/>
          </w:tcPr>
          <w:p w14:paraId="196254D5" w14:textId="05B04382"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73,41%</w:t>
            </w:r>
          </w:p>
        </w:tc>
      </w:tr>
      <w:tr w:rsidR="00B84AE2" w:rsidRPr="000621D4" w14:paraId="0CFC44B0" w14:textId="77777777" w:rsidTr="00130C2F">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4F115A92" w14:textId="77777777" w:rsidR="00B84AE2" w:rsidRPr="000621D4" w:rsidRDefault="00B84AE2" w:rsidP="00B84AE2">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2018</w:t>
            </w:r>
          </w:p>
        </w:tc>
        <w:tc>
          <w:tcPr>
            <w:tcW w:w="0" w:type="auto"/>
            <w:tcBorders>
              <w:top w:val="nil"/>
              <w:left w:val="nil"/>
              <w:bottom w:val="single" w:sz="8" w:space="0" w:color="auto"/>
              <w:right w:val="single" w:sz="8" w:space="0" w:color="auto"/>
            </w:tcBorders>
            <w:shd w:val="clear" w:color="auto" w:fill="auto"/>
            <w:noWrap/>
            <w:vAlign w:val="center"/>
            <w:hideMark/>
          </w:tcPr>
          <w:p w14:paraId="67CC74AB" w14:textId="7777777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64,41%</w:t>
            </w:r>
          </w:p>
        </w:tc>
        <w:tc>
          <w:tcPr>
            <w:tcW w:w="0" w:type="auto"/>
            <w:tcBorders>
              <w:top w:val="nil"/>
              <w:left w:val="nil"/>
              <w:bottom w:val="single" w:sz="8" w:space="0" w:color="auto"/>
              <w:right w:val="single" w:sz="8" w:space="0" w:color="auto"/>
            </w:tcBorders>
            <w:shd w:val="clear" w:color="auto" w:fill="auto"/>
            <w:noWrap/>
            <w:vAlign w:val="center"/>
            <w:hideMark/>
          </w:tcPr>
          <w:p w14:paraId="29A4B7F6" w14:textId="77777777"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F322B2A" w14:textId="684CFB19"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4.55%</w:t>
            </w:r>
          </w:p>
        </w:tc>
        <w:tc>
          <w:tcPr>
            <w:tcW w:w="0" w:type="auto"/>
            <w:tcBorders>
              <w:top w:val="nil"/>
              <w:left w:val="nil"/>
              <w:bottom w:val="single" w:sz="8" w:space="0" w:color="auto"/>
              <w:right w:val="single" w:sz="8" w:space="0" w:color="auto"/>
            </w:tcBorders>
            <w:shd w:val="clear" w:color="auto" w:fill="auto"/>
            <w:noWrap/>
            <w:vAlign w:val="center"/>
            <w:hideMark/>
          </w:tcPr>
          <w:p w14:paraId="32AEB915" w14:textId="6C49E12B"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68.96%</w:t>
            </w:r>
          </w:p>
        </w:tc>
        <w:tc>
          <w:tcPr>
            <w:tcW w:w="0" w:type="auto"/>
            <w:tcBorders>
              <w:top w:val="nil"/>
              <w:left w:val="nil"/>
              <w:bottom w:val="single" w:sz="8" w:space="0" w:color="auto"/>
              <w:right w:val="single" w:sz="8" w:space="0" w:color="auto"/>
            </w:tcBorders>
            <w:shd w:val="clear" w:color="auto" w:fill="auto"/>
            <w:noWrap/>
            <w:vAlign w:val="center"/>
            <w:hideMark/>
          </w:tcPr>
          <w:p w14:paraId="73FF37C3" w14:textId="51434AAD"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210B2B94" w14:textId="6BD31133"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60,95%</w:t>
            </w:r>
          </w:p>
        </w:tc>
        <w:tc>
          <w:tcPr>
            <w:tcW w:w="0" w:type="auto"/>
            <w:tcBorders>
              <w:top w:val="nil"/>
              <w:left w:val="nil"/>
              <w:bottom w:val="single" w:sz="8" w:space="0" w:color="auto"/>
              <w:right w:val="single" w:sz="8" w:space="0" w:color="auto"/>
            </w:tcBorders>
            <w:shd w:val="clear" w:color="auto" w:fill="auto"/>
            <w:vAlign w:val="center"/>
            <w:hideMark/>
          </w:tcPr>
          <w:p w14:paraId="44938A6F" w14:textId="2D4E645E"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4.55%</w:t>
            </w:r>
          </w:p>
        </w:tc>
        <w:tc>
          <w:tcPr>
            <w:tcW w:w="0" w:type="auto"/>
            <w:tcBorders>
              <w:top w:val="nil"/>
              <w:left w:val="nil"/>
              <w:bottom w:val="single" w:sz="8" w:space="0" w:color="auto"/>
              <w:right w:val="single" w:sz="8" w:space="0" w:color="auto"/>
            </w:tcBorders>
            <w:shd w:val="clear" w:color="auto" w:fill="auto"/>
            <w:noWrap/>
            <w:vAlign w:val="bottom"/>
            <w:hideMark/>
          </w:tcPr>
          <w:p w14:paraId="6B328A9B" w14:textId="020130A5" w:rsidR="00B84AE2" w:rsidRPr="000621D4" w:rsidRDefault="00B84AE2" w:rsidP="00B84AE2">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65,5%</w:t>
            </w:r>
          </w:p>
        </w:tc>
      </w:tr>
    </w:tbl>
    <w:p w14:paraId="0777F8E2" w14:textId="4BCAC4D7" w:rsidR="00E740A2" w:rsidRPr="000621D4" w:rsidRDefault="00E740A2" w:rsidP="00E740A2">
      <w:pPr>
        <w:pStyle w:val="Descripcin"/>
        <w:jc w:val="left"/>
        <w:rPr>
          <w:sz w:val="16"/>
          <w:lang w:val="en-US"/>
        </w:rPr>
      </w:pPr>
      <w:r w:rsidRPr="000621D4">
        <w:rPr>
          <w:rFonts w:ascii="Arial" w:hAnsi="Arial" w:cs="Arial"/>
          <w:b w:val="0"/>
          <w:i/>
          <w:color w:val="000000" w:themeColor="text1"/>
          <w:sz w:val="18"/>
          <w:szCs w:val="22"/>
          <w:lang w:val="en-GB"/>
        </w:rPr>
        <w:t>(*) Unbundled capacity is not offered in the Spanish side of VIP Ibérico.</w:t>
      </w:r>
    </w:p>
    <w:p w14:paraId="718E3D5E" w14:textId="6A533034" w:rsidR="005B251E" w:rsidRPr="000621D4" w:rsidRDefault="005B251E" w:rsidP="005B251E">
      <w:pPr>
        <w:pStyle w:val="Descripcin"/>
        <w:jc w:val="center"/>
        <w:rPr>
          <w:sz w:val="16"/>
          <w:lang w:val="en-US"/>
        </w:rPr>
      </w:pPr>
      <w:r w:rsidRPr="000621D4">
        <w:rPr>
          <w:sz w:val="16"/>
          <w:lang w:val="en-US"/>
        </w:rPr>
        <w:t xml:space="preserve">Table </w:t>
      </w:r>
      <w:r w:rsidRPr="000621D4">
        <w:rPr>
          <w:sz w:val="16"/>
        </w:rPr>
        <w:fldChar w:fldCharType="begin"/>
      </w:r>
      <w:r w:rsidRPr="000621D4">
        <w:rPr>
          <w:sz w:val="16"/>
          <w:lang w:val="en-US"/>
        </w:rPr>
        <w:instrText xml:space="preserve"> SEQ Table \* ARABIC </w:instrText>
      </w:r>
      <w:r w:rsidRPr="000621D4">
        <w:rPr>
          <w:sz w:val="16"/>
        </w:rPr>
        <w:fldChar w:fldCharType="separate"/>
      </w:r>
      <w:r w:rsidR="00E859C7">
        <w:rPr>
          <w:noProof/>
          <w:sz w:val="16"/>
          <w:lang w:val="en-US"/>
        </w:rPr>
        <w:t>11</w:t>
      </w:r>
      <w:r w:rsidRPr="000621D4">
        <w:rPr>
          <w:sz w:val="16"/>
        </w:rPr>
        <w:fldChar w:fldCharType="end"/>
      </w:r>
      <w:r w:rsidRPr="000621D4">
        <w:rPr>
          <w:sz w:val="16"/>
          <w:lang w:val="en-US"/>
        </w:rPr>
        <w:t xml:space="preserve">. Booked capacities on VIP </w:t>
      </w:r>
      <w:r w:rsidR="00E740A2" w:rsidRPr="000621D4">
        <w:rPr>
          <w:sz w:val="16"/>
          <w:lang w:val="en-US"/>
        </w:rPr>
        <w:t xml:space="preserve">Ibérico </w:t>
      </w:r>
      <w:r w:rsidRPr="000621D4">
        <w:rPr>
          <w:sz w:val="16"/>
          <w:lang w:val="en-US"/>
        </w:rPr>
        <w:t>on technical firm capacity – Spain to Portugal direction</w:t>
      </w:r>
    </w:p>
    <w:p w14:paraId="032B553C" w14:textId="77777777" w:rsidR="005354C1" w:rsidRPr="000621D4" w:rsidRDefault="005B251E" w:rsidP="005B251E">
      <w:pPr>
        <w:rPr>
          <w:rFonts w:cs="Arial"/>
          <w:b/>
          <w:color w:val="000000" w:themeColor="text1"/>
          <w:szCs w:val="22"/>
          <w:u w:val="single"/>
          <w:lang w:val="en-GB"/>
        </w:rPr>
      </w:pPr>
      <w:r w:rsidRPr="000078E9">
        <w:rPr>
          <w:rFonts w:cs="Arial"/>
          <w:b/>
          <w:color w:val="000000" w:themeColor="text1"/>
          <w:szCs w:val="22"/>
          <w:u w:val="single"/>
          <w:lang w:val="en-GB"/>
        </w:rPr>
        <w:t>Portuguese side</w:t>
      </w:r>
    </w:p>
    <w:p w14:paraId="7110116F" w14:textId="3E20C6D5" w:rsidR="005354C1" w:rsidRPr="00E345E9" w:rsidRDefault="00C35CCA" w:rsidP="00A91FE8">
      <w:pPr>
        <w:spacing w:line="312" w:lineRule="auto"/>
        <w:rPr>
          <w:rFonts w:cs="Arial"/>
          <w:color w:val="000000" w:themeColor="text1"/>
          <w:szCs w:val="22"/>
          <w:lang w:val="en-US"/>
        </w:rPr>
      </w:pPr>
      <w:r>
        <w:rPr>
          <w:rFonts w:cs="Arial"/>
          <w:color w:val="000000" w:themeColor="text1"/>
          <w:szCs w:val="22"/>
          <w:lang w:val="en-GB"/>
        </w:rPr>
        <w:t xml:space="preserve">A </w:t>
      </w:r>
      <w:r>
        <w:rPr>
          <w:rFonts w:cs="Arial"/>
          <w:color w:val="000000" w:themeColor="text1"/>
          <w:szCs w:val="22"/>
          <w:lang w:val="en-US"/>
        </w:rPr>
        <w:t>d</w:t>
      </w:r>
      <w:r w:rsidR="005354C1" w:rsidRPr="000621D4">
        <w:rPr>
          <w:rFonts w:cs="Arial"/>
          <w:color w:val="000000" w:themeColor="text1"/>
          <w:szCs w:val="22"/>
          <w:lang w:val="en-US"/>
        </w:rPr>
        <w:t xml:space="preserve">ecrease in bookings </w:t>
      </w:r>
      <w:r>
        <w:rPr>
          <w:rFonts w:cs="Arial"/>
          <w:color w:val="000000" w:themeColor="text1"/>
          <w:szCs w:val="22"/>
          <w:lang w:val="en-US"/>
        </w:rPr>
        <w:t xml:space="preserve">is observed </w:t>
      </w:r>
      <w:r w:rsidR="005354C1" w:rsidRPr="000621D4">
        <w:rPr>
          <w:rFonts w:cs="Arial"/>
          <w:color w:val="000000" w:themeColor="text1"/>
          <w:szCs w:val="22"/>
          <w:lang w:val="en-US"/>
        </w:rPr>
        <w:t xml:space="preserve">for bundled capacity for 2018, and especially for 2019. This may be </w:t>
      </w:r>
      <w:r>
        <w:rPr>
          <w:rFonts w:cs="Arial"/>
          <w:color w:val="000000" w:themeColor="text1"/>
          <w:szCs w:val="22"/>
          <w:lang w:val="en-US"/>
        </w:rPr>
        <w:t>related</w:t>
      </w:r>
      <w:r w:rsidRPr="000621D4">
        <w:rPr>
          <w:rFonts w:cs="Arial"/>
          <w:color w:val="000000" w:themeColor="text1"/>
          <w:szCs w:val="22"/>
          <w:lang w:val="en-US"/>
        </w:rPr>
        <w:t xml:space="preserve"> </w:t>
      </w:r>
      <w:r>
        <w:rPr>
          <w:rFonts w:cs="Arial"/>
          <w:color w:val="000000" w:themeColor="text1"/>
          <w:szCs w:val="22"/>
          <w:lang w:val="en-US"/>
        </w:rPr>
        <w:t>with</w:t>
      </w:r>
      <w:r w:rsidRPr="000621D4">
        <w:rPr>
          <w:rFonts w:cs="Arial"/>
          <w:color w:val="000000" w:themeColor="text1"/>
          <w:szCs w:val="22"/>
          <w:lang w:val="en-US"/>
        </w:rPr>
        <w:t xml:space="preserve"> </w:t>
      </w:r>
      <w:r w:rsidR="005354C1" w:rsidRPr="000621D4">
        <w:rPr>
          <w:rFonts w:cs="Arial"/>
          <w:color w:val="000000" w:themeColor="text1"/>
          <w:szCs w:val="22"/>
          <w:lang w:val="en-US"/>
        </w:rPr>
        <w:t>the increase in LNG supply into Iberia in 2018 and 2019</w:t>
      </w:r>
      <w:r w:rsidR="006118D6">
        <w:rPr>
          <w:rFonts w:cs="Arial"/>
          <w:color w:val="000000" w:themeColor="text1"/>
          <w:szCs w:val="22"/>
          <w:lang w:val="en-US"/>
        </w:rPr>
        <w:t>,</w:t>
      </w:r>
      <w:r w:rsidR="005354C1" w:rsidRPr="000621D4">
        <w:rPr>
          <w:rFonts w:cs="Arial"/>
          <w:color w:val="000000" w:themeColor="text1"/>
          <w:szCs w:val="22"/>
          <w:lang w:val="en-US"/>
        </w:rPr>
        <w:t xml:space="preserve"> </w:t>
      </w:r>
      <w:r w:rsidR="006118D6">
        <w:rPr>
          <w:rFonts w:cs="Arial"/>
          <w:color w:val="000000" w:themeColor="text1"/>
          <w:szCs w:val="22"/>
          <w:lang w:val="en-US"/>
        </w:rPr>
        <w:t xml:space="preserve">in the context of a </w:t>
      </w:r>
      <w:r>
        <w:rPr>
          <w:rFonts w:cs="Arial"/>
          <w:color w:val="000000" w:themeColor="text1"/>
          <w:szCs w:val="22"/>
          <w:lang w:val="en-US"/>
        </w:rPr>
        <w:t xml:space="preserve">global increase </w:t>
      </w:r>
      <w:r w:rsidR="006118D6">
        <w:rPr>
          <w:rFonts w:cs="Arial"/>
          <w:color w:val="000000" w:themeColor="text1"/>
          <w:szCs w:val="22"/>
          <w:lang w:val="en-US"/>
        </w:rPr>
        <w:t>of</w:t>
      </w:r>
      <w:r>
        <w:rPr>
          <w:rFonts w:cs="Arial"/>
          <w:color w:val="000000" w:themeColor="text1"/>
          <w:szCs w:val="22"/>
          <w:lang w:val="en-US"/>
        </w:rPr>
        <w:t xml:space="preserve"> liquefaction capacity</w:t>
      </w:r>
      <w:r w:rsidR="006118D6">
        <w:rPr>
          <w:rFonts w:cs="Arial"/>
          <w:color w:val="000000" w:themeColor="text1"/>
          <w:szCs w:val="22"/>
          <w:lang w:val="en-US"/>
        </w:rPr>
        <w:t xml:space="preserve"> outpacing global demand growth.</w:t>
      </w:r>
      <w:r>
        <w:rPr>
          <w:rFonts w:cs="Arial"/>
          <w:color w:val="000000" w:themeColor="text1"/>
          <w:szCs w:val="22"/>
          <w:lang w:val="en-US"/>
        </w:rPr>
        <w:t xml:space="preserve"> </w:t>
      </w:r>
      <w:r w:rsidR="006118D6">
        <w:rPr>
          <w:rFonts w:cs="Arial"/>
          <w:color w:val="000000" w:themeColor="text1"/>
          <w:szCs w:val="22"/>
          <w:lang w:val="en-US"/>
        </w:rPr>
        <w:t>N</w:t>
      </w:r>
      <w:r w:rsidRPr="00C35CCA">
        <w:rPr>
          <w:rFonts w:cs="Arial"/>
          <w:color w:val="000000" w:themeColor="text1"/>
          <w:szCs w:val="22"/>
          <w:lang w:val="en-US"/>
        </w:rPr>
        <w:t>ew LNG supply volumes were mostly</w:t>
      </w:r>
      <w:r>
        <w:rPr>
          <w:rFonts w:cs="Arial"/>
          <w:color w:val="000000" w:themeColor="text1"/>
          <w:szCs w:val="22"/>
          <w:lang w:val="en-US"/>
        </w:rPr>
        <w:t xml:space="preserve"> </w:t>
      </w:r>
      <w:r w:rsidRPr="00C35CCA">
        <w:rPr>
          <w:rFonts w:cs="Arial"/>
          <w:color w:val="000000" w:themeColor="text1"/>
          <w:szCs w:val="22"/>
          <w:lang w:val="en-US"/>
        </w:rPr>
        <w:t>driven by new production from the United States</w:t>
      </w:r>
      <w:r w:rsidR="006118D6">
        <w:rPr>
          <w:rFonts w:cs="Arial"/>
          <w:color w:val="000000" w:themeColor="text1"/>
          <w:szCs w:val="22"/>
          <w:lang w:val="en-US"/>
        </w:rPr>
        <w:t xml:space="preserve">, </w:t>
      </w:r>
      <w:r w:rsidRPr="00C35CCA">
        <w:rPr>
          <w:rFonts w:cs="Arial"/>
          <w:color w:val="000000" w:themeColor="text1"/>
          <w:szCs w:val="22"/>
          <w:lang w:val="en-US"/>
        </w:rPr>
        <w:t>Russia</w:t>
      </w:r>
      <w:r w:rsidR="006118D6">
        <w:rPr>
          <w:rFonts w:cs="Arial"/>
          <w:color w:val="000000" w:themeColor="text1"/>
          <w:szCs w:val="22"/>
          <w:lang w:val="en-US"/>
        </w:rPr>
        <w:t xml:space="preserve"> and Australia</w:t>
      </w:r>
      <w:r>
        <w:rPr>
          <w:rFonts w:cs="Arial"/>
          <w:color w:val="000000" w:themeColor="text1"/>
          <w:szCs w:val="22"/>
          <w:lang w:val="en-US"/>
        </w:rPr>
        <w:t xml:space="preserve">. </w:t>
      </w:r>
      <w:r w:rsidR="005354C1" w:rsidRPr="000621D4">
        <w:rPr>
          <w:rFonts w:cs="Arial"/>
          <w:color w:val="000000" w:themeColor="text1"/>
          <w:szCs w:val="22"/>
          <w:lang w:val="en-US"/>
        </w:rPr>
        <w:t>Since</w:t>
      </w:r>
      <w:r w:rsidR="00E1259C">
        <w:rPr>
          <w:rFonts w:cs="Arial"/>
          <w:color w:val="000000" w:themeColor="text1"/>
          <w:szCs w:val="22"/>
          <w:lang w:val="en-US"/>
        </w:rPr>
        <w:t xml:space="preserve"> then</w:t>
      </w:r>
      <w:r w:rsidR="005354C1" w:rsidRPr="000621D4">
        <w:rPr>
          <w:rFonts w:cs="Arial"/>
          <w:color w:val="000000" w:themeColor="text1"/>
          <w:szCs w:val="22"/>
          <w:lang w:val="en-US"/>
        </w:rPr>
        <w:t xml:space="preserve">, </w:t>
      </w:r>
      <w:r w:rsidR="006118D6">
        <w:rPr>
          <w:rFonts w:cs="Arial"/>
          <w:color w:val="000000" w:themeColor="text1"/>
          <w:szCs w:val="22"/>
          <w:lang w:val="en-US"/>
        </w:rPr>
        <w:t>shippers in the Iberian market have prioritised LNG over Algerian gas</w:t>
      </w:r>
      <w:r w:rsidR="005354C1" w:rsidRPr="000621D4">
        <w:rPr>
          <w:rFonts w:cs="Arial"/>
          <w:color w:val="000000" w:themeColor="text1"/>
          <w:szCs w:val="22"/>
          <w:lang w:val="en-US"/>
        </w:rPr>
        <w:t>, increasing the activity of almost all LNG terminals across the Peninsula. At roughly the same time new tariffs were established for Sines LNG terminal</w:t>
      </w:r>
      <w:r w:rsidR="004F3921">
        <w:rPr>
          <w:rFonts w:cs="Arial"/>
          <w:color w:val="000000" w:themeColor="text1"/>
          <w:szCs w:val="22"/>
          <w:lang w:val="en-US"/>
        </w:rPr>
        <w:t xml:space="preserve"> and for the interconnection point from Portugal to Spain</w:t>
      </w:r>
      <w:r w:rsidR="005354C1" w:rsidRPr="000621D4">
        <w:rPr>
          <w:rFonts w:cs="Arial"/>
          <w:color w:val="000000" w:themeColor="text1"/>
          <w:szCs w:val="22"/>
          <w:lang w:val="en-US"/>
        </w:rPr>
        <w:t xml:space="preserve">. Therefore, LNG supply </w:t>
      </w:r>
      <w:r w:rsidR="003A741E" w:rsidRPr="00E345E9">
        <w:rPr>
          <w:rFonts w:cs="Arial"/>
          <w:color w:val="000000" w:themeColor="text1"/>
          <w:szCs w:val="22"/>
          <w:lang w:val="en-US"/>
        </w:rPr>
        <w:t xml:space="preserve">through Sines </w:t>
      </w:r>
      <w:r w:rsidR="005354C1" w:rsidRPr="000621D4">
        <w:rPr>
          <w:rFonts w:cs="Arial"/>
          <w:color w:val="000000" w:themeColor="text1"/>
          <w:szCs w:val="22"/>
          <w:lang w:val="en-US"/>
        </w:rPr>
        <w:t xml:space="preserve">to </w:t>
      </w:r>
      <w:r w:rsidR="004F3921">
        <w:rPr>
          <w:rFonts w:cs="Arial"/>
          <w:color w:val="000000" w:themeColor="text1"/>
          <w:szCs w:val="22"/>
          <w:lang w:val="en-US"/>
        </w:rPr>
        <w:t>the Iberian market</w:t>
      </w:r>
      <w:r w:rsidR="005354C1" w:rsidRPr="00E345E9">
        <w:rPr>
          <w:rFonts w:cs="Arial"/>
          <w:color w:val="000000" w:themeColor="text1"/>
          <w:szCs w:val="22"/>
          <w:lang w:val="en-US"/>
        </w:rPr>
        <w:t xml:space="preserve"> increased, resulting in a significant reduction of usage of the interconnection point, from Spain to Portugal and an increase from Portugal to Spain.</w:t>
      </w:r>
    </w:p>
    <w:p w14:paraId="5ED4627C" w14:textId="2777574C" w:rsidR="005354C1" w:rsidRPr="00E345E9" w:rsidRDefault="00B82B99" w:rsidP="005354C1">
      <w:pPr>
        <w:keepNext/>
      </w:pPr>
      <w:r>
        <w:rPr>
          <w:noProof/>
          <w:lang w:val="es-ES" w:eastAsia="es-ES"/>
        </w:rPr>
        <w:drawing>
          <wp:inline distT="0" distB="0" distL="0" distR="0" wp14:anchorId="13D35EA8" wp14:editId="254C65A9">
            <wp:extent cx="5681980" cy="270700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1980" cy="2707005"/>
                    </a:xfrm>
                    <a:prstGeom prst="rect">
                      <a:avLst/>
                    </a:prstGeom>
                    <a:noFill/>
                  </pic:spPr>
                </pic:pic>
              </a:graphicData>
            </a:graphic>
          </wp:inline>
        </w:drawing>
      </w:r>
    </w:p>
    <w:p w14:paraId="1079C890" w14:textId="146D37CD" w:rsidR="005354C1" w:rsidRPr="00E345E9" w:rsidRDefault="005354C1" w:rsidP="005354C1">
      <w:pPr>
        <w:pStyle w:val="Descripcin"/>
        <w:spacing w:before="240" w:line="360" w:lineRule="auto"/>
        <w:jc w:val="center"/>
        <w:rPr>
          <w:sz w:val="16"/>
          <w:lang w:val="en-US"/>
        </w:rPr>
      </w:pPr>
      <w:r w:rsidRPr="00E345E9">
        <w:rPr>
          <w:sz w:val="16"/>
          <w:lang w:val="en-US"/>
        </w:rPr>
        <w:t xml:space="preserve">Figure </w:t>
      </w:r>
      <w:r w:rsidRPr="00E345E9">
        <w:rPr>
          <w:sz w:val="16"/>
          <w:lang w:val="en-US"/>
        </w:rPr>
        <w:fldChar w:fldCharType="begin"/>
      </w:r>
      <w:r w:rsidRPr="00E345E9">
        <w:rPr>
          <w:sz w:val="16"/>
          <w:lang w:val="en-US"/>
        </w:rPr>
        <w:instrText xml:space="preserve"> SEQ Figure \* ARABIC </w:instrText>
      </w:r>
      <w:r w:rsidRPr="00E345E9">
        <w:rPr>
          <w:sz w:val="16"/>
          <w:lang w:val="en-US"/>
        </w:rPr>
        <w:fldChar w:fldCharType="separate"/>
      </w:r>
      <w:r w:rsidR="00E859C7">
        <w:rPr>
          <w:noProof/>
          <w:sz w:val="16"/>
          <w:lang w:val="en-US"/>
        </w:rPr>
        <w:t>16</w:t>
      </w:r>
      <w:r w:rsidRPr="00E345E9">
        <w:rPr>
          <w:sz w:val="16"/>
          <w:lang w:val="en-US"/>
        </w:rPr>
        <w:fldChar w:fldCharType="end"/>
      </w:r>
      <w:r w:rsidRPr="00E345E9">
        <w:rPr>
          <w:sz w:val="16"/>
          <w:lang w:val="en-US"/>
        </w:rPr>
        <w:t>: Capacity bookings VIP Ibérico – Spain to Portugal direction (Portuguese side)</w:t>
      </w:r>
    </w:p>
    <w:p w14:paraId="1CD970C8" w14:textId="0D3C5C75" w:rsidR="005354C1" w:rsidRPr="00E345E9" w:rsidRDefault="005354C1" w:rsidP="00A91FE8">
      <w:pPr>
        <w:spacing w:line="312" w:lineRule="auto"/>
        <w:rPr>
          <w:rFonts w:cs="Arial"/>
          <w:color w:val="000000" w:themeColor="text1"/>
          <w:szCs w:val="22"/>
          <w:lang w:val="en-US"/>
        </w:rPr>
      </w:pPr>
      <w:r w:rsidRPr="00E345E9">
        <w:rPr>
          <w:rFonts w:cs="Arial"/>
          <w:color w:val="000000" w:themeColor="text1"/>
          <w:szCs w:val="22"/>
          <w:lang w:val="en-US"/>
        </w:rPr>
        <w:t>Long-term capacity in the Spanish side was still dominant, representing an average of roughly 61% of the technical capacity. The total amount of booked cap</w:t>
      </w:r>
      <w:r w:rsidR="00A27A57">
        <w:rPr>
          <w:rFonts w:cs="Arial"/>
          <w:color w:val="000000" w:themeColor="text1"/>
          <w:szCs w:val="22"/>
          <w:lang w:val="en-US"/>
        </w:rPr>
        <w:t xml:space="preserve">acity </w:t>
      </w:r>
      <w:r w:rsidR="003A741E">
        <w:rPr>
          <w:rFonts w:cs="Arial"/>
          <w:color w:val="000000" w:themeColor="text1"/>
          <w:szCs w:val="22"/>
          <w:lang w:val="en-US"/>
        </w:rPr>
        <w:t xml:space="preserve">reached </w:t>
      </w:r>
      <w:r w:rsidR="00A27A57">
        <w:rPr>
          <w:rFonts w:cs="Arial"/>
          <w:color w:val="000000" w:themeColor="text1"/>
          <w:szCs w:val="22"/>
          <w:lang w:val="en-US"/>
        </w:rPr>
        <w:t>an average of 80.</w:t>
      </w:r>
      <w:r w:rsidRPr="00E345E9">
        <w:rPr>
          <w:rFonts w:cs="Arial"/>
          <w:color w:val="000000" w:themeColor="text1"/>
          <w:szCs w:val="22"/>
          <w:lang w:val="en-US"/>
        </w:rPr>
        <w:t>4% of the</w:t>
      </w:r>
      <w:r w:rsidR="00A27A57">
        <w:rPr>
          <w:rFonts w:cs="Arial"/>
          <w:color w:val="000000" w:themeColor="text1"/>
          <w:szCs w:val="22"/>
          <w:lang w:val="en-US"/>
        </w:rPr>
        <w:t xml:space="preserve"> technical capacity in 2016, 73.</w:t>
      </w:r>
      <w:r w:rsidRPr="00E345E9">
        <w:rPr>
          <w:rFonts w:cs="Arial"/>
          <w:color w:val="000000" w:themeColor="text1"/>
          <w:szCs w:val="22"/>
          <w:lang w:val="en-US"/>
        </w:rPr>
        <w:t>4% in 2017 and 65</w:t>
      </w:r>
      <w:r w:rsidR="003A741E">
        <w:rPr>
          <w:rFonts w:cs="Arial"/>
          <w:color w:val="000000" w:themeColor="text1"/>
          <w:szCs w:val="22"/>
          <w:lang w:val="en-US"/>
        </w:rPr>
        <w:t>.</w:t>
      </w:r>
      <w:r w:rsidRPr="00E345E9">
        <w:rPr>
          <w:rFonts w:cs="Arial"/>
          <w:color w:val="000000" w:themeColor="text1"/>
          <w:szCs w:val="22"/>
          <w:lang w:val="en-US"/>
        </w:rPr>
        <w:t>5</w:t>
      </w:r>
      <w:r w:rsidR="003A741E">
        <w:rPr>
          <w:rFonts w:cs="Arial"/>
          <w:color w:val="000000" w:themeColor="text1"/>
          <w:szCs w:val="22"/>
          <w:lang w:val="en-US"/>
        </w:rPr>
        <w:t>%</w:t>
      </w:r>
      <w:r w:rsidRPr="00E345E9">
        <w:rPr>
          <w:rFonts w:cs="Arial"/>
          <w:color w:val="000000" w:themeColor="text1"/>
          <w:szCs w:val="22"/>
          <w:lang w:val="en-US"/>
        </w:rPr>
        <w:t xml:space="preserve"> in 2018. Regarding capacity booking throughout the year, it is possible to see that booked capacity tends to peak in the summer. These peaks happen due to the dispatch of natural gas</w:t>
      </w:r>
      <w:r w:rsidR="003A741E">
        <w:rPr>
          <w:rFonts w:cs="Arial"/>
          <w:color w:val="000000" w:themeColor="text1"/>
          <w:szCs w:val="22"/>
          <w:lang w:val="en-US"/>
        </w:rPr>
        <w:t>-</w:t>
      </w:r>
      <w:r w:rsidRPr="00E345E9">
        <w:rPr>
          <w:rFonts w:cs="Arial"/>
          <w:color w:val="000000" w:themeColor="text1"/>
          <w:szCs w:val="22"/>
          <w:lang w:val="en-US"/>
        </w:rPr>
        <w:t xml:space="preserve">fired power plants, which play a significant role in dry summers with little to no wind. </w:t>
      </w:r>
    </w:p>
    <w:p w14:paraId="24F55396" w14:textId="6ED56E97" w:rsidR="005B251E" w:rsidRPr="005354C1" w:rsidRDefault="005354C1" w:rsidP="00A91FE8">
      <w:pPr>
        <w:spacing w:line="312" w:lineRule="auto"/>
        <w:rPr>
          <w:rFonts w:cs="Arial"/>
          <w:color w:val="000000" w:themeColor="text1"/>
          <w:szCs w:val="22"/>
          <w:lang w:val="en-US"/>
        </w:rPr>
      </w:pPr>
      <w:r w:rsidRPr="00E345E9">
        <w:rPr>
          <w:rFonts w:cs="Arial"/>
          <w:color w:val="000000" w:themeColor="text1"/>
          <w:szCs w:val="22"/>
          <w:lang w:val="en-US"/>
        </w:rPr>
        <w:t xml:space="preserve">The difference between the Spanish and the Portuguese side is due to the lower bookings of unbundled capacity on the Portuguese side, when compared with the “LT </w:t>
      </w:r>
      <w:r w:rsidR="003A741E">
        <w:rPr>
          <w:rFonts w:cs="Arial"/>
          <w:color w:val="000000" w:themeColor="text1"/>
          <w:szCs w:val="22"/>
          <w:lang w:val="en-US"/>
        </w:rPr>
        <w:t xml:space="preserve">contracts </w:t>
      </w:r>
      <w:r w:rsidRPr="00E345E9">
        <w:rPr>
          <w:rFonts w:cs="Arial"/>
          <w:color w:val="000000" w:themeColor="text1"/>
          <w:szCs w:val="22"/>
          <w:lang w:val="en-US"/>
        </w:rPr>
        <w:t xml:space="preserve">before CAM” </w:t>
      </w:r>
      <w:r w:rsidR="003A741E">
        <w:rPr>
          <w:rFonts w:cs="Arial"/>
          <w:color w:val="000000" w:themeColor="text1"/>
          <w:szCs w:val="22"/>
          <w:lang w:val="en-US"/>
        </w:rPr>
        <w:t>that are in force</w:t>
      </w:r>
      <w:r w:rsidRPr="00E345E9">
        <w:rPr>
          <w:rFonts w:cs="Arial"/>
          <w:color w:val="000000" w:themeColor="text1"/>
          <w:szCs w:val="22"/>
          <w:lang w:val="en-US"/>
        </w:rPr>
        <w:t xml:space="preserve"> on the Spanish side.</w:t>
      </w:r>
      <w:r>
        <w:rPr>
          <w:rFonts w:cs="Arial"/>
          <w:color w:val="000000" w:themeColor="text1"/>
          <w:szCs w:val="22"/>
          <w:lang w:val="en-US"/>
        </w:rPr>
        <w:t xml:space="preserve"> </w:t>
      </w:r>
    </w:p>
    <w:p w14:paraId="72946958" w14:textId="77777777" w:rsidR="005B251E" w:rsidRDefault="005B251E" w:rsidP="00E345E9">
      <w:pPr>
        <w:keepNext/>
        <w:rPr>
          <w:rFonts w:cs="Arial"/>
          <w:b/>
          <w:color w:val="000000" w:themeColor="text1"/>
          <w:szCs w:val="22"/>
          <w:u w:val="single"/>
          <w:lang w:val="en-GB"/>
        </w:rPr>
      </w:pPr>
      <w:r w:rsidRPr="00AE5761">
        <w:rPr>
          <w:rFonts w:cs="Arial"/>
          <w:b/>
          <w:color w:val="000000" w:themeColor="text1"/>
          <w:szCs w:val="22"/>
          <w:u w:val="single"/>
          <w:lang w:val="en-GB"/>
        </w:rPr>
        <w:t>Spanish side</w:t>
      </w:r>
    </w:p>
    <w:p w14:paraId="429A5C97" w14:textId="77777777" w:rsidR="005B251E" w:rsidRDefault="005B251E" w:rsidP="00E740A2">
      <w:pPr>
        <w:keepNext/>
        <w:rPr>
          <w:rFonts w:cs="Arial"/>
          <w:color w:val="000000" w:themeColor="text1"/>
          <w:szCs w:val="22"/>
          <w:lang w:val="en-GB"/>
        </w:rPr>
      </w:pPr>
      <w:r>
        <w:rPr>
          <w:rFonts w:cs="Arial"/>
          <w:noProof/>
          <w:color w:val="000000" w:themeColor="text1"/>
          <w:szCs w:val="22"/>
          <w:lang w:val="es-ES" w:eastAsia="es-ES"/>
        </w:rPr>
        <w:drawing>
          <wp:inline distT="0" distB="0" distL="0" distR="0" wp14:anchorId="0BC7EEA6" wp14:editId="101B1DDD">
            <wp:extent cx="5649709" cy="2024092"/>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9003" cy="2031004"/>
                    </a:xfrm>
                    <a:prstGeom prst="rect">
                      <a:avLst/>
                    </a:prstGeom>
                    <a:noFill/>
                  </pic:spPr>
                </pic:pic>
              </a:graphicData>
            </a:graphic>
          </wp:inline>
        </w:drawing>
      </w:r>
    </w:p>
    <w:p w14:paraId="36DEDE01" w14:textId="3D025F15" w:rsidR="005B251E" w:rsidRDefault="005B251E" w:rsidP="005B251E">
      <w:pPr>
        <w:pStyle w:val="Descripcin"/>
        <w:spacing w:before="240" w:line="360" w:lineRule="auto"/>
        <w:jc w:val="center"/>
        <w:rPr>
          <w:sz w:val="16"/>
          <w:lang w:val="en-US"/>
        </w:rPr>
      </w:pPr>
      <w:r w:rsidRPr="005C5BB9">
        <w:rPr>
          <w:sz w:val="16"/>
          <w:lang w:val="en-US"/>
        </w:rPr>
        <w:t xml:space="preserve">Figure </w:t>
      </w:r>
      <w:r w:rsidRPr="005C5BB9">
        <w:rPr>
          <w:sz w:val="16"/>
        </w:rPr>
        <w:fldChar w:fldCharType="begin"/>
      </w:r>
      <w:r w:rsidRPr="005C5BB9">
        <w:rPr>
          <w:sz w:val="16"/>
          <w:lang w:val="en-US"/>
        </w:rPr>
        <w:instrText xml:space="preserve"> SEQ Figure \* ARABIC </w:instrText>
      </w:r>
      <w:r w:rsidRPr="005C5BB9">
        <w:rPr>
          <w:sz w:val="16"/>
        </w:rPr>
        <w:fldChar w:fldCharType="separate"/>
      </w:r>
      <w:r w:rsidR="00E859C7">
        <w:rPr>
          <w:noProof/>
          <w:sz w:val="16"/>
          <w:lang w:val="en-US"/>
        </w:rPr>
        <w:t>17</w:t>
      </w:r>
      <w:r w:rsidRPr="005C5BB9">
        <w:rPr>
          <w:sz w:val="16"/>
        </w:rPr>
        <w:fldChar w:fldCharType="end"/>
      </w:r>
      <w:r w:rsidRPr="00DA492D">
        <w:rPr>
          <w:sz w:val="16"/>
          <w:lang w:val="en-US"/>
        </w:rPr>
        <w:t xml:space="preserve">: </w:t>
      </w:r>
      <w:r w:rsidRPr="00F0317F">
        <w:rPr>
          <w:sz w:val="16"/>
          <w:lang w:val="en-US"/>
        </w:rPr>
        <w:t>Capacity bookings VIP Ib</w:t>
      </w:r>
      <w:r w:rsidR="00E740A2">
        <w:rPr>
          <w:sz w:val="16"/>
          <w:lang w:val="en-US"/>
        </w:rPr>
        <w:t>é</w:t>
      </w:r>
      <w:r w:rsidRPr="00F0317F">
        <w:rPr>
          <w:sz w:val="16"/>
          <w:lang w:val="en-US"/>
        </w:rPr>
        <w:t>rico – Spain to Portugal direction (Spanish side)</w:t>
      </w:r>
    </w:p>
    <w:p w14:paraId="1EF79B57" w14:textId="386BEFCA" w:rsidR="005B251E" w:rsidRDefault="005B251E" w:rsidP="00E740A2">
      <w:pPr>
        <w:spacing w:line="312" w:lineRule="auto"/>
        <w:rPr>
          <w:rFonts w:ascii="Verdana" w:hAnsi="Verdana"/>
          <w:b/>
          <w:sz w:val="16"/>
          <w:lang w:val="en-US"/>
        </w:rPr>
      </w:pPr>
      <w:r w:rsidRPr="00467750">
        <w:rPr>
          <w:rFonts w:cs="Arial"/>
          <w:color w:val="000000" w:themeColor="text1"/>
          <w:szCs w:val="22"/>
          <w:lang w:val="en-GB"/>
        </w:rPr>
        <w:t>As it can be observed</w:t>
      </w:r>
      <w:r w:rsidRPr="00AE5761">
        <w:rPr>
          <w:rFonts w:cs="Arial"/>
          <w:szCs w:val="22"/>
          <w:lang w:val="en-GB"/>
        </w:rPr>
        <w:t>, there are peaks of bundled capacity</w:t>
      </w:r>
      <w:r>
        <w:rPr>
          <w:rFonts w:cs="Arial"/>
          <w:szCs w:val="22"/>
          <w:lang w:val="en-GB"/>
        </w:rPr>
        <w:t xml:space="preserve"> bookings</w:t>
      </w:r>
      <w:r w:rsidRPr="00AE5761">
        <w:rPr>
          <w:rFonts w:cs="Arial"/>
          <w:szCs w:val="22"/>
          <w:lang w:val="en-GB"/>
        </w:rPr>
        <w:t xml:space="preserve"> during summer months (from June to September).</w:t>
      </w:r>
      <w:r>
        <w:rPr>
          <w:rFonts w:cs="Arial"/>
          <w:szCs w:val="22"/>
          <w:lang w:val="en-GB"/>
        </w:rPr>
        <w:t xml:space="preserve"> </w:t>
      </w:r>
      <w:r>
        <w:rPr>
          <w:rFonts w:cs="Arial"/>
          <w:color w:val="000000" w:themeColor="text1"/>
          <w:szCs w:val="22"/>
          <w:lang w:val="en-GB"/>
        </w:rPr>
        <w:t>The total amount of unbundled booked capacity comes from LT contracts. These contracts</w:t>
      </w:r>
      <w:r w:rsidRPr="00105290">
        <w:rPr>
          <w:rFonts w:cs="Arial"/>
          <w:color w:val="000000" w:themeColor="text1"/>
          <w:szCs w:val="22"/>
          <w:lang w:val="en-GB"/>
        </w:rPr>
        <w:t xml:space="preserve"> represent</w:t>
      </w:r>
      <w:r>
        <w:rPr>
          <w:rFonts w:cs="Arial"/>
          <w:color w:val="000000" w:themeColor="text1"/>
          <w:szCs w:val="22"/>
          <w:lang w:val="en-GB"/>
        </w:rPr>
        <w:t xml:space="preserve"> 64.42% of the technical capacity, so there is still enough bundle</w:t>
      </w:r>
      <w:r w:rsidR="00654CA9">
        <w:rPr>
          <w:rFonts w:cs="Arial"/>
          <w:color w:val="000000" w:themeColor="text1"/>
          <w:szCs w:val="22"/>
          <w:lang w:val="en-GB"/>
        </w:rPr>
        <w:t>d</w:t>
      </w:r>
      <w:r>
        <w:rPr>
          <w:rFonts w:cs="Arial"/>
          <w:color w:val="000000" w:themeColor="text1"/>
          <w:szCs w:val="22"/>
          <w:lang w:val="en-GB"/>
        </w:rPr>
        <w:t xml:space="preserve"> capacity that can be offered and allocated at PRISMA.</w:t>
      </w:r>
      <w:r w:rsidRPr="00105290">
        <w:rPr>
          <w:rFonts w:cs="Arial"/>
          <w:color w:val="000000" w:themeColor="text1"/>
          <w:szCs w:val="22"/>
          <w:lang w:val="en-GB"/>
        </w:rPr>
        <w:t xml:space="preserve"> </w:t>
      </w:r>
    </w:p>
    <w:p w14:paraId="1C0F1D51" w14:textId="413EB965" w:rsidR="005B251E" w:rsidRDefault="005B251E" w:rsidP="00E740A2">
      <w:pPr>
        <w:spacing w:line="312" w:lineRule="auto"/>
        <w:rPr>
          <w:rFonts w:cs="Arial"/>
          <w:color w:val="000000" w:themeColor="text1"/>
          <w:szCs w:val="22"/>
          <w:lang w:val="en-GB"/>
        </w:rPr>
      </w:pPr>
      <w:r>
        <w:rPr>
          <w:rFonts w:cs="Arial"/>
          <w:color w:val="000000" w:themeColor="text1"/>
          <w:szCs w:val="22"/>
          <w:lang w:val="en-GB"/>
        </w:rPr>
        <w:t xml:space="preserve">It should be noted the decrease in the bookings of the last two years, but especially during 2018. This corresponds with the increase of bookings in the </w:t>
      </w:r>
      <w:r w:rsidR="007F22E0">
        <w:rPr>
          <w:rFonts w:cs="Arial"/>
          <w:color w:val="000000" w:themeColor="text1"/>
          <w:szCs w:val="22"/>
          <w:lang w:val="en-GB"/>
        </w:rPr>
        <w:t xml:space="preserve">opposite </w:t>
      </w:r>
      <w:r>
        <w:rPr>
          <w:rFonts w:cs="Arial"/>
          <w:color w:val="000000" w:themeColor="text1"/>
          <w:szCs w:val="22"/>
          <w:lang w:val="en-GB"/>
        </w:rPr>
        <w:t>flow</w:t>
      </w:r>
      <w:r w:rsidR="007F22E0">
        <w:rPr>
          <w:rFonts w:cs="Arial"/>
          <w:color w:val="000000" w:themeColor="text1"/>
          <w:szCs w:val="22"/>
          <w:lang w:val="en-GB"/>
        </w:rPr>
        <w:t xml:space="preserve"> direction</w:t>
      </w:r>
      <w:r w:rsidR="007F22E0" w:rsidRPr="00130C2F">
        <w:rPr>
          <w:rFonts w:cs="Arial"/>
          <w:color w:val="000000" w:themeColor="text1"/>
          <w:szCs w:val="22"/>
          <w:lang w:val="en-GB"/>
        </w:rPr>
        <w:t>, as explained before</w:t>
      </w:r>
      <w:r w:rsidRPr="00130C2F">
        <w:rPr>
          <w:rFonts w:cs="Arial"/>
          <w:color w:val="000000" w:themeColor="text1"/>
          <w:szCs w:val="22"/>
          <w:lang w:val="en-GB"/>
        </w:rPr>
        <w:t>.</w:t>
      </w:r>
    </w:p>
    <w:p w14:paraId="0AE4758F" w14:textId="7B4636B4" w:rsidR="005B251E" w:rsidRDefault="005B251E" w:rsidP="00E740A2">
      <w:pPr>
        <w:spacing w:line="312" w:lineRule="auto"/>
        <w:rPr>
          <w:rFonts w:cs="Arial"/>
          <w:color w:val="000000" w:themeColor="text1"/>
          <w:szCs w:val="22"/>
          <w:lang w:val="en-GB"/>
        </w:rPr>
      </w:pPr>
      <w:r>
        <w:rPr>
          <w:rFonts w:cs="Arial"/>
          <w:color w:val="000000" w:themeColor="text1"/>
          <w:szCs w:val="22"/>
          <w:lang w:val="en-GB"/>
        </w:rPr>
        <w:t>During the 2016 gas year, total booked capacity has been above 90% of the technical capacity for 84 days (23% of the year), while as in the 2017 gas year they were only 29 days (8% of the year). There were not any day</w:t>
      </w:r>
      <w:r w:rsidR="003F5AF7">
        <w:rPr>
          <w:rFonts w:cs="Arial"/>
          <w:color w:val="000000" w:themeColor="text1"/>
          <w:szCs w:val="22"/>
          <w:lang w:val="en-GB"/>
        </w:rPr>
        <w:t>s</w:t>
      </w:r>
      <w:r>
        <w:rPr>
          <w:rFonts w:cs="Arial"/>
          <w:color w:val="000000" w:themeColor="text1"/>
          <w:szCs w:val="22"/>
          <w:lang w:val="en-GB"/>
        </w:rPr>
        <w:t xml:space="preserve"> in which booked capacity exceeded 90% of the technical capacity</w:t>
      </w:r>
      <w:r w:rsidDel="006E332B">
        <w:rPr>
          <w:rFonts w:cs="Arial"/>
          <w:color w:val="000000" w:themeColor="text1"/>
          <w:szCs w:val="22"/>
          <w:lang w:val="en-GB"/>
        </w:rPr>
        <w:t xml:space="preserve"> </w:t>
      </w:r>
      <w:r>
        <w:rPr>
          <w:rFonts w:cs="Arial"/>
          <w:color w:val="000000" w:themeColor="text1"/>
          <w:szCs w:val="22"/>
          <w:lang w:val="en-GB"/>
        </w:rPr>
        <w:t>in 2018.</w:t>
      </w:r>
    </w:p>
    <w:p w14:paraId="797EAD36" w14:textId="7F0BC3AD" w:rsidR="005B251E" w:rsidRPr="00467750" w:rsidRDefault="005B251E" w:rsidP="00E740A2">
      <w:pPr>
        <w:spacing w:line="312" w:lineRule="auto"/>
        <w:rPr>
          <w:rFonts w:cs="Arial"/>
          <w:color w:val="000000" w:themeColor="text1"/>
          <w:szCs w:val="22"/>
          <w:lang w:val="en-GB"/>
        </w:rPr>
      </w:pPr>
      <w:r w:rsidRPr="00467750">
        <w:rPr>
          <w:rFonts w:cs="Arial"/>
          <w:color w:val="000000" w:themeColor="text1"/>
          <w:szCs w:val="22"/>
          <w:lang w:val="en-GB"/>
        </w:rPr>
        <w:t xml:space="preserve">Regarding </w:t>
      </w:r>
      <w:r>
        <w:rPr>
          <w:rFonts w:cs="Arial"/>
          <w:color w:val="000000" w:themeColor="text1"/>
          <w:szCs w:val="22"/>
          <w:lang w:val="en-GB"/>
        </w:rPr>
        <w:t>b</w:t>
      </w:r>
      <w:r w:rsidRPr="00467750">
        <w:rPr>
          <w:rFonts w:cs="Arial"/>
          <w:color w:val="000000" w:themeColor="text1"/>
          <w:szCs w:val="22"/>
          <w:lang w:val="en-GB"/>
        </w:rPr>
        <w:t xml:space="preserve">undled and </w:t>
      </w:r>
      <w:r>
        <w:rPr>
          <w:rFonts w:cs="Arial"/>
          <w:color w:val="000000" w:themeColor="text1"/>
          <w:szCs w:val="22"/>
          <w:lang w:val="en-GB"/>
        </w:rPr>
        <w:t>u</w:t>
      </w:r>
      <w:r w:rsidRPr="00467750">
        <w:rPr>
          <w:rFonts w:cs="Arial"/>
          <w:color w:val="000000" w:themeColor="text1"/>
          <w:szCs w:val="22"/>
          <w:lang w:val="en-GB"/>
        </w:rPr>
        <w:t xml:space="preserve">nbundled capacity, </w:t>
      </w:r>
      <w:r>
        <w:rPr>
          <w:rFonts w:cs="Arial"/>
          <w:color w:val="000000" w:themeColor="text1"/>
          <w:szCs w:val="22"/>
          <w:lang w:val="en-GB"/>
        </w:rPr>
        <w:t xml:space="preserve">due to the existing bookings previous to the entry into force of the CAM NC, </w:t>
      </w:r>
      <w:r w:rsidRPr="00467750">
        <w:rPr>
          <w:rFonts w:cs="Arial"/>
          <w:color w:val="000000" w:themeColor="text1"/>
          <w:szCs w:val="22"/>
          <w:lang w:val="en-GB"/>
        </w:rPr>
        <w:t xml:space="preserve">again unbundled booked capacity prevails over bundled booked capacity. Unbundled capacity comes from a transit contract and two LT contracts signed between </w:t>
      </w:r>
      <w:r w:rsidRPr="00004DE7">
        <w:rPr>
          <w:rFonts w:cs="Arial"/>
          <w:color w:val="000000" w:themeColor="text1"/>
          <w:szCs w:val="22"/>
          <w:lang w:val="en-GB"/>
        </w:rPr>
        <w:t>two shippers and both TSOs. This transit was booked by a shipper at both sides of the interconnection and until January 2015 was out of the Third Par</w:t>
      </w:r>
      <w:r w:rsidRPr="00467750">
        <w:rPr>
          <w:rFonts w:cs="Arial"/>
          <w:color w:val="000000" w:themeColor="text1"/>
          <w:szCs w:val="22"/>
          <w:lang w:val="en-GB"/>
        </w:rPr>
        <w:t>ty Access System. Since then, Enag</w:t>
      </w:r>
      <w:r w:rsidR="00E740A2">
        <w:rPr>
          <w:rFonts w:cs="Arial"/>
          <w:color w:val="000000" w:themeColor="text1"/>
          <w:szCs w:val="22"/>
          <w:lang w:val="en-GB"/>
        </w:rPr>
        <w:t>á</w:t>
      </w:r>
      <w:r w:rsidRPr="00467750">
        <w:rPr>
          <w:rFonts w:cs="Arial"/>
          <w:color w:val="000000" w:themeColor="text1"/>
          <w:szCs w:val="22"/>
          <w:lang w:val="en-GB"/>
        </w:rPr>
        <w:t xml:space="preserve">s integrated it into the Third Party Access System, in order to accomplish the requirement established by the European regulators (according to the </w:t>
      </w:r>
      <w:hyperlink r:id="rId31" w:history="1">
        <w:r w:rsidRPr="00004DE7">
          <w:rPr>
            <w:rStyle w:val="Hipervnculo"/>
            <w:rFonts w:cs="Arial"/>
            <w:szCs w:val="22"/>
            <w:lang w:val="en-GB"/>
          </w:rPr>
          <w:t>“</w:t>
        </w:r>
        <w:r w:rsidRPr="00004DE7">
          <w:rPr>
            <w:rStyle w:val="Hipervnculo"/>
            <w:rFonts w:cs="Arial"/>
            <w:i/>
            <w:szCs w:val="22"/>
            <w:lang w:val="en-GB"/>
          </w:rPr>
          <w:t>Informe sobre la propuesta de adecuación del contrato de tránsito de gas a Portugal a la normativ</w:t>
        </w:r>
        <w:r>
          <w:rPr>
            <w:rStyle w:val="Hipervnculo"/>
            <w:rFonts w:cs="Arial"/>
            <w:i/>
            <w:szCs w:val="22"/>
            <w:lang w:val="en-GB"/>
          </w:rPr>
          <w:t>a</w:t>
        </w:r>
        <w:r w:rsidRPr="00004DE7">
          <w:rPr>
            <w:rStyle w:val="Hipervnculo"/>
            <w:rFonts w:cs="Arial"/>
            <w:i/>
            <w:szCs w:val="22"/>
            <w:lang w:val="en-GB"/>
          </w:rPr>
          <w:t xml:space="preserve"> europea”</w:t>
        </w:r>
      </w:hyperlink>
      <w:r w:rsidRPr="00004DE7">
        <w:rPr>
          <w:rFonts w:cs="Arial"/>
          <w:color w:val="000000" w:themeColor="text1"/>
          <w:szCs w:val="22"/>
          <w:lang w:val="en-GB"/>
        </w:rPr>
        <w:t xml:space="preserve"> of the CNMC on the 5</w:t>
      </w:r>
      <w:r w:rsidRPr="00004DE7">
        <w:rPr>
          <w:rFonts w:cs="Arial"/>
          <w:color w:val="000000" w:themeColor="text1"/>
          <w:szCs w:val="22"/>
          <w:vertAlign w:val="superscript"/>
          <w:lang w:val="en-GB"/>
        </w:rPr>
        <w:t>th</w:t>
      </w:r>
      <w:r w:rsidRPr="00004DE7">
        <w:rPr>
          <w:rFonts w:cs="Arial"/>
          <w:color w:val="000000" w:themeColor="text1"/>
          <w:szCs w:val="22"/>
          <w:lang w:val="en-GB"/>
        </w:rPr>
        <w:t xml:space="preserve"> September 2014). On the other hand, REN offers this capacity in an unbundled way via auctions held on the PRISMA Platform.</w:t>
      </w:r>
      <w:r w:rsidRPr="00467750">
        <w:rPr>
          <w:rFonts w:cs="Arial"/>
          <w:color w:val="000000" w:themeColor="text1"/>
          <w:szCs w:val="22"/>
          <w:lang w:val="en-GB"/>
        </w:rPr>
        <w:t xml:space="preserve"> </w:t>
      </w:r>
    </w:p>
    <w:p w14:paraId="11458223" w14:textId="47DF4E11" w:rsidR="00FE16C9" w:rsidRPr="003F545A" w:rsidRDefault="00FE16C9" w:rsidP="008413FF">
      <w:pPr>
        <w:pStyle w:val="Ttulo4"/>
        <w:spacing w:line="240" w:lineRule="auto"/>
      </w:pPr>
      <w:r w:rsidRPr="003F545A">
        <w:t>Portugal to Spain flow direction</w:t>
      </w:r>
    </w:p>
    <w:p w14:paraId="0F66528E" w14:textId="703C4D7B" w:rsidR="00172409" w:rsidRPr="000621D4" w:rsidRDefault="00172409" w:rsidP="00E740A2">
      <w:pPr>
        <w:spacing w:line="312" w:lineRule="auto"/>
        <w:rPr>
          <w:rFonts w:cs="Arial"/>
          <w:color w:val="000000" w:themeColor="text1"/>
          <w:szCs w:val="22"/>
          <w:lang w:val="en-GB"/>
        </w:rPr>
      </w:pPr>
      <w:r>
        <w:rPr>
          <w:rFonts w:cs="Arial"/>
          <w:color w:val="000000" w:themeColor="text1"/>
          <w:szCs w:val="22"/>
          <w:lang w:val="en-GB"/>
        </w:rPr>
        <w:t>The following table</w:t>
      </w:r>
      <w:r w:rsidR="00AB3B2E">
        <w:rPr>
          <w:rFonts w:cs="Arial"/>
          <w:color w:val="000000" w:themeColor="text1"/>
          <w:szCs w:val="22"/>
          <w:lang w:val="en-GB"/>
        </w:rPr>
        <w:t>s</w:t>
      </w:r>
      <w:r>
        <w:rPr>
          <w:rFonts w:cs="Arial"/>
          <w:color w:val="000000" w:themeColor="text1"/>
          <w:szCs w:val="22"/>
          <w:lang w:val="en-GB"/>
        </w:rPr>
        <w:t xml:space="preserve"> show the booked </w:t>
      </w:r>
      <w:r w:rsidRPr="000621D4">
        <w:rPr>
          <w:rFonts w:cs="Arial"/>
          <w:color w:val="000000" w:themeColor="text1"/>
          <w:szCs w:val="22"/>
          <w:lang w:val="en-GB"/>
        </w:rPr>
        <w:t>capacity (on average) per gas</w:t>
      </w:r>
      <w:r w:rsidR="00AB3B2E" w:rsidRPr="000621D4">
        <w:rPr>
          <w:rFonts w:cs="Arial"/>
          <w:color w:val="000000" w:themeColor="text1"/>
          <w:szCs w:val="22"/>
          <w:lang w:val="en-GB"/>
        </w:rPr>
        <w:t xml:space="preserve"> year of the period under study.</w:t>
      </w:r>
    </w:p>
    <w:tbl>
      <w:tblPr>
        <w:tblW w:w="0" w:type="auto"/>
        <w:jc w:val="center"/>
        <w:tblCellMar>
          <w:left w:w="70" w:type="dxa"/>
          <w:right w:w="70" w:type="dxa"/>
        </w:tblCellMar>
        <w:tblLook w:val="04A0" w:firstRow="1" w:lastRow="0" w:firstColumn="1" w:lastColumn="0" w:noHBand="0" w:noVBand="1"/>
      </w:tblPr>
      <w:tblGrid>
        <w:gridCol w:w="752"/>
        <w:gridCol w:w="1085"/>
        <w:gridCol w:w="1180"/>
        <w:gridCol w:w="943"/>
        <w:gridCol w:w="895"/>
        <w:gridCol w:w="1085"/>
        <w:gridCol w:w="1132"/>
        <w:gridCol w:w="943"/>
        <w:gridCol w:w="895"/>
      </w:tblGrid>
      <w:tr w:rsidR="005B251E" w:rsidRPr="000621D4" w14:paraId="56DE84AE" w14:textId="77777777" w:rsidTr="003217ED">
        <w:trPr>
          <w:trHeight w:val="635"/>
          <w:jc w:val="center"/>
        </w:trPr>
        <w:tc>
          <w:tcPr>
            <w:tcW w:w="0" w:type="auto"/>
            <w:vMerge w:val="restart"/>
            <w:tcBorders>
              <w:top w:val="single" w:sz="8" w:space="0" w:color="auto"/>
              <w:left w:val="single" w:sz="8" w:space="0" w:color="auto"/>
              <w:bottom w:val="nil"/>
              <w:right w:val="single" w:sz="8" w:space="0" w:color="auto"/>
            </w:tcBorders>
            <w:shd w:val="clear" w:color="000000" w:fill="EBF1DE"/>
            <w:vAlign w:val="center"/>
            <w:hideMark/>
          </w:tcPr>
          <w:p w14:paraId="1983B160" w14:textId="30E9075F" w:rsidR="005B251E" w:rsidRPr="000621D4" w:rsidRDefault="005B251E" w:rsidP="005B251E">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 w:eastAsia="es-ES_tradnl"/>
              </w:rPr>
              <w:t xml:space="preserve">VIP </w:t>
            </w:r>
            <w:r w:rsidR="000673CD" w:rsidRPr="000621D4">
              <w:rPr>
                <w:rFonts w:cs="Arial"/>
                <w:b/>
                <w:bCs/>
                <w:color w:val="000000"/>
                <w:sz w:val="16"/>
                <w:szCs w:val="16"/>
                <w:lang w:val="es-ES" w:eastAsia="es-ES_tradnl"/>
              </w:rPr>
              <w:t>Ibérico</w:t>
            </w:r>
          </w:p>
          <w:p w14:paraId="6C387FF9" w14:textId="77777777" w:rsidR="005B251E" w:rsidRPr="000621D4" w:rsidRDefault="005B251E" w:rsidP="005B251E">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 xml:space="preserve"> (PT-SP)</w:t>
            </w:r>
          </w:p>
          <w:p w14:paraId="4ECC2838" w14:textId="4E9253F7" w:rsidR="005B251E" w:rsidRPr="000621D4" w:rsidRDefault="005B251E" w:rsidP="005B251E">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GWh/d</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092FC224" w14:textId="77777777" w:rsidR="005B251E" w:rsidRPr="000621D4" w:rsidRDefault="005B251E" w:rsidP="005B251E">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Spanish side</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083791BC" w14:textId="77777777" w:rsidR="005B251E" w:rsidRPr="000621D4" w:rsidRDefault="005B251E" w:rsidP="005B251E">
            <w:pPr>
              <w:spacing w:before="0" w:after="0" w:line="240" w:lineRule="auto"/>
              <w:jc w:val="center"/>
              <w:rPr>
                <w:rFonts w:cs="Arial"/>
                <w:b/>
                <w:bCs/>
                <w:color w:val="000000"/>
                <w:sz w:val="16"/>
                <w:szCs w:val="16"/>
                <w:lang w:val="es-ES_tradnl" w:eastAsia="es-ES_tradnl"/>
              </w:rPr>
            </w:pPr>
            <w:r w:rsidRPr="000621D4">
              <w:rPr>
                <w:rFonts w:cs="Arial"/>
                <w:b/>
                <w:bCs/>
                <w:color w:val="000000"/>
                <w:sz w:val="16"/>
                <w:szCs w:val="16"/>
                <w:lang w:val="es-ES_tradnl" w:eastAsia="es-ES_tradnl"/>
              </w:rPr>
              <w:t>Portuguese side</w:t>
            </w:r>
          </w:p>
        </w:tc>
      </w:tr>
      <w:tr w:rsidR="00782877" w:rsidRPr="000621D4" w14:paraId="2CB45270" w14:textId="77777777" w:rsidTr="003217ED">
        <w:trPr>
          <w:trHeight w:val="465"/>
          <w:jc w:val="center"/>
        </w:trPr>
        <w:tc>
          <w:tcPr>
            <w:tcW w:w="0" w:type="auto"/>
            <w:vMerge/>
            <w:tcBorders>
              <w:left w:val="single" w:sz="8" w:space="0" w:color="auto"/>
              <w:bottom w:val="single" w:sz="8" w:space="0" w:color="000000"/>
              <w:right w:val="single" w:sz="8" w:space="0" w:color="auto"/>
            </w:tcBorders>
            <w:shd w:val="clear" w:color="000000" w:fill="EBF1DE"/>
            <w:vAlign w:val="center"/>
            <w:hideMark/>
          </w:tcPr>
          <w:p w14:paraId="2235766A" w14:textId="46699467" w:rsidR="00782877" w:rsidRPr="000621D4" w:rsidRDefault="00782877" w:rsidP="00782877">
            <w:pPr>
              <w:spacing w:before="0" w:after="0" w:line="240" w:lineRule="auto"/>
              <w:jc w:val="center"/>
              <w:rPr>
                <w:rFonts w:cs="Arial"/>
                <w:b/>
                <w:bCs/>
                <w:color w:val="000000"/>
                <w:sz w:val="16"/>
                <w:szCs w:val="16"/>
                <w:lang w:val="es-ES_tradnl" w:eastAsia="es-ES_tradnl"/>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80C96E6" w14:textId="7777777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LT before CAM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1605DFF5" w14:textId="133DB018"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Unbundled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A6D6AC7" w14:textId="7777777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Bundled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52A65E03" w14:textId="7777777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Booked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53716D88" w14:textId="11141A06"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LT before CAM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4183EF72" w14:textId="192BC4B0"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Unbundled after CAM</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7D85B79C" w14:textId="18BACAEF"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Bundled Capacity</w:t>
            </w:r>
          </w:p>
        </w:tc>
        <w:tc>
          <w:tcPr>
            <w:tcW w:w="0" w:type="auto"/>
            <w:tcBorders>
              <w:top w:val="single" w:sz="4" w:space="0" w:color="auto"/>
              <w:left w:val="nil"/>
              <w:bottom w:val="single" w:sz="8" w:space="0" w:color="000000"/>
              <w:right w:val="single" w:sz="8" w:space="0" w:color="auto"/>
            </w:tcBorders>
            <w:shd w:val="clear" w:color="auto" w:fill="auto"/>
            <w:vAlign w:val="center"/>
            <w:hideMark/>
          </w:tcPr>
          <w:p w14:paraId="0DE1DBA7" w14:textId="3A7F029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Booked capacity</w:t>
            </w:r>
          </w:p>
        </w:tc>
      </w:tr>
      <w:tr w:rsidR="00782877" w:rsidRPr="000621D4" w14:paraId="31DA9DC7" w14:textId="77777777" w:rsidTr="005B251E">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1CCB5214" w14:textId="77777777" w:rsidR="00782877" w:rsidRPr="000621D4" w:rsidRDefault="00782877" w:rsidP="00782877">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2016</w:t>
            </w:r>
          </w:p>
        </w:tc>
        <w:tc>
          <w:tcPr>
            <w:tcW w:w="0" w:type="auto"/>
            <w:tcBorders>
              <w:top w:val="nil"/>
              <w:left w:val="nil"/>
              <w:bottom w:val="single" w:sz="8" w:space="0" w:color="auto"/>
              <w:right w:val="single" w:sz="8" w:space="0" w:color="auto"/>
            </w:tcBorders>
            <w:shd w:val="clear" w:color="auto" w:fill="auto"/>
            <w:noWrap/>
            <w:vAlign w:val="center"/>
            <w:hideMark/>
          </w:tcPr>
          <w:p w14:paraId="3F18965E" w14:textId="7777777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D4D6A78" w14:textId="7777777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14:paraId="0DFA3AAA" w14:textId="69502ED2"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0.08%</w:t>
            </w:r>
          </w:p>
        </w:tc>
        <w:tc>
          <w:tcPr>
            <w:tcW w:w="0" w:type="auto"/>
            <w:tcBorders>
              <w:top w:val="nil"/>
              <w:left w:val="nil"/>
              <w:bottom w:val="single" w:sz="8" w:space="0" w:color="auto"/>
              <w:right w:val="single" w:sz="8" w:space="0" w:color="auto"/>
            </w:tcBorders>
            <w:shd w:val="clear" w:color="auto" w:fill="auto"/>
            <w:noWrap/>
            <w:vAlign w:val="center"/>
            <w:hideMark/>
          </w:tcPr>
          <w:p w14:paraId="53A940A8" w14:textId="44212666"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0.08%</w:t>
            </w:r>
          </w:p>
        </w:tc>
        <w:tc>
          <w:tcPr>
            <w:tcW w:w="0" w:type="auto"/>
            <w:tcBorders>
              <w:top w:val="nil"/>
              <w:left w:val="nil"/>
              <w:bottom w:val="single" w:sz="8" w:space="0" w:color="auto"/>
              <w:right w:val="single" w:sz="8" w:space="0" w:color="auto"/>
            </w:tcBorders>
            <w:shd w:val="clear" w:color="auto" w:fill="auto"/>
            <w:noWrap/>
            <w:vAlign w:val="center"/>
            <w:hideMark/>
          </w:tcPr>
          <w:p w14:paraId="1F225004" w14:textId="68BE8056"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02645AE9" w14:textId="2CC5A409"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14:paraId="5F004B9F" w14:textId="77A5D37F"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0.08%</w:t>
            </w:r>
          </w:p>
        </w:tc>
        <w:tc>
          <w:tcPr>
            <w:tcW w:w="0" w:type="auto"/>
            <w:tcBorders>
              <w:top w:val="nil"/>
              <w:left w:val="nil"/>
              <w:bottom w:val="single" w:sz="8" w:space="0" w:color="auto"/>
              <w:right w:val="single" w:sz="8" w:space="0" w:color="auto"/>
            </w:tcBorders>
            <w:shd w:val="clear" w:color="auto" w:fill="auto"/>
            <w:noWrap/>
            <w:vAlign w:val="center"/>
            <w:hideMark/>
          </w:tcPr>
          <w:p w14:paraId="29620EB2" w14:textId="0111B7ED"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0.08%</w:t>
            </w:r>
          </w:p>
        </w:tc>
      </w:tr>
      <w:tr w:rsidR="00782877" w:rsidRPr="000621D4" w14:paraId="0E3DE836" w14:textId="77777777" w:rsidTr="005B251E">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2AE3B057" w14:textId="77777777" w:rsidR="00782877" w:rsidRPr="000621D4" w:rsidRDefault="00782877" w:rsidP="00782877">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2017</w:t>
            </w:r>
          </w:p>
        </w:tc>
        <w:tc>
          <w:tcPr>
            <w:tcW w:w="0" w:type="auto"/>
            <w:tcBorders>
              <w:top w:val="nil"/>
              <w:left w:val="nil"/>
              <w:bottom w:val="single" w:sz="8" w:space="0" w:color="auto"/>
              <w:right w:val="single" w:sz="8" w:space="0" w:color="auto"/>
            </w:tcBorders>
            <w:shd w:val="clear" w:color="auto" w:fill="auto"/>
            <w:noWrap/>
            <w:vAlign w:val="center"/>
            <w:hideMark/>
          </w:tcPr>
          <w:p w14:paraId="7BF0B34C" w14:textId="7777777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5C1B6591" w14:textId="7777777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14:paraId="2214485D" w14:textId="46CAF76A"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0.16%</w:t>
            </w:r>
          </w:p>
        </w:tc>
        <w:tc>
          <w:tcPr>
            <w:tcW w:w="0" w:type="auto"/>
            <w:tcBorders>
              <w:top w:val="nil"/>
              <w:left w:val="nil"/>
              <w:bottom w:val="single" w:sz="8" w:space="0" w:color="auto"/>
              <w:right w:val="single" w:sz="8" w:space="0" w:color="auto"/>
            </w:tcBorders>
            <w:shd w:val="clear" w:color="auto" w:fill="auto"/>
            <w:noWrap/>
            <w:vAlign w:val="center"/>
            <w:hideMark/>
          </w:tcPr>
          <w:p w14:paraId="7F28E5B5" w14:textId="7382679C"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0.16%</w:t>
            </w:r>
          </w:p>
        </w:tc>
        <w:tc>
          <w:tcPr>
            <w:tcW w:w="0" w:type="auto"/>
            <w:tcBorders>
              <w:top w:val="nil"/>
              <w:left w:val="nil"/>
              <w:bottom w:val="single" w:sz="8" w:space="0" w:color="auto"/>
              <w:right w:val="single" w:sz="8" w:space="0" w:color="auto"/>
            </w:tcBorders>
            <w:shd w:val="clear" w:color="auto" w:fill="auto"/>
            <w:noWrap/>
            <w:vAlign w:val="center"/>
            <w:hideMark/>
          </w:tcPr>
          <w:p w14:paraId="5F014D5C" w14:textId="1883DB30"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50019EF5" w14:textId="66B1E8FD"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14:paraId="693C035B" w14:textId="17C4437A"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0.16%</w:t>
            </w:r>
          </w:p>
        </w:tc>
        <w:tc>
          <w:tcPr>
            <w:tcW w:w="0" w:type="auto"/>
            <w:tcBorders>
              <w:top w:val="nil"/>
              <w:left w:val="nil"/>
              <w:bottom w:val="single" w:sz="8" w:space="0" w:color="auto"/>
              <w:right w:val="single" w:sz="8" w:space="0" w:color="auto"/>
            </w:tcBorders>
            <w:shd w:val="clear" w:color="auto" w:fill="auto"/>
            <w:noWrap/>
            <w:vAlign w:val="center"/>
            <w:hideMark/>
          </w:tcPr>
          <w:p w14:paraId="3E59988B" w14:textId="1D014DF8"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0.16%</w:t>
            </w:r>
          </w:p>
        </w:tc>
      </w:tr>
      <w:tr w:rsidR="00782877" w:rsidRPr="000621D4" w14:paraId="1CE330DB" w14:textId="77777777" w:rsidTr="005B251E">
        <w:trPr>
          <w:trHeight w:val="315"/>
          <w:jc w:val="center"/>
        </w:trPr>
        <w:tc>
          <w:tcPr>
            <w:tcW w:w="0" w:type="auto"/>
            <w:tcBorders>
              <w:top w:val="nil"/>
              <w:left w:val="single" w:sz="8" w:space="0" w:color="auto"/>
              <w:bottom w:val="single" w:sz="8" w:space="0" w:color="auto"/>
              <w:right w:val="single" w:sz="8" w:space="0" w:color="auto"/>
            </w:tcBorders>
            <w:shd w:val="clear" w:color="000000" w:fill="007AAE"/>
            <w:noWrap/>
            <w:vAlign w:val="center"/>
            <w:hideMark/>
          </w:tcPr>
          <w:p w14:paraId="78021FAE" w14:textId="77777777" w:rsidR="00782877" w:rsidRPr="000621D4" w:rsidRDefault="00782877" w:rsidP="00782877">
            <w:pPr>
              <w:spacing w:before="0" w:after="0" w:line="240" w:lineRule="auto"/>
              <w:jc w:val="center"/>
              <w:rPr>
                <w:rFonts w:ascii="Calibri" w:hAnsi="Calibri" w:cs="Calibri"/>
                <w:b/>
                <w:bCs/>
                <w:color w:val="FFFFFF"/>
                <w:sz w:val="16"/>
                <w:szCs w:val="16"/>
                <w:lang w:val="es-ES_tradnl" w:eastAsia="es-ES_tradnl"/>
              </w:rPr>
            </w:pPr>
            <w:r w:rsidRPr="000621D4">
              <w:rPr>
                <w:rFonts w:ascii="Calibri" w:hAnsi="Calibri" w:cs="Calibri"/>
                <w:b/>
                <w:bCs/>
                <w:color w:val="FFFFFF"/>
                <w:sz w:val="16"/>
                <w:szCs w:val="16"/>
                <w:lang w:val="es-ES_tradnl" w:eastAsia="es-ES_tradnl"/>
              </w:rPr>
              <w:t>2018</w:t>
            </w:r>
          </w:p>
        </w:tc>
        <w:tc>
          <w:tcPr>
            <w:tcW w:w="0" w:type="auto"/>
            <w:tcBorders>
              <w:top w:val="nil"/>
              <w:left w:val="nil"/>
              <w:bottom w:val="single" w:sz="8" w:space="0" w:color="auto"/>
              <w:right w:val="single" w:sz="8" w:space="0" w:color="auto"/>
            </w:tcBorders>
            <w:shd w:val="clear" w:color="auto" w:fill="auto"/>
            <w:noWrap/>
            <w:vAlign w:val="center"/>
            <w:hideMark/>
          </w:tcPr>
          <w:p w14:paraId="04863BAB" w14:textId="7777777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2CABC080" w14:textId="7777777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14:paraId="5404BCE0" w14:textId="6CCDBE29"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7.03% </w:t>
            </w:r>
          </w:p>
        </w:tc>
        <w:tc>
          <w:tcPr>
            <w:tcW w:w="0" w:type="auto"/>
            <w:tcBorders>
              <w:top w:val="nil"/>
              <w:left w:val="nil"/>
              <w:bottom w:val="single" w:sz="8" w:space="0" w:color="auto"/>
              <w:right w:val="single" w:sz="8" w:space="0" w:color="auto"/>
            </w:tcBorders>
            <w:shd w:val="clear" w:color="auto" w:fill="auto"/>
            <w:noWrap/>
            <w:vAlign w:val="center"/>
            <w:hideMark/>
          </w:tcPr>
          <w:p w14:paraId="54CEB710" w14:textId="2C0519B7"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7.03%</w:t>
            </w:r>
          </w:p>
        </w:tc>
        <w:tc>
          <w:tcPr>
            <w:tcW w:w="0" w:type="auto"/>
            <w:tcBorders>
              <w:top w:val="nil"/>
              <w:left w:val="nil"/>
              <w:bottom w:val="single" w:sz="8" w:space="0" w:color="auto"/>
              <w:right w:val="single" w:sz="8" w:space="0" w:color="auto"/>
            </w:tcBorders>
            <w:shd w:val="clear" w:color="auto" w:fill="auto"/>
            <w:noWrap/>
            <w:vAlign w:val="center"/>
            <w:hideMark/>
          </w:tcPr>
          <w:p w14:paraId="1951CAEA" w14:textId="15284B78"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noWrap/>
            <w:vAlign w:val="center"/>
            <w:hideMark/>
          </w:tcPr>
          <w:p w14:paraId="71E22E46" w14:textId="547BB6D9"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14:paraId="0D162746" w14:textId="2C35173A"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7.03% </w:t>
            </w:r>
          </w:p>
        </w:tc>
        <w:tc>
          <w:tcPr>
            <w:tcW w:w="0" w:type="auto"/>
            <w:tcBorders>
              <w:top w:val="nil"/>
              <w:left w:val="nil"/>
              <w:bottom w:val="single" w:sz="8" w:space="0" w:color="auto"/>
              <w:right w:val="single" w:sz="8" w:space="0" w:color="auto"/>
            </w:tcBorders>
            <w:shd w:val="clear" w:color="auto" w:fill="auto"/>
            <w:noWrap/>
            <w:vAlign w:val="center"/>
            <w:hideMark/>
          </w:tcPr>
          <w:p w14:paraId="25ED5504" w14:textId="30D35F3D" w:rsidR="00782877" w:rsidRPr="000621D4" w:rsidRDefault="00782877" w:rsidP="00782877">
            <w:pPr>
              <w:spacing w:before="0" w:after="0" w:line="240" w:lineRule="auto"/>
              <w:jc w:val="center"/>
              <w:rPr>
                <w:rFonts w:cs="Arial"/>
                <w:color w:val="000000"/>
                <w:sz w:val="16"/>
                <w:szCs w:val="16"/>
                <w:lang w:val="es-ES_tradnl" w:eastAsia="es-ES_tradnl"/>
              </w:rPr>
            </w:pPr>
            <w:r w:rsidRPr="000621D4">
              <w:rPr>
                <w:rFonts w:cs="Arial"/>
                <w:color w:val="000000"/>
                <w:sz w:val="16"/>
                <w:szCs w:val="16"/>
                <w:lang w:val="es-ES_tradnl" w:eastAsia="es-ES_tradnl"/>
              </w:rPr>
              <w:t>7.03%</w:t>
            </w:r>
          </w:p>
        </w:tc>
      </w:tr>
    </w:tbl>
    <w:p w14:paraId="5CCA25C3" w14:textId="1E5B2339" w:rsidR="00E740A2" w:rsidRPr="000621D4" w:rsidRDefault="00E740A2" w:rsidP="00E740A2">
      <w:pPr>
        <w:rPr>
          <w:rFonts w:cs="Arial"/>
          <w:i/>
          <w:color w:val="000000" w:themeColor="text1"/>
          <w:sz w:val="18"/>
          <w:szCs w:val="22"/>
          <w:lang w:val="en-GB"/>
        </w:rPr>
      </w:pPr>
      <w:r w:rsidRPr="000621D4">
        <w:rPr>
          <w:rFonts w:cs="Arial"/>
          <w:i/>
          <w:color w:val="000000" w:themeColor="text1"/>
          <w:sz w:val="18"/>
          <w:szCs w:val="22"/>
          <w:lang w:val="en-GB"/>
        </w:rPr>
        <w:t>(*) Unbundled capacity is not offered in the Spanish side of VIP Ibérico.</w:t>
      </w:r>
    </w:p>
    <w:p w14:paraId="2A92E33A" w14:textId="1F067788" w:rsidR="006C22A1" w:rsidRPr="000621D4" w:rsidRDefault="006C22A1" w:rsidP="006C22A1">
      <w:pPr>
        <w:pStyle w:val="Descripcin"/>
        <w:jc w:val="center"/>
        <w:rPr>
          <w:sz w:val="16"/>
          <w:lang w:val="en-US"/>
        </w:rPr>
      </w:pPr>
      <w:r w:rsidRPr="000621D4">
        <w:rPr>
          <w:sz w:val="16"/>
          <w:lang w:val="en-US"/>
        </w:rPr>
        <w:t xml:space="preserve">Table </w:t>
      </w:r>
      <w:r w:rsidRPr="000621D4">
        <w:rPr>
          <w:sz w:val="16"/>
        </w:rPr>
        <w:fldChar w:fldCharType="begin"/>
      </w:r>
      <w:r w:rsidRPr="000621D4">
        <w:rPr>
          <w:sz w:val="16"/>
          <w:lang w:val="en-US"/>
        </w:rPr>
        <w:instrText xml:space="preserve"> SEQ Table \* ARABIC </w:instrText>
      </w:r>
      <w:r w:rsidRPr="000621D4">
        <w:rPr>
          <w:sz w:val="16"/>
        </w:rPr>
        <w:fldChar w:fldCharType="separate"/>
      </w:r>
      <w:r w:rsidR="00E859C7">
        <w:rPr>
          <w:noProof/>
          <w:sz w:val="16"/>
          <w:lang w:val="en-US"/>
        </w:rPr>
        <w:t>12</w:t>
      </w:r>
      <w:r w:rsidRPr="000621D4">
        <w:rPr>
          <w:sz w:val="16"/>
        </w:rPr>
        <w:fldChar w:fldCharType="end"/>
      </w:r>
      <w:r w:rsidRPr="000621D4">
        <w:rPr>
          <w:sz w:val="16"/>
          <w:lang w:val="en-US"/>
        </w:rPr>
        <w:t xml:space="preserve">. Booked capacities VIP </w:t>
      </w:r>
      <w:r w:rsidR="00E740A2" w:rsidRPr="000621D4">
        <w:rPr>
          <w:sz w:val="16"/>
          <w:lang w:val="en-US"/>
        </w:rPr>
        <w:t xml:space="preserve">Ibérico </w:t>
      </w:r>
      <w:r w:rsidR="0031027B" w:rsidRPr="000621D4">
        <w:rPr>
          <w:sz w:val="16"/>
          <w:lang w:val="en-US"/>
        </w:rPr>
        <w:t>on</w:t>
      </w:r>
      <w:r w:rsidRPr="000621D4">
        <w:rPr>
          <w:sz w:val="16"/>
          <w:lang w:val="en-US"/>
        </w:rPr>
        <w:t xml:space="preserve"> technical firm capacity – Portugal to Spain direction</w:t>
      </w:r>
    </w:p>
    <w:p w14:paraId="5B954D84" w14:textId="69DFF214" w:rsidR="00AB3B2E" w:rsidRPr="000621D4" w:rsidRDefault="00AB3B2E" w:rsidP="00AB3B2E">
      <w:pPr>
        <w:rPr>
          <w:rFonts w:cs="Arial"/>
          <w:b/>
          <w:color w:val="000000" w:themeColor="text1"/>
          <w:szCs w:val="22"/>
          <w:u w:val="single"/>
          <w:lang w:val="en-GB"/>
        </w:rPr>
      </w:pPr>
      <w:r w:rsidRPr="000621D4">
        <w:rPr>
          <w:rFonts w:cs="Arial"/>
          <w:b/>
          <w:color w:val="000000" w:themeColor="text1"/>
          <w:szCs w:val="22"/>
          <w:u w:val="single"/>
          <w:lang w:val="en-GB"/>
        </w:rPr>
        <w:t>Portuguese side</w:t>
      </w:r>
    </w:p>
    <w:p w14:paraId="4C31765F" w14:textId="231327B4" w:rsidR="00782877" w:rsidRPr="000621D4" w:rsidRDefault="00853BB6" w:rsidP="00A91FE8">
      <w:pPr>
        <w:spacing w:line="312" w:lineRule="auto"/>
        <w:rPr>
          <w:rFonts w:cs="Arial"/>
          <w:color w:val="000000" w:themeColor="text1"/>
          <w:szCs w:val="22"/>
          <w:lang w:val="en-GB"/>
        </w:rPr>
      </w:pPr>
      <w:r>
        <w:rPr>
          <w:rFonts w:cs="Arial"/>
          <w:color w:val="000000" w:themeColor="text1"/>
          <w:szCs w:val="22"/>
          <w:lang w:val="en-GB"/>
        </w:rPr>
        <w:t>N</w:t>
      </w:r>
      <w:r w:rsidR="00782877" w:rsidRPr="000621D4">
        <w:rPr>
          <w:rFonts w:cs="Arial"/>
          <w:color w:val="000000" w:themeColor="text1"/>
          <w:szCs w:val="22"/>
          <w:lang w:val="en-GB"/>
        </w:rPr>
        <w:t xml:space="preserve">o long-term contracts </w:t>
      </w:r>
      <w:r>
        <w:rPr>
          <w:rFonts w:cs="Arial"/>
          <w:color w:val="000000" w:themeColor="text1"/>
          <w:szCs w:val="22"/>
          <w:lang w:val="en-GB"/>
        </w:rPr>
        <w:t xml:space="preserve">exist </w:t>
      </w:r>
      <w:r w:rsidR="00782877" w:rsidRPr="000621D4">
        <w:rPr>
          <w:rFonts w:cs="Arial"/>
          <w:color w:val="000000" w:themeColor="text1"/>
          <w:szCs w:val="22"/>
          <w:lang w:val="en-GB"/>
        </w:rPr>
        <w:t>in either side of the border regarding flow direction Portugal</w:t>
      </w:r>
      <w:r w:rsidR="006F0226">
        <w:rPr>
          <w:rFonts w:cs="Arial"/>
          <w:color w:val="000000" w:themeColor="text1"/>
          <w:szCs w:val="22"/>
          <w:lang w:val="en-GB"/>
        </w:rPr>
        <w:t xml:space="preserve"> </w:t>
      </w:r>
      <w:r w:rsidR="00782877" w:rsidRPr="000621D4">
        <w:rPr>
          <w:rFonts w:cs="Arial"/>
          <w:color w:val="000000" w:themeColor="text1"/>
          <w:szCs w:val="22"/>
          <w:lang w:val="en-GB"/>
        </w:rPr>
        <w:t>to</w:t>
      </w:r>
      <w:r w:rsidR="006F0226">
        <w:rPr>
          <w:rFonts w:cs="Arial"/>
          <w:color w:val="000000" w:themeColor="text1"/>
          <w:szCs w:val="22"/>
          <w:lang w:val="en-GB"/>
        </w:rPr>
        <w:t xml:space="preserve"> </w:t>
      </w:r>
      <w:r w:rsidR="00782877" w:rsidRPr="000621D4">
        <w:rPr>
          <w:rFonts w:cs="Arial"/>
          <w:color w:val="000000" w:themeColor="text1"/>
          <w:szCs w:val="22"/>
          <w:lang w:val="en-GB"/>
        </w:rPr>
        <w:t>Spain (see table 10). Hence, only bundled capacity is presented. Gas years 2016</w:t>
      </w:r>
      <w:r w:rsidR="00F0554A">
        <w:rPr>
          <w:rFonts w:cs="Arial"/>
          <w:color w:val="000000" w:themeColor="text1"/>
          <w:szCs w:val="22"/>
          <w:lang w:val="en-GB"/>
        </w:rPr>
        <w:t>-</w:t>
      </w:r>
      <w:r w:rsidR="00782877" w:rsidRPr="000621D4">
        <w:rPr>
          <w:rFonts w:cs="Arial"/>
          <w:color w:val="000000" w:themeColor="text1"/>
          <w:szCs w:val="22"/>
          <w:lang w:val="en-GB"/>
        </w:rPr>
        <w:t>2017, and 2017</w:t>
      </w:r>
      <w:r w:rsidR="00F0554A">
        <w:rPr>
          <w:rFonts w:cs="Arial"/>
          <w:color w:val="000000" w:themeColor="text1"/>
          <w:szCs w:val="22"/>
          <w:lang w:val="en-GB"/>
        </w:rPr>
        <w:t>-</w:t>
      </w:r>
      <w:r w:rsidR="00782877" w:rsidRPr="000621D4">
        <w:rPr>
          <w:rFonts w:cs="Arial"/>
          <w:color w:val="000000" w:themeColor="text1"/>
          <w:szCs w:val="22"/>
          <w:lang w:val="en-GB"/>
        </w:rPr>
        <w:t xml:space="preserve">2018 are in line with the historic usage </w:t>
      </w:r>
      <w:r w:rsidR="00673883">
        <w:rPr>
          <w:rFonts w:cs="Arial"/>
          <w:color w:val="000000" w:themeColor="text1"/>
          <w:szCs w:val="22"/>
          <w:lang w:val="en-GB"/>
        </w:rPr>
        <w:t>in</w:t>
      </w:r>
      <w:r w:rsidR="00673883" w:rsidRPr="000621D4">
        <w:rPr>
          <w:rFonts w:cs="Arial"/>
          <w:color w:val="000000" w:themeColor="text1"/>
          <w:szCs w:val="22"/>
          <w:lang w:val="en-GB"/>
        </w:rPr>
        <w:t xml:space="preserve"> </w:t>
      </w:r>
      <w:r w:rsidR="00782877" w:rsidRPr="000621D4">
        <w:rPr>
          <w:rFonts w:cs="Arial"/>
          <w:color w:val="000000" w:themeColor="text1"/>
          <w:szCs w:val="22"/>
          <w:lang w:val="en-GB"/>
        </w:rPr>
        <w:t xml:space="preserve">this direction, with low to no bookings at all. However, in gas year </w:t>
      </w:r>
      <w:r w:rsidR="00F0554A">
        <w:rPr>
          <w:rFonts w:cs="Arial"/>
          <w:color w:val="000000" w:themeColor="text1"/>
          <w:szCs w:val="22"/>
          <w:lang w:val="en-GB"/>
        </w:rPr>
        <w:t>2018-2019</w:t>
      </w:r>
      <w:r w:rsidR="00782877" w:rsidRPr="000621D4">
        <w:rPr>
          <w:rFonts w:cs="Arial"/>
          <w:color w:val="000000" w:themeColor="text1"/>
          <w:szCs w:val="22"/>
          <w:lang w:val="en-GB"/>
        </w:rPr>
        <w:t xml:space="preserve"> bookings for capacity in the direction Portugal to Spain saw a significant increase. It should be highlighted </w:t>
      </w:r>
      <w:r w:rsidR="00F0554A">
        <w:rPr>
          <w:rFonts w:cs="Arial"/>
          <w:color w:val="000000" w:themeColor="text1"/>
          <w:szCs w:val="22"/>
          <w:lang w:val="en-GB"/>
        </w:rPr>
        <w:t xml:space="preserve">the </w:t>
      </w:r>
      <w:r w:rsidR="00782877" w:rsidRPr="000621D4">
        <w:rPr>
          <w:rFonts w:cs="Arial"/>
          <w:color w:val="000000" w:themeColor="text1"/>
          <w:szCs w:val="22"/>
          <w:lang w:val="en-GB"/>
        </w:rPr>
        <w:t>30</w:t>
      </w:r>
      <w:r w:rsidR="00782877" w:rsidRPr="000621D4">
        <w:rPr>
          <w:rFonts w:cs="Arial"/>
          <w:color w:val="000000" w:themeColor="text1"/>
          <w:szCs w:val="22"/>
          <w:vertAlign w:val="superscript"/>
          <w:lang w:val="en-GB"/>
        </w:rPr>
        <w:t>th</w:t>
      </w:r>
      <w:r w:rsidR="00782877" w:rsidRPr="000621D4">
        <w:rPr>
          <w:rFonts w:cs="Arial"/>
          <w:color w:val="000000" w:themeColor="text1"/>
          <w:szCs w:val="22"/>
          <w:lang w:val="en-GB"/>
        </w:rPr>
        <w:t xml:space="preserve"> October 2018, when for the first time it was witness</w:t>
      </w:r>
      <w:r w:rsidR="0022754B">
        <w:rPr>
          <w:rFonts w:cs="Arial"/>
          <w:color w:val="000000" w:themeColor="text1"/>
          <w:szCs w:val="22"/>
          <w:lang w:val="en-GB"/>
        </w:rPr>
        <w:t>ed</w:t>
      </w:r>
      <w:r w:rsidR="00782877" w:rsidRPr="000621D4">
        <w:rPr>
          <w:rFonts w:cs="Arial"/>
          <w:color w:val="000000" w:themeColor="text1"/>
          <w:szCs w:val="22"/>
          <w:lang w:val="en-GB"/>
        </w:rPr>
        <w:t xml:space="preserve"> the inversion of booked flows through the interconnection. Then, bookings reached 40 GWh/d, </w:t>
      </w:r>
      <w:r w:rsidR="0022754B">
        <w:rPr>
          <w:rFonts w:cs="Arial"/>
          <w:color w:val="000000" w:themeColor="text1"/>
          <w:szCs w:val="22"/>
          <w:lang w:val="en-GB"/>
        </w:rPr>
        <w:t>or</w:t>
      </w:r>
      <w:r w:rsidR="00782877" w:rsidRPr="000621D4">
        <w:rPr>
          <w:rFonts w:cs="Arial"/>
          <w:color w:val="000000" w:themeColor="text1"/>
          <w:szCs w:val="22"/>
          <w:lang w:val="en-GB"/>
        </w:rPr>
        <w:t xml:space="preserve"> 50% of the technical capacity, establishing a new trend that would evolve to a sustain</w:t>
      </w:r>
      <w:r w:rsidR="0022754B">
        <w:rPr>
          <w:rFonts w:cs="Arial"/>
          <w:color w:val="000000" w:themeColor="text1"/>
          <w:szCs w:val="22"/>
          <w:lang w:val="en-GB"/>
        </w:rPr>
        <w:t>ed</w:t>
      </w:r>
      <w:r w:rsidR="00782877" w:rsidRPr="000621D4">
        <w:rPr>
          <w:rFonts w:cs="Arial"/>
          <w:color w:val="000000" w:themeColor="text1"/>
          <w:szCs w:val="22"/>
          <w:lang w:val="en-GB"/>
        </w:rPr>
        <w:t xml:space="preserve"> increase</w:t>
      </w:r>
      <w:r w:rsidR="0022754B">
        <w:rPr>
          <w:rFonts w:cs="Arial"/>
          <w:color w:val="000000" w:themeColor="text1"/>
          <w:szCs w:val="22"/>
          <w:lang w:val="en-GB"/>
        </w:rPr>
        <w:t>d</w:t>
      </w:r>
      <w:r w:rsidR="00782877" w:rsidRPr="000621D4">
        <w:rPr>
          <w:rFonts w:cs="Arial"/>
          <w:color w:val="000000" w:themeColor="text1"/>
          <w:szCs w:val="22"/>
          <w:lang w:val="en-GB"/>
        </w:rPr>
        <w:t xml:space="preserve"> use of the interconnection in this direction, mainly from the beginning of 2019 onwards. </w:t>
      </w:r>
      <w:r w:rsidR="00782877" w:rsidRPr="00130C2F">
        <w:rPr>
          <w:color w:val="000000" w:themeColor="text1"/>
          <w:lang w:val="en-GB"/>
        </w:rPr>
        <w:t>As explained previously</w:t>
      </w:r>
      <w:r w:rsidR="00673883">
        <w:rPr>
          <w:rFonts w:cs="Arial"/>
          <w:color w:val="000000" w:themeColor="text1"/>
          <w:szCs w:val="22"/>
          <w:lang w:val="en-GB"/>
        </w:rPr>
        <w:t xml:space="preserve"> (see 2.1.2.1)</w:t>
      </w:r>
      <w:r w:rsidR="00782877" w:rsidRPr="000621D4">
        <w:rPr>
          <w:rFonts w:cs="Arial"/>
          <w:color w:val="000000" w:themeColor="text1"/>
          <w:szCs w:val="22"/>
          <w:lang w:val="en-GB"/>
        </w:rPr>
        <w:t xml:space="preserve">, it </w:t>
      </w:r>
      <w:r w:rsidR="0022754B">
        <w:rPr>
          <w:rFonts w:cs="Arial"/>
          <w:color w:val="000000" w:themeColor="text1"/>
          <w:szCs w:val="22"/>
          <w:lang w:val="en-GB"/>
        </w:rPr>
        <w:t xml:space="preserve">became </w:t>
      </w:r>
      <w:r w:rsidR="00782877" w:rsidRPr="000621D4">
        <w:rPr>
          <w:rFonts w:cs="Arial"/>
          <w:color w:val="000000" w:themeColor="text1"/>
          <w:szCs w:val="22"/>
          <w:lang w:val="en-GB"/>
        </w:rPr>
        <w:t xml:space="preserve">more profitable </w:t>
      </w:r>
      <w:r w:rsidR="0022754B">
        <w:rPr>
          <w:rFonts w:cs="Arial"/>
          <w:color w:val="000000" w:themeColor="text1"/>
          <w:szCs w:val="22"/>
          <w:lang w:val="en-GB"/>
        </w:rPr>
        <w:t xml:space="preserve">for </w:t>
      </w:r>
      <w:r w:rsidR="00782877" w:rsidRPr="000621D4">
        <w:rPr>
          <w:rFonts w:cs="Arial"/>
          <w:color w:val="000000" w:themeColor="text1"/>
          <w:szCs w:val="22"/>
          <w:lang w:val="en-GB"/>
        </w:rPr>
        <w:t xml:space="preserve">some network users to supply gas to some of its clients in Spain through Portugal, using the interconnection. </w:t>
      </w:r>
    </w:p>
    <w:p w14:paraId="35F4FE66" w14:textId="77777777" w:rsidR="00782877" w:rsidRPr="000621D4" w:rsidRDefault="00782877" w:rsidP="00782877">
      <w:pPr>
        <w:keepNext/>
      </w:pPr>
      <w:r w:rsidRPr="000621D4">
        <w:rPr>
          <w:rFonts w:cs="Arial"/>
          <w:b/>
          <w:noProof/>
          <w:color w:val="000000" w:themeColor="text1"/>
          <w:szCs w:val="22"/>
          <w:lang w:val="es-ES" w:eastAsia="es-ES"/>
        </w:rPr>
        <w:drawing>
          <wp:inline distT="0" distB="0" distL="0" distR="0" wp14:anchorId="6A13103D" wp14:editId="7862D8A3">
            <wp:extent cx="5681980" cy="23653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1980" cy="2365375"/>
                    </a:xfrm>
                    <a:prstGeom prst="rect">
                      <a:avLst/>
                    </a:prstGeom>
                    <a:noFill/>
                  </pic:spPr>
                </pic:pic>
              </a:graphicData>
            </a:graphic>
          </wp:inline>
        </w:drawing>
      </w:r>
    </w:p>
    <w:p w14:paraId="4F56DC21" w14:textId="56245A25" w:rsidR="00782877" w:rsidRPr="00782877" w:rsidRDefault="00782877" w:rsidP="00782877">
      <w:pPr>
        <w:pStyle w:val="Descripcin"/>
        <w:jc w:val="center"/>
        <w:rPr>
          <w:sz w:val="16"/>
          <w:lang w:val="en-US"/>
        </w:rPr>
      </w:pPr>
      <w:r w:rsidRPr="000621D4">
        <w:rPr>
          <w:sz w:val="16"/>
          <w:lang w:val="en-US"/>
        </w:rPr>
        <w:t xml:space="preserve">Figure </w:t>
      </w:r>
      <w:r w:rsidRPr="000621D4">
        <w:rPr>
          <w:sz w:val="16"/>
          <w:lang w:val="en-US"/>
        </w:rPr>
        <w:fldChar w:fldCharType="begin"/>
      </w:r>
      <w:r w:rsidRPr="000621D4">
        <w:rPr>
          <w:sz w:val="16"/>
          <w:lang w:val="en-US"/>
        </w:rPr>
        <w:instrText xml:space="preserve"> SEQ Figure \* ARABIC </w:instrText>
      </w:r>
      <w:r w:rsidRPr="000621D4">
        <w:rPr>
          <w:sz w:val="16"/>
          <w:lang w:val="en-US"/>
        </w:rPr>
        <w:fldChar w:fldCharType="separate"/>
      </w:r>
      <w:r w:rsidR="00E859C7">
        <w:rPr>
          <w:noProof/>
          <w:sz w:val="16"/>
          <w:lang w:val="en-US"/>
        </w:rPr>
        <w:t>18</w:t>
      </w:r>
      <w:r w:rsidRPr="000621D4">
        <w:rPr>
          <w:sz w:val="16"/>
          <w:lang w:val="en-US"/>
        </w:rPr>
        <w:fldChar w:fldCharType="end"/>
      </w:r>
      <w:r w:rsidRPr="000621D4">
        <w:rPr>
          <w:sz w:val="16"/>
          <w:lang w:val="en-US"/>
        </w:rPr>
        <w:t>: Capacity bookings VIP Ibérico – Portugal to Spain direction (Portuguese side)</w:t>
      </w:r>
    </w:p>
    <w:p w14:paraId="0A7177CD" w14:textId="2FBFF131" w:rsidR="00866E0E" w:rsidRDefault="000341DC" w:rsidP="00A91FE8">
      <w:pPr>
        <w:spacing w:line="312" w:lineRule="auto"/>
        <w:rPr>
          <w:rFonts w:cs="Arial"/>
          <w:b/>
          <w:color w:val="000000" w:themeColor="text1"/>
          <w:szCs w:val="22"/>
          <w:u w:val="single"/>
          <w:lang w:val="en-GB"/>
        </w:rPr>
      </w:pPr>
      <w:r>
        <w:rPr>
          <w:rFonts w:cs="Arial"/>
          <w:b/>
          <w:color w:val="000000" w:themeColor="text1"/>
          <w:szCs w:val="22"/>
          <w:u w:val="single"/>
          <w:lang w:val="en-GB"/>
        </w:rPr>
        <w:t>Spanish side</w:t>
      </w:r>
    </w:p>
    <w:p w14:paraId="6B9D54AE" w14:textId="6EB50E33" w:rsidR="00E85075" w:rsidRPr="00E740A2" w:rsidRDefault="00E85075" w:rsidP="00A91FE8">
      <w:pPr>
        <w:spacing w:line="312" w:lineRule="auto"/>
        <w:rPr>
          <w:rFonts w:cs="Arial"/>
          <w:color w:val="000000" w:themeColor="text1"/>
          <w:szCs w:val="22"/>
          <w:lang w:val="en-GB"/>
        </w:rPr>
      </w:pPr>
      <w:r w:rsidRPr="00E740A2">
        <w:rPr>
          <w:rFonts w:cs="Arial"/>
          <w:color w:val="000000" w:themeColor="text1"/>
          <w:szCs w:val="22"/>
          <w:lang w:val="en-GB"/>
        </w:rPr>
        <w:t xml:space="preserve">As it was stated in the abovementioned table, there </w:t>
      </w:r>
      <w:r w:rsidR="0031027B">
        <w:rPr>
          <w:rFonts w:cs="Arial"/>
          <w:color w:val="000000" w:themeColor="text1"/>
          <w:szCs w:val="22"/>
          <w:lang w:val="en-GB"/>
        </w:rPr>
        <w:t>are</w:t>
      </w:r>
      <w:r>
        <w:rPr>
          <w:rFonts w:cs="Arial"/>
          <w:color w:val="000000" w:themeColor="text1"/>
          <w:szCs w:val="22"/>
          <w:lang w:val="en-GB"/>
        </w:rPr>
        <w:t xml:space="preserve"> not LT contracts in the Portugal to Spain flow direction in the Spanish side of the VIP </w:t>
      </w:r>
      <w:r w:rsidR="00E740A2">
        <w:rPr>
          <w:rFonts w:cs="Arial"/>
          <w:color w:val="000000" w:themeColor="text1"/>
          <w:szCs w:val="22"/>
          <w:lang w:val="en-GB"/>
        </w:rPr>
        <w:t>Ibérico</w:t>
      </w:r>
      <w:r>
        <w:rPr>
          <w:rFonts w:cs="Arial"/>
          <w:color w:val="000000" w:themeColor="text1"/>
          <w:szCs w:val="22"/>
          <w:lang w:val="en-GB"/>
        </w:rPr>
        <w:t>. For this reason, the only capacity present on this side is bundled capacity. The next figure shows the evolution of the different types of capacities through the studied period</w:t>
      </w:r>
      <w:r w:rsidR="0031027B">
        <w:rPr>
          <w:rFonts w:cs="Arial"/>
          <w:color w:val="000000" w:themeColor="text1"/>
          <w:szCs w:val="22"/>
          <w:lang w:val="en-GB"/>
        </w:rPr>
        <w:t>.</w:t>
      </w:r>
    </w:p>
    <w:p w14:paraId="0D09AB6F" w14:textId="77777777" w:rsidR="006C22A1" w:rsidRDefault="00FB62A6" w:rsidP="00E740A2">
      <w:pPr>
        <w:keepNext/>
      </w:pPr>
      <w:r>
        <w:rPr>
          <w:rFonts w:cs="Arial"/>
          <w:noProof/>
          <w:color w:val="000000" w:themeColor="text1"/>
          <w:szCs w:val="22"/>
          <w:lang w:val="es-ES" w:eastAsia="es-ES"/>
        </w:rPr>
        <w:drawing>
          <wp:inline distT="0" distB="0" distL="0" distR="0" wp14:anchorId="48513FE3" wp14:editId="700CB28A">
            <wp:extent cx="5601615" cy="2014211"/>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1028" cy="2024787"/>
                    </a:xfrm>
                    <a:prstGeom prst="rect">
                      <a:avLst/>
                    </a:prstGeom>
                    <a:noFill/>
                  </pic:spPr>
                </pic:pic>
              </a:graphicData>
            </a:graphic>
          </wp:inline>
        </w:drawing>
      </w:r>
    </w:p>
    <w:p w14:paraId="1770CA01" w14:textId="4BA3310E" w:rsidR="00FB62A6" w:rsidRPr="00E740A2" w:rsidRDefault="006C22A1" w:rsidP="00E740A2">
      <w:pPr>
        <w:pStyle w:val="Descripcin"/>
        <w:jc w:val="center"/>
        <w:rPr>
          <w:rFonts w:cs="Arial"/>
          <w:color w:val="000000" w:themeColor="text1"/>
          <w:sz w:val="16"/>
          <w:szCs w:val="22"/>
          <w:lang w:val="en-GB"/>
        </w:rPr>
      </w:pPr>
      <w:r w:rsidRPr="00E740A2">
        <w:rPr>
          <w:sz w:val="16"/>
          <w:lang w:val="en-US"/>
        </w:rPr>
        <w:t xml:space="preserve">Figure </w:t>
      </w:r>
      <w:r w:rsidRPr="00E740A2">
        <w:rPr>
          <w:sz w:val="16"/>
        </w:rPr>
        <w:fldChar w:fldCharType="begin"/>
      </w:r>
      <w:r w:rsidRPr="00E740A2">
        <w:rPr>
          <w:sz w:val="16"/>
          <w:lang w:val="en-US"/>
        </w:rPr>
        <w:instrText xml:space="preserve"> SEQ Figure \* ARABIC </w:instrText>
      </w:r>
      <w:r w:rsidRPr="00E740A2">
        <w:rPr>
          <w:sz w:val="16"/>
        </w:rPr>
        <w:fldChar w:fldCharType="separate"/>
      </w:r>
      <w:r w:rsidR="00E859C7">
        <w:rPr>
          <w:noProof/>
          <w:sz w:val="16"/>
          <w:lang w:val="en-US"/>
        </w:rPr>
        <w:t>19</w:t>
      </w:r>
      <w:r w:rsidRPr="00E740A2">
        <w:rPr>
          <w:sz w:val="16"/>
        </w:rPr>
        <w:fldChar w:fldCharType="end"/>
      </w:r>
      <w:r w:rsidRPr="00E740A2">
        <w:rPr>
          <w:sz w:val="16"/>
          <w:lang w:val="en-US"/>
        </w:rPr>
        <w:t xml:space="preserve">. Capacity bookings VIP </w:t>
      </w:r>
      <w:r w:rsidR="00E740A2" w:rsidRPr="00E740A2">
        <w:rPr>
          <w:sz w:val="16"/>
          <w:lang w:val="en-US"/>
        </w:rPr>
        <w:t>Ib</w:t>
      </w:r>
      <w:r w:rsidR="00E740A2">
        <w:rPr>
          <w:sz w:val="16"/>
          <w:lang w:val="en-US"/>
        </w:rPr>
        <w:t>é</w:t>
      </w:r>
      <w:r w:rsidR="00E740A2" w:rsidRPr="00E740A2">
        <w:rPr>
          <w:sz w:val="16"/>
          <w:lang w:val="en-US"/>
        </w:rPr>
        <w:t xml:space="preserve">rico </w:t>
      </w:r>
      <w:r w:rsidRPr="00E740A2">
        <w:rPr>
          <w:sz w:val="16"/>
          <w:lang w:val="en-US"/>
        </w:rPr>
        <w:t>– Portugal to Spain direction (Spanish side)</w:t>
      </w:r>
    </w:p>
    <w:p w14:paraId="2288455A" w14:textId="77777777" w:rsidR="00842778" w:rsidRDefault="00172409" w:rsidP="00E740A2">
      <w:pPr>
        <w:spacing w:line="312" w:lineRule="auto"/>
        <w:rPr>
          <w:rFonts w:cs="Arial"/>
          <w:color w:val="000000" w:themeColor="text1"/>
          <w:szCs w:val="22"/>
          <w:lang w:val="en-GB"/>
        </w:rPr>
      </w:pPr>
      <w:r>
        <w:rPr>
          <w:rFonts w:cs="Arial"/>
          <w:color w:val="000000" w:themeColor="text1"/>
          <w:szCs w:val="22"/>
          <w:lang w:val="en-GB"/>
        </w:rPr>
        <w:t>It should be particularly noted the increase in the 2018 gas year bookings</w:t>
      </w:r>
      <w:r w:rsidR="00842778">
        <w:rPr>
          <w:rFonts w:cs="Arial"/>
          <w:color w:val="000000" w:themeColor="text1"/>
          <w:szCs w:val="22"/>
          <w:lang w:val="en-GB"/>
        </w:rPr>
        <w:t>.</w:t>
      </w:r>
      <w:r>
        <w:rPr>
          <w:rFonts w:cs="Arial"/>
          <w:color w:val="000000" w:themeColor="text1"/>
          <w:szCs w:val="22"/>
          <w:lang w:val="en-GB"/>
        </w:rPr>
        <w:t xml:space="preserve"> </w:t>
      </w:r>
    </w:p>
    <w:p w14:paraId="7F2249A1" w14:textId="6723E2B9" w:rsidR="00842778" w:rsidRPr="003F545A" w:rsidRDefault="00842778" w:rsidP="00E740A2">
      <w:pPr>
        <w:spacing w:line="312" w:lineRule="auto"/>
        <w:rPr>
          <w:rFonts w:cs="Arial"/>
          <w:color w:val="000000" w:themeColor="text1"/>
          <w:szCs w:val="22"/>
          <w:lang w:val="en-GB"/>
        </w:rPr>
      </w:pPr>
      <w:r w:rsidRPr="003F545A">
        <w:rPr>
          <w:rFonts w:cs="Arial"/>
          <w:color w:val="000000" w:themeColor="text1"/>
          <w:szCs w:val="22"/>
          <w:lang w:val="en-GB"/>
        </w:rPr>
        <w:t>Historically</w:t>
      </w:r>
      <w:r w:rsidR="0022754B">
        <w:rPr>
          <w:rFonts w:cs="Arial"/>
          <w:color w:val="000000" w:themeColor="text1"/>
          <w:szCs w:val="22"/>
          <w:lang w:val="en-GB"/>
        </w:rPr>
        <w:t>,</w:t>
      </w:r>
      <w:r w:rsidRPr="003F545A">
        <w:rPr>
          <w:rFonts w:cs="Arial"/>
          <w:color w:val="000000" w:themeColor="text1"/>
          <w:szCs w:val="22"/>
          <w:lang w:val="en-GB"/>
        </w:rPr>
        <w:t xml:space="preserve"> the VIP Ib</w:t>
      </w:r>
      <w:r>
        <w:rPr>
          <w:rFonts w:cs="Arial"/>
          <w:color w:val="000000" w:themeColor="text1"/>
          <w:szCs w:val="22"/>
          <w:lang w:val="en-GB"/>
        </w:rPr>
        <w:t>é</w:t>
      </w:r>
      <w:r w:rsidRPr="003F545A">
        <w:rPr>
          <w:rFonts w:cs="Arial"/>
          <w:color w:val="000000" w:themeColor="text1"/>
          <w:szCs w:val="22"/>
          <w:lang w:val="en-GB"/>
        </w:rPr>
        <w:t xml:space="preserve">rico has behaved in a similar way </w:t>
      </w:r>
      <w:r>
        <w:rPr>
          <w:rFonts w:cs="Arial"/>
          <w:color w:val="000000" w:themeColor="text1"/>
          <w:szCs w:val="22"/>
          <w:lang w:val="en-GB"/>
        </w:rPr>
        <w:t>to 2016 and 2017 (there were hardly any bookings</w:t>
      </w:r>
      <w:r w:rsidR="009E5096">
        <w:rPr>
          <w:rFonts w:cs="Arial"/>
          <w:color w:val="000000" w:themeColor="text1"/>
          <w:szCs w:val="22"/>
          <w:lang w:val="en-GB"/>
        </w:rPr>
        <w:t xml:space="preserve"> in the Portugal to Spain flow</w:t>
      </w:r>
      <w:r>
        <w:rPr>
          <w:rFonts w:cs="Arial"/>
          <w:color w:val="000000" w:themeColor="text1"/>
          <w:szCs w:val="22"/>
          <w:lang w:val="en-GB"/>
        </w:rPr>
        <w:t>). However, during the gas year 2018,</w:t>
      </w:r>
      <w:r w:rsidRPr="003F545A">
        <w:rPr>
          <w:rFonts w:cs="Arial"/>
          <w:color w:val="000000" w:themeColor="text1"/>
          <w:szCs w:val="22"/>
          <w:lang w:val="en-GB"/>
        </w:rPr>
        <w:t xml:space="preserve"> the bookings in the Portugal to Spain flow </w:t>
      </w:r>
      <w:r>
        <w:rPr>
          <w:rFonts w:cs="Arial"/>
          <w:color w:val="000000" w:themeColor="text1"/>
          <w:szCs w:val="22"/>
          <w:lang w:val="en-GB"/>
        </w:rPr>
        <w:t>experimented a significant increase</w:t>
      </w:r>
      <w:r w:rsidRPr="003F545A">
        <w:rPr>
          <w:rFonts w:cs="Arial"/>
          <w:color w:val="000000" w:themeColor="text1"/>
          <w:szCs w:val="22"/>
          <w:lang w:val="en-GB"/>
        </w:rPr>
        <w:t xml:space="preserve">. The reason is the decrease </w:t>
      </w:r>
      <w:r w:rsidR="0036329F">
        <w:rPr>
          <w:rFonts w:cs="Arial"/>
          <w:color w:val="000000" w:themeColor="text1"/>
          <w:szCs w:val="22"/>
          <w:lang w:val="en-GB"/>
        </w:rPr>
        <w:t xml:space="preserve">of </w:t>
      </w:r>
      <w:r>
        <w:rPr>
          <w:rFonts w:cs="Arial"/>
          <w:color w:val="000000" w:themeColor="text1"/>
          <w:szCs w:val="22"/>
          <w:lang w:val="en-GB"/>
        </w:rPr>
        <w:t>the</w:t>
      </w:r>
      <w:r w:rsidRPr="003F545A">
        <w:rPr>
          <w:rFonts w:cs="Arial"/>
          <w:color w:val="000000" w:themeColor="text1"/>
          <w:szCs w:val="22"/>
          <w:lang w:val="en-GB"/>
        </w:rPr>
        <w:t xml:space="preserve"> tariff</w:t>
      </w:r>
      <w:r>
        <w:rPr>
          <w:rFonts w:cs="Arial"/>
          <w:color w:val="000000" w:themeColor="text1"/>
          <w:szCs w:val="22"/>
          <w:lang w:val="en-GB"/>
        </w:rPr>
        <w:t>s</w:t>
      </w:r>
      <w:r w:rsidRPr="003F545A">
        <w:rPr>
          <w:rFonts w:cs="Arial"/>
          <w:color w:val="000000" w:themeColor="text1"/>
          <w:szCs w:val="22"/>
          <w:lang w:val="en-GB"/>
        </w:rPr>
        <w:t xml:space="preserve"> </w:t>
      </w:r>
      <w:r w:rsidR="0036329F">
        <w:rPr>
          <w:rFonts w:cs="Arial"/>
          <w:color w:val="000000" w:themeColor="text1"/>
          <w:szCs w:val="22"/>
          <w:lang w:val="en-GB"/>
        </w:rPr>
        <w:t>in</w:t>
      </w:r>
      <w:r w:rsidR="0036329F" w:rsidRPr="003F545A">
        <w:rPr>
          <w:rFonts w:cs="Arial"/>
          <w:color w:val="000000" w:themeColor="text1"/>
          <w:szCs w:val="22"/>
          <w:lang w:val="en-GB"/>
        </w:rPr>
        <w:t xml:space="preserve"> </w:t>
      </w:r>
      <w:r w:rsidRPr="003F545A">
        <w:rPr>
          <w:rFonts w:cs="Arial"/>
          <w:color w:val="000000" w:themeColor="text1"/>
          <w:szCs w:val="22"/>
          <w:lang w:val="en-GB"/>
        </w:rPr>
        <w:t>S</w:t>
      </w:r>
      <w:r>
        <w:rPr>
          <w:rFonts w:cs="Arial"/>
          <w:color w:val="000000" w:themeColor="text1"/>
          <w:szCs w:val="22"/>
          <w:lang w:val="en-GB"/>
        </w:rPr>
        <w:t xml:space="preserve">ines LNG </w:t>
      </w:r>
      <w:r w:rsidR="009E5096">
        <w:rPr>
          <w:rFonts w:cs="Arial"/>
          <w:color w:val="000000" w:themeColor="text1"/>
          <w:szCs w:val="22"/>
          <w:lang w:val="en-GB"/>
        </w:rPr>
        <w:t>terminal</w:t>
      </w:r>
      <w:r>
        <w:rPr>
          <w:rFonts w:cs="Arial"/>
          <w:color w:val="000000" w:themeColor="text1"/>
          <w:szCs w:val="22"/>
          <w:lang w:val="en-GB"/>
        </w:rPr>
        <w:t xml:space="preserve"> that made more </w:t>
      </w:r>
      <w:r w:rsidR="009E5096">
        <w:rPr>
          <w:rFonts w:cs="Arial"/>
          <w:color w:val="000000" w:themeColor="text1"/>
          <w:szCs w:val="22"/>
          <w:lang w:val="en-GB"/>
        </w:rPr>
        <w:t>profitable</w:t>
      </w:r>
      <w:r>
        <w:rPr>
          <w:rFonts w:cs="Arial"/>
          <w:color w:val="000000" w:themeColor="text1"/>
          <w:szCs w:val="22"/>
          <w:lang w:val="en-GB"/>
        </w:rPr>
        <w:t xml:space="preserve"> to supply both</w:t>
      </w:r>
      <w:r w:rsidR="009E5096">
        <w:rPr>
          <w:rFonts w:cs="Arial"/>
          <w:color w:val="000000" w:themeColor="text1"/>
          <w:szCs w:val="22"/>
          <w:lang w:val="en-GB"/>
        </w:rPr>
        <w:t>,</w:t>
      </w:r>
      <w:r>
        <w:rPr>
          <w:rFonts w:cs="Arial"/>
          <w:color w:val="000000" w:themeColor="text1"/>
          <w:szCs w:val="22"/>
          <w:lang w:val="en-GB"/>
        </w:rPr>
        <w:t xml:space="preserve"> Portuguese and Spanish</w:t>
      </w:r>
      <w:r w:rsidR="009E5096">
        <w:rPr>
          <w:rFonts w:cs="Arial"/>
          <w:color w:val="000000" w:themeColor="text1"/>
          <w:szCs w:val="22"/>
          <w:lang w:val="en-GB"/>
        </w:rPr>
        <w:t xml:space="preserve"> Power plants, from Portugal than from Spain. This combined with an exit tariff from the Portuguese network of 0 €/MWh, provoked </w:t>
      </w:r>
      <w:r w:rsidR="004E6A74">
        <w:rPr>
          <w:rFonts w:cs="Arial"/>
          <w:color w:val="000000" w:themeColor="text1"/>
          <w:szCs w:val="22"/>
          <w:lang w:val="en-GB"/>
        </w:rPr>
        <w:t xml:space="preserve">the </w:t>
      </w:r>
      <w:r w:rsidR="00B31561">
        <w:rPr>
          <w:rFonts w:cs="Arial"/>
          <w:color w:val="000000" w:themeColor="text1"/>
          <w:szCs w:val="22"/>
          <w:lang w:val="en-GB"/>
        </w:rPr>
        <w:t>in</w:t>
      </w:r>
      <w:r w:rsidR="004E6A74">
        <w:rPr>
          <w:rFonts w:cs="Arial"/>
          <w:color w:val="000000" w:themeColor="text1"/>
          <w:szCs w:val="22"/>
          <w:lang w:val="en-GB"/>
        </w:rPr>
        <w:t xml:space="preserve">version of </w:t>
      </w:r>
      <w:r w:rsidR="009E5096">
        <w:rPr>
          <w:rFonts w:cs="Arial"/>
          <w:color w:val="000000" w:themeColor="text1"/>
          <w:szCs w:val="22"/>
          <w:lang w:val="en-GB"/>
        </w:rPr>
        <w:t>flow</w:t>
      </w:r>
      <w:r w:rsidR="004E6A74">
        <w:rPr>
          <w:rFonts w:cs="Arial"/>
          <w:color w:val="000000" w:themeColor="text1"/>
          <w:szCs w:val="22"/>
          <w:lang w:val="en-GB"/>
        </w:rPr>
        <w:t>s</w:t>
      </w:r>
      <w:r w:rsidR="009E5096">
        <w:rPr>
          <w:rFonts w:cs="Arial"/>
          <w:color w:val="000000" w:themeColor="text1"/>
          <w:szCs w:val="22"/>
          <w:lang w:val="en-GB"/>
        </w:rPr>
        <w:t xml:space="preserve"> (from Portugal to Spain).</w:t>
      </w:r>
    </w:p>
    <w:p w14:paraId="2A43A7EB" w14:textId="7E5DECBF" w:rsidR="0020133A" w:rsidRPr="00523B08" w:rsidRDefault="00842778" w:rsidP="00E740A2">
      <w:pPr>
        <w:spacing w:line="312" w:lineRule="auto"/>
        <w:rPr>
          <w:rFonts w:cs="Arial"/>
          <w:color w:val="000000" w:themeColor="text1"/>
          <w:szCs w:val="22"/>
          <w:lang w:val="en-GB"/>
        </w:rPr>
      </w:pPr>
      <w:r w:rsidRPr="003F545A">
        <w:rPr>
          <w:rFonts w:cs="Arial"/>
          <w:color w:val="000000" w:themeColor="text1"/>
          <w:szCs w:val="22"/>
          <w:lang w:val="en-GB"/>
        </w:rPr>
        <w:t>During the period analysed capacity has been booked only in short term basis</w:t>
      </w:r>
      <w:r w:rsidR="000B1567">
        <w:rPr>
          <w:rFonts w:cs="Arial"/>
          <w:color w:val="000000" w:themeColor="text1"/>
          <w:szCs w:val="22"/>
          <w:lang w:val="en-GB"/>
        </w:rPr>
        <w:t>, daily contracts in 2016 and 2017</w:t>
      </w:r>
      <w:r w:rsidR="006C22A1">
        <w:rPr>
          <w:rFonts w:cs="Arial"/>
          <w:color w:val="000000" w:themeColor="text1"/>
          <w:szCs w:val="22"/>
          <w:lang w:val="en-GB"/>
        </w:rPr>
        <w:t xml:space="preserve"> </w:t>
      </w:r>
      <w:r w:rsidR="004E6A74">
        <w:rPr>
          <w:rFonts w:cs="Arial"/>
          <w:color w:val="000000" w:themeColor="text1"/>
          <w:szCs w:val="22"/>
          <w:lang w:val="en-GB"/>
        </w:rPr>
        <w:t>and</w:t>
      </w:r>
      <w:r w:rsidR="000B1567">
        <w:rPr>
          <w:rFonts w:cs="Arial"/>
          <w:color w:val="000000" w:themeColor="text1"/>
          <w:szCs w:val="22"/>
          <w:lang w:val="en-GB"/>
        </w:rPr>
        <w:t xml:space="preserve"> daily and monthly contracts in the gas year 2018</w:t>
      </w:r>
      <w:r w:rsidRPr="003F545A">
        <w:rPr>
          <w:rFonts w:cs="Arial"/>
          <w:color w:val="000000" w:themeColor="text1"/>
          <w:szCs w:val="22"/>
          <w:lang w:val="en-GB"/>
        </w:rPr>
        <w:t>, especially during winter.</w:t>
      </w:r>
      <w:r w:rsidR="0020133A">
        <w:rPr>
          <w:rFonts w:cs="Arial"/>
          <w:color w:val="000000" w:themeColor="text1"/>
          <w:szCs w:val="22"/>
          <w:lang w:val="en-GB"/>
        </w:rPr>
        <w:t xml:space="preserve"> </w:t>
      </w:r>
      <w:r w:rsidR="0020133A" w:rsidRPr="00523B08">
        <w:rPr>
          <w:rFonts w:cs="Arial"/>
          <w:color w:val="000000" w:themeColor="text1"/>
          <w:szCs w:val="22"/>
          <w:lang w:val="en-GB"/>
        </w:rPr>
        <w:t>There were not any day</w:t>
      </w:r>
      <w:r w:rsidR="00523B08" w:rsidRPr="00E740A2">
        <w:rPr>
          <w:rFonts w:cs="Arial"/>
          <w:color w:val="000000" w:themeColor="text1"/>
          <w:szCs w:val="22"/>
          <w:lang w:val="en-GB"/>
        </w:rPr>
        <w:t>s</w:t>
      </w:r>
      <w:r w:rsidR="0020133A" w:rsidRPr="00523B08">
        <w:rPr>
          <w:rFonts w:cs="Arial"/>
          <w:color w:val="000000" w:themeColor="text1"/>
          <w:szCs w:val="22"/>
          <w:lang w:val="en-GB"/>
        </w:rPr>
        <w:t xml:space="preserve"> </w:t>
      </w:r>
      <w:r w:rsidR="003217ED">
        <w:rPr>
          <w:rFonts w:cs="Arial"/>
          <w:color w:val="000000" w:themeColor="text1"/>
          <w:szCs w:val="22"/>
          <w:lang w:val="en-GB"/>
        </w:rPr>
        <w:t>on</w:t>
      </w:r>
      <w:r w:rsidR="00523B08" w:rsidRPr="00E740A2">
        <w:rPr>
          <w:rFonts w:cs="Arial"/>
          <w:color w:val="000000" w:themeColor="text1"/>
          <w:szCs w:val="22"/>
          <w:lang w:val="en-GB"/>
        </w:rPr>
        <w:t xml:space="preserve"> the studied period in</w:t>
      </w:r>
      <w:r w:rsidR="0020133A" w:rsidRPr="00523B08">
        <w:rPr>
          <w:rFonts w:cs="Arial"/>
          <w:color w:val="000000" w:themeColor="text1"/>
          <w:szCs w:val="22"/>
          <w:lang w:val="en-GB"/>
        </w:rPr>
        <w:t xml:space="preserve"> which booked capacity exceeded 90% of the technical capacity.</w:t>
      </w:r>
    </w:p>
    <w:p w14:paraId="30994A2F" w14:textId="0CA159E3" w:rsidR="00842778" w:rsidRDefault="00842778" w:rsidP="00E740A2">
      <w:pPr>
        <w:spacing w:line="312" w:lineRule="auto"/>
        <w:rPr>
          <w:rFonts w:cs="Arial"/>
          <w:color w:val="000000" w:themeColor="text1"/>
          <w:szCs w:val="22"/>
          <w:lang w:val="en-GB"/>
        </w:rPr>
      </w:pPr>
      <w:r w:rsidRPr="000341DC">
        <w:rPr>
          <w:rFonts w:cs="Arial"/>
          <w:color w:val="000000" w:themeColor="text1"/>
          <w:szCs w:val="22"/>
          <w:lang w:val="en-GB"/>
        </w:rPr>
        <w:t>During the last quarter of 2019, the level of utilization have decreased due to the high level of LNG stock</w:t>
      </w:r>
      <w:r w:rsidR="007E36D8">
        <w:rPr>
          <w:rFonts w:cs="Arial"/>
          <w:color w:val="000000" w:themeColor="text1"/>
          <w:szCs w:val="22"/>
          <w:lang w:val="en-GB"/>
        </w:rPr>
        <w:t>s</w:t>
      </w:r>
      <w:r w:rsidRPr="000341DC">
        <w:rPr>
          <w:rFonts w:cs="Arial"/>
          <w:color w:val="000000" w:themeColor="text1"/>
          <w:szCs w:val="22"/>
          <w:lang w:val="en-GB"/>
        </w:rPr>
        <w:t xml:space="preserve"> all around Europe, and the “</w:t>
      </w:r>
      <w:r w:rsidRPr="000341DC">
        <w:rPr>
          <w:rFonts w:cs="Arial"/>
          <w:i/>
          <w:color w:val="000000" w:themeColor="text1"/>
          <w:szCs w:val="22"/>
          <w:lang w:val="en-GB"/>
        </w:rPr>
        <w:t>Contango Effect</w:t>
      </w:r>
      <w:r w:rsidRPr="000341DC">
        <w:rPr>
          <w:rFonts w:cs="Arial"/>
          <w:color w:val="000000" w:themeColor="text1"/>
          <w:szCs w:val="22"/>
          <w:lang w:val="en-GB"/>
        </w:rPr>
        <w:t>” (</w:t>
      </w:r>
      <w:r w:rsidRPr="000341DC">
        <w:rPr>
          <w:color w:val="000000" w:themeColor="text1"/>
          <w:szCs w:val="22"/>
          <w:lang w:val="en-GB"/>
        </w:rPr>
        <w:t>future</w:t>
      </w:r>
      <w:r w:rsidRPr="000341DC">
        <w:rPr>
          <w:rFonts w:cs="Arial"/>
          <w:color w:val="000000" w:themeColor="text1"/>
          <w:szCs w:val="22"/>
          <w:lang w:val="en-GB"/>
        </w:rPr>
        <w:t> prices of gas are higher than the spot price</w:t>
      </w:r>
      <w:r w:rsidRPr="00EF3CFD">
        <w:rPr>
          <w:rFonts w:cs="Arial"/>
          <w:color w:val="000000" w:themeColor="text1"/>
          <w:szCs w:val="22"/>
          <w:lang w:val="en-GB"/>
        </w:rPr>
        <w:t>).</w:t>
      </w:r>
    </w:p>
    <w:p w14:paraId="7A3A1CE9" w14:textId="1F43F36B" w:rsidR="00172409" w:rsidRDefault="000B1567" w:rsidP="00E740A2">
      <w:pPr>
        <w:spacing w:line="312" w:lineRule="auto"/>
        <w:rPr>
          <w:rFonts w:cs="Arial"/>
          <w:color w:val="000000" w:themeColor="text1"/>
          <w:szCs w:val="22"/>
          <w:lang w:val="en-GB"/>
        </w:rPr>
      </w:pPr>
      <w:r>
        <w:rPr>
          <w:rFonts w:cs="Arial"/>
          <w:color w:val="000000" w:themeColor="text1"/>
          <w:szCs w:val="22"/>
          <w:lang w:val="en-GB"/>
        </w:rPr>
        <w:t>B</w:t>
      </w:r>
      <w:r w:rsidR="00172409">
        <w:rPr>
          <w:rFonts w:cs="Arial"/>
          <w:color w:val="000000" w:themeColor="text1"/>
          <w:szCs w:val="22"/>
          <w:lang w:val="en-GB"/>
        </w:rPr>
        <w:t>ooked capacity</w:t>
      </w:r>
      <w:r>
        <w:rPr>
          <w:rFonts w:cs="Arial"/>
          <w:color w:val="000000" w:themeColor="text1"/>
          <w:szCs w:val="22"/>
          <w:lang w:val="en-GB"/>
        </w:rPr>
        <w:t xml:space="preserve"> has never</w:t>
      </w:r>
      <w:r w:rsidR="00172409" w:rsidRPr="000714B4">
        <w:rPr>
          <w:rFonts w:cs="Arial"/>
          <w:color w:val="000000" w:themeColor="text1"/>
          <w:szCs w:val="22"/>
          <w:lang w:val="en-GB"/>
        </w:rPr>
        <w:t xml:space="preserve"> exceeded the technical capacity</w:t>
      </w:r>
      <w:r>
        <w:rPr>
          <w:rFonts w:cs="Arial"/>
          <w:color w:val="000000" w:themeColor="text1"/>
          <w:szCs w:val="22"/>
          <w:lang w:val="en-GB"/>
        </w:rPr>
        <w:t>.</w:t>
      </w:r>
    </w:p>
    <w:p w14:paraId="42000D9E" w14:textId="6C3CCA7B" w:rsidR="00172409" w:rsidRDefault="00172409" w:rsidP="00E740A2">
      <w:pPr>
        <w:spacing w:line="312" w:lineRule="auto"/>
        <w:rPr>
          <w:rFonts w:cs="Arial"/>
          <w:color w:val="000000" w:themeColor="text1"/>
          <w:szCs w:val="22"/>
          <w:lang w:val="en-GB"/>
        </w:rPr>
      </w:pPr>
      <w:r w:rsidRPr="00C538E1">
        <w:rPr>
          <w:rFonts w:cs="Arial"/>
          <w:color w:val="000000" w:themeColor="text1"/>
          <w:szCs w:val="22"/>
          <w:lang w:val="en-GB"/>
        </w:rPr>
        <w:t xml:space="preserve">On </w:t>
      </w:r>
      <w:r w:rsidR="000B1567">
        <w:rPr>
          <w:rFonts w:cs="Arial"/>
          <w:color w:val="000000" w:themeColor="text1"/>
          <w:szCs w:val="22"/>
          <w:lang w:val="en-GB"/>
        </w:rPr>
        <w:t>18</w:t>
      </w:r>
      <w:r w:rsidR="005A24DE" w:rsidRPr="00E740A2">
        <w:rPr>
          <w:rFonts w:cs="Arial"/>
          <w:color w:val="000000" w:themeColor="text1"/>
          <w:szCs w:val="22"/>
          <w:vertAlign w:val="superscript"/>
          <w:lang w:val="en-GB"/>
        </w:rPr>
        <w:t>th</w:t>
      </w:r>
      <w:r w:rsidR="005A24DE">
        <w:rPr>
          <w:rFonts w:cs="Arial"/>
          <w:color w:val="000000" w:themeColor="text1"/>
          <w:szCs w:val="22"/>
          <w:lang w:val="en-GB"/>
        </w:rPr>
        <w:t xml:space="preserve"> April</w:t>
      </w:r>
      <w:r>
        <w:rPr>
          <w:rFonts w:cs="Arial"/>
          <w:color w:val="000000" w:themeColor="text1"/>
          <w:szCs w:val="22"/>
          <w:lang w:val="en-GB"/>
        </w:rPr>
        <w:t xml:space="preserve"> 2019</w:t>
      </w:r>
      <w:r w:rsidRPr="00C538E1">
        <w:rPr>
          <w:rFonts w:cs="Arial"/>
          <w:color w:val="000000" w:themeColor="text1"/>
          <w:szCs w:val="22"/>
          <w:lang w:val="en-GB"/>
        </w:rPr>
        <w:t xml:space="preserve"> the </w:t>
      </w:r>
      <w:r>
        <w:rPr>
          <w:rFonts w:cs="Arial"/>
          <w:color w:val="000000" w:themeColor="text1"/>
          <w:szCs w:val="22"/>
          <w:lang w:val="en-GB"/>
        </w:rPr>
        <w:t xml:space="preserve">capacity bookings in </w:t>
      </w:r>
      <w:r w:rsidR="000B1567">
        <w:rPr>
          <w:rFonts w:cs="Arial"/>
          <w:color w:val="000000" w:themeColor="text1"/>
          <w:szCs w:val="22"/>
          <w:lang w:val="en-GB"/>
        </w:rPr>
        <w:t>Portugal to Spain</w:t>
      </w:r>
      <w:r>
        <w:rPr>
          <w:rFonts w:cs="Arial"/>
          <w:color w:val="000000" w:themeColor="text1"/>
          <w:szCs w:val="22"/>
          <w:lang w:val="en-GB"/>
        </w:rPr>
        <w:t xml:space="preserve"> direction </w:t>
      </w:r>
      <w:r w:rsidRPr="00C538E1">
        <w:rPr>
          <w:rFonts w:cs="Arial"/>
          <w:color w:val="000000" w:themeColor="text1"/>
          <w:szCs w:val="22"/>
          <w:lang w:val="en-GB"/>
        </w:rPr>
        <w:t xml:space="preserve">reached </w:t>
      </w:r>
      <w:r w:rsidR="000B1567">
        <w:rPr>
          <w:rFonts w:cs="Arial"/>
          <w:color w:val="000000" w:themeColor="text1"/>
          <w:szCs w:val="22"/>
          <w:lang w:val="en-GB"/>
        </w:rPr>
        <w:t>50 GWh</w:t>
      </w:r>
      <w:r>
        <w:rPr>
          <w:rFonts w:cs="Arial"/>
          <w:color w:val="000000" w:themeColor="text1"/>
          <w:szCs w:val="22"/>
          <w:lang w:val="en-GB"/>
        </w:rPr>
        <w:t>/</w:t>
      </w:r>
      <w:r w:rsidRPr="00C538E1">
        <w:rPr>
          <w:rFonts w:cs="Arial"/>
          <w:color w:val="000000" w:themeColor="text1"/>
          <w:szCs w:val="22"/>
          <w:lang w:val="en-GB"/>
        </w:rPr>
        <w:t>d</w:t>
      </w:r>
      <w:r w:rsidR="000B1567">
        <w:rPr>
          <w:rFonts w:cs="Arial"/>
          <w:color w:val="000000" w:themeColor="text1"/>
          <w:szCs w:val="22"/>
          <w:lang w:val="en-GB"/>
        </w:rPr>
        <w:t>, around 62% of the technical capacity</w:t>
      </w:r>
      <w:r>
        <w:rPr>
          <w:rFonts w:cs="Arial"/>
          <w:color w:val="000000" w:themeColor="text1"/>
          <w:szCs w:val="22"/>
          <w:lang w:val="en-GB"/>
        </w:rPr>
        <w:t>.</w:t>
      </w:r>
    </w:p>
    <w:p w14:paraId="6FD10FDC" w14:textId="35C6B1B1" w:rsidR="00FE16C9" w:rsidRPr="001F74A6" w:rsidRDefault="00FE16C9" w:rsidP="00B40D2A">
      <w:pPr>
        <w:pStyle w:val="Ttulo3"/>
        <w:spacing w:line="360" w:lineRule="auto"/>
        <w:jc w:val="left"/>
        <w:rPr>
          <w:lang w:val="en-US"/>
        </w:rPr>
      </w:pPr>
      <w:r w:rsidRPr="001F74A6">
        <w:rPr>
          <w:lang w:val="en-US"/>
        </w:rPr>
        <w:t>N</w:t>
      </w:r>
      <w:r>
        <w:rPr>
          <w:lang w:val="en-US"/>
        </w:rPr>
        <w:t>orth-South link</w:t>
      </w:r>
    </w:p>
    <w:p w14:paraId="18919CDE" w14:textId="13200A3A" w:rsidR="00FE16C9" w:rsidRPr="00B40D2A" w:rsidRDefault="00FE16C9" w:rsidP="00E740A2">
      <w:pPr>
        <w:spacing w:line="312" w:lineRule="auto"/>
        <w:rPr>
          <w:lang w:val="en-GB"/>
        </w:rPr>
      </w:pPr>
      <w:r w:rsidRPr="00B40D2A">
        <w:rPr>
          <w:rFonts w:cs="Arial"/>
          <w:color w:val="000000" w:themeColor="text1"/>
          <w:szCs w:val="22"/>
          <w:lang w:val="en-GB"/>
        </w:rPr>
        <w:t>The capacity has always been offered as a bundled product since it is the same TSO on both side of the IP.</w:t>
      </w:r>
      <w:r w:rsidR="00BF14A3" w:rsidRPr="00B40D2A">
        <w:rPr>
          <w:rFonts w:cs="Arial"/>
          <w:color w:val="000000" w:themeColor="text1"/>
          <w:szCs w:val="22"/>
          <w:lang w:val="en-GB"/>
        </w:rPr>
        <w:t xml:space="preserve"> </w:t>
      </w:r>
      <w:r w:rsidRPr="00B40D2A">
        <w:rPr>
          <w:lang w:val="en-GB"/>
        </w:rPr>
        <w:t xml:space="preserve">The IP </w:t>
      </w:r>
      <w:r w:rsidR="00014570" w:rsidRPr="00B40D2A">
        <w:rPr>
          <w:lang w:val="en-GB"/>
        </w:rPr>
        <w:t>wa</w:t>
      </w:r>
      <w:r w:rsidRPr="00B40D2A">
        <w:rPr>
          <w:lang w:val="en-GB"/>
        </w:rPr>
        <w:t>s only booked and used to ship gas from PEG Nord to TRS.</w:t>
      </w:r>
    </w:p>
    <w:p w14:paraId="7F23129E" w14:textId="19B7FF3A" w:rsidR="00BC0FB7" w:rsidRPr="00ED40A4" w:rsidRDefault="00BC0FB7" w:rsidP="00BC0FB7">
      <w:pPr>
        <w:pStyle w:val="Ttulo2"/>
        <w:rPr>
          <w:lang w:val="en-US"/>
        </w:rPr>
      </w:pPr>
      <w:bookmarkStart w:id="184" w:name="_Toc49770594"/>
      <w:r w:rsidRPr="00ED40A4">
        <w:rPr>
          <w:lang w:val="en-US"/>
        </w:rPr>
        <w:t>Allocated</w:t>
      </w:r>
      <w:r w:rsidR="0031027B">
        <w:rPr>
          <w:lang w:val="en-US"/>
        </w:rPr>
        <w:t xml:space="preserve"> firm</w:t>
      </w:r>
      <w:r w:rsidRPr="00ED40A4">
        <w:rPr>
          <w:lang w:val="en-US"/>
        </w:rPr>
        <w:t xml:space="preserve"> capacity in different time horizons (auctions)</w:t>
      </w:r>
      <w:bookmarkEnd w:id="184"/>
      <w:r w:rsidRPr="00ED40A4">
        <w:rPr>
          <w:lang w:val="en-US"/>
        </w:rPr>
        <w:t xml:space="preserve"> </w:t>
      </w:r>
    </w:p>
    <w:p w14:paraId="3ECBC67A" w14:textId="5F83BE1B" w:rsidR="00FE16C9" w:rsidRDefault="00FE16C9" w:rsidP="00A91FE8">
      <w:pPr>
        <w:spacing w:line="312" w:lineRule="auto"/>
        <w:rPr>
          <w:lang w:val="en-GB"/>
        </w:rPr>
      </w:pPr>
      <w:r>
        <w:rPr>
          <w:lang w:val="en-GB"/>
        </w:rPr>
        <w:t xml:space="preserve">The purpose of this section is to distinguish the origin of the </w:t>
      </w:r>
      <w:r w:rsidR="0031027B">
        <w:rPr>
          <w:lang w:val="en-GB"/>
        </w:rPr>
        <w:t xml:space="preserve">firm </w:t>
      </w:r>
      <w:r>
        <w:rPr>
          <w:lang w:val="en-GB"/>
        </w:rPr>
        <w:t xml:space="preserve">booked capacity shown on point </w:t>
      </w:r>
      <w:r w:rsidR="00154FE4" w:rsidRPr="00154FE4">
        <w:rPr>
          <w:i/>
          <w:color w:val="004E55"/>
          <w:lang w:val="en-GB"/>
        </w:rPr>
        <w:fldChar w:fldCharType="begin"/>
      </w:r>
      <w:r w:rsidR="00154FE4" w:rsidRPr="00154FE4">
        <w:rPr>
          <w:i/>
          <w:color w:val="004E55"/>
          <w:lang w:val="en-GB"/>
        </w:rPr>
        <w:instrText xml:space="preserve"> REF _Ref27493528 \r \h  \* MERGEFORMAT </w:instrText>
      </w:r>
      <w:r w:rsidR="00154FE4" w:rsidRPr="00154FE4">
        <w:rPr>
          <w:i/>
          <w:color w:val="004E55"/>
          <w:lang w:val="en-GB"/>
        </w:rPr>
      </w:r>
      <w:r w:rsidR="00154FE4" w:rsidRPr="00154FE4">
        <w:rPr>
          <w:i/>
          <w:color w:val="004E55"/>
          <w:lang w:val="en-GB"/>
        </w:rPr>
        <w:fldChar w:fldCharType="separate"/>
      </w:r>
      <w:r w:rsidR="00E859C7">
        <w:rPr>
          <w:i/>
          <w:color w:val="004E55"/>
          <w:lang w:val="en-GB"/>
        </w:rPr>
        <w:t>2.1</w:t>
      </w:r>
      <w:r w:rsidR="00154FE4" w:rsidRPr="00154FE4">
        <w:rPr>
          <w:i/>
          <w:color w:val="004E55"/>
          <w:lang w:val="en-GB"/>
        </w:rPr>
        <w:fldChar w:fldCharType="end"/>
      </w:r>
      <w:r w:rsidR="00154FE4" w:rsidRPr="00154FE4">
        <w:rPr>
          <w:i/>
          <w:color w:val="004E55"/>
          <w:lang w:val="en-GB"/>
        </w:rPr>
        <w:t xml:space="preserve"> </w:t>
      </w:r>
      <w:r w:rsidR="00154FE4" w:rsidRPr="00154FE4">
        <w:rPr>
          <w:i/>
          <w:color w:val="004E55"/>
          <w:lang w:val="en-GB"/>
        </w:rPr>
        <w:fldChar w:fldCharType="begin"/>
      </w:r>
      <w:r w:rsidR="00154FE4" w:rsidRPr="00154FE4">
        <w:rPr>
          <w:i/>
          <w:color w:val="004E55"/>
          <w:lang w:val="en-GB"/>
        </w:rPr>
        <w:instrText xml:space="preserve"> REF _Ref27493528 \h  \* MERGEFORMAT </w:instrText>
      </w:r>
      <w:r w:rsidR="00154FE4" w:rsidRPr="00154FE4">
        <w:rPr>
          <w:i/>
          <w:color w:val="004E55"/>
          <w:lang w:val="en-GB"/>
        </w:rPr>
      </w:r>
      <w:r w:rsidR="00154FE4" w:rsidRPr="00154FE4">
        <w:rPr>
          <w:i/>
          <w:color w:val="004E55"/>
          <w:lang w:val="en-GB"/>
        </w:rPr>
        <w:fldChar w:fldCharType="separate"/>
      </w:r>
      <w:r w:rsidR="00E859C7" w:rsidRPr="00E859C7">
        <w:rPr>
          <w:i/>
          <w:color w:val="004E55"/>
          <w:lang w:val="en-US"/>
        </w:rPr>
        <w:t>Firm booked capacities (bundled/</w:t>
      </w:r>
      <w:r w:rsidR="00E859C7">
        <w:rPr>
          <w:lang w:val="en-US"/>
        </w:rPr>
        <w:t>unbundled)</w:t>
      </w:r>
      <w:r w:rsidR="00154FE4" w:rsidRPr="00154FE4">
        <w:rPr>
          <w:i/>
          <w:color w:val="004E55"/>
          <w:lang w:val="en-GB"/>
        </w:rPr>
        <w:fldChar w:fldCharType="end"/>
      </w:r>
      <w:r>
        <w:rPr>
          <w:lang w:val="en-GB"/>
        </w:rPr>
        <w:t>. As explained, unbundled capacity</w:t>
      </w:r>
      <w:r w:rsidR="00A37FF2">
        <w:rPr>
          <w:lang w:val="en-GB"/>
        </w:rPr>
        <w:t xml:space="preserve"> comes mostly</w:t>
      </w:r>
      <w:r>
        <w:rPr>
          <w:lang w:val="en-GB"/>
        </w:rPr>
        <w:t xml:space="preserve"> from LT</w:t>
      </w:r>
      <w:r w:rsidR="00F810FD">
        <w:rPr>
          <w:lang w:val="en-GB"/>
        </w:rPr>
        <w:t xml:space="preserve"> </w:t>
      </w:r>
      <w:r>
        <w:rPr>
          <w:lang w:val="en-GB"/>
        </w:rPr>
        <w:t>contracts</w:t>
      </w:r>
      <w:r w:rsidR="00A37FF2">
        <w:rPr>
          <w:lang w:val="en-GB"/>
        </w:rPr>
        <w:t xml:space="preserve"> signed during the Open Seasons</w:t>
      </w:r>
      <w:r>
        <w:rPr>
          <w:lang w:val="en-GB"/>
        </w:rPr>
        <w:t>, while bundled capacity only comes from bundled auctions performed on PRISMA Platform.</w:t>
      </w:r>
    </w:p>
    <w:p w14:paraId="30A223AD" w14:textId="5C20F0BE" w:rsidR="00FE16C9" w:rsidRPr="000D5B4F" w:rsidRDefault="00FE16C9" w:rsidP="00A91FE8">
      <w:pPr>
        <w:spacing w:line="312" w:lineRule="auto"/>
        <w:rPr>
          <w:lang w:val="en-GB"/>
        </w:rPr>
      </w:pPr>
      <w:r>
        <w:rPr>
          <w:lang w:val="en-GB"/>
        </w:rPr>
        <w:t xml:space="preserve">Capacity on PRISMA is offered on a standard basis via the standard products included in Article 9 of the </w:t>
      </w:r>
      <w:r w:rsidRPr="00087C0D">
        <w:rPr>
          <w:lang w:val="en-GB"/>
        </w:rPr>
        <w:t>CAM NC:</w:t>
      </w:r>
      <w:r w:rsidR="00E740A2">
        <w:t xml:space="preserve"> </w:t>
      </w:r>
      <w:r>
        <w:t>Yearly standard capacity products</w:t>
      </w:r>
      <w:r w:rsidR="00E740A2">
        <w:t xml:space="preserve">, </w:t>
      </w:r>
      <w:r>
        <w:t>Quarterly standard capacity products</w:t>
      </w:r>
      <w:r w:rsidR="00E740A2">
        <w:t xml:space="preserve">, </w:t>
      </w:r>
      <w:r>
        <w:t>Monthly standard capacity products</w:t>
      </w:r>
      <w:r w:rsidR="00E740A2">
        <w:t xml:space="preserve">, </w:t>
      </w:r>
      <w:r>
        <w:t>Daily standard capacity products</w:t>
      </w:r>
      <w:r w:rsidR="00E740A2">
        <w:t xml:space="preserve"> and </w:t>
      </w:r>
      <w:r>
        <w:t>Within-day standard capacity products</w:t>
      </w:r>
    </w:p>
    <w:p w14:paraId="4E875368" w14:textId="76C0882E" w:rsidR="00A37FF2" w:rsidRDefault="00A37FF2" w:rsidP="00A91FE8">
      <w:pPr>
        <w:spacing w:line="312" w:lineRule="auto"/>
        <w:rPr>
          <w:lang w:val="en-GB"/>
        </w:rPr>
      </w:pPr>
      <w:r>
        <w:rPr>
          <w:lang w:val="en-GB"/>
        </w:rPr>
        <w:t>Since November 2015, all these products are offered on the PRISMA platform by the TSOs.</w:t>
      </w:r>
    </w:p>
    <w:p w14:paraId="06E70282" w14:textId="533540C6" w:rsidR="008B52AC" w:rsidRDefault="008B52AC" w:rsidP="00A91FE8">
      <w:pPr>
        <w:spacing w:line="312" w:lineRule="auto"/>
        <w:rPr>
          <w:lang w:val="en-GB"/>
        </w:rPr>
      </w:pPr>
      <w:r>
        <w:rPr>
          <w:lang w:val="en-GB"/>
        </w:rPr>
        <w:t>Next figures show, for each VIP and direction, the origin of the</w:t>
      </w:r>
      <w:r w:rsidR="0031027B">
        <w:rPr>
          <w:lang w:val="en-GB"/>
        </w:rPr>
        <w:t xml:space="preserve"> firm</w:t>
      </w:r>
      <w:r>
        <w:rPr>
          <w:lang w:val="en-GB"/>
        </w:rPr>
        <w:t xml:space="preserve"> booked capacity in regard with the time horizon.</w:t>
      </w:r>
      <w:r w:rsidR="005411CA">
        <w:rPr>
          <w:lang w:val="en-GB"/>
        </w:rPr>
        <w:t xml:space="preserve"> As the previous chapter, interruptible capacity is not included in calculations and figures. </w:t>
      </w:r>
    </w:p>
    <w:p w14:paraId="1CEC8690" w14:textId="38F2FDF5" w:rsidR="005260D1" w:rsidRDefault="005260D1" w:rsidP="00A91FE8">
      <w:pPr>
        <w:spacing w:line="312" w:lineRule="auto"/>
        <w:jc w:val="left"/>
        <w:rPr>
          <w:lang w:val="en-GB"/>
        </w:rPr>
      </w:pPr>
      <w:r>
        <w:rPr>
          <w:lang w:val="en-GB"/>
        </w:rPr>
        <w:br w:type="page"/>
      </w:r>
    </w:p>
    <w:p w14:paraId="100BA8B2" w14:textId="77777777" w:rsidR="00BC0FB7" w:rsidRDefault="00BC0FB7" w:rsidP="00BC0FB7">
      <w:pPr>
        <w:pStyle w:val="Ttulo3"/>
        <w:spacing w:line="360" w:lineRule="auto"/>
        <w:jc w:val="left"/>
        <w:rPr>
          <w:lang w:val="en-US"/>
        </w:rPr>
      </w:pPr>
      <w:r w:rsidRPr="00ED40A4">
        <w:rPr>
          <w:lang w:val="en-US"/>
        </w:rPr>
        <w:t>VIP P</w:t>
      </w:r>
      <w:r>
        <w:rPr>
          <w:lang w:val="en-US"/>
        </w:rPr>
        <w:t>irineos</w:t>
      </w:r>
    </w:p>
    <w:p w14:paraId="4465E016" w14:textId="13527A5F" w:rsidR="008B52AC" w:rsidRDefault="008B52AC" w:rsidP="00E740A2">
      <w:pPr>
        <w:pStyle w:val="Ttulo4"/>
        <w:spacing w:line="240" w:lineRule="auto"/>
      </w:pPr>
      <w:r>
        <w:t>North South Flow Direction</w:t>
      </w:r>
    </w:p>
    <w:p w14:paraId="652D66FD" w14:textId="77777777" w:rsidR="008B52AC" w:rsidRPr="00A27A57" w:rsidRDefault="008B52AC" w:rsidP="008B52AC">
      <w:pPr>
        <w:rPr>
          <w:lang w:val="en-GB"/>
        </w:rPr>
      </w:pPr>
      <w:r>
        <w:rPr>
          <w:lang w:val="en-GB"/>
        </w:rPr>
        <w:t>In</w:t>
      </w:r>
      <w:r w:rsidRPr="00503FD6">
        <w:rPr>
          <w:lang w:val="en-GB"/>
        </w:rPr>
        <w:t xml:space="preserve"> this direction</w:t>
      </w:r>
      <w:r>
        <w:rPr>
          <w:lang w:val="en-GB"/>
        </w:rPr>
        <w:t>,</w:t>
      </w:r>
      <w:r w:rsidRPr="00503FD6">
        <w:rPr>
          <w:lang w:val="en-GB"/>
        </w:rPr>
        <w:t xml:space="preserve"> </w:t>
      </w:r>
      <w:r>
        <w:rPr>
          <w:lang w:val="en-GB"/>
        </w:rPr>
        <w:t xml:space="preserve">hereafter </w:t>
      </w:r>
      <w:r w:rsidRPr="00503FD6">
        <w:rPr>
          <w:lang w:val="en-GB"/>
        </w:rPr>
        <w:t xml:space="preserve">is </w:t>
      </w:r>
      <w:r>
        <w:rPr>
          <w:lang w:val="en-GB"/>
        </w:rPr>
        <w:t xml:space="preserve">a </w:t>
      </w:r>
      <w:r w:rsidRPr="00503FD6">
        <w:rPr>
          <w:lang w:val="en-GB"/>
        </w:rPr>
        <w:t xml:space="preserve">representation of </w:t>
      </w:r>
      <w:r>
        <w:rPr>
          <w:lang w:val="en-GB"/>
        </w:rPr>
        <w:t xml:space="preserve">all kinds of products, i.e. LT contracts, Yearly, </w:t>
      </w:r>
      <w:r w:rsidRPr="00A27A57">
        <w:rPr>
          <w:lang w:val="en-GB"/>
        </w:rPr>
        <w:t>Quarterly, Monthly, Daily and Within-Day products.</w:t>
      </w:r>
    </w:p>
    <w:p w14:paraId="2A536CA3" w14:textId="7A6C6B16" w:rsidR="00BC0FB7" w:rsidRPr="00A27A57" w:rsidRDefault="008B52AC" w:rsidP="00BC0FB7">
      <w:pPr>
        <w:rPr>
          <w:b/>
          <w:u w:val="single"/>
          <w:lang w:val="en-US"/>
        </w:rPr>
      </w:pPr>
      <w:r w:rsidRPr="00A27A57">
        <w:rPr>
          <w:b/>
          <w:u w:val="single"/>
          <w:lang w:val="en-US"/>
        </w:rPr>
        <w:t>French side</w:t>
      </w:r>
    </w:p>
    <w:p w14:paraId="36C7197C" w14:textId="6AEFD8B8" w:rsidR="005260D1" w:rsidRPr="00A27A57" w:rsidRDefault="00B82B99" w:rsidP="005260D1">
      <w:pPr>
        <w:jc w:val="center"/>
        <w:rPr>
          <w:rFonts w:ascii="Verdana" w:eastAsia="MS Mincho" w:hAnsi="Verdana" w:cs="Arial"/>
          <w:b/>
          <w:bCs/>
          <w:color w:val="000000"/>
          <w:sz w:val="20"/>
          <w:szCs w:val="22"/>
          <w:lang w:val="en-GB" w:eastAsia="ja-JP"/>
        </w:rPr>
      </w:pPr>
      <w:r w:rsidRPr="00A27A57">
        <w:rPr>
          <w:rFonts w:ascii="Verdana" w:eastAsia="MS Mincho" w:hAnsi="Verdana" w:cs="Arial"/>
          <w:b/>
          <w:bCs/>
          <w:noProof/>
          <w:color w:val="000000"/>
          <w:sz w:val="20"/>
          <w:szCs w:val="22"/>
          <w:lang w:val="es-ES" w:eastAsia="es-ES"/>
        </w:rPr>
        <w:drawing>
          <wp:inline distT="0" distB="0" distL="0" distR="0" wp14:anchorId="2BFB1FFC" wp14:editId="2A87E6EA">
            <wp:extent cx="5608955" cy="310896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955" cy="3108960"/>
                    </a:xfrm>
                    <a:prstGeom prst="rect">
                      <a:avLst/>
                    </a:prstGeom>
                    <a:noFill/>
                  </pic:spPr>
                </pic:pic>
              </a:graphicData>
            </a:graphic>
          </wp:inline>
        </w:drawing>
      </w:r>
    </w:p>
    <w:p w14:paraId="0F296AB7" w14:textId="4E9DCA57" w:rsidR="005260D1" w:rsidRPr="005260D1" w:rsidRDefault="00A27A57" w:rsidP="005260D1">
      <w:pPr>
        <w:jc w:val="center"/>
        <w:rPr>
          <w:rFonts w:ascii="Verdana" w:eastAsia="MS Mincho" w:hAnsi="Verdana"/>
          <w:b/>
          <w:bCs/>
          <w:sz w:val="16"/>
          <w:szCs w:val="20"/>
          <w:lang w:val="en-US" w:eastAsia="ja-JP"/>
        </w:rPr>
      </w:pPr>
      <w:r w:rsidRPr="00A27A57">
        <w:rPr>
          <w:rFonts w:ascii="Verdana" w:hAnsi="Verdana"/>
          <w:b/>
          <w:sz w:val="16"/>
          <w:lang w:val="en-US"/>
        </w:rPr>
        <w:t xml:space="preserve">Figure </w:t>
      </w:r>
      <w:r w:rsidRPr="00A27A57">
        <w:rPr>
          <w:rFonts w:ascii="Verdana" w:hAnsi="Verdana"/>
          <w:b/>
          <w:sz w:val="16"/>
        </w:rPr>
        <w:fldChar w:fldCharType="begin"/>
      </w:r>
      <w:r w:rsidRPr="00A27A57">
        <w:rPr>
          <w:rFonts w:ascii="Verdana" w:hAnsi="Verdana"/>
          <w:b/>
          <w:sz w:val="16"/>
          <w:lang w:val="en-US"/>
        </w:rPr>
        <w:instrText xml:space="preserve"> SEQ Figure \* ARABIC </w:instrText>
      </w:r>
      <w:r w:rsidRPr="00A27A57">
        <w:rPr>
          <w:rFonts w:ascii="Verdana" w:hAnsi="Verdana"/>
          <w:b/>
          <w:sz w:val="16"/>
        </w:rPr>
        <w:fldChar w:fldCharType="separate"/>
      </w:r>
      <w:r w:rsidR="00E859C7">
        <w:rPr>
          <w:rFonts w:ascii="Verdana" w:hAnsi="Verdana"/>
          <w:b/>
          <w:noProof/>
          <w:sz w:val="16"/>
          <w:lang w:val="en-US"/>
        </w:rPr>
        <w:t>20</w:t>
      </w:r>
      <w:r w:rsidRPr="00A27A57">
        <w:rPr>
          <w:rFonts w:ascii="Verdana" w:hAnsi="Verdana"/>
          <w:b/>
          <w:sz w:val="16"/>
        </w:rPr>
        <w:fldChar w:fldCharType="end"/>
      </w:r>
      <w:r w:rsidRPr="00A27A57">
        <w:rPr>
          <w:rFonts w:ascii="Verdana" w:hAnsi="Verdana"/>
          <w:b/>
          <w:sz w:val="16"/>
          <w:lang w:val="en-US"/>
        </w:rPr>
        <w:t xml:space="preserve">: </w:t>
      </w:r>
      <w:r w:rsidR="005260D1" w:rsidRPr="00A27A57">
        <w:rPr>
          <w:rFonts w:ascii="Verdana" w:eastAsia="MS Mincho" w:hAnsi="Verdana"/>
          <w:b/>
          <w:bCs/>
          <w:sz w:val="16"/>
          <w:szCs w:val="20"/>
          <w:lang w:val="en-US" w:eastAsia="ja-JP"/>
        </w:rPr>
        <w:t>Status of booked capacity at VIP Pirineos, France to Spain direction</w:t>
      </w:r>
    </w:p>
    <w:p w14:paraId="42EF9897" w14:textId="77777777" w:rsidR="005260D1" w:rsidRPr="005260D1" w:rsidRDefault="005260D1" w:rsidP="005260D1">
      <w:pPr>
        <w:rPr>
          <w:rFonts w:ascii="Verdana" w:hAnsi="Verdana"/>
          <w:b/>
          <w:sz w:val="16"/>
          <w:lang w:val="en-US"/>
        </w:rPr>
      </w:pPr>
      <w:r w:rsidRPr="005260D1">
        <w:rPr>
          <w:noProof/>
          <w:lang w:val="es-ES" w:eastAsia="es-ES"/>
        </w:rPr>
        <w:drawing>
          <wp:inline distT="0" distB="0" distL="0" distR="0" wp14:anchorId="34043334" wp14:editId="202D2417">
            <wp:extent cx="5670550" cy="660400"/>
            <wp:effectExtent l="0" t="0" r="635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0550" cy="660400"/>
                    </a:xfrm>
                    <a:prstGeom prst="rect">
                      <a:avLst/>
                    </a:prstGeom>
                    <a:noFill/>
                    <a:ln>
                      <a:noFill/>
                    </a:ln>
                  </pic:spPr>
                </pic:pic>
              </a:graphicData>
            </a:graphic>
          </wp:inline>
        </w:drawing>
      </w:r>
    </w:p>
    <w:p w14:paraId="7CBDB5D7" w14:textId="166846CC" w:rsidR="005260D1" w:rsidRPr="005260D1" w:rsidRDefault="00A27A57" w:rsidP="005260D1">
      <w:pPr>
        <w:jc w:val="center"/>
        <w:rPr>
          <w:rFonts w:ascii="Verdana" w:hAnsi="Verdana"/>
          <w:b/>
          <w:sz w:val="16"/>
          <w:lang w:val="en-US"/>
        </w:rPr>
      </w:pPr>
      <w:r w:rsidRPr="00A27A57">
        <w:rPr>
          <w:rFonts w:ascii="Verdana" w:hAnsi="Verdana"/>
          <w:b/>
          <w:sz w:val="16"/>
          <w:lang w:val="en-US"/>
        </w:rPr>
        <w:t xml:space="preserve">Figure </w:t>
      </w:r>
      <w:r w:rsidRPr="00A27A57">
        <w:rPr>
          <w:rFonts w:ascii="Verdana" w:hAnsi="Verdana"/>
          <w:b/>
          <w:sz w:val="16"/>
        </w:rPr>
        <w:fldChar w:fldCharType="begin"/>
      </w:r>
      <w:r w:rsidRPr="00A27A57">
        <w:rPr>
          <w:rFonts w:ascii="Verdana" w:hAnsi="Verdana"/>
          <w:b/>
          <w:sz w:val="16"/>
          <w:lang w:val="en-US"/>
        </w:rPr>
        <w:instrText xml:space="preserve"> SEQ Figure \* ARABIC </w:instrText>
      </w:r>
      <w:r w:rsidRPr="00A27A57">
        <w:rPr>
          <w:rFonts w:ascii="Verdana" w:hAnsi="Verdana"/>
          <w:b/>
          <w:sz w:val="16"/>
        </w:rPr>
        <w:fldChar w:fldCharType="separate"/>
      </w:r>
      <w:r w:rsidR="00E859C7">
        <w:rPr>
          <w:rFonts w:ascii="Verdana" w:hAnsi="Verdana"/>
          <w:b/>
          <w:noProof/>
          <w:sz w:val="16"/>
          <w:lang w:val="en-US"/>
        </w:rPr>
        <w:t>21</w:t>
      </w:r>
      <w:r w:rsidRPr="00A27A57">
        <w:rPr>
          <w:rFonts w:ascii="Verdana" w:hAnsi="Verdana"/>
          <w:b/>
          <w:sz w:val="16"/>
        </w:rPr>
        <w:fldChar w:fldCharType="end"/>
      </w:r>
      <w:r w:rsidRPr="00A27A57">
        <w:rPr>
          <w:rFonts w:ascii="Verdana" w:hAnsi="Verdana"/>
          <w:b/>
          <w:sz w:val="16"/>
          <w:lang w:val="en-US"/>
        </w:rPr>
        <w:t xml:space="preserve">: </w:t>
      </w:r>
      <w:r w:rsidR="005260D1" w:rsidRPr="00A27A57">
        <w:rPr>
          <w:rFonts w:ascii="Verdana" w:hAnsi="Verdana"/>
          <w:b/>
          <w:sz w:val="16"/>
          <w:lang w:val="en-US"/>
        </w:rPr>
        <w:t>Booked capacities</w:t>
      </w:r>
      <w:r w:rsidR="005260D1" w:rsidRPr="005260D1">
        <w:rPr>
          <w:rFonts w:ascii="Verdana" w:hAnsi="Verdana"/>
          <w:b/>
          <w:sz w:val="16"/>
          <w:lang w:val="en-US"/>
        </w:rPr>
        <w:t xml:space="preserve"> / capacity type and products from France to Spain on the French side</w:t>
      </w:r>
    </w:p>
    <w:p w14:paraId="14F5E2E8" w14:textId="77777777" w:rsidR="005260D1" w:rsidRPr="005260D1" w:rsidRDefault="005260D1" w:rsidP="005260D1">
      <w:pPr>
        <w:rPr>
          <w:rFonts w:cs="Arial"/>
          <w:color w:val="000000"/>
          <w:szCs w:val="22"/>
          <w:lang w:val="en-GB"/>
        </w:rPr>
      </w:pPr>
      <w:r w:rsidRPr="005260D1">
        <w:rPr>
          <w:rFonts w:cs="Arial"/>
          <w:color w:val="000000"/>
          <w:szCs w:val="22"/>
          <w:lang w:val="en-GB"/>
        </w:rPr>
        <w:t>Capacity booked via OSP (Open Seasons) is the most important in terms of quantity.</w:t>
      </w:r>
    </w:p>
    <w:p w14:paraId="380EA40A" w14:textId="77777777" w:rsidR="005260D1" w:rsidRPr="005260D1" w:rsidRDefault="005260D1" w:rsidP="005260D1">
      <w:pPr>
        <w:rPr>
          <w:rFonts w:cs="Arial"/>
          <w:color w:val="000000"/>
          <w:szCs w:val="22"/>
          <w:lang w:val="en-GB"/>
        </w:rPr>
      </w:pPr>
      <w:r w:rsidRPr="005260D1">
        <w:rPr>
          <w:rFonts w:cs="Arial"/>
          <w:color w:val="000000"/>
          <w:szCs w:val="22"/>
          <w:lang w:val="en-GB"/>
        </w:rPr>
        <w:t xml:space="preserve">Some points to be noticed over the studied period: </w:t>
      </w:r>
    </w:p>
    <w:p w14:paraId="24B7F198" w14:textId="77777777" w:rsidR="005260D1" w:rsidRPr="005260D1" w:rsidRDefault="005260D1" w:rsidP="005260D1">
      <w:pPr>
        <w:numPr>
          <w:ilvl w:val="0"/>
          <w:numId w:val="32"/>
        </w:numPr>
        <w:rPr>
          <w:rFonts w:cs="Arial"/>
          <w:color w:val="000000"/>
          <w:szCs w:val="22"/>
          <w:lang w:val="en-GB"/>
        </w:rPr>
      </w:pPr>
      <w:r w:rsidRPr="005260D1">
        <w:rPr>
          <w:rFonts w:cs="Arial"/>
          <w:color w:val="000000"/>
          <w:szCs w:val="22"/>
          <w:lang w:val="en-GB"/>
        </w:rPr>
        <w:t>Yearly products are consecutively booked because the capacity volume proposed in line with CAM code is very low: 1,9 GWh/day;</w:t>
      </w:r>
    </w:p>
    <w:p w14:paraId="3FBC2584" w14:textId="77777777" w:rsidR="005260D1" w:rsidRPr="005260D1" w:rsidRDefault="005260D1" w:rsidP="005260D1">
      <w:pPr>
        <w:numPr>
          <w:ilvl w:val="0"/>
          <w:numId w:val="32"/>
        </w:numPr>
        <w:rPr>
          <w:rFonts w:cs="Arial"/>
          <w:color w:val="000000"/>
          <w:szCs w:val="22"/>
          <w:lang w:val="en-GB"/>
        </w:rPr>
      </w:pPr>
      <w:r w:rsidRPr="005260D1">
        <w:rPr>
          <w:rFonts w:cs="Arial"/>
          <w:color w:val="000000"/>
          <w:szCs w:val="22"/>
          <w:lang w:val="en-GB"/>
        </w:rPr>
        <w:t>The Quaterly products were totally marketed for the first 2 quarters of the TRF (trading Region France) anticipating the decrease of the PEG price in France;</w:t>
      </w:r>
    </w:p>
    <w:p w14:paraId="2FF815DE" w14:textId="77777777" w:rsidR="005260D1" w:rsidRPr="005260D1" w:rsidRDefault="005260D1" w:rsidP="005260D1">
      <w:pPr>
        <w:numPr>
          <w:ilvl w:val="1"/>
          <w:numId w:val="32"/>
        </w:numPr>
        <w:rPr>
          <w:rFonts w:cs="Arial"/>
          <w:color w:val="000000"/>
          <w:szCs w:val="22"/>
          <w:lang w:val="en-GB"/>
        </w:rPr>
      </w:pPr>
      <w:r w:rsidRPr="005260D1">
        <w:rPr>
          <w:rFonts w:cs="Arial"/>
          <w:color w:val="000000"/>
          <w:szCs w:val="22"/>
          <w:lang w:val="en-GB"/>
        </w:rPr>
        <w:t>The auction of Q1 2019 (January-March) quarterly capacity product ended after two weeks and 50 auction rounds. The 16.675 GWh/day offered in the direction France to Spain were fully allocated, with a premium of around €52/MWh/day over and above the quarterly tariff of €154/MWh/day. As a result, the interruptible capacity band of 60 GWh/day was commercialized for each gas day of the two quarters</w:t>
      </w:r>
      <w:r w:rsidRPr="005260D1">
        <w:rPr>
          <w:lang w:val="en-AU"/>
        </w:rPr>
        <w:t xml:space="preserve"> and part of this capacity was booked all days from December 27</w:t>
      </w:r>
      <w:r w:rsidRPr="005260D1">
        <w:rPr>
          <w:vertAlign w:val="superscript"/>
          <w:lang w:val="en-AU"/>
        </w:rPr>
        <w:t>th</w:t>
      </w:r>
      <w:r w:rsidRPr="005260D1">
        <w:rPr>
          <w:lang w:val="en-AU"/>
        </w:rPr>
        <w:t xml:space="preserve"> to March 31</w:t>
      </w:r>
      <w:r w:rsidRPr="005260D1">
        <w:rPr>
          <w:vertAlign w:val="superscript"/>
          <w:lang w:val="en-AU"/>
        </w:rPr>
        <w:t>st</w:t>
      </w:r>
      <w:r w:rsidRPr="005260D1">
        <w:rPr>
          <w:rFonts w:cs="Arial"/>
          <w:color w:val="000000"/>
          <w:szCs w:val="22"/>
          <w:lang w:val="en-GB"/>
        </w:rPr>
        <w:t>. It is worth noting that interruptible capacity in France is only offered on day-ahead and within-day basis.</w:t>
      </w:r>
    </w:p>
    <w:p w14:paraId="4B3722C7" w14:textId="77777777" w:rsidR="005260D1" w:rsidRPr="005260D1" w:rsidRDefault="005260D1" w:rsidP="005260D1">
      <w:pPr>
        <w:numPr>
          <w:ilvl w:val="0"/>
          <w:numId w:val="32"/>
        </w:numPr>
        <w:rPr>
          <w:rFonts w:cs="Arial"/>
          <w:color w:val="000000"/>
          <w:szCs w:val="22"/>
          <w:lang w:val="en-GB"/>
        </w:rPr>
      </w:pPr>
      <w:r w:rsidRPr="005260D1">
        <w:rPr>
          <w:rFonts w:cs="Arial"/>
          <w:color w:val="000000"/>
          <w:szCs w:val="22"/>
          <w:lang w:val="en-GB"/>
        </w:rPr>
        <w:t>The Interruptible capacity thru Daily product were booked as an optimization of the total capacity, only when firm capacity was saturated.</w:t>
      </w:r>
    </w:p>
    <w:p w14:paraId="700DD18E" w14:textId="77777777" w:rsidR="005260D1" w:rsidRPr="005260D1" w:rsidRDefault="005260D1" w:rsidP="005260D1">
      <w:pPr>
        <w:numPr>
          <w:ilvl w:val="0"/>
          <w:numId w:val="32"/>
        </w:numPr>
        <w:rPr>
          <w:rFonts w:cs="Arial"/>
          <w:color w:val="000000"/>
          <w:szCs w:val="22"/>
          <w:lang w:val="en-GB"/>
        </w:rPr>
      </w:pPr>
      <w:r w:rsidRPr="005260D1">
        <w:rPr>
          <w:rFonts w:cs="Arial"/>
          <w:color w:val="000000"/>
          <w:szCs w:val="22"/>
          <w:lang w:val="en-GB"/>
        </w:rPr>
        <w:t>The global booking has increased by 8% of the total technical capacity.</w:t>
      </w:r>
    </w:p>
    <w:p w14:paraId="281B947B" w14:textId="77777777" w:rsidR="005260D1" w:rsidRPr="005260D1" w:rsidRDefault="005260D1" w:rsidP="005260D1">
      <w:pPr>
        <w:rPr>
          <w:rFonts w:cs="Arial"/>
          <w:color w:val="000000"/>
          <w:szCs w:val="22"/>
          <w:lang w:val="en-GB"/>
        </w:rPr>
      </w:pPr>
      <w:r w:rsidRPr="005260D1">
        <w:rPr>
          <w:rFonts w:cs="Arial"/>
          <w:color w:val="000000"/>
          <w:szCs w:val="22"/>
          <w:lang w:val="en-GB"/>
        </w:rPr>
        <w:t>Here is the vision focusing on the Firm capacities:</w:t>
      </w:r>
    </w:p>
    <w:p w14:paraId="451BEEC7" w14:textId="77777777" w:rsidR="005260D1" w:rsidRPr="005260D1" w:rsidRDefault="005260D1" w:rsidP="005260D1">
      <w:pPr>
        <w:rPr>
          <w:rFonts w:cs="Arial"/>
          <w:color w:val="000000"/>
          <w:szCs w:val="22"/>
          <w:lang w:val="en-GB"/>
        </w:rPr>
      </w:pPr>
      <w:r w:rsidRPr="005260D1">
        <w:rPr>
          <w:noProof/>
          <w:lang w:val="es-ES" w:eastAsia="es-ES"/>
        </w:rPr>
        <w:drawing>
          <wp:inline distT="0" distB="0" distL="0" distR="0" wp14:anchorId="7ECE43CB" wp14:editId="4A0BC0DA">
            <wp:extent cx="5670550" cy="787400"/>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0" cy="787400"/>
                    </a:xfrm>
                    <a:prstGeom prst="rect">
                      <a:avLst/>
                    </a:prstGeom>
                    <a:noFill/>
                    <a:ln>
                      <a:noFill/>
                    </a:ln>
                  </pic:spPr>
                </pic:pic>
              </a:graphicData>
            </a:graphic>
          </wp:inline>
        </w:drawing>
      </w:r>
    </w:p>
    <w:p w14:paraId="5BA415B1" w14:textId="3970B5C2" w:rsidR="005260D1" w:rsidRPr="005260D1" w:rsidRDefault="00A27A57" w:rsidP="005260D1">
      <w:pPr>
        <w:jc w:val="center"/>
        <w:rPr>
          <w:rFonts w:ascii="Verdana" w:hAnsi="Verdana"/>
          <w:b/>
          <w:sz w:val="16"/>
          <w:lang w:val="en-US"/>
        </w:rPr>
      </w:pPr>
      <w:r w:rsidRPr="00A27A57">
        <w:rPr>
          <w:rFonts w:ascii="Verdana" w:hAnsi="Verdana"/>
          <w:b/>
          <w:sz w:val="16"/>
          <w:lang w:val="en-US"/>
        </w:rPr>
        <w:t xml:space="preserve">Figure </w:t>
      </w:r>
      <w:r w:rsidRPr="00A27A57">
        <w:rPr>
          <w:rFonts w:ascii="Verdana" w:hAnsi="Verdana"/>
          <w:b/>
          <w:sz w:val="16"/>
        </w:rPr>
        <w:fldChar w:fldCharType="begin"/>
      </w:r>
      <w:r w:rsidRPr="00A27A57">
        <w:rPr>
          <w:rFonts w:ascii="Verdana" w:hAnsi="Verdana"/>
          <w:b/>
          <w:sz w:val="16"/>
          <w:lang w:val="en-US"/>
        </w:rPr>
        <w:instrText xml:space="preserve"> SEQ Figure \* ARABIC </w:instrText>
      </w:r>
      <w:r w:rsidRPr="00A27A57">
        <w:rPr>
          <w:rFonts w:ascii="Verdana" w:hAnsi="Verdana"/>
          <w:b/>
          <w:sz w:val="16"/>
        </w:rPr>
        <w:fldChar w:fldCharType="separate"/>
      </w:r>
      <w:r w:rsidR="00E859C7">
        <w:rPr>
          <w:rFonts w:ascii="Verdana" w:hAnsi="Verdana"/>
          <w:b/>
          <w:noProof/>
          <w:sz w:val="16"/>
          <w:lang w:val="en-US"/>
        </w:rPr>
        <w:t>22</w:t>
      </w:r>
      <w:r w:rsidRPr="00A27A57">
        <w:rPr>
          <w:rFonts w:ascii="Verdana" w:hAnsi="Verdana"/>
          <w:b/>
          <w:sz w:val="16"/>
        </w:rPr>
        <w:fldChar w:fldCharType="end"/>
      </w:r>
      <w:r w:rsidRPr="00A27A57">
        <w:rPr>
          <w:rFonts w:ascii="Verdana" w:hAnsi="Verdana"/>
          <w:b/>
          <w:sz w:val="16"/>
          <w:lang w:val="en-US"/>
        </w:rPr>
        <w:t xml:space="preserve">: </w:t>
      </w:r>
      <w:r w:rsidR="005260D1" w:rsidRPr="00A27A57">
        <w:rPr>
          <w:rFonts w:ascii="Verdana" w:hAnsi="Verdana"/>
          <w:b/>
          <w:sz w:val="16"/>
          <w:lang w:val="en-US"/>
        </w:rPr>
        <w:t>Booked capacities</w:t>
      </w:r>
      <w:r w:rsidR="005260D1" w:rsidRPr="005260D1">
        <w:rPr>
          <w:rFonts w:ascii="Verdana" w:hAnsi="Verdana"/>
          <w:b/>
          <w:sz w:val="16"/>
          <w:lang w:val="en-US"/>
        </w:rPr>
        <w:t xml:space="preserve"> / capacity type and products from France to Spain on the French side</w:t>
      </w:r>
    </w:p>
    <w:p w14:paraId="40E1197E" w14:textId="77777777" w:rsidR="005260D1" w:rsidRPr="005260D1" w:rsidRDefault="005260D1" w:rsidP="005260D1">
      <w:pPr>
        <w:rPr>
          <w:rFonts w:cs="Arial"/>
          <w:color w:val="000000"/>
          <w:szCs w:val="22"/>
          <w:lang w:val="en-GB"/>
        </w:rPr>
      </w:pPr>
      <w:r w:rsidRPr="005260D1">
        <w:rPr>
          <w:rFonts w:cs="Arial"/>
          <w:color w:val="000000"/>
          <w:szCs w:val="22"/>
          <w:lang w:val="en-GB"/>
        </w:rPr>
        <w:t>Firm capacity subscription level has increased from 89 to 94% thanks to bundled capacity over the studied period: stable 86% with unbundled capacity associated with an increase of 3 to 8% of bundled capacity.</w:t>
      </w:r>
    </w:p>
    <w:p w14:paraId="210A28F8" w14:textId="6266A04F" w:rsidR="005260D1" w:rsidRDefault="005260D1">
      <w:pPr>
        <w:spacing w:before="0" w:after="0" w:line="240" w:lineRule="auto"/>
        <w:jc w:val="left"/>
        <w:rPr>
          <w:b/>
          <w:u w:val="single"/>
          <w:lang w:val="en-US"/>
        </w:rPr>
      </w:pPr>
      <w:r>
        <w:rPr>
          <w:b/>
          <w:u w:val="single"/>
          <w:lang w:val="en-US"/>
        </w:rPr>
        <w:br w:type="page"/>
      </w:r>
    </w:p>
    <w:p w14:paraId="6490B694" w14:textId="29EADB70" w:rsidR="00BC0FB7" w:rsidRDefault="008B52AC" w:rsidP="00E740A2">
      <w:pPr>
        <w:rPr>
          <w:lang w:val="en-US"/>
        </w:rPr>
      </w:pPr>
      <w:r w:rsidRPr="00B40D2A">
        <w:rPr>
          <w:b/>
          <w:u w:val="single"/>
          <w:lang w:val="en-US" w:eastAsia="ja-JP"/>
        </w:rPr>
        <w:t>Spanish side</w:t>
      </w:r>
    </w:p>
    <w:p w14:paraId="01160234" w14:textId="1AD2A083" w:rsidR="008524E6" w:rsidRDefault="008524E6" w:rsidP="00ED5978">
      <w:pPr>
        <w:keepNext/>
        <w:rPr>
          <w:lang w:val="en-US"/>
        </w:rPr>
      </w:pPr>
      <w:r>
        <w:rPr>
          <w:noProof/>
          <w:lang w:val="es-ES" w:eastAsia="es-ES"/>
        </w:rPr>
        <w:drawing>
          <wp:inline distT="0" distB="0" distL="0" distR="0" wp14:anchorId="7869CA0C" wp14:editId="287C3AFC">
            <wp:extent cx="5578437" cy="2422957"/>
            <wp:effectExtent l="0" t="0" r="381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2594" cy="2429106"/>
                    </a:xfrm>
                    <a:prstGeom prst="rect">
                      <a:avLst/>
                    </a:prstGeom>
                    <a:noFill/>
                  </pic:spPr>
                </pic:pic>
              </a:graphicData>
            </a:graphic>
          </wp:inline>
        </w:drawing>
      </w:r>
    </w:p>
    <w:p w14:paraId="1EB93079" w14:textId="33F9AF6A" w:rsidR="00BC0FB7" w:rsidRDefault="00BC0FB7" w:rsidP="00BC0FB7">
      <w:pPr>
        <w:pStyle w:val="Descripcin"/>
        <w:spacing w:before="240" w:line="360" w:lineRule="auto"/>
        <w:jc w:val="center"/>
        <w:rPr>
          <w:sz w:val="16"/>
          <w:lang w:val="en-US"/>
        </w:rPr>
      </w:pPr>
      <w:r w:rsidRPr="003F545A">
        <w:rPr>
          <w:sz w:val="16"/>
          <w:lang w:val="en-US"/>
        </w:rPr>
        <w:t xml:space="preserve">Figure </w:t>
      </w:r>
      <w:r w:rsidRPr="003F545A">
        <w:rPr>
          <w:sz w:val="16"/>
        </w:rPr>
        <w:fldChar w:fldCharType="begin"/>
      </w:r>
      <w:r w:rsidRPr="003F545A">
        <w:rPr>
          <w:sz w:val="16"/>
          <w:lang w:val="en-US"/>
        </w:rPr>
        <w:instrText xml:space="preserve"> SEQ Figure \* ARABIC </w:instrText>
      </w:r>
      <w:r w:rsidRPr="003F545A">
        <w:rPr>
          <w:sz w:val="16"/>
        </w:rPr>
        <w:fldChar w:fldCharType="separate"/>
      </w:r>
      <w:r w:rsidR="00E859C7">
        <w:rPr>
          <w:noProof/>
          <w:sz w:val="16"/>
          <w:lang w:val="en-US"/>
        </w:rPr>
        <w:t>23</w:t>
      </w:r>
      <w:r w:rsidRPr="003F545A">
        <w:rPr>
          <w:sz w:val="16"/>
        </w:rPr>
        <w:fldChar w:fldCharType="end"/>
      </w:r>
      <w:r w:rsidRPr="003F545A">
        <w:rPr>
          <w:sz w:val="16"/>
          <w:lang w:val="en-US"/>
        </w:rPr>
        <w:t xml:space="preserve">: Status of booked capacity </w:t>
      </w:r>
      <w:r>
        <w:rPr>
          <w:sz w:val="16"/>
          <w:lang w:val="en-US"/>
        </w:rPr>
        <w:t>by product</w:t>
      </w:r>
      <w:r w:rsidRPr="003F545A">
        <w:rPr>
          <w:sz w:val="16"/>
          <w:lang w:val="en-US"/>
        </w:rPr>
        <w:t xml:space="preserve"> at VIP Pirineos, </w:t>
      </w:r>
      <w:r>
        <w:rPr>
          <w:sz w:val="16"/>
          <w:lang w:val="en-US"/>
        </w:rPr>
        <w:t>France to Spain</w:t>
      </w:r>
      <w:r w:rsidRPr="003F545A">
        <w:rPr>
          <w:sz w:val="16"/>
          <w:lang w:val="en-US"/>
        </w:rPr>
        <w:t xml:space="preserve"> direction</w:t>
      </w:r>
    </w:p>
    <w:p w14:paraId="60799995" w14:textId="18C749A9" w:rsidR="008B52AC" w:rsidRDefault="008B52AC" w:rsidP="00E740A2">
      <w:pPr>
        <w:spacing w:line="312" w:lineRule="auto"/>
        <w:rPr>
          <w:lang w:val="en-US" w:eastAsia="ja-JP"/>
        </w:rPr>
      </w:pPr>
      <w:r>
        <w:rPr>
          <w:lang w:val="en-US" w:eastAsia="ja-JP"/>
        </w:rPr>
        <w:t>As it can be seen, LT contracts</w:t>
      </w:r>
      <w:r w:rsidR="000C104F">
        <w:rPr>
          <w:lang w:val="en-US" w:eastAsia="ja-JP"/>
        </w:rPr>
        <w:t xml:space="preserve"> previous to CAM</w:t>
      </w:r>
      <w:r w:rsidR="00EC0B03">
        <w:rPr>
          <w:lang w:val="en-US" w:eastAsia="ja-JP"/>
        </w:rPr>
        <w:t xml:space="preserve"> NC</w:t>
      </w:r>
      <w:r>
        <w:rPr>
          <w:lang w:val="en-US" w:eastAsia="ja-JP"/>
        </w:rPr>
        <w:t xml:space="preserve"> prevail over the rest of the products during t</w:t>
      </w:r>
      <w:r w:rsidR="00AD7CFF">
        <w:rPr>
          <w:lang w:val="en-US" w:eastAsia="ja-JP"/>
        </w:rPr>
        <w:t xml:space="preserve">he whole period, representing </w:t>
      </w:r>
      <w:r w:rsidR="0038493F">
        <w:rPr>
          <w:lang w:val="en-US" w:eastAsia="ja-JP"/>
        </w:rPr>
        <w:t>87</w:t>
      </w:r>
      <w:r>
        <w:rPr>
          <w:lang w:val="en-US" w:eastAsia="ja-JP"/>
        </w:rPr>
        <w:t xml:space="preserve">% of the total </w:t>
      </w:r>
      <w:r w:rsidR="0038493F">
        <w:rPr>
          <w:lang w:val="en-US" w:eastAsia="ja-JP"/>
        </w:rPr>
        <w:t>booked capacity</w:t>
      </w:r>
      <w:r w:rsidR="00B30683">
        <w:rPr>
          <w:lang w:val="en-US" w:eastAsia="ja-JP"/>
        </w:rPr>
        <w:t xml:space="preserve"> in this direction</w:t>
      </w:r>
      <w:r>
        <w:rPr>
          <w:lang w:val="en-US" w:eastAsia="ja-JP"/>
        </w:rPr>
        <w:t xml:space="preserve">. </w:t>
      </w:r>
    </w:p>
    <w:p w14:paraId="3405DFF7" w14:textId="60D6F7F5" w:rsidR="008B52AC" w:rsidRDefault="008B52AC" w:rsidP="00E740A2">
      <w:pPr>
        <w:spacing w:line="312" w:lineRule="auto"/>
        <w:rPr>
          <w:lang w:val="en-US" w:eastAsia="ja-JP"/>
        </w:rPr>
      </w:pPr>
      <w:r>
        <w:rPr>
          <w:lang w:val="en-US" w:eastAsia="ja-JP"/>
        </w:rPr>
        <w:t xml:space="preserve">Furthermore, during the </w:t>
      </w:r>
      <w:r w:rsidR="00AD7CFF">
        <w:rPr>
          <w:lang w:val="en-US" w:eastAsia="ja-JP"/>
        </w:rPr>
        <w:t>last</w:t>
      </w:r>
      <w:r>
        <w:rPr>
          <w:lang w:val="en-US" w:eastAsia="ja-JP"/>
        </w:rPr>
        <w:t xml:space="preserve"> year there was more participation on the Yearly </w:t>
      </w:r>
      <w:r w:rsidR="00AD7CFF">
        <w:rPr>
          <w:lang w:val="en-US" w:eastAsia="ja-JP"/>
        </w:rPr>
        <w:t xml:space="preserve">and Quarterly auctions </w:t>
      </w:r>
      <w:r>
        <w:rPr>
          <w:lang w:val="en-US" w:eastAsia="ja-JP"/>
        </w:rPr>
        <w:t xml:space="preserve">than during the </w:t>
      </w:r>
      <w:r w:rsidR="003A220D">
        <w:rPr>
          <w:lang w:val="en-US" w:eastAsia="ja-JP"/>
        </w:rPr>
        <w:t>first two years.</w:t>
      </w:r>
    </w:p>
    <w:p w14:paraId="606DE3B7" w14:textId="4A575929" w:rsidR="008B52AC" w:rsidRDefault="003A220D" w:rsidP="00E740A2">
      <w:pPr>
        <w:spacing w:line="312" w:lineRule="auto"/>
        <w:rPr>
          <w:lang w:val="en-US" w:eastAsia="ja-JP"/>
        </w:rPr>
      </w:pPr>
      <w:r>
        <w:rPr>
          <w:lang w:val="en-US" w:eastAsia="ja-JP"/>
        </w:rPr>
        <w:t xml:space="preserve">Regarding </w:t>
      </w:r>
      <w:r w:rsidR="009714F6">
        <w:rPr>
          <w:lang w:val="en-US" w:eastAsia="ja-JP"/>
        </w:rPr>
        <w:t>d</w:t>
      </w:r>
      <w:r>
        <w:rPr>
          <w:lang w:val="en-US" w:eastAsia="ja-JP"/>
        </w:rPr>
        <w:t>aily</w:t>
      </w:r>
      <w:r w:rsidR="008B52AC">
        <w:rPr>
          <w:lang w:val="en-US" w:eastAsia="ja-JP"/>
        </w:rPr>
        <w:t xml:space="preserve"> products,</w:t>
      </w:r>
      <w:r>
        <w:rPr>
          <w:lang w:val="en-US" w:eastAsia="ja-JP"/>
        </w:rPr>
        <w:t xml:space="preserve"> it should be noted the increase in the bookings of this type of product in 2018 (</w:t>
      </w:r>
      <w:r w:rsidR="0038493F">
        <w:rPr>
          <w:lang w:val="en-US" w:eastAsia="ja-JP"/>
        </w:rPr>
        <w:t>5.2</w:t>
      </w:r>
      <w:r>
        <w:rPr>
          <w:lang w:val="en-US" w:eastAsia="ja-JP"/>
        </w:rPr>
        <w:t>%</w:t>
      </w:r>
      <w:r w:rsidR="00630647">
        <w:rPr>
          <w:lang w:val="en-US" w:eastAsia="ja-JP"/>
        </w:rPr>
        <w:t xml:space="preserve"> of the </w:t>
      </w:r>
      <w:r w:rsidR="0038493F">
        <w:rPr>
          <w:lang w:val="en-US" w:eastAsia="ja-JP"/>
        </w:rPr>
        <w:t>total booked capacity</w:t>
      </w:r>
      <w:r>
        <w:rPr>
          <w:lang w:val="en-US" w:eastAsia="ja-JP"/>
        </w:rPr>
        <w:t>) compared with the first two years (1</w:t>
      </w:r>
      <w:r w:rsidR="00B40D2A">
        <w:rPr>
          <w:lang w:val="en-US" w:eastAsia="ja-JP"/>
        </w:rPr>
        <w:t>.</w:t>
      </w:r>
      <w:r w:rsidR="0038493F">
        <w:rPr>
          <w:lang w:val="en-US" w:eastAsia="ja-JP"/>
        </w:rPr>
        <w:t>99</w:t>
      </w:r>
      <w:r>
        <w:rPr>
          <w:lang w:val="en-US" w:eastAsia="ja-JP"/>
        </w:rPr>
        <w:t>% and 1</w:t>
      </w:r>
      <w:r w:rsidR="00B40D2A">
        <w:rPr>
          <w:lang w:val="en-US" w:eastAsia="ja-JP"/>
        </w:rPr>
        <w:t>.</w:t>
      </w:r>
      <w:r w:rsidR="0038493F">
        <w:rPr>
          <w:lang w:val="en-US" w:eastAsia="ja-JP"/>
        </w:rPr>
        <w:t>40</w:t>
      </w:r>
      <w:r>
        <w:rPr>
          <w:lang w:val="en-US" w:eastAsia="ja-JP"/>
        </w:rPr>
        <w:t>%</w:t>
      </w:r>
      <w:r w:rsidR="00630647">
        <w:rPr>
          <w:lang w:val="en-US" w:eastAsia="ja-JP"/>
        </w:rPr>
        <w:t xml:space="preserve"> </w:t>
      </w:r>
      <w:r w:rsidR="0038493F">
        <w:rPr>
          <w:lang w:val="en-US" w:eastAsia="ja-JP"/>
        </w:rPr>
        <w:t>of the total booked capacity</w:t>
      </w:r>
      <w:r>
        <w:rPr>
          <w:lang w:val="en-US" w:eastAsia="ja-JP"/>
        </w:rPr>
        <w:t>).</w:t>
      </w:r>
      <w:r w:rsidR="008B52AC">
        <w:rPr>
          <w:lang w:val="en-US" w:eastAsia="ja-JP"/>
        </w:rPr>
        <w:t xml:space="preserve"> </w:t>
      </w:r>
      <w:r>
        <w:rPr>
          <w:lang w:val="en-US" w:eastAsia="ja-JP"/>
        </w:rPr>
        <w:t xml:space="preserve">The same conclusion applies to the within-day product, </w:t>
      </w:r>
      <w:r w:rsidR="0038493F">
        <w:rPr>
          <w:lang w:val="en-US" w:eastAsia="ja-JP"/>
        </w:rPr>
        <w:t>0.68</w:t>
      </w:r>
      <w:r>
        <w:rPr>
          <w:lang w:val="en-US" w:eastAsia="ja-JP"/>
        </w:rPr>
        <w:t xml:space="preserve">% </w:t>
      </w:r>
      <w:r w:rsidR="0038493F">
        <w:rPr>
          <w:lang w:val="en-US" w:eastAsia="ja-JP"/>
        </w:rPr>
        <w:t>of the total booked capacity</w:t>
      </w:r>
      <w:r w:rsidR="0038493F" w:rsidDel="0038493F">
        <w:rPr>
          <w:lang w:val="en-US" w:eastAsia="ja-JP"/>
        </w:rPr>
        <w:t xml:space="preserve"> </w:t>
      </w:r>
      <w:r>
        <w:rPr>
          <w:lang w:val="en-US" w:eastAsia="ja-JP"/>
        </w:rPr>
        <w:t>in 2018 compared with 0</w:t>
      </w:r>
      <w:r w:rsidR="00B40D2A">
        <w:rPr>
          <w:lang w:val="en-US" w:eastAsia="ja-JP"/>
        </w:rPr>
        <w:t>.</w:t>
      </w:r>
      <w:r w:rsidR="0038493F">
        <w:rPr>
          <w:lang w:val="en-US" w:eastAsia="ja-JP"/>
        </w:rPr>
        <w:t>58</w:t>
      </w:r>
      <w:r w:rsidR="00CB09A4">
        <w:rPr>
          <w:lang w:val="en-US" w:eastAsia="ja-JP"/>
        </w:rPr>
        <w:t>%</w:t>
      </w:r>
      <w:r>
        <w:rPr>
          <w:lang w:val="en-US" w:eastAsia="ja-JP"/>
        </w:rPr>
        <w:t xml:space="preserve"> and 0</w:t>
      </w:r>
      <w:r w:rsidR="00B40D2A">
        <w:rPr>
          <w:lang w:val="en-US" w:eastAsia="ja-JP"/>
        </w:rPr>
        <w:t>.</w:t>
      </w:r>
      <w:r w:rsidR="0038493F">
        <w:rPr>
          <w:lang w:val="en-US" w:eastAsia="ja-JP"/>
        </w:rPr>
        <w:t>28</w:t>
      </w:r>
      <w:r w:rsidR="00CB09A4">
        <w:rPr>
          <w:lang w:val="en-US" w:eastAsia="ja-JP"/>
        </w:rPr>
        <w:t>%</w:t>
      </w:r>
      <w:r>
        <w:rPr>
          <w:lang w:val="en-US" w:eastAsia="ja-JP"/>
        </w:rPr>
        <w:t xml:space="preserve"> respectively.</w:t>
      </w:r>
    </w:p>
    <w:p w14:paraId="296108EB" w14:textId="14045BC1" w:rsidR="008B52AC" w:rsidRDefault="008B52AC" w:rsidP="00E740A2">
      <w:pPr>
        <w:spacing w:line="312" w:lineRule="auto"/>
        <w:rPr>
          <w:lang w:val="en-US" w:eastAsia="ja-JP"/>
        </w:rPr>
      </w:pPr>
      <w:r>
        <w:rPr>
          <w:lang w:val="en-US" w:eastAsia="ja-JP"/>
        </w:rPr>
        <w:t xml:space="preserve">The next table shows the percentage that each kind of product represents within the total </w:t>
      </w:r>
      <w:r w:rsidR="00856301">
        <w:rPr>
          <w:lang w:val="en-US" w:eastAsia="ja-JP"/>
        </w:rPr>
        <w:t>booked</w:t>
      </w:r>
      <w:r w:rsidR="00B30683">
        <w:rPr>
          <w:lang w:val="en-US" w:eastAsia="ja-JP"/>
        </w:rPr>
        <w:t xml:space="preserve"> capacity</w:t>
      </w:r>
      <w:r>
        <w:rPr>
          <w:lang w:val="en-US" w:eastAsia="ja-JP"/>
        </w:rPr>
        <w:t xml:space="preserve"> at this interconnection point on the Spanish side.</w:t>
      </w:r>
    </w:p>
    <w:tbl>
      <w:tblPr>
        <w:tblW w:w="10021" w:type="dxa"/>
        <w:jc w:val="center"/>
        <w:tblCellMar>
          <w:left w:w="70" w:type="dxa"/>
          <w:right w:w="70" w:type="dxa"/>
        </w:tblCellMar>
        <w:tblLook w:val="04A0" w:firstRow="1" w:lastRow="0" w:firstColumn="1" w:lastColumn="0" w:noHBand="0" w:noVBand="1"/>
      </w:tblPr>
      <w:tblGrid>
        <w:gridCol w:w="1157"/>
        <w:gridCol w:w="1497"/>
        <w:gridCol w:w="1323"/>
        <w:gridCol w:w="1275"/>
        <w:gridCol w:w="1474"/>
        <w:gridCol w:w="1275"/>
        <w:gridCol w:w="2020"/>
      </w:tblGrid>
      <w:tr w:rsidR="00A2503D" w:rsidRPr="00637598" w14:paraId="5EE40716" w14:textId="77777777" w:rsidTr="00E740A2">
        <w:trPr>
          <w:trHeight w:val="264"/>
          <w:jc w:val="center"/>
        </w:trPr>
        <w:tc>
          <w:tcPr>
            <w:tcW w:w="1157" w:type="dxa"/>
            <w:tcBorders>
              <w:top w:val="nil"/>
              <w:left w:val="nil"/>
              <w:bottom w:val="nil"/>
              <w:right w:val="nil"/>
            </w:tcBorders>
            <w:shd w:val="clear" w:color="auto" w:fill="auto"/>
            <w:noWrap/>
            <w:vAlign w:val="bottom"/>
            <w:hideMark/>
          </w:tcPr>
          <w:p w14:paraId="0A598948" w14:textId="77777777" w:rsidR="00A2503D" w:rsidRPr="00B40D2A" w:rsidRDefault="00A2503D" w:rsidP="00A2503D">
            <w:pPr>
              <w:keepNext/>
              <w:spacing w:before="0" w:after="0" w:line="240" w:lineRule="auto"/>
              <w:jc w:val="left"/>
              <w:rPr>
                <w:rFonts w:cs="Arial"/>
                <w:sz w:val="20"/>
                <w:szCs w:val="20"/>
                <w:lang w:val="en-US" w:eastAsia="es-ES"/>
              </w:rPr>
            </w:pPr>
          </w:p>
        </w:tc>
        <w:tc>
          <w:tcPr>
            <w:tcW w:w="8864" w:type="dxa"/>
            <w:gridSpan w:val="6"/>
            <w:tcBorders>
              <w:top w:val="single" w:sz="4" w:space="0" w:color="auto"/>
              <w:left w:val="single" w:sz="4" w:space="0" w:color="auto"/>
              <w:bottom w:val="single" w:sz="4" w:space="0" w:color="auto"/>
              <w:right w:val="single" w:sz="4" w:space="0" w:color="auto"/>
            </w:tcBorders>
            <w:shd w:val="clear" w:color="000000" w:fill="9CB700"/>
            <w:noWrap/>
            <w:vAlign w:val="center"/>
            <w:hideMark/>
          </w:tcPr>
          <w:p w14:paraId="27F436B8" w14:textId="1B8085A1" w:rsidR="00A2503D" w:rsidRPr="00B40D2A" w:rsidRDefault="00A2503D">
            <w:pPr>
              <w:keepNext/>
              <w:spacing w:before="0" w:after="0" w:line="240" w:lineRule="auto"/>
              <w:jc w:val="center"/>
              <w:rPr>
                <w:rFonts w:cs="Arial"/>
                <w:b/>
                <w:bCs/>
                <w:color w:val="FFFFFF"/>
                <w:sz w:val="20"/>
                <w:szCs w:val="20"/>
                <w:lang w:val="en-US" w:eastAsia="es-ES"/>
              </w:rPr>
            </w:pPr>
            <w:r w:rsidRPr="00B40D2A">
              <w:rPr>
                <w:rFonts w:cs="Arial"/>
                <w:b/>
                <w:bCs/>
                <w:color w:val="FFFFFF"/>
                <w:sz w:val="20"/>
                <w:szCs w:val="20"/>
                <w:lang w:val="en-US" w:eastAsia="es-ES"/>
              </w:rPr>
              <w:t>% Booked capacity by time horizon</w:t>
            </w:r>
            <w:r>
              <w:rPr>
                <w:rFonts w:cs="Arial"/>
                <w:b/>
                <w:bCs/>
                <w:color w:val="FFFFFF"/>
                <w:sz w:val="20"/>
                <w:szCs w:val="20"/>
                <w:lang w:val="en-US" w:eastAsia="es-ES"/>
              </w:rPr>
              <w:t xml:space="preserve"> </w:t>
            </w:r>
            <w:r w:rsidR="002D3920">
              <w:rPr>
                <w:rFonts w:cs="Arial"/>
                <w:b/>
                <w:bCs/>
                <w:color w:val="FFFFFF"/>
                <w:sz w:val="20"/>
                <w:szCs w:val="20"/>
                <w:lang w:val="en-US" w:eastAsia="es-ES"/>
              </w:rPr>
              <w:t>versus</w:t>
            </w:r>
            <w:r>
              <w:rPr>
                <w:rFonts w:cs="Arial"/>
                <w:b/>
                <w:bCs/>
                <w:color w:val="FFFFFF"/>
                <w:sz w:val="20"/>
                <w:szCs w:val="20"/>
                <w:lang w:val="en-US" w:eastAsia="es-ES"/>
              </w:rPr>
              <w:t xml:space="preserve"> total </w:t>
            </w:r>
            <w:r w:rsidR="002E003D">
              <w:rPr>
                <w:rFonts w:cs="Arial"/>
                <w:b/>
                <w:bCs/>
                <w:color w:val="FFFFFF"/>
                <w:sz w:val="20"/>
                <w:szCs w:val="20"/>
                <w:lang w:val="en-US" w:eastAsia="es-ES"/>
              </w:rPr>
              <w:t>booked capacity</w:t>
            </w:r>
          </w:p>
        </w:tc>
      </w:tr>
      <w:tr w:rsidR="00A2503D" w:rsidRPr="00AD7CFF" w14:paraId="234B5118" w14:textId="77777777" w:rsidTr="00E740A2">
        <w:trPr>
          <w:trHeight w:val="264"/>
          <w:jc w:val="center"/>
        </w:trPr>
        <w:tc>
          <w:tcPr>
            <w:tcW w:w="1157" w:type="dxa"/>
            <w:tcBorders>
              <w:top w:val="nil"/>
              <w:left w:val="nil"/>
              <w:bottom w:val="nil"/>
              <w:right w:val="nil"/>
            </w:tcBorders>
            <w:shd w:val="clear" w:color="auto" w:fill="auto"/>
            <w:noWrap/>
            <w:vAlign w:val="bottom"/>
            <w:hideMark/>
          </w:tcPr>
          <w:p w14:paraId="6CF0B374" w14:textId="77777777" w:rsidR="00A2503D" w:rsidRPr="00B40D2A" w:rsidRDefault="00A2503D" w:rsidP="00A2503D">
            <w:pPr>
              <w:keepNext/>
              <w:spacing w:before="0" w:after="0" w:line="240" w:lineRule="auto"/>
              <w:jc w:val="center"/>
              <w:rPr>
                <w:rFonts w:cs="Arial"/>
                <w:b/>
                <w:bCs/>
                <w:color w:val="FFFFFF"/>
                <w:sz w:val="20"/>
                <w:szCs w:val="20"/>
                <w:lang w:val="en-US" w:eastAsia="es-ES"/>
              </w:rPr>
            </w:pPr>
          </w:p>
        </w:tc>
        <w:tc>
          <w:tcPr>
            <w:tcW w:w="1497" w:type="dxa"/>
            <w:tcBorders>
              <w:top w:val="nil"/>
              <w:left w:val="single" w:sz="4" w:space="0" w:color="auto"/>
              <w:bottom w:val="single" w:sz="4" w:space="0" w:color="auto"/>
              <w:right w:val="single" w:sz="4" w:space="0" w:color="auto"/>
            </w:tcBorders>
            <w:shd w:val="clear" w:color="000000" w:fill="63666A"/>
            <w:noWrap/>
            <w:vAlign w:val="center"/>
            <w:hideMark/>
          </w:tcPr>
          <w:p w14:paraId="69214886" w14:textId="77777777" w:rsidR="00A2503D" w:rsidRPr="00B40D2A" w:rsidRDefault="00A2503D" w:rsidP="00B30683">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LT contracts</w:t>
            </w:r>
          </w:p>
        </w:tc>
        <w:tc>
          <w:tcPr>
            <w:tcW w:w="1323" w:type="dxa"/>
            <w:tcBorders>
              <w:top w:val="nil"/>
              <w:left w:val="nil"/>
              <w:bottom w:val="single" w:sz="4" w:space="0" w:color="auto"/>
              <w:right w:val="single" w:sz="4" w:space="0" w:color="auto"/>
            </w:tcBorders>
            <w:shd w:val="clear" w:color="000000" w:fill="63666A"/>
            <w:noWrap/>
            <w:vAlign w:val="center"/>
            <w:hideMark/>
          </w:tcPr>
          <w:p w14:paraId="3CE81F5C" w14:textId="77777777" w:rsidR="00A2503D" w:rsidRPr="00B40D2A" w:rsidRDefault="00A2503D" w:rsidP="00272A17">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Yearly product</w:t>
            </w:r>
          </w:p>
        </w:tc>
        <w:tc>
          <w:tcPr>
            <w:tcW w:w="1275" w:type="dxa"/>
            <w:tcBorders>
              <w:top w:val="nil"/>
              <w:left w:val="nil"/>
              <w:bottom w:val="single" w:sz="4" w:space="0" w:color="auto"/>
              <w:right w:val="single" w:sz="4" w:space="0" w:color="auto"/>
            </w:tcBorders>
            <w:shd w:val="clear" w:color="000000" w:fill="63666A"/>
            <w:noWrap/>
            <w:vAlign w:val="center"/>
            <w:hideMark/>
          </w:tcPr>
          <w:p w14:paraId="3007EEBB" w14:textId="77777777" w:rsidR="00A2503D" w:rsidRPr="00B40D2A" w:rsidRDefault="00A2503D" w:rsidP="006C22A1">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Quarterly product</w:t>
            </w:r>
          </w:p>
        </w:tc>
        <w:tc>
          <w:tcPr>
            <w:tcW w:w="1474" w:type="dxa"/>
            <w:tcBorders>
              <w:top w:val="nil"/>
              <w:left w:val="nil"/>
              <w:bottom w:val="single" w:sz="4" w:space="0" w:color="auto"/>
              <w:right w:val="single" w:sz="4" w:space="0" w:color="auto"/>
            </w:tcBorders>
            <w:shd w:val="clear" w:color="000000" w:fill="63666A"/>
            <w:noWrap/>
            <w:vAlign w:val="center"/>
            <w:hideMark/>
          </w:tcPr>
          <w:p w14:paraId="3B5E3B66" w14:textId="77777777" w:rsidR="00A2503D" w:rsidRPr="00B40D2A" w:rsidRDefault="00A2503D">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Monthly product</w:t>
            </w:r>
          </w:p>
        </w:tc>
        <w:tc>
          <w:tcPr>
            <w:tcW w:w="1275" w:type="dxa"/>
            <w:tcBorders>
              <w:top w:val="nil"/>
              <w:left w:val="nil"/>
              <w:bottom w:val="single" w:sz="4" w:space="0" w:color="auto"/>
              <w:right w:val="single" w:sz="4" w:space="0" w:color="auto"/>
            </w:tcBorders>
            <w:shd w:val="clear" w:color="000000" w:fill="63666A"/>
            <w:noWrap/>
            <w:vAlign w:val="center"/>
            <w:hideMark/>
          </w:tcPr>
          <w:p w14:paraId="29198C20" w14:textId="77777777" w:rsidR="00A2503D" w:rsidRPr="00B40D2A" w:rsidRDefault="00A2503D">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Daily product</w:t>
            </w:r>
          </w:p>
        </w:tc>
        <w:tc>
          <w:tcPr>
            <w:tcW w:w="2020" w:type="dxa"/>
            <w:tcBorders>
              <w:top w:val="nil"/>
              <w:left w:val="nil"/>
              <w:bottom w:val="single" w:sz="4" w:space="0" w:color="auto"/>
              <w:right w:val="single" w:sz="4" w:space="0" w:color="auto"/>
            </w:tcBorders>
            <w:shd w:val="clear" w:color="000000" w:fill="63666A"/>
            <w:noWrap/>
            <w:vAlign w:val="center"/>
            <w:hideMark/>
          </w:tcPr>
          <w:p w14:paraId="542179D2" w14:textId="77777777" w:rsidR="00A2503D" w:rsidRPr="00B40D2A" w:rsidRDefault="00A2503D">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Within-day product</w:t>
            </w:r>
          </w:p>
        </w:tc>
      </w:tr>
      <w:tr w:rsidR="00630647" w:rsidRPr="00AD7CFF" w14:paraId="0622BB5E" w14:textId="77777777" w:rsidTr="00E740A2">
        <w:trPr>
          <w:trHeight w:val="264"/>
          <w:jc w:val="center"/>
        </w:trPr>
        <w:tc>
          <w:tcPr>
            <w:tcW w:w="1157" w:type="dxa"/>
            <w:tcBorders>
              <w:top w:val="single" w:sz="4" w:space="0" w:color="auto"/>
              <w:left w:val="single" w:sz="4" w:space="0" w:color="auto"/>
              <w:bottom w:val="single" w:sz="4" w:space="0" w:color="auto"/>
              <w:right w:val="single" w:sz="4" w:space="0" w:color="auto"/>
            </w:tcBorders>
            <w:shd w:val="clear" w:color="000000" w:fill="007AAE"/>
            <w:noWrap/>
            <w:vAlign w:val="bottom"/>
            <w:hideMark/>
          </w:tcPr>
          <w:p w14:paraId="1B72DD76" w14:textId="77777777" w:rsidR="00630647" w:rsidRPr="00B40D2A" w:rsidRDefault="00630647" w:rsidP="00630647">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2016</w:t>
            </w:r>
          </w:p>
        </w:tc>
        <w:tc>
          <w:tcPr>
            <w:tcW w:w="1497" w:type="dxa"/>
            <w:tcBorders>
              <w:top w:val="nil"/>
              <w:left w:val="nil"/>
              <w:bottom w:val="single" w:sz="4" w:space="0" w:color="auto"/>
              <w:right w:val="single" w:sz="4" w:space="0" w:color="auto"/>
            </w:tcBorders>
            <w:shd w:val="clear" w:color="auto" w:fill="auto"/>
            <w:noWrap/>
            <w:vAlign w:val="bottom"/>
            <w:hideMark/>
          </w:tcPr>
          <w:p w14:paraId="20A6C63F" w14:textId="5AB84DD5"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92</w:t>
            </w:r>
            <w:r w:rsidR="00344883">
              <w:rPr>
                <w:rFonts w:cs="Arial"/>
                <w:color w:val="000000"/>
                <w:sz w:val="20"/>
                <w:szCs w:val="20"/>
              </w:rPr>
              <w:t>.</w:t>
            </w:r>
            <w:r w:rsidRPr="00E740A2">
              <w:rPr>
                <w:rFonts w:cs="Arial"/>
                <w:color w:val="000000"/>
                <w:sz w:val="20"/>
                <w:szCs w:val="20"/>
              </w:rPr>
              <w:t>75%</w:t>
            </w:r>
          </w:p>
        </w:tc>
        <w:tc>
          <w:tcPr>
            <w:tcW w:w="1323" w:type="dxa"/>
            <w:tcBorders>
              <w:top w:val="nil"/>
              <w:left w:val="nil"/>
              <w:bottom w:val="single" w:sz="4" w:space="0" w:color="auto"/>
              <w:right w:val="single" w:sz="4" w:space="0" w:color="auto"/>
            </w:tcBorders>
            <w:shd w:val="clear" w:color="auto" w:fill="auto"/>
            <w:noWrap/>
            <w:vAlign w:val="bottom"/>
            <w:hideMark/>
          </w:tcPr>
          <w:p w14:paraId="39101237" w14:textId="6B8EC1BD"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1</w:t>
            </w:r>
            <w:r w:rsidR="00344883">
              <w:rPr>
                <w:rFonts w:cs="Arial"/>
                <w:color w:val="000000"/>
                <w:sz w:val="20"/>
                <w:szCs w:val="20"/>
              </w:rPr>
              <w:t>.</w:t>
            </w:r>
            <w:r w:rsidRPr="00E740A2">
              <w:rPr>
                <w:rFonts w:cs="Arial"/>
                <w:color w:val="000000"/>
                <w:sz w:val="20"/>
                <w:szCs w:val="20"/>
              </w:rPr>
              <w:t>11%</w:t>
            </w:r>
          </w:p>
        </w:tc>
        <w:tc>
          <w:tcPr>
            <w:tcW w:w="1275" w:type="dxa"/>
            <w:tcBorders>
              <w:top w:val="nil"/>
              <w:left w:val="nil"/>
              <w:bottom w:val="single" w:sz="4" w:space="0" w:color="auto"/>
              <w:right w:val="single" w:sz="4" w:space="0" w:color="auto"/>
            </w:tcBorders>
            <w:shd w:val="clear" w:color="auto" w:fill="auto"/>
            <w:noWrap/>
            <w:vAlign w:val="bottom"/>
            <w:hideMark/>
          </w:tcPr>
          <w:p w14:paraId="38978BB7" w14:textId="5EAB55F0"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0</w:t>
            </w:r>
            <w:r w:rsidR="00344883">
              <w:rPr>
                <w:rFonts w:cs="Arial"/>
                <w:color w:val="000000"/>
                <w:sz w:val="20"/>
                <w:szCs w:val="20"/>
              </w:rPr>
              <w:t>.</w:t>
            </w:r>
            <w:r w:rsidRPr="00E740A2">
              <w:rPr>
                <w:rFonts w:cs="Arial"/>
                <w:color w:val="000000"/>
                <w:sz w:val="20"/>
                <w:szCs w:val="20"/>
              </w:rPr>
              <w:t>00%</w:t>
            </w:r>
          </w:p>
        </w:tc>
        <w:tc>
          <w:tcPr>
            <w:tcW w:w="1474" w:type="dxa"/>
            <w:tcBorders>
              <w:top w:val="nil"/>
              <w:left w:val="nil"/>
              <w:bottom w:val="single" w:sz="4" w:space="0" w:color="auto"/>
              <w:right w:val="single" w:sz="4" w:space="0" w:color="auto"/>
            </w:tcBorders>
            <w:shd w:val="clear" w:color="auto" w:fill="auto"/>
            <w:noWrap/>
            <w:vAlign w:val="bottom"/>
            <w:hideMark/>
          </w:tcPr>
          <w:p w14:paraId="28D7CD1D" w14:textId="6E0CAFC7"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3</w:t>
            </w:r>
            <w:r w:rsidR="00344883">
              <w:rPr>
                <w:rFonts w:cs="Arial"/>
                <w:color w:val="000000"/>
                <w:sz w:val="20"/>
                <w:szCs w:val="20"/>
              </w:rPr>
              <w:t>.</w:t>
            </w:r>
            <w:r w:rsidRPr="00E740A2">
              <w:rPr>
                <w:rFonts w:cs="Arial"/>
                <w:color w:val="000000"/>
                <w:sz w:val="20"/>
                <w:szCs w:val="20"/>
              </w:rPr>
              <w:t>57%</w:t>
            </w:r>
          </w:p>
        </w:tc>
        <w:tc>
          <w:tcPr>
            <w:tcW w:w="1275" w:type="dxa"/>
            <w:tcBorders>
              <w:top w:val="nil"/>
              <w:left w:val="nil"/>
              <w:bottom w:val="single" w:sz="4" w:space="0" w:color="auto"/>
              <w:right w:val="single" w:sz="4" w:space="0" w:color="auto"/>
            </w:tcBorders>
            <w:shd w:val="clear" w:color="auto" w:fill="auto"/>
            <w:noWrap/>
            <w:vAlign w:val="bottom"/>
            <w:hideMark/>
          </w:tcPr>
          <w:p w14:paraId="79E49F02" w14:textId="77C04C17"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1</w:t>
            </w:r>
            <w:r w:rsidR="00344883">
              <w:rPr>
                <w:rFonts w:cs="Arial"/>
                <w:color w:val="000000"/>
                <w:sz w:val="20"/>
                <w:szCs w:val="20"/>
              </w:rPr>
              <w:t>.</w:t>
            </w:r>
            <w:r w:rsidRPr="00E740A2">
              <w:rPr>
                <w:rFonts w:cs="Arial"/>
                <w:color w:val="000000"/>
                <w:sz w:val="20"/>
                <w:szCs w:val="20"/>
              </w:rPr>
              <w:t>99%</w:t>
            </w:r>
          </w:p>
        </w:tc>
        <w:tc>
          <w:tcPr>
            <w:tcW w:w="2020" w:type="dxa"/>
            <w:tcBorders>
              <w:top w:val="nil"/>
              <w:left w:val="nil"/>
              <w:bottom w:val="single" w:sz="4" w:space="0" w:color="auto"/>
              <w:right w:val="single" w:sz="4" w:space="0" w:color="auto"/>
            </w:tcBorders>
            <w:shd w:val="clear" w:color="auto" w:fill="auto"/>
            <w:noWrap/>
            <w:vAlign w:val="bottom"/>
            <w:hideMark/>
          </w:tcPr>
          <w:p w14:paraId="52B508E3" w14:textId="273416A7"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0</w:t>
            </w:r>
            <w:r w:rsidR="00344883">
              <w:rPr>
                <w:rFonts w:cs="Arial"/>
                <w:color w:val="000000"/>
                <w:sz w:val="20"/>
                <w:szCs w:val="20"/>
              </w:rPr>
              <w:t>.</w:t>
            </w:r>
            <w:r w:rsidRPr="00E740A2">
              <w:rPr>
                <w:rFonts w:cs="Arial"/>
                <w:color w:val="000000"/>
                <w:sz w:val="20"/>
                <w:szCs w:val="20"/>
              </w:rPr>
              <w:t>58%</w:t>
            </w:r>
          </w:p>
        </w:tc>
      </w:tr>
      <w:tr w:rsidR="00630647" w:rsidRPr="00AD7CFF" w14:paraId="67C47FE6" w14:textId="77777777" w:rsidTr="00E740A2">
        <w:trPr>
          <w:trHeight w:val="264"/>
          <w:jc w:val="center"/>
        </w:trPr>
        <w:tc>
          <w:tcPr>
            <w:tcW w:w="1157" w:type="dxa"/>
            <w:tcBorders>
              <w:top w:val="nil"/>
              <w:left w:val="single" w:sz="4" w:space="0" w:color="auto"/>
              <w:bottom w:val="single" w:sz="4" w:space="0" w:color="auto"/>
              <w:right w:val="single" w:sz="4" w:space="0" w:color="auto"/>
            </w:tcBorders>
            <w:shd w:val="clear" w:color="000000" w:fill="007AAE"/>
            <w:noWrap/>
            <w:vAlign w:val="bottom"/>
            <w:hideMark/>
          </w:tcPr>
          <w:p w14:paraId="7D7AC2E3" w14:textId="77777777" w:rsidR="00630647" w:rsidRPr="00B40D2A" w:rsidRDefault="00630647" w:rsidP="00630647">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2017</w:t>
            </w:r>
          </w:p>
        </w:tc>
        <w:tc>
          <w:tcPr>
            <w:tcW w:w="1497" w:type="dxa"/>
            <w:tcBorders>
              <w:top w:val="nil"/>
              <w:left w:val="nil"/>
              <w:bottom w:val="single" w:sz="4" w:space="0" w:color="auto"/>
              <w:right w:val="single" w:sz="4" w:space="0" w:color="auto"/>
            </w:tcBorders>
            <w:shd w:val="clear" w:color="auto" w:fill="auto"/>
            <w:noWrap/>
            <w:vAlign w:val="bottom"/>
            <w:hideMark/>
          </w:tcPr>
          <w:p w14:paraId="69937214" w14:textId="1455C7BB"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91</w:t>
            </w:r>
            <w:r w:rsidR="00344883">
              <w:rPr>
                <w:rFonts w:cs="Arial"/>
                <w:color w:val="000000"/>
                <w:sz w:val="20"/>
                <w:szCs w:val="20"/>
              </w:rPr>
              <w:t>.</w:t>
            </w:r>
            <w:r w:rsidRPr="00E740A2">
              <w:rPr>
                <w:rFonts w:cs="Arial"/>
                <w:color w:val="000000"/>
                <w:sz w:val="20"/>
                <w:szCs w:val="20"/>
              </w:rPr>
              <w:t>99%</w:t>
            </w:r>
          </w:p>
        </w:tc>
        <w:tc>
          <w:tcPr>
            <w:tcW w:w="1323" w:type="dxa"/>
            <w:tcBorders>
              <w:top w:val="nil"/>
              <w:left w:val="nil"/>
              <w:bottom w:val="single" w:sz="4" w:space="0" w:color="auto"/>
              <w:right w:val="single" w:sz="4" w:space="0" w:color="auto"/>
            </w:tcBorders>
            <w:shd w:val="clear" w:color="auto" w:fill="auto"/>
            <w:noWrap/>
            <w:vAlign w:val="bottom"/>
            <w:hideMark/>
          </w:tcPr>
          <w:p w14:paraId="588C4D98" w14:textId="39DC1A37"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2</w:t>
            </w:r>
            <w:r w:rsidR="00344883">
              <w:rPr>
                <w:rFonts w:cs="Arial"/>
                <w:color w:val="000000"/>
                <w:sz w:val="20"/>
                <w:szCs w:val="20"/>
              </w:rPr>
              <w:t>.</w:t>
            </w:r>
            <w:r w:rsidRPr="00E740A2">
              <w:rPr>
                <w:rFonts w:cs="Arial"/>
                <w:color w:val="000000"/>
                <w:sz w:val="20"/>
                <w:szCs w:val="20"/>
              </w:rPr>
              <w:t>84%</w:t>
            </w:r>
          </w:p>
        </w:tc>
        <w:tc>
          <w:tcPr>
            <w:tcW w:w="1275" w:type="dxa"/>
            <w:tcBorders>
              <w:top w:val="nil"/>
              <w:left w:val="nil"/>
              <w:bottom w:val="single" w:sz="4" w:space="0" w:color="auto"/>
              <w:right w:val="single" w:sz="4" w:space="0" w:color="auto"/>
            </w:tcBorders>
            <w:shd w:val="clear" w:color="auto" w:fill="auto"/>
            <w:noWrap/>
            <w:vAlign w:val="bottom"/>
            <w:hideMark/>
          </w:tcPr>
          <w:p w14:paraId="1989A261" w14:textId="4BE67C2F"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0</w:t>
            </w:r>
            <w:r w:rsidR="00344883">
              <w:rPr>
                <w:rFonts w:cs="Arial"/>
                <w:color w:val="000000"/>
                <w:sz w:val="20"/>
                <w:szCs w:val="20"/>
              </w:rPr>
              <w:t>.</w:t>
            </w:r>
            <w:r w:rsidRPr="00E740A2">
              <w:rPr>
                <w:rFonts w:cs="Arial"/>
                <w:color w:val="000000"/>
                <w:sz w:val="20"/>
                <w:szCs w:val="20"/>
              </w:rPr>
              <w:t>97%</w:t>
            </w:r>
          </w:p>
        </w:tc>
        <w:tc>
          <w:tcPr>
            <w:tcW w:w="1474" w:type="dxa"/>
            <w:tcBorders>
              <w:top w:val="nil"/>
              <w:left w:val="nil"/>
              <w:bottom w:val="single" w:sz="4" w:space="0" w:color="auto"/>
              <w:right w:val="single" w:sz="4" w:space="0" w:color="auto"/>
            </w:tcBorders>
            <w:shd w:val="clear" w:color="auto" w:fill="auto"/>
            <w:noWrap/>
            <w:vAlign w:val="bottom"/>
            <w:hideMark/>
          </w:tcPr>
          <w:p w14:paraId="502714C4" w14:textId="6436E67F"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2</w:t>
            </w:r>
            <w:r w:rsidR="00344883">
              <w:rPr>
                <w:rFonts w:cs="Arial"/>
                <w:color w:val="000000"/>
                <w:sz w:val="20"/>
                <w:szCs w:val="20"/>
              </w:rPr>
              <w:t>.</w:t>
            </w:r>
            <w:r w:rsidRPr="00E740A2">
              <w:rPr>
                <w:rFonts w:cs="Arial"/>
                <w:color w:val="000000"/>
                <w:sz w:val="20"/>
                <w:szCs w:val="20"/>
              </w:rPr>
              <w:t>43%</w:t>
            </w:r>
          </w:p>
        </w:tc>
        <w:tc>
          <w:tcPr>
            <w:tcW w:w="1275" w:type="dxa"/>
            <w:tcBorders>
              <w:top w:val="nil"/>
              <w:left w:val="nil"/>
              <w:bottom w:val="single" w:sz="4" w:space="0" w:color="auto"/>
              <w:right w:val="single" w:sz="4" w:space="0" w:color="auto"/>
            </w:tcBorders>
            <w:shd w:val="clear" w:color="auto" w:fill="auto"/>
            <w:noWrap/>
            <w:vAlign w:val="bottom"/>
            <w:hideMark/>
          </w:tcPr>
          <w:p w14:paraId="06547F85" w14:textId="293584A8"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1</w:t>
            </w:r>
            <w:r w:rsidR="00344883">
              <w:rPr>
                <w:rFonts w:cs="Arial"/>
                <w:color w:val="000000"/>
                <w:sz w:val="20"/>
                <w:szCs w:val="20"/>
              </w:rPr>
              <w:t>.</w:t>
            </w:r>
            <w:r w:rsidRPr="00E740A2">
              <w:rPr>
                <w:rFonts w:cs="Arial"/>
                <w:color w:val="000000"/>
                <w:sz w:val="20"/>
                <w:szCs w:val="20"/>
              </w:rPr>
              <w:t>49%</w:t>
            </w:r>
          </w:p>
        </w:tc>
        <w:tc>
          <w:tcPr>
            <w:tcW w:w="2020" w:type="dxa"/>
            <w:tcBorders>
              <w:top w:val="nil"/>
              <w:left w:val="nil"/>
              <w:bottom w:val="single" w:sz="4" w:space="0" w:color="auto"/>
              <w:right w:val="single" w:sz="4" w:space="0" w:color="auto"/>
            </w:tcBorders>
            <w:shd w:val="clear" w:color="auto" w:fill="auto"/>
            <w:noWrap/>
            <w:vAlign w:val="bottom"/>
            <w:hideMark/>
          </w:tcPr>
          <w:p w14:paraId="72ACBC66" w14:textId="052EF7CD"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0</w:t>
            </w:r>
            <w:r w:rsidR="00344883">
              <w:rPr>
                <w:rFonts w:cs="Arial"/>
                <w:color w:val="000000"/>
                <w:sz w:val="20"/>
                <w:szCs w:val="20"/>
              </w:rPr>
              <w:t>.</w:t>
            </w:r>
            <w:r w:rsidRPr="00E740A2">
              <w:rPr>
                <w:rFonts w:cs="Arial"/>
                <w:color w:val="000000"/>
                <w:sz w:val="20"/>
                <w:szCs w:val="20"/>
              </w:rPr>
              <w:t>28%</w:t>
            </w:r>
          </w:p>
        </w:tc>
      </w:tr>
      <w:tr w:rsidR="00630647" w:rsidRPr="00AD7CFF" w14:paraId="780E5E35" w14:textId="77777777" w:rsidTr="00E740A2">
        <w:trPr>
          <w:trHeight w:val="264"/>
          <w:jc w:val="center"/>
        </w:trPr>
        <w:tc>
          <w:tcPr>
            <w:tcW w:w="1157" w:type="dxa"/>
            <w:tcBorders>
              <w:top w:val="nil"/>
              <w:left w:val="single" w:sz="4" w:space="0" w:color="auto"/>
              <w:bottom w:val="single" w:sz="4" w:space="0" w:color="auto"/>
              <w:right w:val="single" w:sz="4" w:space="0" w:color="auto"/>
            </w:tcBorders>
            <w:shd w:val="clear" w:color="000000" w:fill="007AAE"/>
            <w:noWrap/>
            <w:vAlign w:val="bottom"/>
            <w:hideMark/>
          </w:tcPr>
          <w:p w14:paraId="786B9BA7" w14:textId="77777777" w:rsidR="00630647" w:rsidRPr="00B40D2A" w:rsidRDefault="00630647" w:rsidP="00630647">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2018</w:t>
            </w:r>
          </w:p>
        </w:tc>
        <w:tc>
          <w:tcPr>
            <w:tcW w:w="1497" w:type="dxa"/>
            <w:tcBorders>
              <w:top w:val="nil"/>
              <w:left w:val="nil"/>
              <w:bottom w:val="single" w:sz="4" w:space="0" w:color="auto"/>
              <w:right w:val="single" w:sz="4" w:space="0" w:color="auto"/>
            </w:tcBorders>
            <w:shd w:val="clear" w:color="auto" w:fill="auto"/>
            <w:noWrap/>
            <w:vAlign w:val="bottom"/>
            <w:hideMark/>
          </w:tcPr>
          <w:p w14:paraId="533F5498" w14:textId="75E533FC"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78</w:t>
            </w:r>
            <w:r w:rsidR="00344883">
              <w:rPr>
                <w:rFonts w:cs="Arial"/>
                <w:color w:val="000000"/>
                <w:sz w:val="20"/>
                <w:szCs w:val="20"/>
              </w:rPr>
              <w:t>.</w:t>
            </w:r>
            <w:r w:rsidRPr="00E740A2">
              <w:rPr>
                <w:rFonts w:cs="Arial"/>
                <w:color w:val="000000"/>
                <w:sz w:val="20"/>
                <w:szCs w:val="20"/>
              </w:rPr>
              <w:t>40%</w:t>
            </w:r>
          </w:p>
        </w:tc>
        <w:tc>
          <w:tcPr>
            <w:tcW w:w="1323" w:type="dxa"/>
            <w:tcBorders>
              <w:top w:val="nil"/>
              <w:left w:val="nil"/>
              <w:bottom w:val="single" w:sz="4" w:space="0" w:color="auto"/>
              <w:right w:val="single" w:sz="4" w:space="0" w:color="auto"/>
            </w:tcBorders>
            <w:shd w:val="clear" w:color="auto" w:fill="auto"/>
            <w:noWrap/>
            <w:vAlign w:val="bottom"/>
            <w:hideMark/>
          </w:tcPr>
          <w:p w14:paraId="3F9D4008" w14:textId="75083372"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6</w:t>
            </w:r>
            <w:r w:rsidR="00344883">
              <w:rPr>
                <w:rFonts w:cs="Arial"/>
                <w:color w:val="000000"/>
                <w:sz w:val="20"/>
                <w:szCs w:val="20"/>
              </w:rPr>
              <w:t>.</w:t>
            </w:r>
            <w:r w:rsidRPr="00E740A2">
              <w:rPr>
                <w:rFonts w:cs="Arial"/>
                <w:color w:val="000000"/>
                <w:sz w:val="20"/>
                <w:szCs w:val="20"/>
              </w:rPr>
              <w:t>49%</w:t>
            </w:r>
          </w:p>
        </w:tc>
        <w:tc>
          <w:tcPr>
            <w:tcW w:w="1275" w:type="dxa"/>
            <w:tcBorders>
              <w:top w:val="nil"/>
              <w:left w:val="nil"/>
              <w:bottom w:val="single" w:sz="4" w:space="0" w:color="auto"/>
              <w:right w:val="single" w:sz="4" w:space="0" w:color="auto"/>
            </w:tcBorders>
            <w:shd w:val="clear" w:color="auto" w:fill="auto"/>
            <w:noWrap/>
            <w:vAlign w:val="bottom"/>
            <w:hideMark/>
          </w:tcPr>
          <w:p w14:paraId="0EAE5391" w14:textId="56AA81A4"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7</w:t>
            </w:r>
            <w:r w:rsidR="00344883">
              <w:rPr>
                <w:rFonts w:cs="Arial"/>
                <w:color w:val="000000"/>
                <w:sz w:val="20"/>
                <w:szCs w:val="20"/>
              </w:rPr>
              <w:t>.</w:t>
            </w:r>
            <w:r w:rsidRPr="00E740A2">
              <w:rPr>
                <w:rFonts w:cs="Arial"/>
                <w:color w:val="000000"/>
                <w:sz w:val="20"/>
                <w:szCs w:val="20"/>
              </w:rPr>
              <w:t>21%</w:t>
            </w:r>
          </w:p>
        </w:tc>
        <w:tc>
          <w:tcPr>
            <w:tcW w:w="1474" w:type="dxa"/>
            <w:tcBorders>
              <w:top w:val="nil"/>
              <w:left w:val="nil"/>
              <w:bottom w:val="single" w:sz="4" w:space="0" w:color="auto"/>
              <w:right w:val="single" w:sz="4" w:space="0" w:color="auto"/>
            </w:tcBorders>
            <w:shd w:val="clear" w:color="auto" w:fill="auto"/>
            <w:noWrap/>
            <w:vAlign w:val="bottom"/>
            <w:hideMark/>
          </w:tcPr>
          <w:p w14:paraId="50C8A14A" w14:textId="663C59B3"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2</w:t>
            </w:r>
            <w:r w:rsidR="00344883">
              <w:rPr>
                <w:rFonts w:cs="Arial"/>
                <w:color w:val="000000"/>
                <w:sz w:val="20"/>
                <w:szCs w:val="20"/>
              </w:rPr>
              <w:t>.</w:t>
            </w:r>
            <w:r w:rsidRPr="00E740A2">
              <w:rPr>
                <w:rFonts w:cs="Arial"/>
                <w:color w:val="000000"/>
                <w:sz w:val="20"/>
                <w:szCs w:val="20"/>
              </w:rPr>
              <w:t>03%</w:t>
            </w:r>
          </w:p>
        </w:tc>
        <w:tc>
          <w:tcPr>
            <w:tcW w:w="1275" w:type="dxa"/>
            <w:tcBorders>
              <w:top w:val="nil"/>
              <w:left w:val="nil"/>
              <w:bottom w:val="single" w:sz="4" w:space="0" w:color="auto"/>
              <w:right w:val="single" w:sz="4" w:space="0" w:color="auto"/>
            </w:tcBorders>
            <w:shd w:val="clear" w:color="auto" w:fill="auto"/>
            <w:noWrap/>
            <w:vAlign w:val="bottom"/>
            <w:hideMark/>
          </w:tcPr>
          <w:p w14:paraId="3BE075E4" w14:textId="344A2229"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5</w:t>
            </w:r>
            <w:r w:rsidR="00344883">
              <w:rPr>
                <w:rFonts w:cs="Arial"/>
                <w:color w:val="000000"/>
                <w:sz w:val="20"/>
                <w:szCs w:val="20"/>
              </w:rPr>
              <w:t>.</w:t>
            </w:r>
            <w:r w:rsidRPr="00E740A2">
              <w:rPr>
                <w:rFonts w:cs="Arial"/>
                <w:color w:val="000000"/>
                <w:sz w:val="20"/>
                <w:szCs w:val="20"/>
              </w:rPr>
              <w:t>20%</w:t>
            </w:r>
          </w:p>
        </w:tc>
        <w:tc>
          <w:tcPr>
            <w:tcW w:w="2020" w:type="dxa"/>
            <w:tcBorders>
              <w:top w:val="nil"/>
              <w:left w:val="nil"/>
              <w:bottom w:val="single" w:sz="4" w:space="0" w:color="auto"/>
              <w:right w:val="single" w:sz="4" w:space="0" w:color="auto"/>
            </w:tcBorders>
            <w:shd w:val="clear" w:color="auto" w:fill="auto"/>
            <w:noWrap/>
            <w:vAlign w:val="bottom"/>
            <w:hideMark/>
          </w:tcPr>
          <w:p w14:paraId="2D1775C9" w14:textId="1B0D5B95"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0</w:t>
            </w:r>
            <w:r w:rsidR="00344883">
              <w:rPr>
                <w:rFonts w:cs="Arial"/>
                <w:color w:val="000000"/>
                <w:sz w:val="20"/>
                <w:szCs w:val="20"/>
              </w:rPr>
              <w:t>.</w:t>
            </w:r>
            <w:r w:rsidRPr="00E740A2">
              <w:rPr>
                <w:rFonts w:cs="Arial"/>
                <w:color w:val="000000"/>
                <w:sz w:val="20"/>
                <w:szCs w:val="20"/>
              </w:rPr>
              <w:t>68%</w:t>
            </w:r>
          </w:p>
        </w:tc>
      </w:tr>
      <w:tr w:rsidR="00630647" w:rsidRPr="00AD7CFF" w14:paraId="07F29C7D" w14:textId="77777777" w:rsidTr="00E740A2">
        <w:trPr>
          <w:trHeight w:val="264"/>
          <w:jc w:val="center"/>
        </w:trPr>
        <w:tc>
          <w:tcPr>
            <w:tcW w:w="1157" w:type="dxa"/>
            <w:tcBorders>
              <w:top w:val="nil"/>
              <w:left w:val="single" w:sz="4" w:space="0" w:color="auto"/>
              <w:bottom w:val="single" w:sz="4" w:space="0" w:color="auto"/>
              <w:right w:val="single" w:sz="4" w:space="0" w:color="auto"/>
            </w:tcBorders>
            <w:shd w:val="clear" w:color="000000" w:fill="007AAE"/>
            <w:noWrap/>
            <w:vAlign w:val="bottom"/>
            <w:hideMark/>
          </w:tcPr>
          <w:p w14:paraId="5A410E50" w14:textId="77777777" w:rsidR="00630647" w:rsidRPr="00B40D2A" w:rsidRDefault="00630647" w:rsidP="00630647">
            <w:pPr>
              <w:keepNext/>
              <w:spacing w:before="0" w:after="0" w:line="240" w:lineRule="auto"/>
              <w:jc w:val="center"/>
              <w:rPr>
                <w:rFonts w:cs="Arial"/>
                <w:b/>
                <w:bCs/>
                <w:color w:val="FFFFFF"/>
                <w:sz w:val="20"/>
                <w:szCs w:val="20"/>
                <w:lang w:val="es-ES" w:eastAsia="es-ES"/>
              </w:rPr>
            </w:pPr>
            <w:r w:rsidRPr="00B40D2A">
              <w:rPr>
                <w:rFonts w:cs="Arial"/>
                <w:b/>
                <w:bCs/>
                <w:color w:val="FFFFFF"/>
                <w:sz w:val="20"/>
                <w:szCs w:val="20"/>
                <w:lang w:val="es-ES" w:eastAsia="es-ES"/>
              </w:rPr>
              <w:t>Average</w:t>
            </w:r>
          </w:p>
        </w:tc>
        <w:tc>
          <w:tcPr>
            <w:tcW w:w="1497" w:type="dxa"/>
            <w:tcBorders>
              <w:top w:val="nil"/>
              <w:left w:val="nil"/>
              <w:bottom w:val="single" w:sz="4" w:space="0" w:color="auto"/>
              <w:right w:val="single" w:sz="4" w:space="0" w:color="auto"/>
            </w:tcBorders>
            <w:shd w:val="clear" w:color="auto" w:fill="auto"/>
            <w:noWrap/>
            <w:vAlign w:val="bottom"/>
            <w:hideMark/>
          </w:tcPr>
          <w:p w14:paraId="0CCF0508" w14:textId="6A7F310D"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87</w:t>
            </w:r>
            <w:r w:rsidR="00344883">
              <w:rPr>
                <w:rFonts w:cs="Arial"/>
                <w:color w:val="000000"/>
                <w:sz w:val="20"/>
                <w:szCs w:val="20"/>
              </w:rPr>
              <w:t>.</w:t>
            </w:r>
            <w:r w:rsidRPr="00E740A2">
              <w:rPr>
                <w:rFonts w:cs="Arial"/>
                <w:color w:val="000000"/>
                <w:sz w:val="20"/>
                <w:szCs w:val="20"/>
              </w:rPr>
              <w:t>71%</w:t>
            </w:r>
          </w:p>
        </w:tc>
        <w:tc>
          <w:tcPr>
            <w:tcW w:w="1323" w:type="dxa"/>
            <w:tcBorders>
              <w:top w:val="nil"/>
              <w:left w:val="nil"/>
              <w:bottom w:val="single" w:sz="4" w:space="0" w:color="auto"/>
              <w:right w:val="single" w:sz="4" w:space="0" w:color="auto"/>
            </w:tcBorders>
            <w:shd w:val="clear" w:color="auto" w:fill="auto"/>
            <w:noWrap/>
            <w:vAlign w:val="bottom"/>
            <w:hideMark/>
          </w:tcPr>
          <w:p w14:paraId="7D00C1F2" w14:textId="2C89BC54"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3</w:t>
            </w:r>
            <w:r w:rsidR="00344883">
              <w:rPr>
                <w:rFonts w:cs="Arial"/>
                <w:color w:val="000000"/>
                <w:sz w:val="20"/>
                <w:szCs w:val="20"/>
              </w:rPr>
              <w:t>.</w:t>
            </w:r>
            <w:r w:rsidRPr="00E740A2">
              <w:rPr>
                <w:rFonts w:cs="Arial"/>
                <w:color w:val="000000"/>
                <w:sz w:val="20"/>
                <w:szCs w:val="20"/>
              </w:rPr>
              <w:t>48%</w:t>
            </w:r>
          </w:p>
        </w:tc>
        <w:tc>
          <w:tcPr>
            <w:tcW w:w="1275" w:type="dxa"/>
            <w:tcBorders>
              <w:top w:val="nil"/>
              <w:left w:val="nil"/>
              <w:bottom w:val="single" w:sz="4" w:space="0" w:color="auto"/>
              <w:right w:val="single" w:sz="4" w:space="0" w:color="auto"/>
            </w:tcBorders>
            <w:shd w:val="clear" w:color="auto" w:fill="auto"/>
            <w:noWrap/>
            <w:vAlign w:val="bottom"/>
            <w:hideMark/>
          </w:tcPr>
          <w:p w14:paraId="211D4A0A" w14:textId="3B0ABEFA"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2</w:t>
            </w:r>
            <w:r w:rsidR="00344883">
              <w:rPr>
                <w:rFonts w:cs="Arial"/>
                <w:color w:val="000000"/>
                <w:sz w:val="20"/>
                <w:szCs w:val="20"/>
              </w:rPr>
              <w:t>.</w:t>
            </w:r>
            <w:r w:rsidRPr="00E740A2">
              <w:rPr>
                <w:rFonts w:cs="Arial"/>
                <w:color w:val="000000"/>
                <w:sz w:val="20"/>
                <w:szCs w:val="20"/>
              </w:rPr>
              <w:t>73%</w:t>
            </w:r>
          </w:p>
        </w:tc>
        <w:tc>
          <w:tcPr>
            <w:tcW w:w="1474" w:type="dxa"/>
            <w:tcBorders>
              <w:top w:val="nil"/>
              <w:left w:val="nil"/>
              <w:bottom w:val="single" w:sz="4" w:space="0" w:color="auto"/>
              <w:right w:val="single" w:sz="4" w:space="0" w:color="auto"/>
            </w:tcBorders>
            <w:shd w:val="clear" w:color="auto" w:fill="auto"/>
            <w:noWrap/>
            <w:vAlign w:val="bottom"/>
            <w:hideMark/>
          </w:tcPr>
          <w:p w14:paraId="7BAE3579" w14:textId="264D5C35"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2</w:t>
            </w:r>
            <w:r w:rsidR="00344883">
              <w:rPr>
                <w:rFonts w:cs="Arial"/>
                <w:color w:val="000000"/>
                <w:sz w:val="20"/>
                <w:szCs w:val="20"/>
              </w:rPr>
              <w:t>.</w:t>
            </w:r>
            <w:r w:rsidRPr="00E740A2">
              <w:rPr>
                <w:rFonts w:cs="Arial"/>
                <w:color w:val="000000"/>
                <w:sz w:val="20"/>
                <w:szCs w:val="20"/>
              </w:rPr>
              <w:t>68%</w:t>
            </w:r>
          </w:p>
        </w:tc>
        <w:tc>
          <w:tcPr>
            <w:tcW w:w="1275" w:type="dxa"/>
            <w:tcBorders>
              <w:top w:val="nil"/>
              <w:left w:val="nil"/>
              <w:bottom w:val="single" w:sz="4" w:space="0" w:color="auto"/>
              <w:right w:val="single" w:sz="4" w:space="0" w:color="auto"/>
            </w:tcBorders>
            <w:shd w:val="clear" w:color="auto" w:fill="auto"/>
            <w:noWrap/>
            <w:vAlign w:val="bottom"/>
            <w:hideMark/>
          </w:tcPr>
          <w:p w14:paraId="65466CF9" w14:textId="00D71980"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2</w:t>
            </w:r>
            <w:r w:rsidR="00344883">
              <w:rPr>
                <w:rFonts w:cs="Arial"/>
                <w:color w:val="000000"/>
                <w:sz w:val="20"/>
                <w:szCs w:val="20"/>
              </w:rPr>
              <w:t>.</w:t>
            </w:r>
            <w:r w:rsidRPr="00E740A2">
              <w:rPr>
                <w:rFonts w:cs="Arial"/>
                <w:color w:val="000000"/>
                <w:sz w:val="20"/>
                <w:szCs w:val="20"/>
              </w:rPr>
              <w:t>89%</w:t>
            </w:r>
          </w:p>
        </w:tc>
        <w:tc>
          <w:tcPr>
            <w:tcW w:w="2020" w:type="dxa"/>
            <w:tcBorders>
              <w:top w:val="nil"/>
              <w:left w:val="nil"/>
              <w:bottom w:val="single" w:sz="4" w:space="0" w:color="auto"/>
              <w:right w:val="single" w:sz="4" w:space="0" w:color="auto"/>
            </w:tcBorders>
            <w:shd w:val="clear" w:color="auto" w:fill="auto"/>
            <w:noWrap/>
            <w:vAlign w:val="bottom"/>
            <w:hideMark/>
          </w:tcPr>
          <w:p w14:paraId="59CF7CC6" w14:textId="56F9F879" w:rsidR="00630647" w:rsidRPr="00630647" w:rsidRDefault="00630647" w:rsidP="00630647">
            <w:pPr>
              <w:keepNext/>
              <w:spacing w:before="0" w:after="0" w:line="240" w:lineRule="auto"/>
              <w:jc w:val="center"/>
              <w:rPr>
                <w:rFonts w:cs="Arial"/>
                <w:color w:val="000000"/>
                <w:sz w:val="20"/>
                <w:szCs w:val="20"/>
                <w:lang w:val="es-ES" w:eastAsia="es-ES"/>
              </w:rPr>
            </w:pPr>
            <w:r w:rsidRPr="00E740A2">
              <w:rPr>
                <w:rFonts w:cs="Arial"/>
                <w:color w:val="000000"/>
                <w:sz w:val="20"/>
                <w:szCs w:val="20"/>
              </w:rPr>
              <w:t>0</w:t>
            </w:r>
            <w:r w:rsidR="00344883">
              <w:rPr>
                <w:rFonts w:cs="Arial"/>
                <w:color w:val="000000"/>
                <w:sz w:val="20"/>
                <w:szCs w:val="20"/>
              </w:rPr>
              <w:t>.</w:t>
            </w:r>
            <w:r w:rsidRPr="00E740A2">
              <w:rPr>
                <w:rFonts w:cs="Arial"/>
                <w:color w:val="000000"/>
                <w:sz w:val="20"/>
                <w:szCs w:val="20"/>
              </w:rPr>
              <w:t>51%</w:t>
            </w:r>
          </w:p>
        </w:tc>
      </w:tr>
    </w:tbl>
    <w:p w14:paraId="099BE1D8" w14:textId="0A8A8BE9" w:rsidR="00B40D2A" w:rsidRDefault="00B40D2A" w:rsidP="00B40D2A">
      <w:pPr>
        <w:jc w:val="center"/>
        <w:rPr>
          <w:rFonts w:ascii="Verdana" w:hAnsi="Verdana"/>
          <w:b/>
          <w:sz w:val="16"/>
          <w:lang w:val="en-US"/>
        </w:rPr>
      </w:pPr>
      <w:r w:rsidRPr="005C5BB9">
        <w:rPr>
          <w:rFonts w:ascii="Verdana" w:hAnsi="Verdana"/>
          <w:b/>
          <w:sz w:val="16"/>
          <w:lang w:val="en-US"/>
        </w:rPr>
        <w:t xml:space="preserve">Table </w:t>
      </w:r>
      <w:r w:rsidRPr="005C5BB9">
        <w:rPr>
          <w:rFonts w:ascii="Verdana" w:hAnsi="Verdana"/>
          <w:b/>
          <w:sz w:val="16"/>
          <w:lang w:val="en-US"/>
        </w:rPr>
        <w:fldChar w:fldCharType="begin"/>
      </w:r>
      <w:r w:rsidRPr="005C5BB9">
        <w:rPr>
          <w:rFonts w:ascii="Verdana" w:hAnsi="Verdana"/>
          <w:b/>
          <w:sz w:val="16"/>
          <w:lang w:val="en-US"/>
        </w:rPr>
        <w:instrText xml:space="preserve"> SEQ Table \* ARABIC </w:instrText>
      </w:r>
      <w:r w:rsidRPr="005C5BB9">
        <w:rPr>
          <w:rFonts w:ascii="Verdana" w:hAnsi="Verdana"/>
          <w:b/>
          <w:sz w:val="16"/>
          <w:lang w:val="en-US"/>
        </w:rPr>
        <w:fldChar w:fldCharType="separate"/>
      </w:r>
      <w:r w:rsidR="00E859C7">
        <w:rPr>
          <w:rFonts w:ascii="Verdana" w:hAnsi="Verdana"/>
          <w:b/>
          <w:noProof/>
          <w:sz w:val="16"/>
          <w:lang w:val="en-US"/>
        </w:rPr>
        <w:t>13</w:t>
      </w:r>
      <w:r w:rsidRPr="005C5BB9">
        <w:rPr>
          <w:rFonts w:ascii="Verdana" w:hAnsi="Verdana"/>
          <w:b/>
          <w:sz w:val="16"/>
          <w:lang w:val="en-US"/>
        </w:rPr>
        <w:fldChar w:fldCharType="end"/>
      </w:r>
      <w:r>
        <w:rPr>
          <w:rFonts w:ascii="Verdana" w:hAnsi="Verdana"/>
          <w:b/>
          <w:sz w:val="16"/>
          <w:lang w:val="en-US"/>
        </w:rPr>
        <w:t>: Booked capacities from France</w:t>
      </w:r>
      <w:r w:rsidRPr="008B5565">
        <w:rPr>
          <w:rFonts w:ascii="Verdana" w:hAnsi="Verdana"/>
          <w:b/>
          <w:sz w:val="16"/>
          <w:lang w:val="en-US"/>
        </w:rPr>
        <w:t xml:space="preserve"> to </w:t>
      </w:r>
      <w:r>
        <w:rPr>
          <w:rFonts w:ascii="Verdana" w:hAnsi="Verdana"/>
          <w:b/>
          <w:sz w:val="16"/>
          <w:lang w:val="en-US"/>
        </w:rPr>
        <w:t>Spain</w:t>
      </w:r>
      <w:r w:rsidRPr="008B5565">
        <w:rPr>
          <w:rFonts w:ascii="Verdana" w:hAnsi="Verdana"/>
          <w:b/>
          <w:sz w:val="16"/>
          <w:lang w:val="en-US"/>
        </w:rPr>
        <w:t xml:space="preserve"> </w:t>
      </w:r>
      <w:r>
        <w:rPr>
          <w:rFonts w:ascii="Verdana" w:hAnsi="Verdana"/>
          <w:b/>
          <w:sz w:val="16"/>
          <w:lang w:val="en-US"/>
        </w:rPr>
        <w:t>on the Spanish side</w:t>
      </w:r>
    </w:p>
    <w:p w14:paraId="41854A3A" w14:textId="6906F21A" w:rsidR="00BC0FB7" w:rsidRDefault="00EC0E9D" w:rsidP="00E740A2">
      <w:pPr>
        <w:spacing w:line="312" w:lineRule="auto"/>
        <w:rPr>
          <w:lang w:val="en-US" w:eastAsia="ja-JP"/>
        </w:rPr>
      </w:pPr>
      <w:r>
        <w:rPr>
          <w:lang w:val="en-US" w:eastAsia="ja-JP"/>
        </w:rPr>
        <w:t xml:space="preserve">As it can be seen, there was a higher assignment in </w:t>
      </w:r>
      <w:r w:rsidR="00DC4FCD">
        <w:rPr>
          <w:lang w:val="en-US" w:eastAsia="ja-JP"/>
        </w:rPr>
        <w:t>y</w:t>
      </w:r>
      <w:r>
        <w:rPr>
          <w:lang w:val="en-US" w:eastAsia="ja-JP"/>
        </w:rPr>
        <w:t>early</w:t>
      </w:r>
      <w:r w:rsidR="00630647">
        <w:rPr>
          <w:lang w:val="en-US" w:eastAsia="ja-JP"/>
        </w:rPr>
        <w:t xml:space="preserve">, </w:t>
      </w:r>
      <w:r w:rsidR="00DC4FCD">
        <w:rPr>
          <w:lang w:val="en-US" w:eastAsia="ja-JP"/>
        </w:rPr>
        <w:t>q</w:t>
      </w:r>
      <w:r>
        <w:rPr>
          <w:lang w:val="en-US" w:eastAsia="ja-JP"/>
        </w:rPr>
        <w:t>uarterly</w:t>
      </w:r>
      <w:r w:rsidR="00630647">
        <w:rPr>
          <w:lang w:val="en-US" w:eastAsia="ja-JP"/>
        </w:rPr>
        <w:t>, daily and within-day  p</w:t>
      </w:r>
      <w:r>
        <w:rPr>
          <w:lang w:val="en-US" w:eastAsia="ja-JP"/>
        </w:rPr>
        <w:t>roducts during the last year than during the first two years.</w:t>
      </w:r>
    </w:p>
    <w:p w14:paraId="5820C8B2" w14:textId="23650A5E" w:rsidR="00EC0E9D" w:rsidRDefault="00EC0E9D" w:rsidP="00E740A2">
      <w:pPr>
        <w:spacing w:line="312" w:lineRule="auto"/>
        <w:rPr>
          <w:lang w:val="en-US" w:eastAsia="ja-JP"/>
        </w:rPr>
      </w:pPr>
      <w:r>
        <w:rPr>
          <w:lang w:val="en-US" w:eastAsia="ja-JP"/>
        </w:rPr>
        <w:t xml:space="preserve">Until November 2018, the date on which the French Market Merger </w:t>
      </w:r>
      <w:r w:rsidR="002F3BC3">
        <w:rPr>
          <w:lang w:val="en-US" w:eastAsia="ja-JP"/>
        </w:rPr>
        <w:t xml:space="preserve">took </w:t>
      </w:r>
      <w:r>
        <w:rPr>
          <w:lang w:val="en-US" w:eastAsia="ja-JP"/>
        </w:rPr>
        <w:t xml:space="preserve">place, daily and within-day bookings </w:t>
      </w:r>
      <w:r w:rsidR="00112F47">
        <w:rPr>
          <w:lang w:val="en-US" w:eastAsia="ja-JP"/>
        </w:rPr>
        <w:t xml:space="preserve">were done </w:t>
      </w:r>
      <w:r>
        <w:rPr>
          <w:lang w:val="en-US" w:eastAsia="ja-JP"/>
        </w:rPr>
        <w:t>only in the winter period, however, after the French Market Merger, daily and within-day bookings are much more frequent</w:t>
      </w:r>
      <w:r w:rsidR="002F672A">
        <w:rPr>
          <w:lang w:val="en-US" w:eastAsia="ja-JP"/>
        </w:rPr>
        <w:t>,</w:t>
      </w:r>
      <w:r>
        <w:rPr>
          <w:lang w:val="en-US" w:eastAsia="ja-JP"/>
        </w:rPr>
        <w:t xml:space="preserve"> especially when the price spread between the two markets </w:t>
      </w:r>
      <w:r w:rsidR="002F672A">
        <w:rPr>
          <w:lang w:val="en-US" w:eastAsia="ja-JP"/>
        </w:rPr>
        <w:t xml:space="preserve">was </w:t>
      </w:r>
      <w:r>
        <w:rPr>
          <w:lang w:val="en-US" w:eastAsia="ja-JP"/>
        </w:rPr>
        <w:t>attractive enough (see Chapter 5).</w:t>
      </w:r>
    </w:p>
    <w:p w14:paraId="69950714" w14:textId="14F8F67D" w:rsidR="005307D1" w:rsidRDefault="005307D1" w:rsidP="001A72D0">
      <w:pPr>
        <w:pStyle w:val="Ttulo4"/>
        <w:numPr>
          <w:ilvl w:val="3"/>
          <w:numId w:val="15"/>
        </w:numPr>
        <w:spacing w:line="240" w:lineRule="auto"/>
      </w:pPr>
      <w:r>
        <w:t>South North Flow Direction</w:t>
      </w:r>
    </w:p>
    <w:p w14:paraId="327A7A1B" w14:textId="33275826" w:rsidR="00EC0E9D" w:rsidRDefault="005307D1" w:rsidP="00BC0FB7">
      <w:pPr>
        <w:rPr>
          <w:b/>
          <w:u w:val="single"/>
          <w:lang w:val="en-US"/>
        </w:rPr>
      </w:pPr>
      <w:r w:rsidRPr="00B40D2A">
        <w:rPr>
          <w:b/>
          <w:u w:val="single"/>
          <w:lang w:val="en-US"/>
        </w:rPr>
        <w:t>French side</w:t>
      </w:r>
    </w:p>
    <w:p w14:paraId="4549184F" w14:textId="229EEC9A" w:rsidR="005260D1" w:rsidRDefault="00E345E9" w:rsidP="005260D1">
      <w:pPr>
        <w:rPr>
          <w:b/>
          <w:u w:val="single"/>
          <w:lang w:val="en-GB"/>
        </w:rPr>
      </w:pPr>
      <w:r w:rsidRPr="00A27A57">
        <w:rPr>
          <w:noProof/>
          <w:lang w:val="es-ES" w:eastAsia="es-ES"/>
        </w:rPr>
        <w:drawing>
          <wp:inline distT="0" distB="0" distL="0" distR="0" wp14:anchorId="5E1FE5B4" wp14:editId="593D5C0C">
            <wp:extent cx="5694045" cy="2908300"/>
            <wp:effectExtent l="0" t="0" r="1905"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4045" cy="2908300"/>
                    </a:xfrm>
                    <a:prstGeom prst="rect">
                      <a:avLst/>
                    </a:prstGeom>
                    <a:noFill/>
                  </pic:spPr>
                </pic:pic>
              </a:graphicData>
            </a:graphic>
          </wp:inline>
        </w:drawing>
      </w:r>
    </w:p>
    <w:p w14:paraId="4670CE57" w14:textId="277B3EE5" w:rsidR="00A27A57" w:rsidRDefault="00A27A57" w:rsidP="00A27A57">
      <w:pPr>
        <w:pStyle w:val="Descripcin"/>
        <w:spacing w:before="240" w:line="360" w:lineRule="auto"/>
        <w:jc w:val="center"/>
        <w:rPr>
          <w:sz w:val="16"/>
          <w:lang w:val="en-US"/>
        </w:rPr>
      </w:pPr>
      <w:r w:rsidRPr="003F545A">
        <w:rPr>
          <w:sz w:val="16"/>
          <w:lang w:val="en-US"/>
        </w:rPr>
        <w:t xml:space="preserve">Figure </w:t>
      </w:r>
      <w:r w:rsidRPr="003F545A">
        <w:rPr>
          <w:sz w:val="16"/>
        </w:rPr>
        <w:fldChar w:fldCharType="begin"/>
      </w:r>
      <w:r w:rsidRPr="003F545A">
        <w:rPr>
          <w:sz w:val="16"/>
          <w:lang w:val="en-US"/>
        </w:rPr>
        <w:instrText xml:space="preserve"> SEQ Figure \* ARABIC </w:instrText>
      </w:r>
      <w:r w:rsidRPr="003F545A">
        <w:rPr>
          <w:sz w:val="16"/>
        </w:rPr>
        <w:fldChar w:fldCharType="separate"/>
      </w:r>
      <w:r w:rsidR="00E859C7">
        <w:rPr>
          <w:noProof/>
          <w:sz w:val="16"/>
          <w:lang w:val="en-US"/>
        </w:rPr>
        <w:t>24</w:t>
      </w:r>
      <w:r w:rsidRPr="003F545A">
        <w:rPr>
          <w:sz w:val="16"/>
        </w:rPr>
        <w:fldChar w:fldCharType="end"/>
      </w:r>
      <w:r w:rsidRPr="003F545A">
        <w:rPr>
          <w:sz w:val="16"/>
          <w:lang w:val="en-US"/>
        </w:rPr>
        <w:t xml:space="preserve">: Status of booked capacity </w:t>
      </w:r>
      <w:r>
        <w:rPr>
          <w:sz w:val="16"/>
          <w:lang w:val="en-US"/>
        </w:rPr>
        <w:t>by product</w:t>
      </w:r>
      <w:r w:rsidRPr="003F545A">
        <w:rPr>
          <w:sz w:val="16"/>
          <w:lang w:val="en-US"/>
        </w:rPr>
        <w:t xml:space="preserve"> at VIP Pirineos, </w:t>
      </w:r>
      <w:r>
        <w:rPr>
          <w:sz w:val="16"/>
          <w:lang w:val="en-US"/>
        </w:rPr>
        <w:t>Spain to France</w:t>
      </w:r>
      <w:r w:rsidRPr="003F545A">
        <w:rPr>
          <w:sz w:val="16"/>
          <w:lang w:val="en-US"/>
        </w:rPr>
        <w:t xml:space="preserve"> direction</w:t>
      </w:r>
    </w:p>
    <w:p w14:paraId="2036592E" w14:textId="1ABAC139" w:rsidR="005260D1" w:rsidRPr="006E70B0" w:rsidRDefault="005260D1" w:rsidP="005260D1">
      <w:pPr>
        <w:rPr>
          <w:lang w:val="en-US"/>
        </w:rPr>
      </w:pPr>
      <w:r w:rsidRPr="006E70B0">
        <w:rPr>
          <w:lang w:val="en-US"/>
        </w:rPr>
        <w:t>Status of booked capacity at VIP Pirineos, Spain to France direction</w:t>
      </w:r>
      <w:r w:rsidRPr="005260D1">
        <w:fldChar w:fldCharType="begin"/>
      </w:r>
      <w:r w:rsidRPr="006E70B0">
        <w:rPr>
          <w:lang w:val="en-GB"/>
        </w:rPr>
        <w:instrText xml:space="preserve"> LINK Excel.Sheet.12 "\\\\sie.local\\SIE$\\Home\\PDU\\1\\J0501571\\Desktop\\VIP raport\\191216-Data report oct2016-sept2019 (3).xlsx" "2,3,1!L22C12:L27C18" \a \f 4 \h  \* MERGEFORMAT </w:instrText>
      </w:r>
      <w:r w:rsidRPr="005260D1">
        <w:fldChar w:fldCharType="separate"/>
      </w:r>
    </w:p>
    <w:p w14:paraId="60080251" w14:textId="0A3AEA72" w:rsidR="005260D1" w:rsidRDefault="005260D1" w:rsidP="005260D1">
      <w:pPr>
        <w:rPr>
          <w:b/>
          <w:u w:val="single"/>
          <w:lang w:val="en-US"/>
        </w:rPr>
      </w:pPr>
      <w:r w:rsidRPr="005260D1">
        <w:rPr>
          <w:b/>
          <w:u w:val="single"/>
          <w:lang w:val="en-US"/>
        </w:rPr>
        <w:fldChar w:fldCharType="end"/>
      </w:r>
      <w:r w:rsidRPr="005260D1">
        <w:rPr>
          <w:b/>
          <w:noProof/>
          <w:u w:val="single"/>
          <w:lang w:val="es-ES" w:eastAsia="es-ES"/>
        </w:rPr>
        <w:drawing>
          <wp:inline distT="0" distB="0" distL="0" distR="0" wp14:anchorId="68A8B145" wp14:editId="2AA58F11">
            <wp:extent cx="5670550" cy="768350"/>
            <wp:effectExtent l="0" t="0" r="635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0550" cy="768350"/>
                    </a:xfrm>
                    <a:prstGeom prst="rect">
                      <a:avLst/>
                    </a:prstGeom>
                    <a:noFill/>
                    <a:ln>
                      <a:noFill/>
                    </a:ln>
                  </pic:spPr>
                </pic:pic>
              </a:graphicData>
            </a:graphic>
          </wp:inline>
        </w:drawing>
      </w:r>
    </w:p>
    <w:p w14:paraId="3E28947C" w14:textId="66F971AB" w:rsidR="00A27A57" w:rsidRPr="005260D1" w:rsidRDefault="00A27A57" w:rsidP="00A27A57">
      <w:pPr>
        <w:jc w:val="center"/>
        <w:rPr>
          <w:b/>
          <w:u w:val="single"/>
          <w:lang w:val="en-US"/>
        </w:rPr>
      </w:pPr>
      <w:r w:rsidRPr="005C5BB9">
        <w:rPr>
          <w:rFonts w:ascii="Verdana" w:hAnsi="Verdana"/>
          <w:b/>
          <w:sz w:val="16"/>
          <w:lang w:val="en-US"/>
        </w:rPr>
        <w:t xml:space="preserve">Table </w:t>
      </w:r>
      <w:r w:rsidRPr="005C5BB9">
        <w:rPr>
          <w:rFonts w:ascii="Verdana" w:hAnsi="Verdana"/>
          <w:b/>
          <w:sz w:val="16"/>
          <w:lang w:val="en-US"/>
        </w:rPr>
        <w:fldChar w:fldCharType="begin"/>
      </w:r>
      <w:r w:rsidRPr="005C5BB9">
        <w:rPr>
          <w:rFonts w:ascii="Verdana" w:hAnsi="Verdana"/>
          <w:b/>
          <w:sz w:val="16"/>
          <w:lang w:val="en-US"/>
        </w:rPr>
        <w:instrText xml:space="preserve"> SEQ Table \* ARABIC </w:instrText>
      </w:r>
      <w:r w:rsidRPr="005C5BB9">
        <w:rPr>
          <w:rFonts w:ascii="Verdana" w:hAnsi="Verdana"/>
          <w:b/>
          <w:sz w:val="16"/>
          <w:lang w:val="en-US"/>
        </w:rPr>
        <w:fldChar w:fldCharType="separate"/>
      </w:r>
      <w:r w:rsidR="00E859C7">
        <w:rPr>
          <w:rFonts w:ascii="Verdana" w:hAnsi="Verdana"/>
          <w:b/>
          <w:noProof/>
          <w:sz w:val="16"/>
          <w:lang w:val="en-US"/>
        </w:rPr>
        <w:t>14</w:t>
      </w:r>
      <w:r w:rsidRPr="005C5BB9">
        <w:rPr>
          <w:rFonts w:ascii="Verdana" w:hAnsi="Verdana"/>
          <w:b/>
          <w:sz w:val="16"/>
          <w:lang w:val="en-US"/>
        </w:rPr>
        <w:fldChar w:fldCharType="end"/>
      </w:r>
      <w:r>
        <w:rPr>
          <w:rFonts w:ascii="Verdana" w:hAnsi="Verdana"/>
          <w:b/>
          <w:sz w:val="16"/>
          <w:lang w:val="en-US"/>
        </w:rPr>
        <w:t>: Booked capacities from Spain</w:t>
      </w:r>
      <w:r w:rsidRPr="008B5565">
        <w:rPr>
          <w:rFonts w:ascii="Verdana" w:hAnsi="Verdana"/>
          <w:b/>
          <w:sz w:val="16"/>
          <w:lang w:val="en-US"/>
        </w:rPr>
        <w:t xml:space="preserve"> to </w:t>
      </w:r>
      <w:r>
        <w:rPr>
          <w:rFonts w:ascii="Verdana" w:hAnsi="Verdana"/>
          <w:b/>
          <w:sz w:val="16"/>
          <w:lang w:val="en-US"/>
        </w:rPr>
        <w:t>France</w:t>
      </w:r>
      <w:r w:rsidRPr="008B5565">
        <w:rPr>
          <w:rFonts w:ascii="Verdana" w:hAnsi="Verdana"/>
          <w:b/>
          <w:sz w:val="16"/>
          <w:lang w:val="en-US"/>
        </w:rPr>
        <w:t xml:space="preserve"> </w:t>
      </w:r>
      <w:r>
        <w:rPr>
          <w:rFonts w:ascii="Verdana" w:hAnsi="Verdana"/>
          <w:b/>
          <w:sz w:val="16"/>
          <w:lang w:val="en-US"/>
        </w:rPr>
        <w:t>on the French side</w:t>
      </w:r>
    </w:p>
    <w:p w14:paraId="2E4DB7A4" w14:textId="714A9BFB" w:rsidR="005260D1" w:rsidRPr="006E70B0" w:rsidRDefault="005260D1" w:rsidP="00A91FE8">
      <w:pPr>
        <w:spacing w:line="312" w:lineRule="auto"/>
        <w:rPr>
          <w:lang w:val="en-US"/>
        </w:rPr>
      </w:pPr>
      <w:r w:rsidRPr="006E70B0">
        <w:rPr>
          <w:lang w:val="en-US"/>
        </w:rPr>
        <w:t>Booked capacities from Spain to France on the French side</w:t>
      </w:r>
    </w:p>
    <w:p w14:paraId="768ADCBA" w14:textId="77777777" w:rsidR="005260D1" w:rsidRPr="006E70B0" w:rsidRDefault="005260D1" w:rsidP="00A91FE8">
      <w:pPr>
        <w:spacing w:line="312" w:lineRule="auto"/>
        <w:rPr>
          <w:lang w:val="en-GB"/>
        </w:rPr>
      </w:pPr>
      <w:r w:rsidRPr="006E70B0">
        <w:rPr>
          <w:lang w:val="en-GB"/>
        </w:rPr>
        <w:t xml:space="preserve">In Spain to France direction, 79% of the total firm capacity is booked OSP contracts. The rest of the bookings remain marginal and concerns particular events with price signals, on short-term products (daily and intraday).  </w:t>
      </w:r>
    </w:p>
    <w:p w14:paraId="4842B6B8" w14:textId="77777777" w:rsidR="005260D1" w:rsidRPr="006E70B0" w:rsidRDefault="005260D1" w:rsidP="00A91FE8">
      <w:pPr>
        <w:spacing w:line="312" w:lineRule="auto"/>
        <w:rPr>
          <w:lang w:val="en-US"/>
        </w:rPr>
      </w:pPr>
      <w:r w:rsidRPr="006E70B0">
        <w:rPr>
          <w:lang w:val="en-US"/>
        </w:rPr>
        <w:t>Note: at the end of 2019, massive delivery of LNG at global scale set a price taker position for Europe that decreased gas hub prices. A permanent south to north physical flow is observed in November and December 2019 (out of the period of study but relevant to be mentioned).</w:t>
      </w:r>
    </w:p>
    <w:p w14:paraId="72188EB3" w14:textId="35F77FDE" w:rsidR="005307D1" w:rsidRPr="00C710F8" w:rsidRDefault="005307D1" w:rsidP="00BC0FB7">
      <w:pPr>
        <w:rPr>
          <w:rFonts w:cs="Arial"/>
          <w:color w:val="000000" w:themeColor="text1"/>
          <w:szCs w:val="22"/>
          <w:lang w:val="en-GB"/>
        </w:rPr>
      </w:pPr>
      <w:r w:rsidRPr="00B40D2A">
        <w:rPr>
          <w:b/>
          <w:u w:val="single"/>
          <w:lang w:val="en-US"/>
        </w:rPr>
        <w:t>Spanish side</w:t>
      </w:r>
    </w:p>
    <w:p w14:paraId="2BE2BDC4" w14:textId="0F872792" w:rsidR="001912D2" w:rsidRDefault="001A4B15" w:rsidP="00B30683">
      <w:pPr>
        <w:pStyle w:val="Descripcin"/>
        <w:spacing w:before="240" w:line="360" w:lineRule="auto"/>
        <w:jc w:val="center"/>
        <w:rPr>
          <w:sz w:val="16"/>
          <w:lang w:val="en-US"/>
        </w:rPr>
      </w:pPr>
      <w:r>
        <w:rPr>
          <w:noProof/>
          <w:sz w:val="16"/>
          <w:lang w:eastAsia="es-ES"/>
        </w:rPr>
        <w:drawing>
          <wp:inline distT="0" distB="0" distL="0" distR="0" wp14:anchorId="7ED86714" wp14:editId="6886DD23">
            <wp:extent cx="5559095" cy="2867089"/>
            <wp:effectExtent l="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0250" cy="2872842"/>
                    </a:xfrm>
                    <a:prstGeom prst="rect">
                      <a:avLst/>
                    </a:prstGeom>
                    <a:noFill/>
                  </pic:spPr>
                </pic:pic>
              </a:graphicData>
            </a:graphic>
          </wp:inline>
        </w:drawing>
      </w:r>
    </w:p>
    <w:p w14:paraId="2FD38CC8" w14:textId="379093FA" w:rsidR="005307D1" w:rsidRDefault="005307D1" w:rsidP="00B30683">
      <w:pPr>
        <w:pStyle w:val="Descripcin"/>
        <w:spacing w:before="240" w:line="360" w:lineRule="auto"/>
        <w:jc w:val="center"/>
        <w:rPr>
          <w:sz w:val="16"/>
          <w:lang w:val="en-US"/>
        </w:rPr>
      </w:pPr>
      <w:r w:rsidRPr="003F545A">
        <w:rPr>
          <w:sz w:val="16"/>
          <w:lang w:val="en-US"/>
        </w:rPr>
        <w:t xml:space="preserve">Figure </w:t>
      </w:r>
      <w:r w:rsidRPr="003F545A">
        <w:rPr>
          <w:sz w:val="16"/>
        </w:rPr>
        <w:fldChar w:fldCharType="begin"/>
      </w:r>
      <w:r w:rsidRPr="003F545A">
        <w:rPr>
          <w:sz w:val="16"/>
          <w:lang w:val="en-US"/>
        </w:rPr>
        <w:instrText xml:space="preserve"> SEQ Figure \* ARABIC </w:instrText>
      </w:r>
      <w:r w:rsidRPr="003F545A">
        <w:rPr>
          <w:sz w:val="16"/>
        </w:rPr>
        <w:fldChar w:fldCharType="separate"/>
      </w:r>
      <w:r w:rsidR="00E859C7">
        <w:rPr>
          <w:noProof/>
          <w:sz w:val="16"/>
          <w:lang w:val="en-US"/>
        </w:rPr>
        <w:t>25</w:t>
      </w:r>
      <w:r w:rsidRPr="003F545A">
        <w:rPr>
          <w:sz w:val="16"/>
        </w:rPr>
        <w:fldChar w:fldCharType="end"/>
      </w:r>
      <w:r w:rsidRPr="003F545A">
        <w:rPr>
          <w:sz w:val="16"/>
          <w:lang w:val="en-US"/>
        </w:rPr>
        <w:t xml:space="preserve">: Status of booked capacity </w:t>
      </w:r>
      <w:r>
        <w:rPr>
          <w:sz w:val="16"/>
          <w:lang w:val="en-US"/>
        </w:rPr>
        <w:t>by product</w:t>
      </w:r>
      <w:r w:rsidRPr="003F545A">
        <w:rPr>
          <w:sz w:val="16"/>
          <w:lang w:val="en-US"/>
        </w:rPr>
        <w:t xml:space="preserve"> at VIP Pirineos, </w:t>
      </w:r>
      <w:r>
        <w:rPr>
          <w:sz w:val="16"/>
          <w:lang w:val="en-US"/>
        </w:rPr>
        <w:t>France to Spain</w:t>
      </w:r>
      <w:r w:rsidRPr="003F545A">
        <w:rPr>
          <w:sz w:val="16"/>
          <w:lang w:val="en-US"/>
        </w:rPr>
        <w:t xml:space="preserve"> direction</w:t>
      </w:r>
    </w:p>
    <w:p w14:paraId="7FF6A1DB" w14:textId="22BAE655" w:rsidR="005307D1" w:rsidRDefault="00C30B6F" w:rsidP="00E261BE">
      <w:pPr>
        <w:spacing w:line="312" w:lineRule="auto"/>
        <w:rPr>
          <w:lang w:val="en-US" w:eastAsia="ja-JP"/>
        </w:rPr>
      </w:pPr>
      <w:r>
        <w:rPr>
          <w:lang w:val="en-US" w:eastAsia="ja-JP"/>
        </w:rPr>
        <w:t>In</w:t>
      </w:r>
      <w:r w:rsidRPr="00F51CC3">
        <w:rPr>
          <w:lang w:val="en-US" w:eastAsia="ja-JP"/>
        </w:rPr>
        <w:t xml:space="preserve"> </w:t>
      </w:r>
      <w:r w:rsidR="005307D1" w:rsidRPr="00F51CC3">
        <w:rPr>
          <w:lang w:val="en-US" w:eastAsia="ja-JP"/>
        </w:rPr>
        <w:t>this direction</w:t>
      </w:r>
      <w:r w:rsidR="00A9376A">
        <w:rPr>
          <w:lang w:val="en-US" w:eastAsia="ja-JP"/>
        </w:rPr>
        <w:t xml:space="preserve"> 99</w:t>
      </w:r>
      <w:r w:rsidR="008A1A1C">
        <w:rPr>
          <w:lang w:val="en-US" w:eastAsia="ja-JP"/>
        </w:rPr>
        <w:t>.</w:t>
      </w:r>
      <w:r w:rsidR="00A9376A">
        <w:rPr>
          <w:lang w:val="en-US" w:eastAsia="ja-JP"/>
        </w:rPr>
        <w:t>65%</w:t>
      </w:r>
      <w:r w:rsidR="005727AF">
        <w:rPr>
          <w:lang w:val="en-US" w:eastAsia="ja-JP"/>
        </w:rPr>
        <w:t>, on average for the whole studied period,</w:t>
      </w:r>
      <w:r w:rsidR="00A9376A">
        <w:rPr>
          <w:lang w:val="en-US" w:eastAsia="ja-JP"/>
        </w:rPr>
        <w:t xml:space="preserve"> of the booked capacity was allocated during the Open Season. Furthermore an insignificant amount of capacity was booked in yearly auctions (2016 and 2017). Finally, daily products were only allocated in 10 da</w:t>
      </w:r>
      <w:r w:rsidR="00737BB3">
        <w:rPr>
          <w:lang w:val="en-US" w:eastAsia="ja-JP"/>
        </w:rPr>
        <w:t>ys of the period under study and within-day products in 12 days.</w:t>
      </w:r>
    </w:p>
    <w:tbl>
      <w:tblPr>
        <w:tblW w:w="8967" w:type="dxa"/>
        <w:tblCellMar>
          <w:left w:w="70" w:type="dxa"/>
          <w:right w:w="70" w:type="dxa"/>
        </w:tblCellMar>
        <w:tblLook w:val="04A0" w:firstRow="1" w:lastRow="0" w:firstColumn="1" w:lastColumn="0" w:noHBand="0" w:noVBand="1"/>
      </w:tblPr>
      <w:tblGrid>
        <w:gridCol w:w="1157"/>
        <w:gridCol w:w="1330"/>
        <w:gridCol w:w="1209"/>
        <w:gridCol w:w="1469"/>
        <w:gridCol w:w="1348"/>
        <w:gridCol w:w="1103"/>
        <w:gridCol w:w="1351"/>
      </w:tblGrid>
      <w:tr w:rsidR="00A9376A" w:rsidRPr="00A9376A" w14:paraId="343B93D9" w14:textId="754E586A" w:rsidTr="00630647">
        <w:trPr>
          <w:trHeight w:val="314"/>
        </w:trPr>
        <w:tc>
          <w:tcPr>
            <w:tcW w:w="1157" w:type="dxa"/>
            <w:tcBorders>
              <w:top w:val="nil"/>
              <w:left w:val="nil"/>
              <w:bottom w:val="nil"/>
              <w:right w:val="nil"/>
            </w:tcBorders>
            <w:shd w:val="clear" w:color="auto" w:fill="auto"/>
            <w:noWrap/>
            <w:vAlign w:val="center"/>
            <w:hideMark/>
          </w:tcPr>
          <w:p w14:paraId="38BF3626" w14:textId="3D7DBCA7" w:rsidR="00A9376A" w:rsidRPr="008A1A1C" w:rsidRDefault="00A9376A" w:rsidP="00A91FE8">
            <w:pPr>
              <w:keepNext/>
              <w:spacing w:before="0" w:after="0" w:line="240" w:lineRule="auto"/>
              <w:jc w:val="left"/>
              <w:rPr>
                <w:rFonts w:cs="Arial"/>
                <w:sz w:val="20"/>
                <w:szCs w:val="20"/>
                <w:lang w:val="en-US" w:eastAsia="es-ES"/>
              </w:rPr>
            </w:pPr>
          </w:p>
        </w:tc>
        <w:tc>
          <w:tcPr>
            <w:tcW w:w="7810" w:type="dxa"/>
            <w:gridSpan w:val="6"/>
            <w:tcBorders>
              <w:top w:val="single" w:sz="4" w:space="0" w:color="auto"/>
              <w:left w:val="single" w:sz="4" w:space="0" w:color="auto"/>
              <w:bottom w:val="single" w:sz="4" w:space="0" w:color="auto"/>
              <w:right w:val="single" w:sz="4" w:space="0" w:color="auto"/>
            </w:tcBorders>
            <w:shd w:val="clear" w:color="000000" w:fill="9CB700"/>
            <w:noWrap/>
            <w:vAlign w:val="center"/>
            <w:hideMark/>
          </w:tcPr>
          <w:p w14:paraId="1A8D27C6" w14:textId="6BEA62E7" w:rsidR="00A9376A" w:rsidRPr="00E261BE" w:rsidRDefault="00C534AE" w:rsidP="00A91FE8">
            <w:pPr>
              <w:keepNext/>
              <w:spacing w:before="0" w:after="0" w:line="240" w:lineRule="auto"/>
              <w:jc w:val="center"/>
              <w:rPr>
                <w:rFonts w:cs="Arial"/>
                <w:b/>
                <w:bCs/>
                <w:color w:val="FFFFFF"/>
                <w:sz w:val="20"/>
                <w:szCs w:val="20"/>
                <w:lang w:val="en-US" w:eastAsia="es-ES"/>
              </w:rPr>
            </w:pPr>
            <w:r w:rsidRPr="00B40D2A">
              <w:rPr>
                <w:rFonts w:cs="Arial"/>
                <w:b/>
                <w:bCs/>
                <w:color w:val="FFFFFF"/>
                <w:sz w:val="20"/>
                <w:szCs w:val="20"/>
                <w:lang w:val="en-US" w:eastAsia="es-ES"/>
              </w:rPr>
              <w:t>% Booked capacity by time horizon</w:t>
            </w:r>
            <w:r>
              <w:rPr>
                <w:rFonts w:cs="Arial"/>
                <w:b/>
                <w:bCs/>
                <w:color w:val="FFFFFF"/>
                <w:sz w:val="20"/>
                <w:szCs w:val="20"/>
                <w:lang w:val="en-US" w:eastAsia="es-ES"/>
              </w:rPr>
              <w:t xml:space="preserve"> </w:t>
            </w:r>
            <w:r w:rsidR="00630647">
              <w:rPr>
                <w:rFonts w:cs="Arial"/>
                <w:b/>
                <w:bCs/>
                <w:color w:val="FFFFFF"/>
                <w:sz w:val="20"/>
                <w:szCs w:val="20"/>
                <w:lang w:val="en-US" w:eastAsia="es-ES"/>
              </w:rPr>
              <w:t>versus total booked capacity</w:t>
            </w:r>
          </w:p>
        </w:tc>
      </w:tr>
      <w:tr w:rsidR="00A9376A" w:rsidRPr="00A9376A" w14:paraId="072A4D6A" w14:textId="47653734" w:rsidTr="00630647">
        <w:trPr>
          <w:trHeight w:val="314"/>
        </w:trPr>
        <w:tc>
          <w:tcPr>
            <w:tcW w:w="1157" w:type="dxa"/>
            <w:tcBorders>
              <w:top w:val="nil"/>
              <w:left w:val="nil"/>
              <w:bottom w:val="nil"/>
              <w:right w:val="nil"/>
            </w:tcBorders>
            <w:shd w:val="clear" w:color="auto" w:fill="auto"/>
            <w:noWrap/>
            <w:vAlign w:val="center"/>
            <w:hideMark/>
          </w:tcPr>
          <w:p w14:paraId="6CA3B928" w14:textId="59A2D610" w:rsidR="00A9376A" w:rsidRPr="00E261BE" w:rsidRDefault="00A9376A" w:rsidP="00A91FE8">
            <w:pPr>
              <w:keepNext/>
              <w:spacing w:before="0" w:after="0" w:line="240" w:lineRule="auto"/>
              <w:jc w:val="center"/>
              <w:rPr>
                <w:rFonts w:cs="Arial"/>
                <w:b/>
                <w:bCs/>
                <w:color w:val="FFFFFF"/>
                <w:sz w:val="20"/>
                <w:szCs w:val="20"/>
                <w:lang w:val="en-US" w:eastAsia="es-ES"/>
              </w:rPr>
            </w:pPr>
          </w:p>
        </w:tc>
        <w:tc>
          <w:tcPr>
            <w:tcW w:w="1330" w:type="dxa"/>
            <w:tcBorders>
              <w:top w:val="nil"/>
              <w:left w:val="single" w:sz="4" w:space="0" w:color="auto"/>
              <w:bottom w:val="single" w:sz="4" w:space="0" w:color="auto"/>
              <w:right w:val="single" w:sz="4" w:space="0" w:color="auto"/>
            </w:tcBorders>
            <w:shd w:val="clear" w:color="000000" w:fill="63666A"/>
            <w:noWrap/>
            <w:vAlign w:val="center"/>
            <w:hideMark/>
          </w:tcPr>
          <w:p w14:paraId="60031EC1" w14:textId="56FB11E2" w:rsidR="00A9376A" w:rsidRPr="008A1A1C" w:rsidRDefault="00A9376A"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LT contracts</w:t>
            </w:r>
          </w:p>
        </w:tc>
        <w:tc>
          <w:tcPr>
            <w:tcW w:w="1209" w:type="dxa"/>
            <w:tcBorders>
              <w:top w:val="nil"/>
              <w:left w:val="nil"/>
              <w:bottom w:val="single" w:sz="4" w:space="0" w:color="auto"/>
              <w:right w:val="single" w:sz="4" w:space="0" w:color="auto"/>
            </w:tcBorders>
            <w:shd w:val="clear" w:color="000000" w:fill="63666A"/>
            <w:noWrap/>
            <w:vAlign w:val="center"/>
            <w:hideMark/>
          </w:tcPr>
          <w:p w14:paraId="72BFA941" w14:textId="78E9DE6B" w:rsidR="00A9376A" w:rsidRPr="008A1A1C" w:rsidRDefault="00A9376A"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Yearly product</w:t>
            </w:r>
          </w:p>
        </w:tc>
        <w:tc>
          <w:tcPr>
            <w:tcW w:w="1469" w:type="dxa"/>
            <w:tcBorders>
              <w:top w:val="nil"/>
              <w:left w:val="nil"/>
              <w:bottom w:val="single" w:sz="4" w:space="0" w:color="auto"/>
              <w:right w:val="single" w:sz="4" w:space="0" w:color="auto"/>
            </w:tcBorders>
            <w:shd w:val="clear" w:color="000000" w:fill="63666A"/>
            <w:noWrap/>
            <w:vAlign w:val="center"/>
            <w:hideMark/>
          </w:tcPr>
          <w:p w14:paraId="3DCD05F8" w14:textId="3F06AE79" w:rsidR="00A9376A" w:rsidRPr="008A1A1C" w:rsidRDefault="00A9376A"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Quarterly product</w:t>
            </w:r>
          </w:p>
        </w:tc>
        <w:tc>
          <w:tcPr>
            <w:tcW w:w="1348" w:type="dxa"/>
            <w:tcBorders>
              <w:top w:val="nil"/>
              <w:left w:val="nil"/>
              <w:bottom w:val="single" w:sz="4" w:space="0" w:color="auto"/>
              <w:right w:val="single" w:sz="4" w:space="0" w:color="auto"/>
            </w:tcBorders>
            <w:shd w:val="clear" w:color="000000" w:fill="63666A"/>
            <w:noWrap/>
            <w:vAlign w:val="center"/>
            <w:hideMark/>
          </w:tcPr>
          <w:p w14:paraId="7D6ACF89" w14:textId="7E603EAE" w:rsidR="00A9376A" w:rsidRPr="008A1A1C" w:rsidRDefault="00A9376A"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Monthly product</w:t>
            </w:r>
          </w:p>
        </w:tc>
        <w:tc>
          <w:tcPr>
            <w:tcW w:w="1103" w:type="dxa"/>
            <w:tcBorders>
              <w:top w:val="nil"/>
              <w:left w:val="nil"/>
              <w:bottom w:val="single" w:sz="4" w:space="0" w:color="auto"/>
              <w:right w:val="single" w:sz="4" w:space="0" w:color="auto"/>
            </w:tcBorders>
            <w:shd w:val="clear" w:color="000000" w:fill="63666A"/>
            <w:noWrap/>
            <w:vAlign w:val="center"/>
            <w:hideMark/>
          </w:tcPr>
          <w:p w14:paraId="05A8AFD0" w14:textId="4D519A89" w:rsidR="00A9376A" w:rsidRPr="008A1A1C" w:rsidRDefault="00A9376A"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Daily product</w:t>
            </w:r>
          </w:p>
        </w:tc>
        <w:tc>
          <w:tcPr>
            <w:tcW w:w="1351" w:type="dxa"/>
            <w:tcBorders>
              <w:top w:val="nil"/>
              <w:left w:val="nil"/>
              <w:bottom w:val="single" w:sz="4" w:space="0" w:color="auto"/>
              <w:right w:val="single" w:sz="4" w:space="0" w:color="auto"/>
            </w:tcBorders>
            <w:shd w:val="clear" w:color="000000" w:fill="63666A"/>
            <w:noWrap/>
            <w:vAlign w:val="center"/>
            <w:hideMark/>
          </w:tcPr>
          <w:p w14:paraId="336D678D" w14:textId="4EA26764" w:rsidR="00A9376A" w:rsidRPr="008A1A1C" w:rsidRDefault="00A9376A"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Within-day product</w:t>
            </w:r>
          </w:p>
        </w:tc>
      </w:tr>
      <w:tr w:rsidR="00630647" w:rsidRPr="00A9376A" w14:paraId="4A9B1006" w14:textId="4433497F" w:rsidTr="00E261BE">
        <w:trPr>
          <w:trHeight w:val="314"/>
        </w:trPr>
        <w:tc>
          <w:tcPr>
            <w:tcW w:w="1157" w:type="dxa"/>
            <w:tcBorders>
              <w:top w:val="single" w:sz="4" w:space="0" w:color="auto"/>
              <w:left w:val="single" w:sz="4" w:space="0" w:color="auto"/>
              <w:bottom w:val="single" w:sz="4" w:space="0" w:color="auto"/>
              <w:right w:val="single" w:sz="4" w:space="0" w:color="auto"/>
            </w:tcBorders>
            <w:shd w:val="clear" w:color="000000" w:fill="007AAE"/>
            <w:noWrap/>
            <w:vAlign w:val="center"/>
            <w:hideMark/>
          </w:tcPr>
          <w:p w14:paraId="7CE89007" w14:textId="1103917F" w:rsidR="00630647" w:rsidRPr="008A1A1C" w:rsidRDefault="00630647"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2016</w:t>
            </w:r>
          </w:p>
        </w:tc>
        <w:tc>
          <w:tcPr>
            <w:tcW w:w="1330" w:type="dxa"/>
            <w:tcBorders>
              <w:top w:val="nil"/>
              <w:left w:val="nil"/>
              <w:bottom w:val="single" w:sz="4" w:space="0" w:color="auto"/>
              <w:right w:val="single" w:sz="4" w:space="0" w:color="auto"/>
            </w:tcBorders>
            <w:shd w:val="clear" w:color="auto" w:fill="auto"/>
            <w:noWrap/>
            <w:vAlign w:val="bottom"/>
            <w:hideMark/>
          </w:tcPr>
          <w:p w14:paraId="00EA696A" w14:textId="19E12AF0"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100%</w:t>
            </w:r>
          </w:p>
        </w:tc>
        <w:tc>
          <w:tcPr>
            <w:tcW w:w="1209" w:type="dxa"/>
            <w:tcBorders>
              <w:top w:val="nil"/>
              <w:left w:val="nil"/>
              <w:bottom w:val="single" w:sz="4" w:space="0" w:color="auto"/>
              <w:right w:val="single" w:sz="4" w:space="0" w:color="auto"/>
            </w:tcBorders>
            <w:shd w:val="clear" w:color="auto" w:fill="auto"/>
            <w:noWrap/>
            <w:vAlign w:val="bottom"/>
            <w:hideMark/>
          </w:tcPr>
          <w:p w14:paraId="3BDAA734" w14:textId="0503378F"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.00</w:t>
            </w:r>
            <w:r w:rsidRPr="00E261BE">
              <w:rPr>
                <w:rFonts w:cs="Arial"/>
                <w:color w:val="000000"/>
                <w:sz w:val="20"/>
                <w:szCs w:val="20"/>
              </w:rPr>
              <w:t>%</w:t>
            </w:r>
          </w:p>
        </w:tc>
        <w:tc>
          <w:tcPr>
            <w:tcW w:w="1469" w:type="dxa"/>
            <w:tcBorders>
              <w:top w:val="nil"/>
              <w:left w:val="nil"/>
              <w:bottom w:val="single" w:sz="4" w:space="0" w:color="auto"/>
              <w:right w:val="single" w:sz="4" w:space="0" w:color="auto"/>
            </w:tcBorders>
            <w:shd w:val="clear" w:color="auto" w:fill="auto"/>
            <w:noWrap/>
            <w:vAlign w:val="bottom"/>
            <w:hideMark/>
          </w:tcPr>
          <w:p w14:paraId="4E4D495D" w14:textId="677724BE"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.00</w:t>
            </w:r>
            <w:r w:rsidRPr="00E261BE">
              <w:rPr>
                <w:rFonts w:cs="Arial"/>
                <w:color w:val="000000"/>
                <w:sz w:val="20"/>
                <w:szCs w:val="20"/>
              </w:rPr>
              <w:t>%</w:t>
            </w:r>
          </w:p>
        </w:tc>
        <w:tc>
          <w:tcPr>
            <w:tcW w:w="1348" w:type="dxa"/>
            <w:tcBorders>
              <w:top w:val="nil"/>
              <w:left w:val="nil"/>
              <w:bottom w:val="single" w:sz="4" w:space="0" w:color="auto"/>
              <w:right w:val="single" w:sz="4" w:space="0" w:color="auto"/>
            </w:tcBorders>
            <w:shd w:val="clear" w:color="auto" w:fill="auto"/>
            <w:noWrap/>
            <w:vAlign w:val="bottom"/>
            <w:hideMark/>
          </w:tcPr>
          <w:p w14:paraId="06044111" w14:textId="57A7398C"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.00</w:t>
            </w:r>
            <w:r w:rsidRPr="00E261BE">
              <w:rPr>
                <w:rFonts w:cs="Arial"/>
                <w:color w:val="000000"/>
                <w:sz w:val="20"/>
                <w:szCs w:val="20"/>
              </w:rPr>
              <w:t>%</w:t>
            </w:r>
          </w:p>
        </w:tc>
        <w:tc>
          <w:tcPr>
            <w:tcW w:w="1103" w:type="dxa"/>
            <w:tcBorders>
              <w:top w:val="nil"/>
              <w:left w:val="nil"/>
              <w:bottom w:val="single" w:sz="4" w:space="0" w:color="auto"/>
              <w:right w:val="single" w:sz="4" w:space="0" w:color="auto"/>
            </w:tcBorders>
            <w:shd w:val="clear" w:color="auto" w:fill="auto"/>
            <w:noWrap/>
            <w:vAlign w:val="bottom"/>
            <w:hideMark/>
          </w:tcPr>
          <w:p w14:paraId="6C40D934" w14:textId="455793AA"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.00</w:t>
            </w:r>
            <w:r w:rsidRPr="00E261BE">
              <w:rPr>
                <w:rFonts w:cs="Arial"/>
                <w:color w:val="000000"/>
                <w:sz w:val="20"/>
                <w:szCs w:val="20"/>
              </w:rPr>
              <w:t>%</w:t>
            </w:r>
          </w:p>
        </w:tc>
        <w:tc>
          <w:tcPr>
            <w:tcW w:w="1351" w:type="dxa"/>
            <w:tcBorders>
              <w:top w:val="nil"/>
              <w:left w:val="nil"/>
              <w:bottom w:val="single" w:sz="4" w:space="0" w:color="auto"/>
              <w:right w:val="single" w:sz="4" w:space="0" w:color="auto"/>
            </w:tcBorders>
            <w:shd w:val="clear" w:color="auto" w:fill="auto"/>
            <w:noWrap/>
            <w:vAlign w:val="bottom"/>
            <w:hideMark/>
          </w:tcPr>
          <w:p w14:paraId="0ED98A4B" w14:textId="35A0F9A6"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.00</w:t>
            </w:r>
            <w:r w:rsidRPr="00E261BE">
              <w:rPr>
                <w:rFonts w:cs="Arial"/>
                <w:color w:val="000000"/>
                <w:sz w:val="20"/>
                <w:szCs w:val="20"/>
              </w:rPr>
              <w:t>%</w:t>
            </w:r>
          </w:p>
        </w:tc>
      </w:tr>
      <w:tr w:rsidR="00630647" w:rsidRPr="00A9376A" w14:paraId="2D9E520D" w14:textId="06F9BE08" w:rsidTr="00E261BE">
        <w:trPr>
          <w:trHeight w:val="314"/>
        </w:trPr>
        <w:tc>
          <w:tcPr>
            <w:tcW w:w="1157" w:type="dxa"/>
            <w:tcBorders>
              <w:top w:val="nil"/>
              <w:left w:val="single" w:sz="4" w:space="0" w:color="auto"/>
              <w:bottom w:val="single" w:sz="4" w:space="0" w:color="auto"/>
              <w:right w:val="single" w:sz="4" w:space="0" w:color="auto"/>
            </w:tcBorders>
            <w:shd w:val="clear" w:color="000000" w:fill="007AAE"/>
            <w:noWrap/>
            <w:vAlign w:val="center"/>
            <w:hideMark/>
          </w:tcPr>
          <w:p w14:paraId="39C29989" w14:textId="7E9777AE" w:rsidR="00630647" w:rsidRPr="008A1A1C" w:rsidRDefault="00630647"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2017</w:t>
            </w:r>
          </w:p>
        </w:tc>
        <w:tc>
          <w:tcPr>
            <w:tcW w:w="1330" w:type="dxa"/>
            <w:tcBorders>
              <w:top w:val="nil"/>
              <w:left w:val="nil"/>
              <w:bottom w:val="single" w:sz="4" w:space="0" w:color="auto"/>
              <w:right w:val="single" w:sz="4" w:space="0" w:color="auto"/>
            </w:tcBorders>
            <w:shd w:val="clear" w:color="auto" w:fill="auto"/>
            <w:noWrap/>
            <w:vAlign w:val="bottom"/>
            <w:hideMark/>
          </w:tcPr>
          <w:p w14:paraId="7988F110" w14:textId="4EBE23E8"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99</w:t>
            </w:r>
            <w:r w:rsidR="00344883">
              <w:rPr>
                <w:rFonts w:cs="Arial"/>
                <w:color w:val="000000"/>
                <w:sz w:val="20"/>
                <w:szCs w:val="20"/>
              </w:rPr>
              <w:t>.</w:t>
            </w:r>
            <w:r w:rsidR="00873A33">
              <w:rPr>
                <w:rFonts w:cs="Arial"/>
                <w:color w:val="000000"/>
                <w:sz w:val="20"/>
                <w:szCs w:val="20"/>
              </w:rPr>
              <w:t>37</w:t>
            </w:r>
            <w:r w:rsidRPr="00E261BE">
              <w:rPr>
                <w:rFonts w:cs="Arial"/>
                <w:color w:val="000000"/>
                <w:sz w:val="20"/>
                <w:szCs w:val="20"/>
              </w:rPr>
              <w:t>%</w:t>
            </w:r>
          </w:p>
        </w:tc>
        <w:tc>
          <w:tcPr>
            <w:tcW w:w="1209" w:type="dxa"/>
            <w:tcBorders>
              <w:top w:val="nil"/>
              <w:left w:val="nil"/>
              <w:bottom w:val="single" w:sz="4" w:space="0" w:color="auto"/>
              <w:right w:val="single" w:sz="4" w:space="0" w:color="auto"/>
            </w:tcBorders>
            <w:shd w:val="clear" w:color="auto" w:fill="auto"/>
            <w:noWrap/>
            <w:vAlign w:val="bottom"/>
            <w:hideMark/>
          </w:tcPr>
          <w:p w14:paraId="1594D9EB" w14:textId="6F745A70"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w:t>
            </w:r>
            <w:r w:rsidR="00344883">
              <w:rPr>
                <w:rFonts w:cs="Arial"/>
                <w:color w:val="000000"/>
                <w:sz w:val="20"/>
                <w:szCs w:val="20"/>
              </w:rPr>
              <w:t>0</w:t>
            </w:r>
            <w:r w:rsidRPr="00E261BE">
              <w:rPr>
                <w:rFonts w:cs="Arial"/>
                <w:color w:val="000000"/>
                <w:sz w:val="20"/>
                <w:szCs w:val="20"/>
              </w:rPr>
              <w:t>%</w:t>
            </w:r>
          </w:p>
        </w:tc>
        <w:tc>
          <w:tcPr>
            <w:tcW w:w="1469" w:type="dxa"/>
            <w:tcBorders>
              <w:top w:val="nil"/>
              <w:left w:val="nil"/>
              <w:bottom w:val="single" w:sz="4" w:space="0" w:color="auto"/>
              <w:right w:val="single" w:sz="4" w:space="0" w:color="auto"/>
            </w:tcBorders>
            <w:shd w:val="clear" w:color="auto" w:fill="auto"/>
            <w:noWrap/>
            <w:vAlign w:val="bottom"/>
            <w:hideMark/>
          </w:tcPr>
          <w:p w14:paraId="0A78BD74" w14:textId="5DBE6EC0"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w:t>
            </w:r>
            <w:r w:rsidR="00344883">
              <w:rPr>
                <w:rFonts w:cs="Arial"/>
                <w:color w:val="000000"/>
                <w:sz w:val="20"/>
                <w:szCs w:val="20"/>
              </w:rPr>
              <w:t>0</w:t>
            </w:r>
            <w:r w:rsidRPr="00E261BE">
              <w:rPr>
                <w:rFonts w:cs="Arial"/>
                <w:color w:val="000000"/>
                <w:sz w:val="20"/>
                <w:szCs w:val="20"/>
              </w:rPr>
              <w:t>%</w:t>
            </w:r>
          </w:p>
        </w:tc>
        <w:tc>
          <w:tcPr>
            <w:tcW w:w="1348" w:type="dxa"/>
            <w:tcBorders>
              <w:top w:val="nil"/>
              <w:left w:val="nil"/>
              <w:bottom w:val="single" w:sz="4" w:space="0" w:color="auto"/>
              <w:right w:val="single" w:sz="4" w:space="0" w:color="auto"/>
            </w:tcBorders>
            <w:shd w:val="clear" w:color="auto" w:fill="auto"/>
            <w:noWrap/>
            <w:vAlign w:val="bottom"/>
            <w:hideMark/>
          </w:tcPr>
          <w:p w14:paraId="5508BDA4" w14:textId="6DABA386"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.0</w:t>
            </w:r>
            <w:r w:rsidRPr="00E261BE">
              <w:rPr>
                <w:rFonts w:cs="Arial"/>
                <w:color w:val="000000"/>
                <w:sz w:val="20"/>
                <w:szCs w:val="20"/>
              </w:rPr>
              <w:t>0%</w:t>
            </w:r>
          </w:p>
        </w:tc>
        <w:tc>
          <w:tcPr>
            <w:tcW w:w="1103" w:type="dxa"/>
            <w:tcBorders>
              <w:top w:val="nil"/>
              <w:left w:val="nil"/>
              <w:bottom w:val="single" w:sz="4" w:space="0" w:color="auto"/>
              <w:right w:val="single" w:sz="4" w:space="0" w:color="auto"/>
            </w:tcBorders>
            <w:shd w:val="clear" w:color="auto" w:fill="auto"/>
            <w:noWrap/>
            <w:vAlign w:val="bottom"/>
            <w:hideMark/>
          </w:tcPr>
          <w:p w14:paraId="4B6026C0" w14:textId="6CAD3B78"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39%</w:t>
            </w:r>
          </w:p>
        </w:tc>
        <w:tc>
          <w:tcPr>
            <w:tcW w:w="1351" w:type="dxa"/>
            <w:tcBorders>
              <w:top w:val="nil"/>
              <w:left w:val="nil"/>
              <w:bottom w:val="single" w:sz="4" w:space="0" w:color="auto"/>
              <w:right w:val="single" w:sz="4" w:space="0" w:color="auto"/>
            </w:tcBorders>
            <w:shd w:val="clear" w:color="auto" w:fill="auto"/>
            <w:noWrap/>
            <w:vAlign w:val="bottom"/>
            <w:hideMark/>
          </w:tcPr>
          <w:p w14:paraId="42BB7C5A" w14:textId="4CCF6B18"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24%</w:t>
            </w:r>
          </w:p>
        </w:tc>
      </w:tr>
      <w:tr w:rsidR="00630647" w:rsidRPr="00A9376A" w14:paraId="1F1A0764" w14:textId="792F889C" w:rsidTr="00E261BE">
        <w:trPr>
          <w:trHeight w:val="314"/>
        </w:trPr>
        <w:tc>
          <w:tcPr>
            <w:tcW w:w="1157" w:type="dxa"/>
            <w:tcBorders>
              <w:top w:val="nil"/>
              <w:left w:val="single" w:sz="4" w:space="0" w:color="auto"/>
              <w:bottom w:val="single" w:sz="4" w:space="0" w:color="auto"/>
              <w:right w:val="single" w:sz="4" w:space="0" w:color="auto"/>
            </w:tcBorders>
            <w:shd w:val="clear" w:color="000000" w:fill="007AAE"/>
            <w:noWrap/>
            <w:vAlign w:val="center"/>
            <w:hideMark/>
          </w:tcPr>
          <w:p w14:paraId="2DBE8FE5" w14:textId="35FBE963" w:rsidR="00630647" w:rsidRPr="008A1A1C" w:rsidRDefault="00630647"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2018</w:t>
            </w:r>
          </w:p>
        </w:tc>
        <w:tc>
          <w:tcPr>
            <w:tcW w:w="1330" w:type="dxa"/>
            <w:tcBorders>
              <w:top w:val="nil"/>
              <w:left w:val="nil"/>
              <w:bottom w:val="single" w:sz="4" w:space="0" w:color="auto"/>
              <w:right w:val="single" w:sz="4" w:space="0" w:color="auto"/>
            </w:tcBorders>
            <w:shd w:val="clear" w:color="auto" w:fill="auto"/>
            <w:noWrap/>
            <w:vAlign w:val="bottom"/>
            <w:hideMark/>
          </w:tcPr>
          <w:p w14:paraId="02A30F80" w14:textId="4C4C6557"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99</w:t>
            </w:r>
            <w:r w:rsidR="00344883">
              <w:rPr>
                <w:rFonts w:cs="Arial"/>
                <w:color w:val="000000"/>
                <w:sz w:val="20"/>
                <w:szCs w:val="20"/>
              </w:rPr>
              <w:t>.</w:t>
            </w:r>
            <w:r w:rsidR="00873A33">
              <w:rPr>
                <w:rFonts w:cs="Arial"/>
                <w:color w:val="000000"/>
                <w:sz w:val="20"/>
                <w:szCs w:val="20"/>
              </w:rPr>
              <w:t>57</w:t>
            </w:r>
            <w:r w:rsidRPr="00E261BE">
              <w:rPr>
                <w:rFonts w:cs="Arial"/>
                <w:color w:val="000000"/>
                <w:sz w:val="20"/>
                <w:szCs w:val="20"/>
              </w:rPr>
              <w:t>%</w:t>
            </w:r>
          </w:p>
        </w:tc>
        <w:tc>
          <w:tcPr>
            <w:tcW w:w="1209" w:type="dxa"/>
            <w:tcBorders>
              <w:top w:val="nil"/>
              <w:left w:val="nil"/>
              <w:bottom w:val="single" w:sz="4" w:space="0" w:color="auto"/>
              <w:right w:val="single" w:sz="4" w:space="0" w:color="auto"/>
            </w:tcBorders>
            <w:shd w:val="clear" w:color="auto" w:fill="auto"/>
            <w:noWrap/>
            <w:vAlign w:val="bottom"/>
            <w:hideMark/>
          </w:tcPr>
          <w:p w14:paraId="449643AB" w14:textId="29D88A7B"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w:t>
            </w:r>
            <w:r w:rsidR="00344883">
              <w:rPr>
                <w:rFonts w:cs="Arial"/>
                <w:color w:val="000000"/>
                <w:sz w:val="20"/>
                <w:szCs w:val="20"/>
              </w:rPr>
              <w:t>0</w:t>
            </w:r>
            <w:r w:rsidRPr="00E261BE">
              <w:rPr>
                <w:rFonts w:cs="Arial"/>
                <w:color w:val="000000"/>
                <w:sz w:val="20"/>
                <w:szCs w:val="20"/>
              </w:rPr>
              <w:t>%</w:t>
            </w:r>
          </w:p>
        </w:tc>
        <w:tc>
          <w:tcPr>
            <w:tcW w:w="1469" w:type="dxa"/>
            <w:tcBorders>
              <w:top w:val="nil"/>
              <w:left w:val="nil"/>
              <w:bottom w:val="single" w:sz="4" w:space="0" w:color="auto"/>
              <w:right w:val="single" w:sz="4" w:space="0" w:color="auto"/>
            </w:tcBorders>
            <w:shd w:val="clear" w:color="auto" w:fill="auto"/>
            <w:noWrap/>
            <w:vAlign w:val="bottom"/>
            <w:hideMark/>
          </w:tcPr>
          <w:p w14:paraId="53AECA5E" w14:textId="73455C49"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w:t>
            </w:r>
            <w:r w:rsidR="00344883">
              <w:rPr>
                <w:rFonts w:cs="Arial"/>
                <w:color w:val="000000"/>
                <w:sz w:val="20"/>
                <w:szCs w:val="20"/>
              </w:rPr>
              <w:t>0</w:t>
            </w:r>
            <w:r w:rsidRPr="00E261BE">
              <w:rPr>
                <w:rFonts w:cs="Arial"/>
                <w:color w:val="000000"/>
                <w:sz w:val="20"/>
                <w:szCs w:val="20"/>
              </w:rPr>
              <w:t>%</w:t>
            </w:r>
          </w:p>
        </w:tc>
        <w:tc>
          <w:tcPr>
            <w:tcW w:w="1348" w:type="dxa"/>
            <w:tcBorders>
              <w:top w:val="nil"/>
              <w:left w:val="nil"/>
              <w:bottom w:val="single" w:sz="4" w:space="0" w:color="auto"/>
              <w:right w:val="single" w:sz="4" w:space="0" w:color="auto"/>
            </w:tcBorders>
            <w:shd w:val="clear" w:color="auto" w:fill="auto"/>
            <w:noWrap/>
            <w:vAlign w:val="bottom"/>
            <w:hideMark/>
          </w:tcPr>
          <w:p w14:paraId="7396616B" w14:textId="46F240EC"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.0</w:t>
            </w:r>
            <w:r w:rsidRPr="00E261BE">
              <w:rPr>
                <w:rFonts w:cs="Arial"/>
                <w:color w:val="000000"/>
                <w:sz w:val="20"/>
                <w:szCs w:val="20"/>
              </w:rPr>
              <w:t>0%</w:t>
            </w:r>
          </w:p>
        </w:tc>
        <w:tc>
          <w:tcPr>
            <w:tcW w:w="1103" w:type="dxa"/>
            <w:tcBorders>
              <w:top w:val="nil"/>
              <w:left w:val="nil"/>
              <w:bottom w:val="single" w:sz="4" w:space="0" w:color="auto"/>
              <w:right w:val="single" w:sz="4" w:space="0" w:color="auto"/>
            </w:tcBorders>
            <w:shd w:val="clear" w:color="auto" w:fill="auto"/>
            <w:noWrap/>
            <w:vAlign w:val="bottom"/>
            <w:hideMark/>
          </w:tcPr>
          <w:p w14:paraId="6B244DF0" w14:textId="56B186DC"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28%</w:t>
            </w:r>
          </w:p>
        </w:tc>
        <w:tc>
          <w:tcPr>
            <w:tcW w:w="1351" w:type="dxa"/>
            <w:tcBorders>
              <w:top w:val="nil"/>
              <w:left w:val="nil"/>
              <w:bottom w:val="single" w:sz="4" w:space="0" w:color="auto"/>
              <w:right w:val="single" w:sz="4" w:space="0" w:color="auto"/>
            </w:tcBorders>
            <w:shd w:val="clear" w:color="auto" w:fill="auto"/>
            <w:noWrap/>
            <w:vAlign w:val="bottom"/>
            <w:hideMark/>
          </w:tcPr>
          <w:p w14:paraId="6ACEEAFE" w14:textId="738F79B0"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15%</w:t>
            </w:r>
          </w:p>
        </w:tc>
      </w:tr>
      <w:tr w:rsidR="00630647" w:rsidRPr="00A9376A" w14:paraId="6B6D145D" w14:textId="747A7DA5" w:rsidTr="00E261BE">
        <w:trPr>
          <w:trHeight w:val="314"/>
        </w:trPr>
        <w:tc>
          <w:tcPr>
            <w:tcW w:w="1157" w:type="dxa"/>
            <w:tcBorders>
              <w:top w:val="nil"/>
              <w:left w:val="single" w:sz="4" w:space="0" w:color="auto"/>
              <w:bottom w:val="single" w:sz="4" w:space="0" w:color="auto"/>
              <w:right w:val="single" w:sz="4" w:space="0" w:color="auto"/>
            </w:tcBorders>
            <w:shd w:val="clear" w:color="000000" w:fill="007AAE"/>
            <w:noWrap/>
            <w:vAlign w:val="center"/>
            <w:hideMark/>
          </w:tcPr>
          <w:p w14:paraId="449A3735" w14:textId="2F98B086" w:rsidR="00630647" w:rsidRPr="008A1A1C" w:rsidRDefault="00630647" w:rsidP="00A91FE8">
            <w:pPr>
              <w:keepNext/>
              <w:spacing w:before="0" w:after="0" w:line="240" w:lineRule="auto"/>
              <w:jc w:val="center"/>
              <w:rPr>
                <w:rFonts w:cs="Arial"/>
                <w:b/>
                <w:bCs/>
                <w:color w:val="FFFFFF"/>
                <w:sz w:val="20"/>
                <w:szCs w:val="20"/>
                <w:lang w:val="es-ES" w:eastAsia="es-ES"/>
              </w:rPr>
            </w:pPr>
            <w:r w:rsidRPr="008A1A1C">
              <w:rPr>
                <w:rFonts w:cs="Arial"/>
                <w:b/>
                <w:bCs/>
                <w:color w:val="FFFFFF"/>
                <w:sz w:val="20"/>
                <w:szCs w:val="20"/>
                <w:lang w:val="es-ES" w:eastAsia="es-ES"/>
              </w:rPr>
              <w:t>Average</w:t>
            </w:r>
          </w:p>
        </w:tc>
        <w:tc>
          <w:tcPr>
            <w:tcW w:w="1330" w:type="dxa"/>
            <w:tcBorders>
              <w:top w:val="nil"/>
              <w:left w:val="nil"/>
              <w:bottom w:val="single" w:sz="4" w:space="0" w:color="auto"/>
              <w:right w:val="single" w:sz="4" w:space="0" w:color="auto"/>
            </w:tcBorders>
            <w:shd w:val="clear" w:color="auto" w:fill="auto"/>
            <w:noWrap/>
            <w:vAlign w:val="bottom"/>
            <w:hideMark/>
          </w:tcPr>
          <w:p w14:paraId="6B44C8B7" w14:textId="623C57FC"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99</w:t>
            </w:r>
            <w:r w:rsidR="00344883">
              <w:rPr>
                <w:rFonts w:cs="Arial"/>
                <w:color w:val="000000"/>
                <w:sz w:val="20"/>
                <w:szCs w:val="20"/>
              </w:rPr>
              <w:t>.</w:t>
            </w:r>
            <w:r w:rsidRPr="00E261BE">
              <w:rPr>
                <w:rFonts w:cs="Arial"/>
                <w:color w:val="000000"/>
                <w:sz w:val="20"/>
                <w:szCs w:val="20"/>
              </w:rPr>
              <w:t>65%</w:t>
            </w:r>
          </w:p>
        </w:tc>
        <w:tc>
          <w:tcPr>
            <w:tcW w:w="1209" w:type="dxa"/>
            <w:tcBorders>
              <w:top w:val="nil"/>
              <w:left w:val="nil"/>
              <w:bottom w:val="single" w:sz="4" w:space="0" w:color="auto"/>
              <w:right w:val="single" w:sz="4" w:space="0" w:color="auto"/>
            </w:tcBorders>
            <w:shd w:val="clear" w:color="auto" w:fill="auto"/>
            <w:noWrap/>
            <w:vAlign w:val="bottom"/>
            <w:hideMark/>
          </w:tcPr>
          <w:p w14:paraId="48D4F3DD" w14:textId="400852E9"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w:t>
            </w:r>
            <w:r w:rsidR="00344883">
              <w:rPr>
                <w:rFonts w:cs="Arial"/>
                <w:color w:val="000000"/>
                <w:sz w:val="20"/>
                <w:szCs w:val="20"/>
              </w:rPr>
              <w:t>0</w:t>
            </w:r>
            <w:r w:rsidRPr="00E261BE">
              <w:rPr>
                <w:rFonts w:cs="Arial"/>
                <w:color w:val="000000"/>
                <w:sz w:val="20"/>
                <w:szCs w:val="20"/>
              </w:rPr>
              <w:t>%</w:t>
            </w:r>
          </w:p>
        </w:tc>
        <w:tc>
          <w:tcPr>
            <w:tcW w:w="1469" w:type="dxa"/>
            <w:tcBorders>
              <w:top w:val="nil"/>
              <w:left w:val="nil"/>
              <w:bottom w:val="single" w:sz="4" w:space="0" w:color="auto"/>
              <w:right w:val="single" w:sz="4" w:space="0" w:color="auto"/>
            </w:tcBorders>
            <w:shd w:val="clear" w:color="auto" w:fill="auto"/>
            <w:noWrap/>
            <w:vAlign w:val="bottom"/>
            <w:hideMark/>
          </w:tcPr>
          <w:p w14:paraId="2C9C47F8" w14:textId="1A6191DC"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.0</w:t>
            </w:r>
            <w:r w:rsidRPr="00E261BE">
              <w:rPr>
                <w:rFonts w:cs="Arial"/>
                <w:color w:val="000000"/>
                <w:sz w:val="20"/>
                <w:szCs w:val="20"/>
              </w:rPr>
              <w:t>0%</w:t>
            </w:r>
          </w:p>
        </w:tc>
        <w:tc>
          <w:tcPr>
            <w:tcW w:w="1348" w:type="dxa"/>
            <w:tcBorders>
              <w:top w:val="nil"/>
              <w:left w:val="nil"/>
              <w:bottom w:val="single" w:sz="4" w:space="0" w:color="auto"/>
              <w:right w:val="single" w:sz="4" w:space="0" w:color="auto"/>
            </w:tcBorders>
            <w:shd w:val="clear" w:color="auto" w:fill="auto"/>
            <w:noWrap/>
            <w:vAlign w:val="bottom"/>
            <w:hideMark/>
          </w:tcPr>
          <w:p w14:paraId="0281B10A" w14:textId="2C2556E7"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.0</w:t>
            </w:r>
            <w:r w:rsidRPr="00E261BE">
              <w:rPr>
                <w:rFonts w:cs="Arial"/>
                <w:color w:val="000000"/>
                <w:sz w:val="20"/>
                <w:szCs w:val="20"/>
              </w:rPr>
              <w:t>0%</w:t>
            </w:r>
          </w:p>
        </w:tc>
        <w:tc>
          <w:tcPr>
            <w:tcW w:w="1103" w:type="dxa"/>
            <w:tcBorders>
              <w:top w:val="nil"/>
              <w:left w:val="nil"/>
              <w:bottom w:val="single" w:sz="4" w:space="0" w:color="auto"/>
              <w:right w:val="single" w:sz="4" w:space="0" w:color="auto"/>
            </w:tcBorders>
            <w:shd w:val="clear" w:color="auto" w:fill="auto"/>
            <w:noWrap/>
            <w:vAlign w:val="bottom"/>
            <w:hideMark/>
          </w:tcPr>
          <w:p w14:paraId="44718C19" w14:textId="2F839550"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22%</w:t>
            </w:r>
          </w:p>
        </w:tc>
        <w:tc>
          <w:tcPr>
            <w:tcW w:w="1351" w:type="dxa"/>
            <w:tcBorders>
              <w:top w:val="nil"/>
              <w:left w:val="nil"/>
              <w:bottom w:val="single" w:sz="4" w:space="0" w:color="auto"/>
              <w:right w:val="single" w:sz="4" w:space="0" w:color="auto"/>
            </w:tcBorders>
            <w:shd w:val="clear" w:color="auto" w:fill="auto"/>
            <w:noWrap/>
            <w:vAlign w:val="bottom"/>
            <w:hideMark/>
          </w:tcPr>
          <w:p w14:paraId="53186F27" w14:textId="6603FD25" w:rsidR="00630647" w:rsidRPr="00630647" w:rsidRDefault="00630647" w:rsidP="00A91FE8">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13%</w:t>
            </w:r>
          </w:p>
        </w:tc>
      </w:tr>
    </w:tbl>
    <w:p w14:paraId="5BA5181A" w14:textId="48F64063" w:rsidR="00A2503D" w:rsidRDefault="008A1A1C" w:rsidP="00A91FE8">
      <w:pPr>
        <w:jc w:val="center"/>
        <w:rPr>
          <w:rFonts w:ascii="Verdana" w:hAnsi="Verdana"/>
          <w:b/>
          <w:sz w:val="16"/>
        </w:rPr>
      </w:pPr>
      <w:r w:rsidRPr="00D268BC">
        <w:rPr>
          <w:rFonts w:ascii="Verdana" w:hAnsi="Verdana"/>
          <w:b/>
          <w:sz w:val="16"/>
          <w:lang w:val="en-US"/>
        </w:rPr>
        <w:t xml:space="preserve">Table </w:t>
      </w:r>
      <w:r w:rsidRPr="00D268BC">
        <w:rPr>
          <w:rFonts w:ascii="Verdana" w:hAnsi="Verdana"/>
          <w:b/>
          <w:sz w:val="16"/>
          <w:lang w:val="en-US"/>
        </w:rPr>
        <w:fldChar w:fldCharType="begin"/>
      </w:r>
      <w:r w:rsidRPr="00D268BC">
        <w:rPr>
          <w:rFonts w:ascii="Verdana" w:hAnsi="Verdana"/>
          <w:b/>
          <w:sz w:val="16"/>
          <w:lang w:val="en-US"/>
        </w:rPr>
        <w:instrText xml:space="preserve"> SEQ Table \* ARABIC </w:instrText>
      </w:r>
      <w:r w:rsidRPr="00D268BC">
        <w:rPr>
          <w:rFonts w:ascii="Verdana" w:hAnsi="Verdana"/>
          <w:b/>
          <w:sz w:val="16"/>
          <w:lang w:val="en-US"/>
        </w:rPr>
        <w:fldChar w:fldCharType="separate"/>
      </w:r>
      <w:r w:rsidR="00E859C7">
        <w:rPr>
          <w:rFonts w:ascii="Verdana" w:hAnsi="Verdana"/>
          <w:b/>
          <w:noProof/>
          <w:sz w:val="16"/>
          <w:lang w:val="en-US"/>
        </w:rPr>
        <w:t>15</w:t>
      </w:r>
      <w:r w:rsidRPr="00D268BC">
        <w:rPr>
          <w:rFonts w:ascii="Verdana" w:hAnsi="Verdana"/>
          <w:b/>
          <w:sz w:val="16"/>
          <w:lang w:val="en-US"/>
        </w:rPr>
        <w:fldChar w:fldCharType="end"/>
      </w:r>
      <w:r w:rsidRPr="00D268BC">
        <w:rPr>
          <w:rFonts w:ascii="Verdana" w:hAnsi="Verdana"/>
          <w:b/>
          <w:sz w:val="16"/>
          <w:lang w:val="en-US"/>
        </w:rPr>
        <w:t xml:space="preserve">: </w:t>
      </w:r>
      <w:r w:rsidR="004D11FF">
        <w:rPr>
          <w:rFonts w:ascii="Verdana" w:hAnsi="Verdana"/>
          <w:b/>
          <w:sz w:val="16"/>
          <w:lang w:val="en-US"/>
        </w:rPr>
        <w:t>Capacity bookings</w:t>
      </w:r>
      <w:r w:rsidRPr="00D268BC">
        <w:rPr>
          <w:rFonts w:ascii="Verdana" w:hAnsi="Verdana"/>
          <w:b/>
          <w:sz w:val="16"/>
          <w:lang w:val="en-US"/>
        </w:rPr>
        <w:t xml:space="preserve"> from Spain to France on the Spanish side</w:t>
      </w:r>
      <w:r w:rsidR="004D11FF">
        <w:rPr>
          <w:rFonts w:ascii="Verdana" w:hAnsi="Verdana"/>
          <w:b/>
          <w:sz w:val="16"/>
        </w:rPr>
        <w:t xml:space="preserve"> by time horizon</w:t>
      </w:r>
    </w:p>
    <w:p w14:paraId="43F6DF90" w14:textId="33FEF8C6" w:rsidR="00746051" w:rsidRPr="00E261BE" w:rsidRDefault="00746051" w:rsidP="00A91FE8">
      <w:pPr>
        <w:spacing w:line="312" w:lineRule="auto"/>
        <w:rPr>
          <w:rFonts w:cs="Arial"/>
        </w:rPr>
      </w:pPr>
      <w:r w:rsidRPr="00E261BE">
        <w:rPr>
          <w:rFonts w:cs="Arial"/>
        </w:rPr>
        <w:t xml:space="preserve">In addition, </w:t>
      </w:r>
      <w:r w:rsidR="003F5AF7">
        <w:rPr>
          <w:rFonts w:cs="Arial"/>
        </w:rPr>
        <w:t xml:space="preserve">and as it was commented on previous chapters, </w:t>
      </w:r>
      <w:r w:rsidRPr="00E261BE">
        <w:rPr>
          <w:rFonts w:cs="Arial"/>
        </w:rPr>
        <w:t>it should be mentioned</w:t>
      </w:r>
      <w:r>
        <w:rPr>
          <w:rFonts w:cs="Arial"/>
        </w:rPr>
        <w:t xml:space="preserve"> that</w:t>
      </w:r>
      <w:r w:rsidR="0038493F">
        <w:rPr>
          <w:rFonts w:cs="Arial"/>
        </w:rPr>
        <w:t xml:space="preserve"> in</w:t>
      </w:r>
      <w:r>
        <w:rPr>
          <w:rFonts w:cs="Arial"/>
        </w:rPr>
        <w:t xml:space="preserve"> the 2</w:t>
      </w:r>
      <w:r w:rsidRPr="00E261BE">
        <w:rPr>
          <w:rFonts w:cs="Arial"/>
          <w:vertAlign w:val="superscript"/>
        </w:rPr>
        <w:t>nd</w:t>
      </w:r>
      <w:r>
        <w:rPr>
          <w:rFonts w:cs="Arial"/>
        </w:rPr>
        <w:t xml:space="preserve"> of March, 2018 gas year, a total amount of </w:t>
      </w:r>
      <w:r>
        <w:rPr>
          <w:rFonts w:cs="Arial"/>
          <w:color w:val="000000" w:themeColor="text1"/>
          <w:szCs w:val="22"/>
          <w:lang w:val="en-US"/>
        </w:rPr>
        <w:t>21.9</w:t>
      </w:r>
      <w:r w:rsidR="00D26863">
        <w:rPr>
          <w:rFonts w:cs="Arial"/>
          <w:color w:val="000000" w:themeColor="text1"/>
          <w:szCs w:val="22"/>
          <w:lang w:val="en-US"/>
        </w:rPr>
        <w:t xml:space="preserve"> </w:t>
      </w:r>
      <w:r>
        <w:rPr>
          <w:rFonts w:cs="Arial"/>
          <w:color w:val="000000" w:themeColor="text1"/>
          <w:szCs w:val="22"/>
          <w:lang w:val="en-US"/>
        </w:rPr>
        <w:t>GWh/d were booked via OSBB</w:t>
      </w:r>
      <w:r w:rsidR="001A4B15">
        <w:rPr>
          <w:rFonts w:cs="Arial"/>
          <w:color w:val="000000" w:themeColor="text1"/>
          <w:szCs w:val="22"/>
          <w:lang w:val="en-US"/>
        </w:rPr>
        <w:t xml:space="preserve">, which is the reason why booked capacity </w:t>
      </w:r>
      <w:r w:rsidR="003F5AF7">
        <w:rPr>
          <w:rFonts w:cs="Arial"/>
          <w:color w:val="000000" w:themeColor="text1"/>
          <w:szCs w:val="22"/>
          <w:lang w:val="en-US"/>
        </w:rPr>
        <w:t>is above the technical capacity</w:t>
      </w:r>
      <w:r w:rsidR="00D26863">
        <w:rPr>
          <w:rFonts w:cs="Arial"/>
          <w:color w:val="000000" w:themeColor="text1"/>
          <w:szCs w:val="22"/>
          <w:lang w:val="en-US"/>
        </w:rPr>
        <w:t xml:space="preserve">. The reason lying behind of this capacity bookings is explained in the chapter </w:t>
      </w:r>
      <w:r w:rsidR="00D26863">
        <w:rPr>
          <w:rFonts w:cs="Arial"/>
          <w:color w:val="000000" w:themeColor="text1"/>
          <w:szCs w:val="22"/>
          <w:lang w:val="en-US"/>
        </w:rPr>
        <w:fldChar w:fldCharType="begin"/>
      </w:r>
      <w:r w:rsidR="00D26863">
        <w:rPr>
          <w:rFonts w:cs="Arial"/>
          <w:color w:val="000000" w:themeColor="text1"/>
          <w:szCs w:val="22"/>
          <w:lang w:val="en-US"/>
        </w:rPr>
        <w:instrText xml:space="preserve"> REF _Ref43726012 \r \h </w:instrText>
      </w:r>
      <w:r w:rsidR="00D26863">
        <w:rPr>
          <w:rFonts w:cs="Arial"/>
          <w:color w:val="000000" w:themeColor="text1"/>
          <w:szCs w:val="22"/>
          <w:lang w:val="en-US"/>
        </w:rPr>
      </w:r>
      <w:r w:rsidR="00D26863">
        <w:rPr>
          <w:rFonts w:cs="Arial"/>
          <w:color w:val="000000" w:themeColor="text1"/>
          <w:szCs w:val="22"/>
          <w:lang w:val="en-US"/>
        </w:rPr>
        <w:fldChar w:fldCharType="separate"/>
      </w:r>
      <w:r w:rsidR="00E859C7">
        <w:rPr>
          <w:rFonts w:cs="Arial"/>
          <w:color w:val="000000" w:themeColor="text1"/>
          <w:szCs w:val="22"/>
          <w:lang w:val="en-US"/>
        </w:rPr>
        <w:t>3.1.1.2</w:t>
      </w:r>
      <w:r w:rsidR="00D26863">
        <w:rPr>
          <w:rFonts w:cs="Arial"/>
          <w:color w:val="000000" w:themeColor="text1"/>
          <w:szCs w:val="22"/>
          <w:lang w:val="en-US"/>
        </w:rPr>
        <w:fldChar w:fldCharType="end"/>
      </w:r>
      <w:r w:rsidR="00D26863">
        <w:rPr>
          <w:rFonts w:cs="Arial"/>
          <w:color w:val="000000" w:themeColor="text1"/>
          <w:szCs w:val="22"/>
          <w:lang w:val="en-US"/>
        </w:rPr>
        <w:t>.</w:t>
      </w:r>
    </w:p>
    <w:p w14:paraId="3DD7F796" w14:textId="503F96B4" w:rsidR="00737BB3" w:rsidRDefault="00BC0FB7" w:rsidP="00320ADF">
      <w:pPr>
        <w:pStyle w:val="Ttulo3"/>
        <w:keepNext w:val="0"/>
        <w:spacing w:line="360" w:lineRule="auto"/>
        <w:jc w:val="left"/>
        <w:rPr>
          <w:lang w:val="en-US"/>
        </w:rPr>
      </w:pPr>
      <w:r w:rsidRPr="00D268BC">
        <w:rPr>
          <w:lang w:val="en-US"/>
        </w:rPr>
        <w:t>VIP Ibérico</w:t>
      </w:r>
    </w:p>
    <w:p w14:paraId="0DC4C44E" w14:textId="36E4DDB7" w:rsidR="00B30683" w:rsidRPr="00B30683" w:rsidRDefault="00AE2A05" w:rsidP="00320ADF">
      <w:pPr>
        <w:spacing w:line="312" w:lineRule="auto"/>
        <w:rPr>
          <w:lang w:val="en-US"/>
        </w:rPr>
      </w:pPr>
      <w:r>
        <w:rPr>
          <w:lang w:val="en-US"/>
        </w:rPr>
        <w:t xml:space="preserve">As </w:t>
      </w:r>
      <w:r w:rsidR="00F810FD">
        <w:rPr>
          <w:lang w:val="en-US"/>
        </w:rPr>
        <w:t>in</w:t>
      </w:r>
      <w:r>
        <w:rPr>
          <w:lang w:val="en-US"/>
        </w:rPr>
        <w:t xml:space="preserve"> the case of VIP Pirineos</w:t>
      </w:r>
      <w:r w:rsidRPr="00AE2A05">
        <w:rPr>
          <w:lang w:val="en-US"/>
        </w:rPr>
        <w:t>, hereafter is a representation of all kinds of products, i.e. LT contracts, Yearly, Quarterly, Monthly, Daily and Within-Day products</w:t>
      </w:r>
      <w:r>
        <w:rPr>
          <w:lang w:val="en-US"/>
        </w:rPr>
        <w:t xml:space="preserve"> per side and direction</w:t>
      </w:r>
      <w:r w:rsidRPr="00AE2A05">
        <w:rPr>
          <w:lang w:val="en-US"/>
        </w:rPr>
        <w:t>.</w:t>
      </w:r>
    </w:p>
    <w:p w14:paraId="3B64B002" w14:textId="7CEDE035" w:rsidR="00737BB3" w:rsidRDefault="00737BB3" w:rsidP="00320ADF">
      <w:pPr>
        <w:pStyle w:val="Ttulo4"/>
        <w:keepNext w:val="0"/>
        <w:numPr>
          <w:ilvl w:val="3"/>
          <w:numId w:val="15"/>
        </w:numPr>
        <w:spacing w:line="240" w:lineRule="auto"/>
      </w:pPr>
      <w:r>
        <w:t>Spain to Portugal direction</w:t>
      </w:r>
    </w:p>
    <w:p w14:paraId="604FFD63" w14:textId="77777777" w:rsidR="00782877" w:rsidRPr="006E70B0" w:rsidRDefault="00F15438" w:rsidP="00320ADF">
      <w:pPr>
        <w:rPr>
          <w:b/>
          <w:u w:val="single"/>
          <w:lang w:val="en-US"/>
        </w:rPr>
      </w:pPr>
      <w:r w:rsidRPr="006E70B0">
        <w:rPr>
          <w:b/>
          <w:u w:val="single"/>
          <w:lang w:val="en-US"/>
        </w:rPr>
        <w:t>Portuguese side</w:t>
      </w:r>
    </w:p>
    <w:p w14:paraId="2EEB155E" w14:textId="7D0267AB" w:rsidR="00782877" w:rsidRPr="006E70B0" w:rsidRDefault="00782877" w:rsidP="00320ADF">
      <w:r w:rsidRPr="006E70B0">
        <w:rPr>
          <w:noProof/>
          <w:lang w:val="es-ES" w:eastAsia="es-ES"/>
        </w:rPr>
        <w:drawing>
          <wp:inline distT="0" distB="0" distL="0" distR="0" wp14:anchorId="7779B7DF" wp14:editId="116BC780">
            <wp:extent cx="5543550" cy="3628586"/>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4933" cy="3642583"/>
                    </a:xfrm>
                    <a:prstGeom prst="rect">
                      <a:avLst/>
                    </a:prstGeom>
                    <a:noFill/>
                  </pic:spPr>
                </pic:pic>
              </a:graphicData>
            </a:graphic>
          </wp:inline>
        </w:drawing>
      </w:r>
    </w:p>
    <w:p w14:paraId="63FCC760" w14:textId="574830AB" w:rsidR="00782877" w:rsidRPr="006E70B0" w:rsidRDefault="00782877" w:rsidP="00320ADF">
      <w:pPr>
        <w:pStyle w:val="Descripcin"/>
        <w:jc w:val="center"/>
        <w:rPr>
          <w:sz w:val="16"/>
          <w:lang w:val="en-US"/>
        </w:rPr>
      </w:pPr>
      <w:r w:rsidRPr="006E70B0">
        <w:rPr>
          <w:sz w:val="16"/>
          <w:lang w:val="en-US"/>
        </w:rPr>
        <w:t xml:space="preserve">Figure </w:t>
      </w:r>
      <w:r w:rsidRPr="006E70B0">
        <w:rPr>
          <w:sz w:val="16"/>
          <w:lang w:val="en-US"/>
        </w:rPr>
        <w:fldChar w:fldCharType="begin"/>
      </w:r>
      <w:r w:rsidRPr="006E70B0">
        <w:rPr>
          <w:sz w:val="16"/>
          <w:lang w:val="en-US"/>
        </w:rPr>
        <w:instrText xml:space="preserve"> SEQ Figure \* ARABIC </w:instrText>
      </w:r>
      <w:r w:rsidRPr="006E70B0">
        <w:rPr>
          <w:sz w:val="16"/>
          <w:lang w:val="en-US"/>
        </w:rPr>
        <w:fldChar w:fldCharType="separate"/>
      </w:r>
      <w:r w:rsidR="00E859C7">
        <w:rPr>
          <w:noProof/>
          <w:sz w:val="16"/>
          <w:lang w:val="en-US"/>
        </w:rPr>
        <w:t>26</w:t>
      </w:r>
      <w:r w:rsidRPr="006E70B0">
        <w:rPr>
          <w:sz w:val="16"/>
          <w:lang w:val="en-US"/>
        </w:rPr>
        <w:fldChar w:fldCharType="end"/>
      </w:r>
      <w:r w:rsidRPr="006E70B0">
        <w:rPr>
          <w:sz w:val="16"/>
          <w:lang w:val="en-US"/>
        </w:rPr>
        <w:t>: Status of booked capacity by product at VIP Ibérico, Spain to Portugal direction</w:t>
      </w:r>
    </w:p>
    <w:p w14:paraId="737994E6" w14:textId="2F15D557" w:rsidR="00782877" w:rsidRPr="006E70B0" w:rsidRDefault="00782877" w:rsidP="00320ADF">
      <w:pPr>
        <w:spacing w:line="312" w:lineRule="auto"/>
        <w:rPr>
          <w:lang w:val="en-US" w:eastAsia="ja-JP"/>
        </w:rPr>
      </w:pPr>
      <w:r w:rsidRPr="006E70B0">
        <w:rPr>
          <w:lang w:val="en-US" w:eastAsia="ja-JP"/>
        </w:rPr>
        <w:t xml:space="preserve">By looking at figure 21, it is clearly noticeable how long-term contracts dominated the booking during the analyzed period. Yearly (bundled) bookings show themselves stables through gas year </w:t>
      </w:r>
      <w:r w:rsidR="00F0554A">
        <w:rPr>
          <w:lang w:val="en-US" w:eastAsia="ja-JP"/>
        </w:rPr>
        <w:t>2016-2017</w:t>
      </w:r>
      <w:r w:rsidRPr="006E70B0">
        <w:rPr>
          <w:lang w:val="en-US" w:eastAsia="ja-JP"/>
        </w:rPr>
        <w:t xml:space="preserve"> and </w:t>
      </w:r>
      <w:r w:rsidR="00F0554A">
        <w:rPr>
          <w:lang w:val="en-US" w:eastAsia="ja-JP"/>
        </w:rPr>
        <w:t>2017-2018</w:t>
      </w:r>
      <w:r w:rsidRPr="006E70B0">
        <w:rPr>
          <w:lang w:val="en-US" w:eastAsia="ja-JP"/>
        </w:rPr>
        <w:t xml:space="preserve">, but with a significant drop in </w:t>
      </w:r>
      <w:r w:rsidR="00F0554A">
        <w:rPr>
          <w:lang w:val="en-US" w:eastAsia="ja-JP"/>
        </w:rPr>
        <w:t>2018-2019</w:t>
      </w:r>
      <w:r w:rsidRPr="006E70B0">
        <w:rPr>
          <w:lang w:val="en-US" w:eastAsia="ja-JP"/>
        </w:rPr>
        <w:t xml:space="preserve">. </w:t>
      </w:r>
      <w:r w:rsidRPr="006E70B0">
        <w:rPr>
          <w:rFonts w:cs="Arial"/>
          <w:color w:val="000000" w:themeColor="text1"/>
          <w:szCs w:val="22"/>
          <w:lang w:val="en-GB"/>
        </w:rPr>
        <w:t xml:space="preserve">As explained </w:t>
      </w:r>
      <w:r w:rsidRPr="00130C2F">
        <w:rPr>
          <w:color w:val="000000" w:themeColor="text1"/>
          <w:lang w:val="en-GB"/>
        </w:rPr>
        <w:t>previously in 2.1.2.1</w:t>
      </w:r>
      <w:r w:rsidRPr="00130C2F">
        <w:rPr>
          <w:rFonts w:cs="Arial"/>
          <w:color w:val="000000" w:themeColor="text1"/>
          <w:szCs w:val="22"/>
          <w:lang w:val="en-GB"/>
        </w:rPr>
        <w:t>,</w:t>
      </w:r>
      <w:r w:rsidRPr="006E70B0">
        <w:rPr>
          <w:rFonts w:cs="Arial"/>
          <w:color w:val="000000" w:themeColor="text1"/>
          <w:szCs w:val="22"/>
          <w:lang w:val="en-GB"/>
        </w:rPr>
        <w:t xml:space="preserve"> the increase in LNG supply, mainly US driven, meant a reduction in its price, which made LNG deliveries at Iberia more competitive than Algerian Gas. </w:t>
      </w:r>
      <w:r w:rsidRPr="006E70B0">
        <w:rPr>
          <w:lang w:val="en-US" w:eastAsia="ja-JP"/>
        </w:rPr>
        <w:t xml:space="preserve">The same </w:t>
      </w:r>
      <w:r w:rsidR="00F46093">
        <w:rPr>
          <w:lang w:val="en-US" w:eastAsia="ja-JP"/>
        </w:rPr>
        <w:t>trend</w:t>
      </w:r>
      <w:r w:rsidRPr="006E70B0">
        <w:rPr>
          <w:lang w:val="en-US" w:eastAsia="ja-JP"/>
        </w:rPr>
        <w:t xml:space="preserve"> happened as well </w:t>
      </w:r>
      <w:r w:rsidR="00F46093">
        <w:rPr>
          <w:lang w:val="en-US" w:eastAsia="ja-JP"/>
        </w:rPr>
        <w:t xml:space="preserve">for </w:t>
      </w:r>
      <w:r w:rsidRPr="006E70B0">
        <w:rPr>
          <w:lang w:val="en-US" w:eastAsia="ja-JP"/>
        </w:rPr>
        <w:t xml:space="preserve">the rest of the products (Q, M, D, WD), due to the same reason of less dependence on Algerian NG (and more on LNG). One can also find that the peak demands in the summer are mostly covered resorting to monthly booking (short-term solution) with daily bookings complementing the rest. </w:t>
      </w:r>
    </w:p>
    <w:p w14:paraId="1A523265" w14:textId="10EEA058" w:rsidR="00782877" w:rsidRPr="006E70B0" w:rsidRDefault="00782877" w:rsidP="00320ADF">
      <w:pPr>
        <w:spacing w:line="312" w:lineRule="auto"/>
        <w:rPr>
          <w:lang w:val="en-US" w:eastAsia="ja-JP"/>
        </w:rPr>
      </w:pPr>
      <w:r w:rsidRPr="006E70B0">
        <w:rPr>
          <w:lang w:val="en-US" w:eastAsia="ja-JP"/>
        </w:rPr>
        <w:t>In table 1</w:t>
      </w:r>
      <w:r w:rsidR="00D6452E">
        <w:rPr>
          <w:lang w:val="en-US" w:eastAsia="ja-JP"/>
        </w:rPr>
        <w:t>7</w:t>
      </w:r>
      <w:r w:rsidRPr="00130C2F">
        <w:rPr>
          <w:lang w:val="en-US" w:eastAsia="ja-JP"/>
        </w:rPr>
        <w:t xml:space="preserve">, </w:t>
      </w:r>
      <w:r w:rsidRPr="00130C2F">
        <w:rPr>
          <w:lang w:val="en-US"/>
        </w:rPr>
        <w:t>one can find a quantified approach to the depiction of booked capacity, presenting the weight of each product within the booked capacity</w:t>
      </w:r>
      <w:r w:rsidRPr="00130C2F">
        <w:rPr>
          <w:lang w:val="en-US" w:eastAsia="ja-JP"/>
        </w:rPr>
        <w:t>.</w:t>
      </w:r>
      <w:r w:rsidRPr="006E70B0">
        <w:rPr>
          <w:lang w:val="en-US" w:eastAsia="ja-JP"/>
        </w:rPr>
        <w:t xml:space="preserve">  </w:t>
      </w:r>
    </w:p>
    <w:tbl>
      <w:tblPr>
        <w:tblW w:w="9384" w:type="dxa"/>
        <w:tblCellMar>
          <w:left w:w="70" w:type="dxa"/>
          <w:right w:w="70" w:type="dxa"/>
        </w:tblCellMar>
        <w:tblLook w:val="04A0" w:firstRow="1" w:lastRow="0" w:firstColumn="1" w:lastColumn="0" w:noHBand="0" w:noVBand="1"/>
      </w:tblPr>
      <w:tblGrid>
        <w:gridCol w:w="1157"/>
        <w:gridCol w:w="1294"/>
        <w:gridCol w:w="1247"/>
        <w:gridCol w:w="1515"/>
        <w:gridCol w:w="1390"/>
        <w:gridCol w:w="1138"/>
        <w:gridCol w:w="1643"/>
      </w:tblGrid>
      <w:tr w:rsidR="00782877" w:rsidRPr="006E70B0" w14:paraId="31A7A0D3" w14:textId="77777777" w:rsidTr="00130C2F">
        <w:trPr>
          <w:trHeight w:val="302"/>
        </w:trPr>
        <w:tc>
          <w:tcPr>
            <w:tcW w:w="1157" w:type="dxa"/>
            <w:tcBorders>
              <w:top w:val="nil"/>
              <w:left w:val="nil"/>
              <w:bottom w:val="nil"/>
              <w:right w:val="nil"/>
            </w:tcBorders>
            <w:shd w:val="clear" w:color="auto" w:fill="auto"/>
            <w:noWrap/>
            <w:vAlign w:val="bottom"/>
            <w:hideMark/>
          </w:tcPr>
          <w:p w14:paraId="5E640376" w14:textId="77777777" w:rsidR="00782877" w:rsidRPr="006E70B0" w:rsidRDefault="00782877" w:rsidP="00D11CF4">
            <w:pPr>
              <w:keepNext/>
              <w:spacing w:before="0" w:after="0" w:line="240" w:lineRule="auto"/>
              <w:jc w:val="left"/>
              <w:rPr>
                <w:rFonts w:cs="Arial"/>
                <w:sz w:val="20"/>
                <w:szCs w:val="20"/>
                <w:lang w:val="en-US" w:eastAsia="es-ES"/>
              </w:rPr>
            </w:pPr>
          </w:p>
        </w:tc>
        <w:tc>
          <w:tcPr>
            <w:tcW w:w="8227" w:type="dxa"/>
            <w:gridSpan w:val="6"/>
            <w:tcBorders>
              <w:top w:val="single" w:sz="4" w:space="0" w:color="auto"/>
              <w:left w:val="single" w:sz="4" w:space="0" w:color="auto"/>
              <w:bottom w:val="single" w:sz="4" w:space="0" w:color="auto"/>
              <w:right w:val="single" w:sz="4" w:space="0" w:color="auto"/>
            </w:tcBorders>
            <w:shd w:val="clear" w:color="000000" w:fill="9CB700"/>
            <w:noWrap/>
            <w:vAlign w:val="center"/>
            <w:hideMark/>
          </w:tcPr>
          <w:p w14:paraId="3DE5BD9A" w14:textId="77777777" w:rsidR="00782877" w:rsidRPr="006E70B0" w:rsidRDefault="00782877" w:rsidP="00D11CF4">
            <w:pPr>
              <w:keepNext/>
              <w:spacing w:before="0" w:after="0" w:line="240" w:lineRule="auto"/>
              <w:jc w:val="center"/>
              <w:rPr>
                <w:rFonts w:cs="Arial"/>
                <w:b/>
                <w:bCs/>
                <w:color w:val="FFFFFF"/>
                <w:sz w:val="20"/>
                <w:szCs w:val="20"/>
                <w:lang w:val="en-US" w:eastAsia="es-ES"/>
              </w:rPr>
            </w:pPr>
            <w:r w:rsidRPr="006E70B0">
              <w:rPr>
                <w:rFonts w:cs="Arial"/>
                <w:b/>
                <w:bCs/>
                <w:color w:val="FFFFFF"/>
                <w:sz w:val="20"/>
                <w:szCs w:val="20"/>
                <w:lang w:val="en-US" w:eastAsia="es-ES"/>
              </w:rPr>
              <w:t>% Booked capacity by time horizon versus total booked capacity</w:t>
            </w:r>
            <w:r w:rsidRPr="006E70B0" w:rsidDel="00A2503D">
              <w:rPr>
                <w:rFonts w:cs="Arial"/>
                <w:b/>
                <w:bCs/>
                <w:color w:val="FFFFFF"/>
                <w:sz w:val="20"/>
                <w:szCs w:val="20"/>
                <w:lang w:val="en-US" w:eastAsia="es-ES"/>
              </w:rPr>
              <w:t xml:space="preserve"> </w:t>
            </w:r>
          </w:p>
        </w:tc>
      </w:tr>
      <w:tr w:rsidR="004F2217" w:rsidRPr="006E70B0" w14:paraId="132B79BF" w14:textId="77777777" w:rsidTr="00D11CF4">
        <w:trPr>
          <w:trHeight w:val="223"/>
        </w:trPr>
        <w:tc>
          <w:tcPr>
            <w:tcW w:w="1157" w:type="dxa"/>
            <w:tcBorders>
              <w:top w:val="nil"/>
              <w:left w:val="nil"/>
              <w:bottom w:val="nil"/>
              <w:right w:val="nil"/>
            </w:tcBorders>
            <w:shd w:val="clear" w:color="auto" w:fill="auto"/>
            <w:noWrap/>
            <w:vAlign w:val="bottom"/>
            <w:hideMark/>
          </w:tcPr>
          <w:p w14:paraId="06D19D5E" w14:textId="77777777" w:rsidR="00782877" w:rsidRPr="006E70B0" w:rsidRDefault="00782877" w:rsidP="00D11CF4">
            <w:pPr>
              <w:keepNext/>
              <w:spacing w:before="0" w:after="0" w:line="240" w:lineRule="auto"/>
              <w:jc w:val="center"/>
              <w:rPr>
                <w:rFonts w:cs="Arial"/>
                <w:b/>
                <w:bCs/>
                <w:color w:val="FFFFFF"/>
                <w:sz w:val="20"/>
                <w:szCs w:val="20"/>
                <w:lang w:val="en-US" w:eastAsia="es-ES"/>
              </w:rPr>
            </w:pPr>
          </w:p>
        </w:tc>
        <w:tc>
          <w:tcPr>
            <w:tcW w:w="1294" w:type="dxa"/>
            <w:tcBorders>
              <w:top w:val="nil"/>
              <w:left w:val="single" w:sz="4" w:space="0" w:color="auto"/>
              <w:bottom w:val="single" w:sz="4" w:space="0" w:color="auto"/>
              <w:right w:val="single" w:sz="4" w:space="0" w:color="auto"/>
            </w:tcBorders>
            <w:shd w:val="clear" w:color="000000" w:fill="63666A"/>
            <w:noWrap/>
            <w:vAlign w:val="bottom"/>
            <w:hideMark/>
          </w:tcPr>
          <w:p w14:paraId="328EC30A" w14:textId="77777777" w:rsidR="00782877" w:rsidRPr="006E70B0" w:rsidRDefault="00782877" w:rsidP="00D11CF4">
            <w:pPr>
              <w:keepNext/>
              <w:spacing w:before="0" w:after="0" w:line="240" w:lineRule="auto"/>
              <w:jc w:val="center"/>
              <w:rPr>
                <w:rFonts w:cs="Arial"/>
                <w:b/>
                <w:bCs/>
                <w:color w:val="FFFFFF"/>
                <w:sz w:val="20"/>
                <w:szCs w:val="20"/>
                <w:lang w:val="es-ES" w:eastAsia="es-ES"/>
              </w:rPr>
            </w:pPr>
            <w:r w:rsidRPr="006E70B0">
              <w:rPr>
                <w:rFonts w:cs="Arial"/>
                <w:b/>
                <w:bCs/>
                <w:color w:val="FFFFFF"/>
                <w:sz w:val="20"/>
                <w:szCs w:val="20"/>
                <w:lang w:val="es-ES" w:eastAsia="es-ES"/>
              </w:rPr>
              <w:t xml:space="preserve">Unbundled after CAM </w:t>
            </w:r>
          </w:p>
        </w:tc>
        <w:tc>
          <w:tcPr>
            <w:tcW w:w="1247" w:type="dxa"/>
            <w:tcBorders>
              <w:top w:val="nil"/>
              <w:left w:val="nil"/>
              <w:bottom w:val="single" w:sz="4" w:space="0" w:color="auto"/>
              <w:right w:val="single" w:sz="4" w:space="0" w:color="auto"/>
            </w:tcBorders>
            <w:shd w:val="clear" w:color="000000" w:fill="63666A"/>
            <w:noWrap/>
            <w:vAlign w:val="bottom"/>
            <w:hideMark/>
          </w:tcPr>
          <w:p w14:paraId="29DD30B3" w14:textId="77777777" w:rsidR="00782877" w:rsidRPr="006E70B0" w:rsidRDefault="00782877" w:rsidP="00D11CF4">
            <w:pPr>
              <w:keepNext/>
              <w:spacing w:before="0" w:after="0" w:line="240" w:lineRule="auto"/>
              <w:jc w:val="center"/>
              <w:rPr>
                <w:rFonts w:cs="Arial"/>
                <w:b/>
                <w:bCs/>
                <w:color w:val="FFFFFF"/>
                <w:sz w:val="20"/>
                <w:szCs w:val="20"/>
                <w:lang w:val="es-ES" w:eastAsia="es-ES"/>
              </w:rPr>
            </w:pPr>
            <w:r w:rsidRPr="006E70B0">
              <w:rPr>
                <w:rFonts w:cs="Arial"/>
                <w:b/>
                <w:bCs/>
                <w:color w:val="FFFFFF"/>
                <w:sz w:val="20"/>
                <w:szCs w:val="20"/>
                <w:lang w:val="es-ES" w:eastAsia="es-ES"/>
              </w:rPr>
              <w:t>Yearly product</w:t>
            </w:r>
          </w:p>
        </w:tc>
        <w:tc>
          <w:tcPr>
            <w:tcW w:w="1515" w:type="dxa"/>
            <w:tcBorders>
              <w:top w:val="nil"/>
              <w:left w:val="nil"/>
              <w:bottom w:val="single" w:sz="4" w:space="0" w:color="auto"/>
              <w:right w:val="single" w:sz="4" w:space="0" w:color="auto"/>
            </w:tcBorders>
            <w:shd w:val="clear" w:color="000000" w:fill="63666A"/>
            <w:noWrap/>
            <w:vAlign w:val="bottom"/>
            <w:hideMark/>
          </w:tcPr>
          <w:p w14:paraId="25A2033E" w14:textId="77777777" w:rsidR="00782877" w:rsidRPr="006E70B0" w:rsidRDefault="00782877" w:rsidP="00D11CF4">
            <w:pPr>
              <w:keepNext/>
              <w:spacing w:before="0" w:after="0" w:line="240" w:lineRule="auto"/>
              <w:jc w:val="center"/>
              <w:rPr>
                <w:rFonts w:cs="Arial"/>
                <w:b/>
                <w:bCs/>
                <w:color w:val="FFFFFF"/>
                <w:sz w:val="20"/>
                <w:szCs w:val="20"/>
                <w:lang w:val="es-ES" w:eastAsia="es-ES"/>
              </w:rPr>
            </w:pPr>
            <w:r w:rsidRPr="006E70B0">
              <w:rPr>
                <w:rFonts w:cs="Arial"/>
                <w:b/>
                <w:bCs/>
                <w:color w:val="FFFFFF"/>
                <w:sz w:val="20"/>
                <w:szCs w:val="20"/>
                <w:lang w:val="es-ES" w:eastAsia="es-ES"/>
              </w:rPr>
              <w:t>Quarterly product</w:t>
            </w:r>
          </w:p>
        </w:tc>
        <w:tc>
          <w:tcPr>
            <w:tcW w:w="1390" w:type="dxa"/>
            <w:tcBorders>
              <w:top w:val="nil"/>
              <w:left w:val="nil"/>
              <w:bottom w:val="single" w:sz="4" w:space="0" w:color="auto"/>
              <w:right w:val="single" w:sz="4" w:space="0" w:color="auto"/>
            </w:tcBorders>
            <w:shd w:val="clear" w:color="000000" w:fill="63666A"/>
            <w:noWrap/>
            <w:vAlign w:val="bottom"/>
            <w:hideMark/>
          </w:tcPr>
          <w:p w14:paraId="53632E8D" w14:textId="77777777" w:rsidR="00782877" w:rsidRPr="006E70B0" w:rsidRDefault="00782877" w:rsidP="00D11CF4">
            <w:pPr>
              <w:keepNext/>
              <w:spacing w:before="0" w:after="0" w:line="240" w:lineRule="auto"/>
              <w:jc w:val="center"/>
              <w:rPr>
                <w:rFonts w:cs="Arial"/>
                <w:b/>
                <w:bCs/>
                <w:color w:val="FFFFFF"/>
                <w:sz w:val="20"/>
                <w:szCs w:val="20"/>
                <w:lang w:val="es-ES" w:eastAsia="es-ES"/>
              </w:rPr>
            </w:pPr>
            <w:r w:rsidRPr="006E70B0">
              <w:rPr>
                <w:rFonts w:cs="Arial"/>
                <w:b/>
                <w:bCs/>
                <w:color w:val="FFFFFF"/>
                <w:sz w:val="20"/>
                <w:szCs w:val="20"/>
                <w:lang w:val="es-ES" w:eastAsia="es-ES"/>
              </w:rPr>
              <w:t>Monthly product</w:t>
            </w:r>
          </w:p>
        </w:tc>
        <w:tc>
          <w:tcPr>
            <w:tcW w:w="1138" w:type="dxa"/>
            <w:tcBorders>
              <w:top w:val="nil"/>
              <w:left w:val="nil"/>
              <w:bottom w:val="single" w:sz="4" w:space="0" w:color="auto"/>
              <w:right w:val="single" w:sz="4" w:space="0" w:color="auto"/>
            </w:tcBorders>
            <w:shd w:val="clear" w:color="000000" w:fill="63666A"/>
            <w:noWrap/>
            <w:vAlign w:val="bottom"/>
            <w:hideMark/>
          </w:tcPr>
          <w:p w14:paraId="1EFDA693" w14:textId="77777777" w:rsidR="00782877" w:rsidRPr="006E70B0" w:rsidRDefault="00782877" w:rsidP="00D11CF4">
            <w:pPr>
              <w:keepNext/>
              <w:spacing w:before="0" w:after="0" w:line="240" w:lineRule="auto"/>
              <w:jc w:val="center"/>
              <w:rPr>
                <w:rFonts w:cs="Arial"/>
                <w:b/>
                <w:bCs/>
                <w:color w:val="FFFFFF"/>
                <w:sz w:val="20"/>
                <w:szCs w:val="20"/>
                <w:lang w:val="es-ES" w:eastAsia="es-ES"/>
              </w:rPr>
            </w:pPr>
            <w:r w:rsidRPr="006E70B0">
              <w:rPr>
                <w:rFonts w:cs="Arial"/>
                <w:b/>
                <w:bCs/>
                <w:color w:val="FFFFFF"/>
                <w:sz w:val="20"/>
                <w:szCs w:val="20"/>
                <w:lang w:val="es-ES" w:eastAsia="es-ES"/>
              </w:rPr>
              <w:t>Daily product</w:t>
            </w:r>
          </w:p>
        </w:tc>
        <w:tc>
          <w:tcPr>
            <w:tcW w:w="1643" w:type="dxa"/>
            <w:tcBorders>
              <w:top w:val="nil"/>
              <w:left w:val="nil"/>
              <w:bottom w:val="single" w:sz="4" w:space="0" w:color="auto"/>
              <w:right w:val="single" w:sz="4" w:space="0" w:color="auto"/>
            </w:tcBorders>
            <w:shd w:val="clear" w:color="000000" w:fill="63666A"/>
            <w:noWrap/>
            <w:vAlign w:val="bottom"/>
            <w:hideMark/>
          </w:tcPr>
          <w:p w14:paraId="03EC1698" w14:textId="77777777" w:rsidR="00782877" w:rsidRPr="006E70B0" w:rsidRDefault="00782877" w:rsidP="00D11CF4">
            <w:pPr>
              <w:keepNext/>
              <w:spacing w:before="0" w:after="0" w:line="240" w:lineRule="auto"/>
              <w:jc w:val="center"/>
              <w:rPr>
                <w:rFonts w:cs="Arial"/>
                <w:b/>
                <w:bCs/>
                <w:color w:val="FFFFFF"/>
                <w:sz w:val="20"/>
                <w:szCs w:val="20"/>
                <w:lang w:val="es-ES" w:eastAsia="es-ES"/>
              </w:rPr>
            </w:pPr>
            <w:r w:rsidRPr="006E70B0">
              <w:rPr>
                <w:rFonts w:cs="Arial"/>
                <w:b/>
                <w:bCs/>
                <w:color w:val="FFFFFF"/>
                <w:sz w:val="20"/>
                <w:szCs w:val="20"/>
                <w:lang w:val="es-ES" w:eastAsia="es-ES"/>
              </w:rPr>
              <w:t>Within-day product</w:t>
            </w:r>
          </w:p>
        </w:tc>
      </w:tr>
      <w:tr w:rsidR="00782877" w:rsidRPr="006E70B0" w14:paraId="032E6D8B" w14:textId="77777777" w:rsidTr="00D11CF4">
        <w:trPr>
          <w:trHeight w:val="223"/>
        </w:trPr>
        <w:tc>
          <w:tcPr>
            <w:tcW w:w="1157" w:type="dxa"/>
            <w:tcBorders>
              <w:top w:val="single" w:sz="4" w:space="0" w:color="auto"/>
              <w:left w:val="single" w:sz="4" w:space="0" w:color="auto"/>
              <w:bottom w:val="single" w:sz="4" w:space="0" w:color="auto"/>
              <w:right w:val="single" w:sz="4" w:space="0" w:color="auto"/>
            </w:tcBorders>
            <w:shd w:val="clear" w:color="000000" w:fill="007AAE"/>
            <w:noWrap/>
            <w:vAlign w:val="bottom"/>
            <w:hideMark/>
          </w:tcPr>
          <w:p w14:paraId="05EA5487" w14:textId="73A63395" w:rsidR="00782877" w:rsidRPr="006E70B0" w:rsidRDefault="00F0554A" w:rsidP="00D11CF4">
            <w:pPr>
              <w:keepNext/>
              <w:spacing w:before="0" w:after="0" w:line="240" w:lineRule="auto"/>
              <w:jc w:val="center"/>
              <w:rPr>
                <w:rFonts w:cs="Arial"/>
                <w:b/>
                <w:bCs/>
                <w:color w:val="FFFFFF"/>
                <w:sz w:val="20"/>
                <w:szCs w:val="20"/>
                <w:lang w:val="es-ES" w:eastAsia="es-ES"/>
              </w:rPr>
            </w:pPr>
            <w:r>
              <w:rPr>
                <w:rFonts w:cs="Arial"/>
                <w:b/>
                <w:bCs/>
                <w:color w:val="FFFFFF"/>
                <w:sz w:val="20"/>
                <w:szCs w:val="20"/>
                <w:lang w:val="es-ES" w:eastAsia="es-ES"/>
              </w:rPr>
              <w:t>2016-2017</w:t>
            </w:r>
          </w:p>
        </w:tc>
        <w:tc>
          <w:tcPr>
            <w:tcW w:w="1294" w:type="dxa"/>
            <w:tcBorders>
              <w:top w:val="nil"/>
              <w:left w:val="nil"/>
              <w:bottom w:val="single" w:sz="4" w:space="0" w:color="auto"/>
              <w:right w:val="single" w:sz="4" w:space="0" w:color="auto"/>
            </w:tcBorders>
            <w:shd w:val="clear" w:color="auto" w:fill="auto"/>
            <w:noWrap/>
            <w:vAlign w:val="bottom"/>
            <w:hideMark/>
          </w:tcPr>
          <w:p w14:paraId="09B9851B"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75,77%</w:t>
            </w:r>
          </w:p>
        </w:tc>
        <w:tc>
          <w:tcPr>
            <w:tcW w:w="1247" w:type="dxa"/>
            <w:tcBorders>
              <w:top w:val="nil"/>
              <w:left w:val="nil"/>
              <w:bottom w:val="single" w:sz="4" w:space="0" w:color="auto"/>
              <w:right w:val="single" w:sz="4" w:space="0" w:color="auto"/>
            </w:tcBorders>
            <w:shd w:val="clear" w:color="auto" w:fill="auto"/>
            <w:noWrap/>
            <w:vAlign w:val="bottom"/>
            <w:hideMark/>
          </w:tcPr>
          <w:p w14:paraId="2D3409EB"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11,27%</w:t>
            </w:r>
          </w:p>
        </w:tc>
        <w:tc>
          <w:tcPr>
            <w:tcW w:w="1515" w:type="dxa"/>
            <w:tcBorders>
              <w:top w:val="nil"/>
              <w:left w:val="nil"/>
              <w:bottom w:val="single" w:sz="4" w:space="0" w:color="auto"/>
              <w:right w:val="single" w:sz="4" w:space="0" w:color="auto"/>
            </w:tcBorders>
            <w:shd w:val="clear" w:color="auto" w:fill="auto"/>
            <w:noWrap/>
            <w:vAlign w:val="bottom"/>
            <w:hideMark/>
          </w:tcPr>
          <w:p w14:paraId="406D3D2F"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0,03%</w:t>
            </w:r>
          </w:p>
        </w:tc>
        <w:tc>
          <w:tcPr>
            <w:tcW w:w="1390" w:type="dxa"/>
            <w:tcBorders>
              <w:top w:val="nil"/>
              <w:left w:val="nil"/>
              <w:bottom w:val="single" w:sz="4" w:space="0" w:color="auto"/>
              <w:right w:val="single" w:sz="4" w:space="0" w:color="auto"/>
            </w:tcBorders>
            <w:shd w:val="clear" w:color="auto" w:fill="auto"/>
            <w:noWrap/>
            <w:vAlign w:val="bottom"/>
            <w:hideMark/>
          </w:tcPr>
          <w:p w14:paraId="39D1127C"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11,73%</w:t>
            </w:r>
          </w:p>
        </w:tc>
        <w:tc>
          <w:tcPr>
            <w:tcW w:w="1138" w:type="dxa"/>
            <w:tcBorders>
              <w:top w:val="nil"/>
              <w:left w:val="nil"/>
              <w:bottom w:val="single" w:sz="4" w:space="0" w:color="auto"/>
              <w:right w:val="single" w:sz="4" w:space="0" w:color="auto"/>
            </w:tcBorders>
            <w:shd w:val="clear" w:color="auto" w:fill="auto"/>
            <w:noWrap/>
            <w:vAlign w:val="bottom"/>
            <w:hideMark/>
          </w:tcPr>
          <w:p w14:paraId="24BEF3CB"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1,10%</w:t>
            </w:r>
          </w:p>
        </w:tc>
        <w:tc>
          <w:tcPr>
            <w:tcW w:w="1643" w:type="dxa"/>
            <w:tcBorders>
              <w:top w:val="nil"/>
              <w:left w:val="nil"/>
              <w:bottom w:val="single" w:sz="4" w:space="0" w:color="auto"/>
              <w:right w:val="single" w:sz="4" w:space="0" w:color="auto"/>
            </w:tcBorders>
            <w:shd w:val="clear" w:color="auto" w:fill="auto"/>
            <w:noWrap/>
            <w:vAlign w:val="bottom"/>
            <w:hideMark/>
          </w:tcPr>
          <w:p w14:paraId="4C9B76EE"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0,10%</w:t>
            </w:r>
          </w:p>
        </w:tc>
      </w:tr>
      <w:tr w:rsidR="00782877" w:rsidRPr="006E70B0" w14:paraId="1843DAB2" w14:textId="77777777" w:rsidTr="00D11CF4">
        <w:trPr>
          <w:trHeight w:val="223"/>
        </w:trPr>
        <w:tc>
          <w:tcPr>
            <w:tcW w:w="1157" w:type="dxa"/>
            <w:tcBorders>
              <w:top w:val="nil"/>
              <w:left w:val="single" w:sz="4" w:space="0" w:color="auto"/>
              <w:bottom w:val="single" w:sz="4" w:space="0" w:color="auto"/>
              <w:right w:val="single" w:sz="4" w:space="0" w:color="auto"/>
            </w:tcBorders>
            <w:shd w:val="clear" w:color="000000" w:fill="007AAE"/>
            <w:noWrap/>
            <w:vAlign w:val="bottom"/>
            <w:hideMark/>
          </w:tcPr>
          <w:p w14:paraId="272D223F" w14:textId="4A15D82F" w:rsidR="00782877" w:rsidRPr="006E70B0" w:rsidRDefault="00F0554A" w:rsidP="00D11CF4">
            <w:pPr>
              <w:keepNext/>
              <w:spacing w:before="0" w:after="0" w:line="240" w:lineRule="auto"/>
              <w:jc w:val="center"/>
              <w:rPr>
                <w:rFonts w:cs="Arial"/>
                <w:b/>
                <w:bCs/>
                <w:color w:val="FFFFFF"/>
                <w:sz w:val="20"/>
                <w:szCs w:val="20"/>
                <w:lang w:val="es-ES" w:eastAsia="es-ES"/>
              </w:rPr>
            </w:pPr>
            <w:r>
              <w:rPr>
                <w:rFonts w:cs="Arial"/>
                <w:b/>
                <w:bCs/>
                <w:color w:val="FFFFFF"/>
                <w:sz w:val="20"/>
                <w:szCs w:val="20"/>
                <w:lang w:val="es-ES" w:eastAsia="es-ES"/>
              </w:rPr>
              <w:t>2017-2018</w:t>
            </w:r>
          </w:p>
        </w:tc>
        <w:tc>
          <w:tcPr>
            <w:tcW w:w="1294" w:type="dxa"/>
            <w:tcBorders>
              <w:top w:val="nil"/>
              <w:left w:val="nil"/>
              <w:bottom w:val="single" w:sz="4" w:space="0" w:color="auto"/>
              <w:right w:val="single" w:sz="4" w:space="0" w:color="auto"/>
            </w:tcBorders>
            <w:shd w:val="clear" w:color="auto" w:fill="auto"/>
            <w:noWrap/>
            <w:vAlign w:val="bottom"/>
            <w:hideMark/>
          </w:tcPr>
          <w:p w14:paraId="09879FF0"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83,03%</w:t>
            </w:r>
          </w:p>
        </w:tc>
        <w:tc>
          <w:tcPr>
            <w:tcW w:w="1247" w:type="dxa"/>
            <w:tcBorders>
              <w:top w:val="nil"/>
              <w:left w:val="nil"/>
              <w:bottom w:val="single" w:sz="4" w:space="0" w:color="auto"/>
              <w:right w:val="single" w:sz="4" w:space="0" w:color="auto"/>
            </w:tcBorders>
            <w:shd w:val="clear" w:color="auto" w:fill="auto"/>
            <w:noWrap/>
            <w:vAlign w:val="bottom"/>
            <w:hideMark/>
          </w:tcPr>
          <w:p w14:paraId="330F6486"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13,17%</w:t>
            </w:r>
          </w:p>
        </w:tc>
        <w:tc>
          <w:tcPr>
            <w:tcW w:w="1515" w:type="dxa"/>
            <w:tcBorders>
              <w:top w:val="nil"/>
              <w:left w:val="nil"/>
              <w:bottom w:val="single" w:sz="4" w:space="0" w:color="auto"/>
              <w:right w:val="single" w:sz="4" w:space="0" w:color="auto"/>
            </w:tcBorders>
            <w:shd w:val="clear" w:color="auto" w:fill="auto"/>
            <w:noWrap/>
            <w:vAlign w:val="bottom"/>
            <w:hideMark/>
          </w:tcPr>
          <w:p w14:paraId="70903434"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0,00%</w:t>
            </w:r>
          </w:p>
        </w:tc>
        <w:tc>
          <w:tcPr>
            <w:tcW w:w="1390" w:type="dxa"/>
            <w:tcBorders>
              <w:top w:val="nil"/>
              <w:left w:val="nil"/>
              <w:bottom w:val="single" w:sz="4" w:space="0" w:color="auto"/>
              <w:right w:val="single" w:sz="4" w:space="0" w:color="auto"/>
            </w:tcBorders>
            <w:shd w:val="clear" w:color="auto" w:fill="auto"/>
            <w:noWrap/>
            <w:vAlign w:val="bottom"/>
            <w:hideMark/>
          </w:tcPr>
          <w:p w14:paraId="672FB2B0"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3,66%</w:t>
            </w:r>
          </w:p>
        </w:tc>
        <w:tc>
          <w:tcPr>
            <w:tcW w:w="1138" w:type="dxa"/>
            <w:tcBorders>
              <w:top w:val="nil"/>
              <w:left w:val="nil"/>
              <w:bottom w:val="single" w:sz="4" w:space="0" w:color="auto"/>
              <w:right w:val="single" w:sz="4" w:space="0" w:color="auto"/>
            </w:tcBorders>
            <w:shd w:val="clear" w:color="auto" w:fill="auto"/>
            <w:noWrap/>
            <w:vAlign w:val="bottom"/>
            <w:hideMark/>
          </w:tcPr>
          <w:p w14:paraId="2BE6F742"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0,14%</w:t>
            </w:r>
          </w:p>
        </w:tc>
        <w:tc>
          <w:tcPr>
            <w:tcW w:w="1643" w:type="dxa"/>
            <w:tcBorders>
              <w:top w:val="nil"/>
              <w:left w:val="nil"/>
              <w:bottom w:val="single" w:sz="4" w:space="0" w:color="auto"/>
              <w:right w:val="single" w:sz="4" w:space="0" w:color="auto"/>
            </w:tcBorders>
            <w:shd w:val="clear" w:color="auto" w:fill="auto"/>
            <w:noWrap/>
            <w:vAlign w:val="bottom"/>
            <w:hideMark/>
          </w:tcPr>
          <w:p w14:paraId="56A87957"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0,00%</w:t>
            </w:r>
          </w:p>
        </w:tc>
      </w:tr>
      <w:tr w:rsidR="00782877" w:rsidRPr="006E70B0" w14:paraId="15204F43" w14:textId="77777777" w:rsidTr="00D11CF4">
        <w:trPr>
          <w:trHeight w:val="223"/>
        </w:trPr>
        <w:tc>
          <w:tcPr>
            <w:tcW w:w="1157" w:type="dxa"/>
            <w:tcBorders>
              <w:top w:val="nil"/>
              <w:left w:val="single" w:sz="4" w:space="0" w:color="auto"/>
              <w:bottom w:val="single" w:sz="4" w:space="0" w:color="auto"/>
              <w:right w:val="single" w:sz="4" w:space="0" w:color="auto"/>
            </w:tcBorders>
            <w:shd w:val="clear" w:color="000000" w:fill="007AAE"/>
            <w:noWrap/>
            <w:vAlign w:val="bottom"/>
            <w:hideMark/>
          </w:tcPr>
          <w:p w14:paraId="7E299B34" w14:textId="4313630F" w:rsidR="00782877" w:rsidRPr="006E70B0" w:rsidRDefault="00F0554A" w:rsidP="00D11CF4">
            <w:pPr>
              <w:keepNext/>
              <w:spacing w:before="0" w:after="0" w:line="240" w:lineRule="auto"/>
              <w:jc w:val="center"/>
              <w:rPr>
                <w:rFonts w:cs="Arial"/>
                <w:b/>
                <w:bCs/>
                <w:color w:val="FFFFFF"/>
                <w:sz w:val="20"/>
                <w:szCs w:val="20"/>
                <w:lang w:val="es-ES" w:eastAsia="es-ES"/>
              </w:rPr>
            </w:pPr>
            <w:r>
              <w:rPr>
                <w:rFonts w:cs="Arial"/>
                <w:b/>
                <w:bCs/>
                <w:color w:val="FFFFFF"/>
                <w:sz w:val="20"/>
                <w:szCs w:val="20"/>
                <w:lang w:val="es-ES" w:eastAsia="es-ES"/>
              </w:rPr>
              <w:t>2018-2019</w:t>
            </w:r>
          </w:p>
        </w:tc>
        <w:tc>
          <w:tcPr>
            <w:tcW w:w="1294" w:type="dxa"/>
            <w:tcBorders>
              <w:top w:val="nil"/>
              <w:left w:val="nil"/>
              <w:bottom w:val="single" w:sz="4" w:space="0" w:color="auto"/>
              <w:right w:val="single" w:sz="4" w:space="0" w:color="auto"/>
            </w:tcBorders>
            <w:shd w:val="clear" w:color="auto" w:fill="auto"/>
            <w:noWrap/>
            <w:vAlign w:val="bottom"/>
            <w:hideMark/>
          </w:tcPr>
          <w:p w14:paraId="1D34111B"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93,05%</w:t>
            </w:r>
          </w:p>
        </w:tc>
        <w:tc>
          <w:tcPr>
            <w:tcW w:w="1247" w:type="dxa"/>
            <w:tcBorders>
              <w:top w:val="nil"/>
              <w:left w:val="nil"/>
              <w:bottom w:val="single" w:sz="4" w:space="0" w:color="auto"/>
              <w:right w:val="single" w:sz="4" w:space="0" w:color="auto"/>
            </w:tcBorders>
            <w:shd w:val="clear" w:color="auto" w:fill="auto"/>
            <w:noWrap/>
            <w:vAlign w:val="bottom"/>
            <w:hideMark/>
          </w:tcPr>
          <w:p w14:paraId="7180EBFB"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4,91%</w:t>
            </w:r>
          </w:p>
        </w:tc>
        <w:tc>
          <w:tcPr>
            <w:tcW w:w="1515" w:type="dxa"/>
            <w:tcBorders>
              <w:top w:val="nil"/>
              <w:left w:val="nil"/>
              <w:bottom w:val="single" w:sz="4" w:space="0" w:color="auto"/>
              <w:right w:val="single" w:sz="4" w:space="0" w:color="auto"/>
            </w:tcBorders>
            <w:shd w:val="clear" w:color="auto" w:fill="auto"/>
            <w:noWrap/>
            <w:vAlign w:val="bottom"/>
            <w:hideMark/>
          </w:tcPr>
          <w:p w14:paraId="79E9FEB5"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0,06%</w:t>
            </w:r>
          </w:p>
        </w:tc>
        <w:tc>
          <w:tcPr>
            <w:tcW w:w="1390" w:type="dxa"/>
            <w:tcBorders>
              <w:top w:val="nil"/>
              <w:left w:val="nil"/>
              <w:bottom w:val="single" w:sz="4" w:space="0" w:color="auto"/>
              <w:right w:val="single" w:sz="4" w:space="0" w:color="auto"/>
            </w:tcBorders>
            <w:shd w:val="clear" w:color="auto" w:fill="auto"/>
            <w:noWrap/>
            <w:vAlign w:val="bottom"/>
            <w:hideMark/>
          </w:tcPr>
          <w:p w14:paraId="20DD4FC8"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1,77%</w:t>
            </w:r>
          </w:p>
        </w:tc>
        <w:tc>
          <w:tcPr>
            <w:tcW w:w="1138" w:type="dxa"/>
            <w:tcBorders>
              <w:top w:val="nil"/>
              <w:left w:val="nil"/>
              <w:bottom w:val="single" w:sz="4" w:space="0" w:color="auto"/>
              <w:right w:val="single" w:sz="4" w:space="0" w:color="auto"/>
            </w:tcBorders>
            <w:shd w:val="clear" w:color="auto" w:fill="auto"/>
            <w:noWrap/>
            <w:vAlign w:val="bottom"/>
            <w:hideMark/>
          </w:tcPr>
          <w:p w14:paraId="654A6007"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0,18%</w:t>
            </w:r>
          </w:p>
        </w:tc>
        <w:tc>
          <w:tcPr>
            <w:tcW w:w="1643" w:type="dxa"/>
            <w:tcBorders>
              <w:top w:val="nil"/>
              <w:left w:val="nil"/>
              <w:bottom w:val="single" w:sz="4" w:space="0" w:color="auto"/>
              <w:right w:val="single" w:sz="4" w:space="0" w:color="auto"/>
            </w:tcBorders>
            <w:shd w:val="clear" w:color="auto" w:fill="auto"/>
            <w:noWrap/>
            <w:vAlign w:val="bottom"/>
            <w:hideMark/>
          </w:tcPr>
          <w:p w14:paraId="7152EB78"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0,03%</w:t>
            </w:r>
          </w:p>
        </w:tc>
      </w:tr>
      <w:tr w:rsidR="00782877" w:rsidRPr="006E70B0" w14:paraId="6C196EDA" w14:textId="77777777" w:rsidTr="00130C2F">
        <w:trPr>
          <w:trHeight w:val="223"/>
        </w:trPr>
        <w:tc>
          <w:tcPr>
            <w:tcW w:w="1157" w:type="dxa"/>
            <w:tcBorders>
              <w:top w:val="nil"/>
              <w:left w:val="single" w:sz="4" w:space="0" w:color="auto"/>
              <w:bottom w:val="single" w:sz="4" w:space="0" w:color="auto"/>
              <w:right w:val="single" w:sz="4" w:space="0" w:color="auto"/>
            </w:tcBorders>
            <w:shd w:val="clear" w:color="000000" w:fill="007AAE"/>
            <w:noWrap/>
            <w:vAlign w:val="bottom"/>
            <w:hideMark/>
          </w:tcPr>
          <w:p w14:paraId="138D69C6" w14:textId="77777777" w:rsidR="00782877" w:rsidRPr="006E70B0" w:rsidRDefault="00782877" w:rsidP="00D11CF4">
            <w:pPr>
              <w:keepNext/>
              <w:spacing w:before="0" w:after="0" w:line="240" w:lineRule="auto"/>
              <w:jc w:val="center"/>
              <w:rPr>
                <w:rFonts w:cs="Arial"/>
                <w:b/>
                <w:bCs/>
                <w:color w:val="FFFFFF"/>
                <w:sz w:val="20"/>
                <w:szCs w:val="20"/>
                <w:lang w:val="es-ES" w:eastAsia="es-ES"/>
              </w:rPr>
            </w:pPr>
            <w:r w:rsidRPr="006E70B0">
              <w:rPr>
                <w:rFonts w:cs="Arial"/>
                <w:b/>
                <w:bCs/>
                <w:color w:val="FFFFFF"/>
                <w:sz w:val="20"/>
                <w:szCs w:val="20"/>
                <w:lang w:val="es-ES" w:eastAsia="es-ES"/>
              </w:rPr>
              <w:t>Average</w:t>
            </w:r>
          </w:p>
        </w:tc>
        <w:tc>
          <w:tcPr>
            <w:tcW w:w="1294" w:type="dxa"/>
            <w:tcBorders>
              <w:top w:val="nil"/>
              <w:left w:val="nil"/>
              <w:bottom w:val="single" w:sz="4" w:space="0" w:color="auto"/>
              <w:right w:val="single" w:sz="4" w:space="0" w:color="auto"/>
            </w:tcBorders>
            <w:shd w:val="clear" w:color="auto" w:fill="auto"/>
            <w:noWrap/>
            <w:vAlign w:val="bottom"/>
            <w:hideMark/>
          </w:tcPr>
          <w:p w14:paraId="331F9FC1"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83,95%</w:t>
            </w:r>
          </w:p>
        </w:tc>
        <w:tc>
          <w:tcPr>
            <w:tcW w:w="1247" w:type="dxa"/>
            <w:tcBorders>
              <w:top w:val="nil"/>
              <w:left w:val="nil"/>
              <w:bottom w:val="single" w:sz="4" w:space="0" w:color="auto"/>
              <w:right w:val="single" w:sz="4" w:space="0" w:color="auto"/>
            </w:tcBorders>
            <w:shd w:val="clear" w:color="auto" w:fill="auto"/>
            <w:noWrap/>
            <w:vAlign w:val="bottom"/>
            <w:hideMark/>
          </w:tcPr>
          <w:p w14:paraId="5F408C3F"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9,79%</w:t>
            </w:r>
          </w:p>
        </w:tc>
        <w:tc>
          <w:tcPr>
            <w:tcW w:w="1515" w:type="dxa"/>
            <w:tcBorders>
              <w:top w:val="nil"/>
              <w:left w:val="nil"/>
              <w:bottom w:val="single" w:sz="4" w:space="0" w:color="auto"/>
              <w:right w:val="single" w:sz="4" w:space="0" w:color="auto"/>
            </w:tcBorders>
            <w:shd w:val="clear" w:color="auto" w:fill="auto"/>
            <w:noWrap/>
            <w:vAlign w:val="bottom"/>
            <w:hideMark/>
          </w:tcPr>
          <w:p w14:paraId="4A51449F"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0,03%</w:t>
            </w:r>
          </w:p>
        </w:tc>
        <w:tc>
          <w:tcPr>
            <w:tcW w:w="1390" w:type="dxa"/>
            <w:tcBorders>
              <w:top w:val="nil"/>
              <w:left w:val="nil"/>
              <w:bottom w:val="single" w:sz="4" w:space="0" w:color="auto"/>
              <w:right w:val="single" w:sz="4" w:space="0" w:color="auto"/>
            </w:tcBorders>
            <w:shd w:val="clear" w:color="auto" w:fill="auto"/>
            <w:noWrap/>
            <w:vAlign w:val="bottom"/>
            <w:hideMark/>
          </w:tcPr>
          <w:p w14:paraId="2AC26BA5"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5,72%</w:t>
            </w:r>
          </w:p>
        </w:tc>
        <w:tc>
          <w:tcPr>
            <w:tcW w:w="1138" w:type="dxa"/>
            <w:tcBorders>
              <w:top w:val="nil"/>
              <w:left w:val="nil"/>
              <w:bottom w:val="single" w:sz="4" w:space="0" w:color="auto"/>
              <w:right w:val="single" w:sz="4" w:space="0" w:color="auto"/>
            </w:tcBorders>
            <w:shd w:val="clear" w:color="auto" w:fill="auto"/>
            <w:noWrap/>
            <w:vAlign w:val="bottom"/>
            <w:hideMark/>
          </w:tcPr>
          <w:p w14:paraId="7FA85149" w14:textId="77777777" w:rsidR="00782877" w:rsidRPr="006E70B0" w:rsidRDefault="00782877" w:rsidP="00D11CF4">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0,47%</w:t>
            </w:r>
          </w:p>
        </w:tc>
        <w:tc>
          <w:tcPr>
            <w:tcW w:w="1643" w:type="dxa"/>
            <w:tcBorders>
              <w:top w:val="nil"/>
              <w:left w:val="nil"/>
              <w:bottom w:val="single" w:sz="4" w:space="0" w:color="auto"/>
              <w:right w:val="single" w:sz="4" w:space="0" w:color="auto"/>
            </w:tcBorders>
            <w:shd w:val="clear" w:color="auto" w:fill="auto"/>
            <w:noWrap/>
            <w:vAlign w:val="bottom"/>
            <w:hideMark/>
          </w:tcPr>
          <w:p w14:paraId="77434E22" w14:textId="77777777" w:rsidR="00782877" w:rsidRPr="006E70B0" w:rsidRDefault="00782877" w:rsidP="00491B28">
            <w:pPr>
              <w:keepNext/>
              <w:spacing w:before="0" w:after="0" w:line="240" w:lineRule="auto"/>
              <w:jc w:val="center"/>
              <w:rPr>
                <w:rFonts w:cs="Arial"/>
                <w:color w:val="000000"/>
                <w:sz w:val="20"/>
                <w:szCs w:val="20"/>
                <w:lang w:val="es-ES" w:eastAsia="es-ES"/>
              </w:rPr>
            </w:pPr>
            <w:r w:rsidRPr="006E70B0">
              <w:rPr>
                <w:rFonts w:ascii="Calibri" w:hAnsi="Calibri" w:cs="Calibri"/>
                <w:color w:val="000000"/>
                <w:szCs w:val="22"/>
              </w:rPr>
              <w:t>0,04%</w:t>
            </w:r>
          </w:p>
        </w:tc>
      </w:tr>
    </w:tbl>
    <w:p w14:paraId="1343DBE7" w14:textId="058DAEF1" w:rsidR="00782877" w:rsidRPr="00491B28" w:rsidRDefault="00491B28" w:rsidP="00491B28">
      <w:pPr>
        <w:jc w:val="center"/>
        <w:rPr>
          <w:rFonts w:ascii="Verdana" w:hAnsi="Verdana"/>
          <w:b/>
          <w:sz w:val="16"/>
          <w:lang w:val="en-US"/>
        </w:rPr>
      </w:pPr>
      <w:r w:rsidRPr="006E70B0">
        <w:rPr>
          <w:rFonts w:ascii="Verdana" w:hAnsi="Verdana"/>
          <w:b/>
          <w:sz w:val="16"/>
          <w:lang w:val="en-US"/>
        </w:rPr>
        <w:t xml:space="preserve">Table </w:t>
      </w:r>
      <w:r w:rsidRPr="006E70B0">
        <w:rPr>
          <w:rFonts w:ascii="Verdana" w:hAnsi="Verdana"/>
          <w:b/>
          <w:sz w:val="16"/>
          <w:lang w:val="en-US"/>
        </w:rPr>
        <w:fldChar w:fldCharType="begin"/>
      </w:r>
      <w:r w:rsidRPr="006E70B0">
        <w:rPr>
          <w:rFonts w:ascii="Verdana" w:hAnsi="Verdana"/>
          <w:b/>
          <w:sz w:val="16"/>
          <w:lang w:val="en-US"/>
        </w:rPr>
        <w:instrText xml:space="preserve"> SEQ Table \* ARABIC </w:instrText>
      </w:r>
      <w:r w:rsidRPr="006E70B0">
        <w:rPr>
          <w:rFonts w:ascii="Verdana" w:hAnsi="Verdana"/>
          <w:b/>
          <w:sz w:val="16"/>
          <w:lang w:val="en-US"/>
        </w:rPr>
        <w:fldChar w:fldCharType="separate"/>
      </w:r>
      <w:r w:rsidR="00E859C7">
        <w:rPr>
          <w:rFonts w:ascii="Verdana" w:hAnsi="Verdana"/>
          <w:b/>
          <w:noProof/>
          <w:sz w:val="16"/>
          <w:lang w:val="en-US"/>
        </w:rPr>
        <w:t>16</w:t>
      </w:r>
      <w:r w:rsidRPr="006E70B0">
        <w:rPr>
          <w:rFonts w:ascii="Verdana" w:hAnsi="Verdana"/>
          <w:b/>
          <w:sz w:val="16"/>
          <w:lang w:val="en-US"/>
        </w:rPr>
        <w:fldChar w:fldCharType="end"/>
      </w:r>
      <w:r w:rsidRPr="006E70B0">
        <w:rPr>
          <w:rFonts w:ascii="Verdana" w:hAnsi="Verdana"/>
          <w:b/>
          <w:sz w:val="16"/>
          <w:lang w:val="en-US"/>
        </w:rPr>
        <w:t>: Capacity bookings from Spain to Portugal on the Portuguese side by time horizon</w:t>
      </w:r>
    </w:p>
    <w:p w14:paraId="32854DEF" w14:textId="0326F0FF" w:rsidR="00737BB3" w:rsidRPr="007D7BF4" w:rsidRDefault="00F15438" w:rsidP="00E261BE">
      <w:pPr>
        <w:rPr>
          <w:lang w:val="en-US"/>
        </w:rPr>
      </w:pPr>
      <w:r w:rsidRPr="00D268BC">
        <w:rPr>
          <w:b/>
          <w:u w:val="single"/>
          <w:lang w:val="en-US"/>
        </w:rPr>
        <w:t>Spanish side</w:t>
      </w:r>
    </w:p>
    <w:p w14:paraId="51E8408F" w14:textId="6BC666DD" w:rsidR="008524E6" w:rsidRPr="007D7BF4" w:rsidRDefault="008524E6" w:rsidP="008524E6">
      <w:pPr>
        <w:keepNext/>
        <w:jc w:val="center"/>
        <w:rPr>
          <w:lang w:val="en-US"/>
        </w:rPr>
      </w:pPr>
      <w:r>
        <w:rPr>
          <w:noProof/>
          <w:lang w:val="es-ES" w:eastAsia="es-ES"/>
        </w:rPr>
        <w:drawing>
          <wp:inline distT="0" distB="0" distL="0" distR="0" wp14:anchorId="13C3220F" wp14:editId="27CF003E">
            <wp:extent cx="5233571" cy="2711773"/>
            <wp:effectExtent l="0" t="0" r="571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42992" cy="2716655"/>
                    </a:xfrm>
                    <a:prstGeom prst="rect">
                      <a:avLst/>
                    </a:prstGeom>
                    <a:noFill/>
                  </pic:spPr>
                </pic:pic>
              </a:graphicData>
            </a:graphic>
          </wp:inline>
        </w:drawing>
      </w:r>
    </w:p>
    <w:p w14:paraId="71D8A44E" w14:textId="1D56EAC5" w:rsidR="007D7BF4" w:rsidRDefault="007D7BF4" w:rsidP="007D7BF4">
      <w:pPr>
        <w:pStyle w:val="Descripcin"/>
        <w:spacing w:before="240" w:line="360" w:lineRule="auto"/>
        <w:jc w:val="center"/>
        <w:rPr>
          <w:sz w:val="16"/>
          <w:lang w:val="en-US"/>
        </w:rPr>
      </w:pPr>
      <w:r w:rsidRPr="003F545A">
        <w:rPr>
          <w:sz w:val="16"/>
          <w:lang w:val="en-US"/>
        </w:rPr>
        <w:t xml:space="preserve">Figure </w:t>
      </w:r>
      <w:r w:rsidRPr="003F545A">
        <w:rPr>
          <w:sz w:val="16"/>
        </w:rPr>
        <w:fldChar w:fldCharType="begin"/>
      </w:r>
      <w:r w:rsidRPr="003F545A">
        <w:rPr>
          <w:sz w:val="16"/>
          <w:lang w:val="en-US"/>
        </w:rPr>
        <w:instrText xml:space="preserve"> SEQ Figure \* ARABIC </w:instrText>
      </w:r>
      <w:r w:rsidRPr="003F545A">
        <w:rPr>
          <w:sz w:val="16"/>
        </w:rPr>
        <w:fldChar w:fldCharType="separate"/>
      </w:r>
      <w:r w:rsidR="00E859C7">
        <w:rPr>
          <w:noProof/>
          <w:sz w:val="16"/>
          <w:lang w:val="en-US"/>
        </w:rPr>
        <w:t>27</w:t>
      </w:r>
      <w:r w:rsidRPr="003F545A">
        <w:rPr>
          <w:sz w:val="16"/>
        </w:rPr>
        <w:fldChar w:fldCharType="end"/>
      </w:r>
      <w:r w:rsidRPr="003F545A">
        <w:rPr>
          <w:sz w:val="16"/>
          <w:lang w:val="en-US"/>
        </w:rPr>
        <w:t xml:space="preserve">: Status of booked capacity </w:t>
      </w:r>
      <w:r>
        <w:rPr>
          <w:sz w:val="16"/>
          <w:lang w:val="en-US"/>
        </w:rPr>
        <w:t>by product</w:t>
      </w:r>
      <w:r w:rsidRPr="003F545A">
        <w:rPr>
          <w:sz w:val="16"/>
          <w:lang w:val="en-US"/>
        </w:rPr>
        <w:t xml:space="preserve"> at VIP </w:t>
      </w:r>
      <w:r w:rsidR="000673CD">
        <w:rPr>
          <w:sz w:val="16"/>
          <w:lang w:val="en-US"/>
        </w:rPr>
        <w:t>Ibérico</w:t>
      </w:r>
      <w:r w:rsidRPr="003F545A">
        <w:rPr>
          <w:sz w:val="16"/>
          <w:lang w:val="en-US"/>
        </w:rPr>
        <w:t xml:space="preserve">, </w:t>
      </w:r>
      <w:r>
        <w:rPr>
          <w:sz w:val="16"/>
          <w:lang w:val="en-US"/>
        </w:rPr>
        <w:t>Spain to Portugal</w:t>
      </w:r>
      <w:r w:rsidRPr="003F545A">
        <w:rPr>
          <w:sz w:val="16"/>
          <w:lang w:val="en-US"/>
        </w:rPr>
        <w:t xml:space="preserve"> direction</w:t>
      </w:r>
    </w:p>
    <w:p w14:paraId="7AA932B2" w14:textId="7EAEF623" w:rsidR="00734CA0" w:rsidRDefault="00734CA0" w:rsidP="00E261BE">
      <w:pPr>
        <w:spacing w:line="312" w:lineRule="auto"/>
        <w:rPr>
          <w:lang w:val="en-GB"/>
        </w:rPr>
      </w:pPr>
      <w:r>
        <w:rPr>
          <w:lang w:val="en-GB"/>
        </w:rPr>
        <w:t>Again, the capacity that prevails over the rest is the one coming from LT contracts</w:t>
      </w:r>
      <w:r w:rsidR="0029639B">
        <w:rPr>
          <w:lang w:val="en-GB"/>
        </w:rPr>
        <w:t xml:space="preserve"> previous to CAM</w:t>
      </w:r>
      <w:r>
        <w:rPr>
          <w:lang w:val="en-GB"/>
        </w:rPr>
        <w:t xml:space="preserve"> (85%</w:t>
      </w:r>
      <w:r w:rsidR="0038493F">
        <w:rPr>
          <w:lang w:val="en-GB"/>
        </w:rPr>
        <w:t xml:space="preserve"> of total booked capacity</w:t>
      </w:r>
      <w:r>
        <w:rPr>
          <w:lang w:val="en-GB"/>
        </w:rPr>
        <w:t xml:space="preserve">), followed by capacity booked through </w:t>
      </w:r>
      <w:r w:rsidR="007F34E8">
        <w:rPr>
          <w:lang w:val="en-GB"/>
        </w:rPr>
        <w:t>y</w:t>
      </w:r>
      <w:r>
        <w:rPr>
          <w:lang w:val="en-GB"/>
        </w:rPr>
        <w:t>early auctions (9%</w:t>
      </w:r>
      <w:r w:rsidR="0038493F">
        <w:rPr>
          <w:lang w:val="en-GB"/>
        </w:rPr>
        <w:t xml:space="preserve"> of total booked capacity</w:t>
      </w:r>
      <w:r>
        <w:rPr>
          <w:lang w:val="en-GB"/>
        </w:rPr>
        <w:t xml:space="preserve">) and </w:t>
      </w:r>
      <w:r w:rsidR="007F34E8">
        <w:rPr>
          <w:lang w:val="en-GB"/>
        </w:rPr>
        <w:t>m</w:t>
      </w:r>
      <w:r>
        <w:rPr>
          <w:lang w:val="en-GB"/>
        </w:rPr>
        <w:t>onthly auctions (5%</w:t>
      </w:r>
      <w:r w:rsidR="0038493F">
        <w:rPr>
          <w:lang w:val="en-GB"/>
        </w:rPr>
        <w:t xml:space="preserve"> of total booked capacity</w:t>
      </w:r>
      <w:r>
        <w:rPr>
          <w:lang w:val="en-GB"/>
        </w:rPr>
        <w:t>).</w:t>
      </w:r>
      <w:r w:rsidR="007D7BF4">
        <w:rPr>
          <w:lang w:val="en-GB"/>
        </w:rPr>
        <w:t xml:space="preserve"> Shippers used to book capacity in the monthly auctions, mostly in summer (June). However, in 2018, there </w:t>
      </w:r>
      <w:r w:rsidR="00111C18">
        <w:rPr>
          <w:lang w:val="en-GB"/>
        </w:rPr>
        <w:t>was</w:t>
      </w:r>
      <w:r w:rsidR="007D7BF4">
        <w:rPr>
          <w:lang w:val="en-GB"/>
        </w:rPr>
        <w:t xml:space="preserve"> a change in trend because</w:t>
      </w:r>
      <w:r>
        <w:rPr>
          <w:lang w:val="en-GB"/>
        </w:rPr>
        <w:t xml:space="preserve"> of the</w:t>
      </w:r>
      <w:r w:rsidR="007D7BF4">
        <w:rPr>
          <w:lang w:val="en-GB"/>
        </w:rPr>
        <w:t xml:space="preserve"> lower</w:t>
      </w:r>
      <w:r>
        <w:rPr>
          <w:lang w:val="en-GB"/>
        </w:rPr>
        <w:t xml:space="preserve"> tariffs</w:t>
      </w:r>
      <w:r w:rsidR="007D7BF4">
        <w:rPr>
          <w:lang w:val="en-GB"/>
        </w:rPr>
        <w:t xml:space="preserve"> in the Sines</w:t>
      </w:r>
      <w:r w:rsidR="00D02138">
        <w:rPr>
          <w:lang w:val="en-GB"/>
        </w:rPr>
        <w:t xml:space="preserve"> LNG</w:t>
      </w:r>
      <w:r w:rsidR="007D7BF4">
        <w:rPr>
          <w:lang w:val="en-GB"/>
        </w:rPr>
        <w:t xml:space="preserve"> terminal</w:t>
      </w:r>
      <w:r w:rsidR="005A61E5">
        <w:rPr>
          <w:lang w:val="en-GB"/>
        </w:rPr>
        <w:t xml:space="preserve"> and the increment of the global liquefaction capacity driven by the US</w:t>
      </w:r>
      <w:r>
        <w:rPr>
          <w:lang w:val="en-GB"/>
        </w:rPr>
        <w:t xml:space="preserve"> which</w:t>
      </w:r>
      <w:r w:rsidR="005A61E5">
        <w:rPr>
          <w:lang w:val="en-GB"/>
        </w:rPr>
        <w:t xml:space="preserve"> eventually</w:t>
      </w:r>
      <w:r>
        <w:rPr>
          <w:lang w:val="en-GB"/>
        </w:rPr>
        <w:t xml:space="preserve"> resulted in a decrease of the capacity allocated </w:t>
      </w:r>
      <w:r w:rsidR="00882CDC">
        <w:rPr>
          <w:lang w:val="en-GB"/>
        </w:rPr>
        <w:t>on PRISMA</w:t>
      </w:r>
      <w:r>
        <w:rPr>
          <w:lang w:val="en-GB"/>
        </w:rPr>
        <w:t xml:space="preserve"> (Y, Q,</w:t>
      </w:r>
      <w:r w:rsidR="00D268BC">
        <w:rPr>
          <w:lang w:val="en-GB"/>
        </w:rPr>
        <w:t xml:space="preserve"> </w:t>
      </w:r>
      <w:r>
        <w:rPr>
          <w:lang w:val="en-GB"/>
        </w:rPr>
        <w:t>M,</w:t>
      </w:r>
      <w:r w:rsidR="00D268BC">
        <w:rPr>
          <w:lang w:val="en-GB"/>
        </w:rPr>
        <w:t xml:space="preserve"> </w:t>
      </w:r>
      <w:r>
        <w:rPr>
          <w:lang w:val="en-GB"/>
        </w:rPr>
        <w:t>D,</w:t>
      </w:r>
      <w:r w:rsidR="00D268BC">
        <w:rPr>
          <w:lang w:val="en-GB"/>
        </w:rPr>
        <w:t xml:space="preserve"> </w:t>
      </w:r>
      <w:r>
        <w:rPr>
          <w:lang w:val="en-GB"/>
        </w:rPr>
        <w:t>WD)</w:t>
      </w:r>
      <w:r w:rsidR="007D7BF4">
        <w:rPr>
          <w:lang w:val="en-GB"/>
        </w:rPr>
        <w:t xml:space="preserve"> in this direction and an increase in the capacity allocated in the Portugal </w:t>
      </w:r>
      <w:r w:rsidR="00A90007">
        <w:rPr>
          <w:lang w:val="en-GB"/>
        </w:rPr>
        <w:t xml:space="preserve">to Spain </w:t>
      </w:r>
      <w:r w:rsidR="007D7BF4">
        <w:rPr>
          <w:lang w:val="en-GB"/>
        </w:rPr>
        <w:t>direction</w:t>
      </w:r>
      <w:r>
        <w:rPr>
          <w:lang w:val="en-GB"/>
        </w:rPr>
        <w:t>. In fact, during the last year, the capacity booked in yearly and monthly auctions experimented and important drop.</w:t>
      </w:r>
    </w:p>
    <w:p w14:paraId="1173C46F" w14:textId="0D7906E7" w:rsidR="00734CA0" w:rsidRDefault="00734CA0" w:rsidP="00E261BE">
      <w:pPr>
        <w:spacing w:line="312" w:lineRule="auto"/>
        <w:rPr>
          <w:lang w:val="en-GB"/>
        </w:rPr>
      </w:pPr>
      <w:r>
        <w:rPr>
          <w:lang w:val="en-US" w:eastAsia="ja-JP"/>
        </w:rPr>
        <w:t xml:space="preserve">It has to be considered that at this direction only one year </w:t>
      </w:r>
      <w:r w:rsidR="00E261BE">
        <w:rPr>
          <w:lang w:val="en-US" w:eastAsia="ja-JP"/>
        </w:rPr>
        <w:t>has offered until 2018</w:t>
      </w:r>
      <w:r>
        <w:rPr>
          <w:lang w:val="en-US" w:eastAsia="ja-JP"/>
        </w:rPr>
        <w:t xml:space="preserve">, </w:t>
      </w:r>
      <w:r w:rsidR="00E261BE">
        <w:rPr>
          <w:lang w:val="en-US" w:eastAsia="ja-JP"/>
        </w:rPr>
        <w:t>due to Portuguese national regulation</w:t>
      </w:r>
      <w:r>
        <w:rPr>
          <w:lang w:val="en-US" w:eastAsia="ja-JP"/>
        </w:rPr>
        <w:t>.</w:t>
      </w:r>
      <w:r>
        <w:rPr>
          <w:lang w:val="en-GB"/>
        </w:rPr>
        <w:t xml:space="preserve"> </w:t>
      </w:r>
    </w:p>
    <w:p w14:paraId="39773336" w14:textId="73DC05EC" w:rsidR="00734CA0" w:rsidRPr="00FE7A0A" w:rsidRDefault="00734CA0" w:rsidP="00E261BE">
      <w:pPr>
        <w:pStyle w:val="Descripcin"/>
        <w:spacing w:before="240"/>
        <w:rPr>
          <w:lang w:val="en-GB"/>
        </w:rPr>
      </w:pPr>
      <w:r>
        <w:rPr>
          <w:rFonts w:ascii="Arial" w:eastAsia="Times New Roman" w:hAnsi="Arial"/>
          <w:b w:val="0"/>
          <w:bCs w:val="0"/>
          <w:sz w:val="22"/>
          <w:szCs w:val="24"/>
          <w:lang w:val="en-GB" w:eastAsia="fr-FR"/>
        </w:rPr>
        <w:t xml:space="preserve">The next table shows the </w:t>
      </w:r>
      <w:r w:rsidRPr="00994E2A">
        <w:rPr>
          <w:rFonts w:ascii="Arial" w:eastAsia="Times New Roman" w:hAnsi="Arial"/>
          <w:b w:val="0"/>
          <w:bCs w:val="0"/>
          <w:sz w:val="22"/>
          <w:szCs w:val="24"/>
          <w:lang w:val="en-GB" w:eastAsia="fr-FR"/>
        </w:rPr>
        <w:t xml:space="preserve">percentage of each product within the total </w:t>
      </w:r>
      <w:r w:rsidR="004434BD">
        <w:rPr>
          <w:rFonts w:ascii="Arial" w:eastAsia="Times New Roman" w:hAnsi="Arial"/>
          <w:b w:val="0"/>
          <w:bCs w:val="0"/>
          <w:sz w:val="22"/>
          <w:szCs w:val="24"/>
          <w:lang w:val="en-GB" w:eastAsia="fr-FR"/>
        </w:rPr>
        <w:t>booked</w:t>
      </w:r>
      <w:r w:rsidR="00B30683" w:rsidRPr="00994E2A">
        <w:rPr>
          <w:rFonts w:ascii="Arial" w:eastAsia="Times New Roman" w:hAnsi="Arial"/>
          <w:b w:val="0"/>
          <w:bCs w:val="0"/>
          <w:sz w:val="22"/>
          <w:szCs w:val="24"/>
          <w:lang w:val="en-GB" w:eastAsia="fr-FR"/>
        </w:rPr>
        <w:t xml:space="preserve"> </w:t>
      </w:r>
      <w:r w:rsidRPr="00994E2A">
        <w:rPr>
          <w:rFonts w:ascii="Arial" w:eastAsia="Times New Roman" w:hAnsi="Arial"/>
          <w:b w:val="0"/>
          <w:bCs w:val="0"/>
          <w:sz w:val="22"/>
          <w:szCs w:val="24"/>
          <w:lang w:val="en-GB" w:eastAsia="fr-FR"/>
        </w:rPr>
        <w:t>capacity</w:t>
      </w:r>
      <w:r>
        <w:rPr>
          <w:rFonts w:ascii="Arial" w:eastAsia="Times New Roman" w:hAnsi="Arial"/>
          <w:b w:val="0"/>
          <w:bCs w:val="0"/>
          <w:sz w:val="22"/>
          <w:szCs w:val="24"/>
          <w:lang w:val="en-GB" w:eastAsia="fr-FR"/>
        </w:rPr>
        <w:t xml:space="preserve"> on the Spanish side.</w:t>
      </w:r>
    </w:p>
    <w:tbl>
      <w:tblPr>
        <w:tblW w:w="9384" w:type="dxa"/>
        <w:tblCellMar>
          <w:left w:w="70" w:type="dxa"/>
          <w:right w:w="70" w:type="dxa"/>
        </w:tblCellMar>
        <w:tblLook w:val="04A0" w:firstRow="1" w:lastRow="0" w:firstColumn="1" w:lastColumn="0" w:noHBand="0" w:noVBand="1"/>
      </w:tblPr>
      <w:tblGrid>
        <w:gridCol w:w="1157"/>
        <w:gridCol w:w="1294"/>
        <w:gridCol w:w="1247"/>
        <w:gridCol w:w="1515"/>
        <w:gridCol w:w="1390"/>
        <w:gridCol w:w="1138"/>
        <w:gridCol w:w="1643"/>
      </w:tblGrid>
      <w:tr w:rsidR="00734CA0" w:rsidRPr="00734CA0" w14:paraId="4412EC66" w14:textId="77777777" w:rsidTr="00E261BE">
        <w:trPr>
          <w:trHeight w:val="302"/>
        </w:trPr>
        <w:tc>
          <w:tcPr>
            <w:tcW w:w="1157" w:type="dxa"/>
            <w:tcBorders>
              <w:top w:val="nil"/>
              <w:left w:val="nil"/>
              <w:bottom w:val="nil"/>
              <w:right w:val="nil"/>
            </w:tcBorders>
            <w:shd w:val="clear" w:color="auto" w:fill="auto"/>
            <w:noWrap/>
            <w:vAlign w:val="bottom"/>
            <w:hideMark/>
          </w:tcPr>
          <w:p w14:paraId="296DF92A" w14:textId="77777777" w:rsidR="00734CA0" w:rsidRPr="00D268BC" w:rsidRDefault="00734CA0" w:rsidP="00ED5978">
            <w:pPr>
              <w:keepNext/>
              <w:spacing w:before="0" w:after="0" w:line="240" w:lineRule="auto"/>
              <w:jc w:val="left"/>
              <w:rPr>
                <w:rFonts w:cs="Arial"/>
                <w:sz w:val="20"/>
                <w:szCs w:val="20"/>
                <w:lang w:val="en-US" w:eastAsia="es-ES"/>
              </w:rPr>
            </w:pPr>
          </w:p>
        </w:tc>
        <w:tc>
          <w:tcPr>
            <w:tcW w:w="8227" w:type="dxa"/>
            <w:gridSpan w:val="6"/>
            <w:tcBorders>
              <w:top w:val="single" w:sz="4" w:space="0" w:color="auto"/>
              <w:left w:val="single" w:sz="4" w:space="0" w:color="auto"/>
              <w:bottom w:val="single" w:sz="4" w:space="0" w:color="auto"/>
              <w:right w:val="single" w:sz="4" w:space="0" w:color="auto"/>
            </w:tcBorders>
            <w:shd w:val="clear" w:color="000000" w:fill="9CB700"/>
            <w:noWrap/>
            <w:vAlign w:val="center"/>
            <w:hideMark/>
          </w:tcPr>
          <w:p w14:paraId="7AFC81F7" w14:textId="63C45767" w:rsidR="00734CA0" w:rsidRPr="00E261BE" w:rsidRDefault="00B30683">
            <w:pPr>
              <w:keepNext/>
              <w:spacing w:before="0" w:after="0" w:line="240" w:lineRule="auto"/>
              <w:jc w:val="center"/>
              <w:rPr>
                <w:rFonts w:cs="Arial"/>
                <w:b/>
                <w:bCs/>
                <w:color w:val="FFFFFF"/>
                <w:sz w:val="20"/>
                <w:szCs w:val="20"/>
                <w:lang w:val="en-US" w:eastAsia="es-ES"/>
              </w:rPr>
            </w:pPr>
            <w:r w:rsidRPr="00B40D2A">
              <w:rPr>
                <w:rFonts w:cs="Arial"/>
                <w:b/>
                <w:bCs/>
                <w:color w:val="FFFFFF"/>
                <w:sz w:val="20"/>
                <w:szCs w:val="20"/>
                <w:lang w:val="en-US" w:eastAsia="es-ES"/>
              </w:rPr>
              <w:t>% Booked capacity by time horizon</w:t>
            </w:r>
            <w:r>
              <w:rPr>
                <w:rFonts w:cs="Arial"/>
                <w:b/>
                <w:bCs/>
                <w:color w:val="FFFFFF"/>
                <w:sz w:val="20"/>
                <w:szCs w:val="20"/>
                <w:lang w:val="en-US" w:eastAsia="es-ES"/>
              </w:rPr>
              <w:t xml:space="preserve"> </w:t>
            </w:r>
            <w:r w:rsidR="002D3920">
              <w:rPr>
                <w:rFonts w:cs="Arial"/>
                <w:b/>
                <w:bCs/>
                <w:color w:val="FFFFFF"/>
                <w:sz w:val="20"/>
                <w:szCs w:val="20"/>
                <w:lang w:val="en-US" w:eastAsia="es-ES"/>
              </w:rPr>
              <w:t>versus</w:t>
            </w:r>
            <w:r w:rsidR="00D52FB1">
              <w:rPr>
                <w:rFonts w:cs="Arial"/>
                <w:b/>
                <w:bCs/>
                <w:color w:val="FFFFFF"/>
                <w:sz w:val="20"/>
                <w:szCs w:val="20"/>
                <w:lang w:val="en-US" w:eastAsia="es-ES"/>
              </w:rPr>
              <w:t xml:space="preserve"> total booked</w:t>
            </w:r>
            <w:r>
              <w:rPr>
                <w:rFonts w:cs="Arial"/>
                <w:b/>
                <w:bCs/>
                <w:color w:val="FFFFFF"/>
                <w:sz w:val="20"/>
                <w:szCs w:val="20"/>
                <w:lang w:val="en-US" w:eastAsia="es-ES"/>
              </w:rPr>
              <w:t xml:space="preserve"> capacity</w:t>
            </w:r>
            <w:r w:rsidRPr="00B30683" w:rsidDel="00A2503D">
              <w:rPr>
                <w:rFonts w:cs="Arial"/>
                <w:b/>
                <w:bCs/>
                <w:color w:val="FFFFFF"/>
                <w:sz w:val="20"/>
                <w:szCs w:val="20"/>
                <w:lang w:val="en-US" w:eastAsia="es-ES"/>
              </w:rPr>
              <w:t xml:space="preserve"> </w:t>
            </w:r>
          </w:p>
        </w:tc>
      </w:tr>
      <w:tr w:rsidR="00734CA0" w:rsidRPr="00734CA0" w14:paraId="5F5039CD" w14:textId="77777777" w:rsidTr="007D7BF4">
        <w:trPr>
          <w:trHeight w:val="223"/>
        </w:trPr>
        <w:tc>
          <w:tcPr>
            <w:tcW w:w="1157" w:type="dxa"/>
            <w:tcBorders>
              <w:top w:val="nil"/>
              <w:left w:val="nil"/>
              <w:bottom w:val="nil"/>
              <w:right w:val="nil"/>
            </w:tcBorders>
            <w:shd w:val="clear" w:color="auto" w:fill="auto"/>
            <w:noWrap/>
            <w:vAlign w:val="bottom"/>
            <w:hideMark/>
          </w:tcPr>
          <w:p w14:paraId="2503CEB6" w14:textId="77777777" w:rsidR="00734CA0" w:rsidRPr="00E261BE" w:rsidRDefault="00734CA0" w:rsidP="00ED5978">
            <w:pPr>
              <w:keepNext/>
              <w:spacing w:before="0" w:after="0" w:line="240" w:lineRule="auto"/>
              <w:jc w:val="center"/>
              <w:rPr>
                <w:rFonts w:cs="Arial"/>
                <w:b/>
                <w:bCs/>
                <w:color w:val="FFFFFF"/>
                <w:sz w:val="20"/>
                <w:szCs w:val="20"/>
                <w:lang w:val="en-US" w:eastAsia="es-ES"/>
              </w:rPr>
            </w:pPr>
          </w:p>
        </w:tc>
        <w:tc>
          <w:tcPr>
            <w:tcW w:w="1294" w:type="dxa"/>
            <w:tcBorders>
              <w:top w:val="nil"/>
              <w:left w:val="single" w:sz="4" w:space="0" w:color="auto"/>
              <w:bottom w:val="single" w:sz="4" w:space="0" w:color="auto"/>
              <w:right w:val="single" w:sz="4" w:space="0" w:color="auto"/>
            </w:tcBorders>
            <w:shd w:val="clear" w:color="000000" w:fill="63666A"/>
            <w:noWrap/>
            <w:vAlign w:val="bottom"/>
            <w:hideMark/>
          </w:tcPr>
          <w:p w14:paraId="1E1DE4CD"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LT contracts</w:t>
            </w:r>
          </w:p>
        </w:tc>
        <w:tc>
          <w:tcPr>
            <w:tcW w:w="1247" w:type="dxa"/>
            <w:tcBorders>
              <w:top w:val="nil"/>
              <w:left w:val="nil"/>
              <w:bottom w:val="single" w:sz="4" w:space="0" w:color="auto"/>
              <w:right w:val="single" w:sz="4" w:space="0" w:color="auto"/>
            </w:tcBorders>
            <w:shd w:val="clear" w:color="000000" w:fill="63666A"/>
            <w:noWrap/>
            <w:vAlign w:val="bottom"/>
            <w:hideMark/>
          </w:tcPr>
          <w:p w14:paraId="7BDF474A"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Yearly product</w:t>
            </w:r>
          </w:p>
        </w:tc>
        <w:tc>
          <w:tcPr>
            <w:tcW w:w="1515" w:type="dxa"/>
            <w:tcBorders>
              <w:top w:val="nil"/>
              <w:left w:val="nil"/>
              <w:bottom w:val="single" w:sz="4" w:space="0" w:color="auto"/>
              <w:right w:val="single" w:sz="4" w:space="0" w:color="auto"/>
            </w:tcBorders>
            <w:shd w:val="clear" w:color="000000" w:fill="63666A"/>
            <w:noWrap/>
            <w:vAlign w:val="bottom"/>
            <w:hideMark/>
          </w:tcPr>
          <w:p w14:paraId="3FBED247"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Quarterly product</w:t>
            </w:r>
          </w:p>
        </w:tc>
        <w:tc>
          <w:tcPr>
            <w:tcW w:w="1390" w:type="dxa"/>
            <w:tcBorders>
              <w:top w:val="nil"/>
              <w:left w:val="nil"/>
              <w:bottom w:val="single" w:sz="4" w:space="0" w:color="auto"/>
              <w:right w:val="single" w:sz="4" w:space="0" w:color="auto"/>
            </w:tcBorders>
            <w:shd w:val="clear" w:color="000000" w:fill="63666A"/>
            <w:noWrap/>
            <w:vAlign w:val="bottom"/>
            <w:hideMark/>
          </w:tcPr>
          <w:p w14:paraId="1695B2F4"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Monthly product</w:t>
            </w:r>
          </w:p>
        </w:tc>
        <w:tc>
          <w:tcPr>
            <w:tcW w:w="1138" w:type="dxa"/>
            <w:tcBorders>
              <w:top w:val="nil"/>
              <w:left w:val="nil"/>
              <w:bottom w:val="single" w:sz="4" w:space="0" w:color="auto"/>
              <w:right w:val="single" w:sz="4" w:space="0" w:color="auto"/>
            </w:tcBorders>
            <w:shd w:val="clear" w:color="000000" w:fill="63666A"/>
            <w:noWrap/>
            <w:vAlign w:val="bottom"/>
            <w:hideMark/>
          </w:tcPr>
          <w:p w14:paraId="07FF0739"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Daily product</w:t>
            </w:r>
          </w:p>
        </w:tc>
        <w:tc>
          <w:tcPr>
            <w:tcW w:w="1643" w:type="dxa"/>
            <w:tcBorders>
              <w:top w:val="nil"/>
              <w:left w:val="nil"/>
              <w:bottom w:val="single" w:sz="4" w:space="0" w:color="auto"/>
              <w:right w:val="single" w:sz="4" w:space="0" w:color="auto"/>
            </w:tcBorders>
            <w:shd w:val="clear" w:color="000000" w:fill="63666A"/>
            <w:noWrap/>
            <w:vAlign w:val="bottom"/>
            <w:hideMark/>
          </w:tcPr>
          <w:p w14:paraId="5DC4BB3F"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Within-day product</w:t>
            </w:r>
          </w:p>
        </w:tc>
      </w:tr>
      <w:tr w:rsidR="00734CA0" w:rsidRPr="00734CA0" w14:paraId="403AE833" w14:textId="77777777" w:rsidTr="007D7BF4">
        <w:trPr>
          <w:trHeight w:val="223"/>
        </w:trPr>
        <w:tc>
          <w:tcPr>
            <w:tcW w:w="1157" w:type="dxa"/>
            <w:tcBorders>
              <w:top w:val="single" w:sz="4" w:space="0" w:color="auto"/>
              <w:left w:val="single" w:sz="4" w:space="0" w:color="auto"/>
              <w:bottom w:val="single" w:sz="4" w:space="0" w:color="auto"/>
              <w:right w:val="single" w:sz="4" w:space="0" w:color="auto"/>
            </w:tcBorders>
            <w:shd w:val="clear" w:color="000000" w:fill="007AAE"/>
            <w:noWrap/>
            <w:vAlign w:val="bottom"/>
            <w:hideMark/>
          </w:tcPr>
          <w:p w14:paraId="23C6461D"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2016</w:t>
            </w:r>
          </w:p>
        </w:tc>
        <w:tc>
          <w:tcPr>
            <w:tcW w:w="1294" w:type="dxa"/>
            <w:tcBorders>
              <w:top w:val="nil"/>
              <w:left w:val="nil"/>
              <w:bottom w:val="single" w:sz="4" w:space="0" w:color="auto"/>
              <w:right w:val="single" w:sz="4" w:space="0" w:color="auto"/>
            </w:tcBorders>
            <w:shd w:val="clear" w:color="auto" w:fill="auto"/>
            <w:noWrap/>
            <w:vAlign w:val="bottom"/>
            <w:hideMark/>
          </w:tcPr>
          <w:p w14:paraId="087C9BCF" w14:textId="50FEBBE2"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76</w:t>
            </w:r>
            <w:r w:rsidR="00D268BC">
              <w:rPr>
                <w:rFonts w:cs="Arial"/>
                <w:color w:val="000000"/>
                <w:sz w:val="20"/>
                <w:szCs w:val="20"/>
                <w:lang w:val="es-ES" w:eastAsia="es-ES"/>
              </w:rPr>
              <w:t>.</w:t>
            </w:r>
            <w:r w:rsidRPr="00D268BC">
              <w:rPr>
                <w:rFonts w:cs="Arial"/>
                <w:color w:val="000000"/>
                <w:sz w:val="20"/>
                <w:szCs w:val="20"/>
                <w:lang w:val="es-ES" w:eastAsia="es-ES"/>
              </w:rPr>
              <w:t>85%</w:t>
            </w:r>
          </w:p>
        </w:tc>
        <w:tc>
          <w:tcPr>
            <w:tcW w:w="1247" w:type="dxa"/>
            <w:tcBorders>
              <w:top w:val="nil"/>
              <w:left w:val="nil"/>
              <w:bottom w:val="single" w:sz="4" w:space="0" w:color="auto"/>
              <w:right w:val="single" w:sz="4" w:space="0" w:color="auto"/>
            </w:tcBorders>
            <w:shd w:val="clear" w:color="auto" w:fill="auto"/>
            <w:noWrap/>
            <w:vAlign w:val="bottom"/>
            <w:hideMark/>
          </w:tcPr>
          <w:p w14:paraId="2F71FC70" w14:textId="74B272F7"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10</w:t>
            </w:r>
            <w:r w:rsidR="00D268BC">
              <w:rPr>
                <w:rFonts w:cs="Arial"/>
                <w:color w:val="000000"/>
                <w:sz w:val="20"/>
                <w:szCs w:val="20"/>
                <w:lang w:val="es-ES" w:eastAsia="es-ES"/>
              </w:rPr>
              <w:t>.</w:t>
            </w:r>
            <w:r w:rsidRPr="00D268BC">
              <w:rPr>
                <w:rFonts w:cs="Arial"/>
                <w:color w:val="000000"/>
                <w:sz w:val="20"/>
                <w:szCs w:val="20"/>
                <w:lang w:val="es-ES" w:eastAsia="es-ES"/>
              </w:rPr>
              <w:t>82%</w:t>
            </w:r>
          </w:p>
        </w:tc>
        <w:tc>
          <w:tcPr>
            <w:tcW w:w="1515" w:type="dxa"/>
            <w:tcBorders>
              <w:top w:val="nil"/>
              <w:left w:val="nil"/>
              <w:bottom w:val="single" w:sz="4" w:space="0" w:color="auto"/>
              <w:right w:val="single" w:sz="4" w:space="0" w:color="auto"/>
            </w:tcBorders>
            <w:shd w:val="clear" w:color="auto" w:fill="auto"/>
            <w:noWrap/>
            <w:vAlign w:val="bottom"/>
            <w:hideMark/>
          </w:tcPr>
          <w:p w14:paraId="42EE1CEB" w14:textId="4DD360E4"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03%</w:t>
            </w:r>
          </w:p>
        </w:tc>
        <w:tc>
          <w:tcPr>
            <w:tcW w:w="1390" w:type="dxa"/>
            <w:tcBorders>
              <w:top w:val="nil"/>
              <w:left w:val="nil"/>
              <w:bottom w:val="single" w:sz="4" w:space="0" w:color="auto"/>
              <w:right w:val="single" w:sz="4" w:space="0" w:color="auto"/>
            </w:tcBorders>
            <w:shd w:val="clear" w:color="auto" w:fill="auto"/>
            <w:noWrap/>
            <w:vAlign w:val="bottom"/>
            <w:hideMark/>
          </w:tcPr>
          <w:p w14:paraId="43D8411B" w14:textId="27F50482"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11</w:t>
            </w:r>
            <w:r w:rsidR="00D268BC">
              <w:rPr>
                <w:rFonts w:cs="Arial"/>
                <w:color w:val="000000"/>
                <w:sz w:val="20"/>
                <w:szCs w:val="20"/>
                <w:lang w:val="es-ES" w:eastAsia="es-ES"/>
              </w:rPr>
              <w:t>.</w:t>
            </w:r>
            <w:r w:rsidRPr="00D268BC">
              <w:rPr>
                <w:rFonts w:cs="Arial"/>
                <w:color w:val="000000"/>
                <w:sz w:val="20"/>
                <w:szCs w:val="20"/>
                <w:lang w:val="es-ES" w:eastAsia="es-ES"/>
              </w:rPr>
              <w:t>26%</w:t>
            </w:r>
          </w:p>
        </w:tc>
        <w:tc>
          <w:tcPr>
            <w:tcW w:w="1138" w:type="dxa"/>
            <w:tcBorders>
              <w:top w:val="nil"/>
              <w:left w:val="nil"/>
              <w:bottom w:val="single" w:sz="4" w:space="0" w:color="auto"/>
              <w:right w:val="single" w:sz="4" w:space="0" w:color="auto"/>
            </w:tcBorders>
            <w:shd w:val="clear" w:color="auto" w:fill="auto"/>
            <w:noWrap/>
            <w:vAlign w:val="bottom"/>
            <w:hideMark/>
          </w:tcPr>
          <w:p w14:paraId="5A468B90" w14:textId="0559FD25"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1</w:t>
            </w:r>
            <w:r w:rsidR="00D268BC">
              <w:rPr>
                <w:rFonts w:cs="Arial"/>
                <w:color w:val="000000"/>
                <w:sz w:val="20"/>
                <w:szCs w:val="20"/>
                <w:lang w:val="es-ES" w:eastAsia="es-ES"/>
              </w:rPr>
              <w:t>.</w:t>
            </w:r>
            <w:r w:rsidRPr="00D268BC">
              <w:rPr>
                <w:rFonts w:cs="Arial"/>
                <w:color w:val="000000"/>
                <w:sz w:val="20"/>
                <w:szCs w:val="20"/>
                <w:lang w:val="es-ES" w:eastAsia="es-ES"/>
              </w:rPr>
              <w:t>04%</w:t>
            </w:r>
          </w:p>
        </w:tc>
        <w:tc>
          <w:tcPr>
            <w:tcW w:w="1643" w:type="dxa"/>
            <w:tcBorders>
              <w:top w:val="nil"/>
              <w:left w:val="nil"/>
              <w:bottom w:val="single" w:sz="4" w:space="0" w:color="auto"/>
              <w:right w:val="single" w:sz="4" w:space="0" w:color="auto"/>
            </w:tcBorders>
            <w:shd w:val="clear" w:color="auto" w:fill="auto"/>
            <w:noWrap/>
            <w:vAlign w:val="bottom"/>
            <w:hideMark/>
          </w:tcPr>
          <w:p w14:paraId="5F64FC96" w14:textId="7DA0EDC3"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00%</w:t>
            </w:r>
          </w:p>
        </w:tc>
      </w:tr>
      <w:tr w:rsidR="00734CA0" w:rsidRPr="00734CA0" w14:paraId="4DA1AA2C" w14:textId="77777777" w:rsidTr="007D7BF4">
        <w:trPr>
          <w:trHeight w:val="223"/>
        </w:trPr>
        <w:tc>
          <w:tcPr>
            <w:tcW w:w="1157" w:type="dxa"/>
            <w:tcBorders>
              <w:top w:val="nil"/>
              <w:left w:val="single" w:sz="4" w:space="0" w:color="auto"/>
              <w:bottom w:val="single" w:sz="4" w:space="0" w:color="auto"/>
              <w:right w:val="single" w:sz="4" w:space="0" w:color="auto"/>
            </w:tcBorders>
            <w:shd w:val="clear" w:color="000000" w:fill="007AAE"/>
            <w:noWrap/>
            <w:vAlign w:val="bottom"/>
            <w:hideMark/>
          </w:tcPr>
          <w:p w14:paraId="2EEAC0F9"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2017</w:t>
            </w:r>
          </w:p>
        </w:tc>
        <w:tc>
          <w:tcPr>
            <w:tcW w:w="1294" w:type="dxa"/>
            <w:tcBorders>
              <w:top w:val="nil"/>
              <w:left w:val="nil"/>
              <w:bottom w:val="single" w:sz="4" w:space="0" w:color="auto"/>
              <w:right w:val="single" w:sz="4" w:space="0" w:color="auto"/>
            </w:tcBorders>
            <w:shd w:val="clear" w:color="auto" w:fill="auto"/>
            <w:noWrap/>
            <w:vAlign w:val="bottom"/>
            <w:hideMark/>
          </w:tcPr>
          <w:p w14:paraId="7EF9DF21" w14:textId="163E4823"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83</w:t>
            </w:r>
            <w:r w:rsidR="00D268BC">
              <w:rPr>
                <w:rFonts w:cs="Arial"/>
                <w:color w:val="000000"/>
                <w:sz w:val="20"/>
                <w:szCs w:val="20"/>
                <w:lang w:val="es-ES" w:eastAsia="es-ES"/>
              </w:rPr>
              <w:t>.</w:t>
            </w:r>
            <w:r w:rsidRPr="00D268BC">
              <w:rPr>
                <w:rFonts w:cs="Arial"/>
                <w:color w:val="000000"/>
                <w:sz w:val="20"/>
                <w:szCs w:val="20"/>
                <w:lang w:val="es-ES" w:eastAsia="es-ES"/>
              </w:rPr>
              <w:t>80%</w:t>
            </w:r>
          </w:p>
        </w:tc>
        <w:tc>
          <w:tcPr>
            <w:tcW w:w="1247" w:type="dxa"/>
            <w:tcBorders>
              <w:top w:val="nil"/>
              <w:left w:val="nil"/>
              <w:bottom w:val="single" w:sz="4" w:space="0" w:color="auto"/>
              <w:right w:val="single" w:sz="4" w:space="0" w:color="auto"/>
            </w:tcBorders>
            <w:shd w:val="clear" w:color="auto" w:fill="auto"/>
            <w:noWrap/>
            <w:vAlign w:val="bottom"/>
            <w:hideMark/>
          </w:tcPr>
          <w:p w14:paraId="52F1EA8D" w14:textId="4F6A77DC"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12</w:t>
            </w:r>
            <w:r w:rsidR="00D268BC">
              <w:rPr>
                <w:rFonts w:cs="Arial"/>
                <w:color w:val="000000"/>
                <w:sz w:val="20"/>
                <w:szCs w:val="20"/>
                <w:lang w:val="es-ES" w:eastAsia="es-ES"/>
              </w:rPr>
              <w:t>.</w:t>
            </w:r>
            <w:r w:rsidRPr="00D268BC">
              <w:rPr>
                <w:rFonts w:cs="Arial"/>
                <w:color w:val="000000"/>
                <w:sz w:val="20"/>
                <w:szCs w:val="20"/>
                <w:lang w:val="es-ES" w:eastAsia="es-ES"/>
              </w:rPr>
              <w:t>58%</w:t>
            </w:r>
          </w:p>
        </w:tc>
        <w:tc>
          <w:tcPr>
            <w:tcW w:w="1515" w:type="dxa"/>
            <w:tcBorders>
              <w:top w:val="nil"/>
              <w:left w:val="nil"/>
              <w:bottom w:val="single" w:sz="4" w:space="0" w:color="auto"/>
              <w:right w:val="single" w:sz="4" w:space="0" w:color="auto"/>
            </w:tcBorders>
            <w:shd w:val="clear" w:color="auto" w:fill="auto"/>
            <w:noWrap/>
            <w:vAlign w:val="bottom"/>
            <w:hideMark/>
          </w:tcPr>
          <w:p w14:paraId="25BFFCEA" w14:textId="6954A107"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00%</w:t>
            </w:r>
          </w:p>
        </w:tc>
        <w:tc>
          <w:tcPr>
            <w:tcW w:w="1390" w:type="dxa"/>
            <w:tcBorders>
              <w:top w:val="nil"/>
              <w:left w:val="nil"/>
              <w:bottom w:val="single" w:sz="4" w:space="0" w:color="auto"/>
              <w:right w:val="single" w:sz="4" w:space="0" w:color="auto"/>
            </w:tcBorders>
            <w:shd w:val="clear" w:color="auto" w:fill="auto"/>
            <w:noWrap/>
            <w:vAlign w:val="bottom"/>
            <w:hideMark/>
          </w:tcPr>
          <w:p w14:paraId="515660BE" w14:textId="2E6381B9"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3</w:t>
            </w:r>
            <w:r w:rsidR="00D268BC">
              <w:rPr>
                <w:rFonts w:cs="Arial"/>
                <w:color w:val="000000"/>
                <w:sz w:val="20"/>
                <w:szCs w:val="20"/>
                <w:lang w:val="es-ES" w:eastAsia="es-ES"/>
              </w:rPr>
              <w:t>.</w:t>
            </w:r>
            <w:r w:rsidRPr="00D268BC">
              <w:rPr>
                <w:rFonts w:cs="Arial"/>
                <w:color w:val="000000"/>
                <w:sz w:val="20"/>
                <w:szCs w:val="20"/>
                <w:lang w:val="es-ES" w:eastAsia="es-ES"/>
              </w:rPr>
              <w:t>49%</w:t>
            </w:r>
          </w:p>
        </w:tc>
        <w:tc>
          <w:tcPr>
            <w:tcW w:w="1138" w:type="dxa"/>
            <w:tcBorders>
              <w:top w:val="nil"/>
              <w:left w:val="nil"/>
              <w:bottom w:val="single" w:sz="4" w:space="0" w:color="auto"/>
              <w:right w:val="single" w:sz="4" w:space="0" w:color="auto"/>
            </w:tcBorders>
            <w:shd w:val="clear" w:color="auto" w:fill="auto"/>
            <w:noWrap/>
            <w:vAlign w:val="bottom"/>
            <w:hideMark/>
          </w:tcPr>
          <w:p w14:paraId="79CA3AA7" w14:textId="443D2723"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13%</w:t>
            </w:r>
          </w:p>
        </w:tc>
        <w:tc>
          <w:tcPr>
            <w:tcW w:w="1643" w:type="dxa"/>
            <w:tcBorders>
              <w:top w:val="nil"/>
              <w:left w:val="nil"/>
              <w:bottom w:val="single" w:sz="4" w:space="0" w:color="auto"/>
              <w:right w:val="single" w:sz="4" w:space="0" w:color="auto"/>
            </w:tcBorders>
            <w:shd w:val="clear" w:color="auto" w:fill="auto"/>
            <w:noWrap/>
            <w:vAlign w:val="bottom"/>
            <w:hideMark/>
          </w:tcPr>
          <w:p w14:paraId="5E390C81" w14:textId="6B380E93"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00%</w:t>
            </w:r>
          </w:p>
        </w:tc>
      </w:tr>
      <w:tr w:rsidR="00734CA0" w:rsidRPr="00734CA0" w14:paraId="6734B6A5" w14:textId="77777777" w:rsidTr="007D7BF4">
        <w:trPr>
          <w:trHeight w:val="223"/>
        </w:trPr>
        <w:tc>
          <w:tcPr>
            <w:tcW w:w="1157" w:type="dxa"/>
            <w:tcBorders>
              <w:top w:val="nil"/>
              <w:left w:val="single" w:sz="4" w:space="0" w:color="auto"/>
              <w:bottom w:val="single" w:sz="4" w:space="0" w:color="auto"/>
              <w:right w:val="single" w:sz="4" w:space="0" w:color="auto"/>
            </w:tcBorders>
            <w:shd w:val="clear" w:color="000000" w:fill="007AAE"/>
            <w:noWrap/>
            <w:vAlign w:val="bottom"/>
            <w:hideMark/>
          </w:tcPr>
          <w:p w14:paraId="4E0A36BF"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2018</w:t>
            </w:r>
          </w:p>
        </w:tc>
        <w:tc>
          <w:tcPr>
            <w:tcW w:w="1294" w:type="dxa"/>
            <w:tcBorders>
              <w:top w:val="nil"/>
              <w:left w:val="nil"/>
              <w:bottom w:val="single" w:sz="4" w:space="0" w:color="auto"/>
              <w:right w:val="single" w:sz="4" w:space="0" w:color="auto"/>
            </w:tcBorders>
            <w:shd w:val="clear" w:color="auto" w:fill="auto"/>
            <w:noWrap/>
            <w:vAlign w:val="bottom"/>
            <w:hideMark/>
          </w:tcPr>
          <w:p w14:paraId="78E31247" w14:textId="7CF77759"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93</w:t>
            </w:r>
            <w:r w:rsidR="00D268BC">
              <w:rPr>
                <w:rFonts w:cs="Arial"/>
                <w:color w:val="000000"/>
                <w:sz w:val="20"/>
                <w:szCs w:val="20"/>
                <w:lang w:val="es-ES" w:eastAsia="es-ES"/>
              </w:rPr>
              <w:t>.</w:t>
            </w:r>
            <w:r w:rsidRPr="00D268BC">
              <w:rPr>
                <w:rFonts w:cs="Arial"/>
                <w:color w:val="000000"/>
                <w:sz w:val="20"/>
                <w:szCs w:val="20"/>
                <w:lang w:val="es-ES" w:eastAsia="es-ES"/>
              </w:rPr>
              <w:t>41%</w:t>
            </w:r>
          </w:p>
        </w:tc>
        <w:tc>
          <w:tcPr>
            <w:tcW w:w="1247" w:type="dxa"/>
            <w:tcBorders>
              <w:top w:val="nil"/>
              <w:left w:val="nil"/>
              <w:bottom w:val="single" w:sz="4" w:space="0" w:color="auto"/>
              <w:right w:val="single" w:sz="4" w:space="0" w:color="auto"/>
            </w:tcBorders>
            <w:shd w:val="clear" w:color="auto" w:fill="auto"/>
            <w:noWrap/>
            <w:vAlign w:val="bottom"/>
            <w:hideMark/>
          </w:tcPr>
          <w:p w14:paraId="3A412647" w14:textId="2DB3256A"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4</w:t>
            </w:r>
            <w:r w:rsidR="00D268BC">
              <w:rPr>
                <w:rFonts w:cs="Arial"/>
                <w:color w:val="000000"/>
                <w:sz w:val="20"/>
                <w:szCs w:val="20"/>
                <w:lang w:val="es-ES" w:eastAsia="es-ES"/>
              </w:rPr>
              <w:t>.</w:t>
            </w:r>
            <w:r w:rsidRPr="00D268BC">
              <w:rPr>
                <w:rFonts w:cs="Arial"/>
                <w:color w:val="000000"/>
                <w:sz w:val="20"/>
                <w:szCs w:val="20"/>
                <w:lang w:val="es-ES" w:eastAsia="es-ES"/>
              </w:rPr>
              <w:t>69%</w:t>
            </w:r>
          </w:p>
        </w:tc>
        <w:tc>
          <w:tcPr>
            <w:tcW w:w="1515" w:type="dxa"/>
            <w:tcBorders>
              <w:top w:val="nil"/>
              <w:left w:val="nil"/>
              <w:bottom w:val="single" w:sz="4" w:space="0" w:color="auto"/>
              <w:right w:val="single" w:sz="4" w:space="0" w:color="auto"/>
            </w:tcBorders>
            <w:shd w:val="clear" w:color="auto" w:fill="auto"/>
            <w:noWrap/>
            <w:vAlign w:val="bottom"/>
            <w:hideMark/>
          </w:tcPr>
          <w:p w14:paraId="70664EA0" w14:textId="688599F1"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06%</w:t>
            </w:r>
          </w:p>
        </w:tc>
        <w:tc>
          <w:tcPr>
            <w:tcW w:w="1390" w:type="dxa"/>
            <w:tcBorders>
              <w:top w:val="nil"/>
              <w:left w:val="nil"/>
              <w:bottom w:val="single" w:sz="4" w:space="0" w:color="auto"/>
              <w:right w:val="single" w:sz="4" w:space="0" w:color="auto"/>
            </w:tcBorders>
            <w:shd w:val="clear" w:color="auto" w:fill="auto"/>
            <w:noWrap/>
            <w:vAlign w:val="bottom"/>
            <w:hideMark/>
          </w:tcPr>
          <w:p w14:paraId="1FE3525A" w14:textId="0E3FA17D"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1</w:t>
            </w:r>
            <w:r w:rsidR="00D268BC">
              <w:rPr>
                <w:rFonts w:cs="Arial"/>
                <w:color w:val="000000"/>
                <w:sz w:val="20"/>
                <w:szCs w:val="20"/>
                <w:lang w:val="es-ES" w:eastAsia="es-ES"/>
              </w:rPr>
              <w:t>.</w:t>
            </w:r>
            <w:r w:rsidRPr="00D268BC">
              <w:rPr>
                <w:rFonts w:cs="Arial"/>
                <w:color w:val="000000"/>
                <w:sz w:val="20"/>
                <w:szCs w:val="20"/>
                <w:lang w:val="es-ES" w:eastAsia="es-ES"/>
              </w:rPr>
              <w:t>65%</w:t>
            </w:r>
          </w:p>
        </w:tc>
        <w:tc>
          <w:tcPr>
            <w:tcW w:w="1138" w:type="dxa"/>
            <w:tcBorders>
              <w:top w:val="nil"/>
              <w:left w:val="nil"/>
              <w:bottom w:val="single" w:sz="4" w:space="0" w:color="auto"/>
              <w:right w:val="single" w:sz="4" w:space="0" w:color="auto"/>
            </w:tcBorders>
            <w:shd w:val="clear" w:color="auto" w:fill="auto"/>
            <w:noWrap/>
            <w:vAlign w:val="bottom"/>
            <w:hideMark/>
          </w:tcPr>
          <w:p w14:paraId="6EDB14D8" w14:textId="251B8BE1"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19%</w:t>
            </w:r>
          </w:p>
        </w:tc>
        <w:tc>
          <w:tcPr>
            <w:tcW w:w="1643" w:type="dxa"/>
            <w:tcBorders>
              <w:top w:val="nil"/>
              <w:left w:val="nil"/>
              <w:bottom w:val="single" w:sz="4" w:space="0" w:color="auto"/>
              <w:right w:val="single" w:sz="4" w:space="0" w:color="auto"/>
            </w:tcBorders>
            <w:shd w:val="clear" w:color="auto" w:fill="auto"/>
            <w:noWrap/>
            <w:vAlign w:val="bottom"/>
            <w:hideMark/>
          </w:tcPr>
          <w:p w14:paraId="65BB8D9D" w14:textId="00E2E799"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01%</w:t>
            </w:r>
          </w:p>
        </w:tc>
      </w:tr>
      <w:tr w:rsidR="00734CA0" w:rsidRPr="00734CA0" w14:paraId="2A937F93" w14:textId="77777777" w:rsidTr="007D7BF4">
        <w:trPr>
          <w:trHeight w:val="223"/>
        </w:trPr>
        <w:tc>
          <w:tcPr>
            <w:tcW w:w="1157" w:type="dxa"/>
            <w:tcBorders>
              <w:top w:val="nil"/>
              <w:left w:val="single" w:sz="4" w:space="0" w:color="auto"/>
              <w:bottom w:val="single" w:sz="4" w:space="0" w:color="auto"/>
              <w:right w:val="single" w:sz="4" w:space="0" w:color="auto"/>
            </w:tcBorders>
            <w:shd w:val="clear" w:color="000000" w:fill="007AAE"/>
            <w:noWrap/>
            <w:vAlign w:val="bottom"/>
            <w:hideMark/>
          </w:tcPr>
          <w:p w14:paraId="6C4FC662" w14:textId="77777777" w:rsidR="00734CA0" w:rsidRPr="00D268BC" w:rsidRDefault="00734CA0" w:rsidP="00ED5978">
            <w:pPr>
              <w:keepNext/>
              <w:spacing w:before="0" w:after="0" w:line="240" w:lineRule="auto"/>
              <w:jc w:val="center"/>
              <w:rPr>
                <w:rFonts w:cs="Arial"/>
                <w:b/>
                <w:bCs/>
                <w:color w:val="FFFFFF"/>
                <w:sz w:val="20"/>
                <w:szCs w:val="20"/>
                <w:lang w:val="es-ES" w:eastAsia="es-ES"/>
              </w:rPr>
            </w:pPr>
            <w:r w:rsidRPr="00D268BC">
              <w:rPr>
                <w:rFonts w:cs="Arial"/>
                <w:b/>
                <w:bCs/>
                <w:color w:val="FFFFFF"/>
                <w:sz w:val="20"/>
                <w:szCs w:val="20"/>
                <w:lang w:val="es-ES" w:eastAsia="es-ES"/>
              </w:rPr>
              <w:t>Average</w:t>
            </w:r>
          </w:p>
        </w:tc>
        <w:tc>
          <w:tcPr>
            <w:tcW w:w="1294" w:type="dxa"/>
            <w:tcBorders>
              <w:top w:val="nil"/>
              <w:left w:val="nil"/>
              <w:bottom w:val="single" w:sz="4" w:space="0" w:color="auto"/>
              <w:right w:val="single" w:sz="4" w:space="0" w:color="auto"/>
            </w:tcBorders>
            <w:shd w:val="clear" w:color="auto" w:fill="auto"/>
            <w:noWrap/>
            <w:vAlign w:val="bottom"/>
            <w:hideMark/>
          </w:tcPr>
          <w:p w14:paraId="4B7A93C3" w14:textId="10BA848F"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84</w:t>
            </w:r>
            <w:r w:rsidR="00D268BC">
              <w:rPr>
                <w:rFonts w:cs="Arial"/>
                <w:color w:val="000000"/>
                <w:sz w:val="20"/>
                <w:szCs w:val="20"/>
                <w:lang w:val="es-ES" w:eastAsia="es-ES"/>
              </w:rPr>
              <w:t>.</w:t>
            </w:r>
            <w:r w:rsidRPr="00D268BC">
              <w:rPr>
                <w:rFonts w:cs="Arial"/>
                <w:color w:val="000000"/>
                <w:sz w:val="20"/>
                <w:szCs w:val="20"/>
                <w:lang w:val="es-ES" w:eastAsia="es-ES"/>
              </w:rPr>
              <w:t>68%</w:t>
            </w:r>
          </w:p>
        </w:tc>
        <w:tc>
          <w:tcPr>
            <w:tcW w:w="1247" w:type="dxa"/>
            <w:tcBorders>
              <w:top w:val="nil"/>
              <w:left w:val="nil"/>
              <w:bottom w:val="single" w:sz="4" w:space="0" w:color="auto"/>
              <w:right w:val="single" w:sz="4" w:space="0" w:color="auto"/>
            </w:tcBorders>
            <w:shd w:val="clear" w:color="auto" w:fill="auto"/>
            <w:noWrap/>
            <w:vAlign w:val="bottom"/>
            <w:hideMark/>
          </w:tcPr>
          <w:p w14:paraId="38838AEA" w14:textId="27D93071"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9</w:t>
            </w:r>
            <w:r w:rsidR="00D268BC">
              <w:rPr>
                <w:rFonts w:cs="Arial"/>
                <w:color w:val="000000"/>
                <w:sz w:val="20"/>
                <w:szCs w:val="20"/>
                <w:lang w:val="es-ES" w:eastAsia="es-ES"/>
              </w:rPr>
              <w:t>.</w:t>
            </w:r>
            <w:r w:rsidRPr="00D268BC">
              <w:rPr>
                <w:rFonts w:cs="Arial"/>
                <w:color w:val="000000"/>
                <w:sz w:val="20"/>
                <w:szCs w:val="20"/>
                <w:lang w:val="es-ES" w:eastAsia="es-ES"/>
              </w:rPr>
              <w:t>36%</w:t>
            </w:r>
          </w:p>
        </w:tc>
        <w:tc>
          <w:tcPr>
            <w:tcW w:w="1515" w:type="dxa"/>
            <w:tcBorders>
              <w:top w:val="nil"/>
              <w:left w:val="nil"/>
              <w:bottom w:val="single" w:sz="4" w:space="0" w:color="auto"/>
              <w:right w:val="single" w:sz="4" w:space="0" w:color="auto"/>
            </w:tcBorders>
            <w:shd w:val="clear" w:color="auto" w:fill="auto"/>
            <w:noWrap/>
            <w:vAlign w:val="bottom"/>
            <w:hideMark/>
          </w:tcPr>
          <w:p w14:paraId="2974FC24" w14:textId="5FF1EF14"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03%</w:t>
            </w:r>
          </w:p>
        </w:tc>
        <w:tc>
          <w:tcPr>
            <w:tcW w:w="1390" w:type="dxa"/>
            <w:tcBorders>
              <w:top w:val="nil"/>
              <w:left w:val="nil"/>
              <w:bottom w:val="single" w:sz="4" w:space="0" w:color="auto"/>
              <w:right w:val="single" w:sz="4" w:space="0" w:color="auto"/>
            </w:tcBorders>
            <w:shd w:val="clear" w:color="auto" w:fill="auto"/>
            <w:noWrap/>
            <w:vAlign w:val="bottom"/>
            <w:hideMark/>
          </w:tcPr>
          <w:p w14:paraId="07F9AF59" w14:textId="6D82D208"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5</w:t>
            </w:r>
            <w:r w:rsidR="00D268BC">
              <w:rPr>
                <w:rFonts w:cs="Arial"/>
                <w:color w:val="000000"/>
                <w:sz w:val="20"/>
                <w:szCs w:val="20"/>
                <w:lang w:val="es-ES" w:eastAsia="es-ES"/>
              </w:rPr>
              <w:t>.</w:t>
            </w:r>
            <w:r w:rsidRPr="00D268BC">
              <w:rPr>
                <w:rFonts w:cs="Arial"/>
                <w:color w:val="000000"/>
                <w:sz w:val="20"/>
                <w:szCs w:val="20"/>
                <w:lang w:val="es-ES" w:eastAsia="es-ES"/>
              </w:rPr>
              <w:t>47%</w:t>
            </w:r>
          </w:p>
        </w:tc>
        <w:tc>
          <w:tcPr>
            <w:tcW w:w="1138" w:type="dxa"/>
            <w:tcBorders>
              <w:top w:val="nil"/>
              <w:left w:val="nil"/>
              <w:bottom w:val="single" w:sz="4" w:space="0" w:color="auto"/>
              <w:right w:val="single" w:sz="4" w:space="0" w:color="auto"/>
            </w:tcBorders>
            <w:shd w:val="clear" w:color="auto" w:fill="auto"/>
            <w:noWrap/>
            <w:vAlign w:val="bottom"/>
            <w:hideMark/>
          </w:tcPr>
          <w:p w14:paraId="10C89AA3" w14:textId="601C20ED"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46%</w:t>
            </w:r>
          </w:p>
        </w:tc>
        <w:tc>
          <w:tcPr>
            <w:tcW w:w="1643" w:type="dxa"/>
            <w:tcBorders>
              <w:top w:val="nil"/>
              <w:left w:val="nil"/>
              <w:bottom w:val="single" w:sz="4" w:space="0" w:color="auto"/>
              <w:right w:val="single" w:sz="4" w:space="0" w:color="auto"/>
            </w:tcBorders>
            <w:shd w:val="clear" w:color="auto" w:fill="auto"/>
            <w:noWrap/>
            <w:vAlign w:val="bottom"/>
            <w:hideMark/>
          </w:tcPr>
          <w:p w14:paraId="7AE1269E" w14:textId="332B17EC" w:rsidR="00734CA0" w:rsidRPr="00D268BC" w:rsidRDefault="00734CA0" w:rsidP="00ED5978">
            <w:pPr>
              <w:keepNext/>
              <w:spacing w:before="0" w:after="0" w:line="240" w:lineRule="auto"/>
              <w:jc w:val="center"/>
              <w:rPr>
                <w:rFonts w:cs="Arial"/>
                <w:color w:val="000000"/>
                <w:sz w:val="20"/>
                <w:szCs w:val="20"/>
                <w:lang w:val="es-ES" w:eastAsia="es-ES"/>
              </w:rPr>
            </w:pPr>
            <w:r w:rsidRPr="00D268BC">
              <w:rPr>
                <w:rFonts w:cs="Arial"/>
                <w:color w:val="000000"/>
                <w:sz w:val="20"/>
                <w:szCs w:val="20"/>
                <w:lang w:val="es-ES" w:eastAsia="es-ES"/>
              </w:rPr>
              <w:t>0</w:t>
            </w:r>
            <w:r w:rsidR="00D268BC">
              <w:rPr>
                <w:rFonts w:cs="Arial"/>
                <w:color w:val="000000"/>
                <w:sz w:val="20"/>
                <w:szCs w:val="20"/>
                <w:lang w:val="es-ES" w:eastAsia="es-ES"/>
              </w:rPr>
              <w:t>.</w:t>
            </w:r>
            <w:r w:rsidRPr="00D268BC">
              <w:rPr>
                <w:rFonts w:cs="Arial"/>
                <w:color w:val="000000"/>
                <w:sz w:val="20"/>
                <w:szCs w:val="20"/>
                <w:lang w:val="es-ES" w:eastAsia="es-ES"/>
              </w:rPr>
              <w:t>00%</w:t>
            </w:r>
          </w:p>
        </w:tc>
      </w:tr>
    </w:tbl>
    <w:p w14:paraId="0F4791AA" w14:textId="18B951E0" w:rsidR="009017C1" w:rsidRDefault="009017C1" w:rsidP="009017C1">
      <w:pPr>
        <w:jc w:val="center"/>
        <w:rPr>
          <w:rFonts w:ascii="Verdana" w:hAnsi="Verdana"/>
          <w:b/>
          <w:sz w:val="16"/>
          <w:lang w:val="en-US"/>
        </w:rPr>
      </w:pPr>
      <w:r w:rsidRPr="005C5BB9">
        <w:rPr>
          <w:rFonts w:ascii="Verdana" w:hAnsi="Verdana"/>
          <w:b/>
          <w:sz w:val="16"/>
          <w:lang w:val="en-US"/>
        </w:rPr>
        <w:t xml:space="preserve">Table </w:t>
      </w:r>
      <w:r w:rsidRPr="005C5BB9">
        <w:rPr>
          <w:rFonts w:ascii="Verdana" w:hAnsi="Verdana"/>
          <w:b/>
          <w:sz w:val="16"/>
          <w:lang w:val="en-US"/>
        </w:rPr>
        <w:fldChar w:fldCharType="begin"/>
      </w:r>
      <w:r w:rsidRPr="005C5BB9">
        <w:rPr>
          <w:rFonts w:ascii="Verdana" w:hAnsi="Verdana"/>
          <w:b/>
          <w:sz w:val="16"/>
          <w:lang w:val="en-US"/>
        </w:rPr>
        <w:instrText xml:space="preserve"> SEQ Table \* ARABIC </w:instrText>
      </w:r>
      <w:r w:rsidRPr="005C5BB9">
        <w:rPr>
          <w:rFonts w:ascii="Verdana" w:hAnsi="Verdana"/>
          <w:b/>
          <w:sz w:val="16"/>
          <w:lang w:val="en-US"/>
        </w:rPr>
        <w:fldChar w:fldCharType="separate"/>
      </w:r>
      <w:r w:rsidR="00E859C7">
        <w:rPr>
          <w:rFonts w:ascii="Verdana" w:hAnsi="Verdana"/>
          <w:b/>
          <w:noProof/>
          <w:sz w:val="16"/>
          <w:lang w:val="en-US"/>
        </w:rPr>
        <w:t>17</w:t>
      </w:r>
      <w:r w:rsidRPr="005C5BB9">
        <w:rPr>
          <w:rFonts w:ascii="Verdana" w:hAnsi="Verdana"/>
          <w:b/>
          <w:sz w:val="16"/>
          <w:lang w:val="en-US"/>
        </w:rPr>
        <w:fldChar w:fldCharType="end"/>
      </w:r>
      <w:r>
        <w:rPr>
          <w:rFonts w:ascii="Verdana" w:hAnsi="Verdana"/>
          <w:b/>
          <w:sz w:val="16"/>
          <w:lang w:val="en-US"/>
        </w:rPr>
        <w:t xml:space="preserve">: </w:t>
      </w:r>
      <w:r w:rsidR="00511C1D">
        <w:rPr>
          <w:rFonts w:ascii="Verdana" w:hAnsi="Verdana"/>
          <w:b/>
          <w:sz w:val="16"/>
          <w:lang w:val="en-US"/>
        </w:rPr>
        <w:t>Capacity bookings</w:t>
      </w:r>
      <w:r>
        <w:rPr>
          <w:rFonts w:ascii="Verdana" w:hAnsi="Verdana"/>
          <w:b/>
          <w:sz w:val="16"/>
          <w:lang w:val="en-US"/>
        </w:rPr>
        <w:t xml:space="preserve"> from </w:t>
      </w:r>
      <w:r w:rsidRPr="00B40D2A">
        <w:rPr>
          <w:rFonts w:ascii="Verdana" w:hAnsi="Verdana"/>
          <w:b/>
          <w:sz w:val="16"/>
          <w:lang w:val="en-US"/>
        </w:rPr>
        <w:t xml:space="preserve">Spain to </w:t>
      </w:r>
      <w:r>
        <w:rPr>
          <w:rFonts w:ascii="Verdana" w:hAnsi="Verdana"/>
          <w:b/>
          <w:sz w:val="16"/>
          <w:lang w:val="en-US"/>
        </w:rPr>
        <w:t>Portugal</w:t>
      </w:r>
      <w:r w:rsidRPr="00B40D2A">
        <w:rPr>
          <w:rFonts w:ascii="Verdana" w:hAnsi="Verdana"/>
          <w:b/>
          <w:sz w:val="16"/>
          <w:lang w:val="en-US"/>
        </w:rPr>
        <w:t xml:space="preserve"> </w:t>
      </w:r>
      <w:r>
        <w:rPr>
          <w:rFonts w:ascii="Verdana" w:hAnsi="Verdana"/>
          <w:b/>
          <w:sz w:val="16"/>
          <w:lang w:val="en-US"/>
        </w:rPr>
        <w:t>on the Spanish side</w:t>
      </w:r>
      <w:r w:rsidR="00511C1D">
        <w:rPr>
          <w:rFonts w:ascii="Verdana" w:hAnsi="Verdana"/>
          <w:b/>
          <w:sz w:val="16"/>
          <w:lang w:val="en-US"/>
        </w:rPr>
        <w:t xml:space="preserve"> by time horizon</w:t>
      </w:r>
    </w:p>
    <w:p w14:paraId="27E7FE27" w14:textId="7CAA5D17" w:rsidR="007D7BF4" w:rsidRPr="00E345E9" w:rsidRDefault="007D7BF4" w:rsidP="001A72D0">
      <w:pPr>
        <w:pStyle w:val="Ttulo4"/>
        <w:numPr>
          <w:ilvl w:val="3"/>
          <w:numId w:val="15"/>
        </w:numPr>
        <w:spacing w:line="240" w:lineRule="auto"/>
      </w:pPr>
      <w:r>
        <w:t xml:space="preserve">Portugal to Spain </w:t>
      </w:r>
      <w:r w:rsidRPr="00E345E9">
        <w:t>direction</w:t>
      </w:r>
    </w:p>
    <w:p w14:paraId="3AAE7EB9" w14:textId="1E4C8A40" w:rsidR="00135E25" w:rsidRDefault="00135E25" w:rsidP="00135E25">
      <w:pPr>
        <w:rPr>
          <w:b/>
          <w:u w:val="single"/>
          <w:lang w:val="en-US"/>
        </w:rPr>
      </w:pPr>
      <w:r w:rsidRPr="00E345E9">
        <w:rPr>
          <w:b/>
          <w:noProof/>
          <w:u w:val="single"/>
          <w:lang w:val="es-ES" w:eastAsia="es-ES"/>
        </w:rPr>
        <mc:AlternateContent>
          <mc:Choice Requires="wpg">
            <w:drawing>
              <wp:anchor distT="0" distB="0" distL="114300" distR="114300" simplePos="0" relativeHeight="251684352" behindDoc="1" locked="0" layoutInCell="1" allowOverlap="1" wp14:anchorId="36EEB94A" wp14:editId="79606F6C">
                <wp:simplePos x="0" y="0"/>
                <wp:positionH relativeFrom="column">
                  <wp:posOffset>93134</wp:posOffset>
                </wp:positionH>
                <wp:positionV relativeFrom="paragraph">
                  <wp:posOffset>489585</wp:posOffset>
                </wp:positionV>
                <wp:extent cx="5681980" cy="3328670"/>
                <wp:effectExtent l="0" t="0" r="0" b="5080"/>
                <wp:wrapTight wrapText="bothSides">
                  <wp:wrapPolygon edited="0">
                    <wp:start x="0" y="0"/>
                    <wp:lineTo x="0" y="21509"/>
                    <wp:lineTo x="21508" y="21509"/>
                    <wp:lineTo x="21508" y="0"/>
                    <wp:lineTo x="0" y="0"/>
                  </wp:wrapPolygon>
                </wp:wrapTight>
                <wp:docPr id="58" name="Grupo 5"/>
                <wp:cNvGraphicFramePr/>
                <a:graphic xmlns:a="http://schemas.openxmlformats.org/drawingml/2006/main">
                  <a:graphicData uri="http://schemas.microsoft.com/office/word/2010/wordprocessingGroup">
                    <wpg:wgp>
                      <wpg:cNvGrpSpPr/>
                      <wpg:grpSpPr>
                        <a:xfrm>
                          <a:off x="0" y="0"/>
                          <a:ext cx="5681980" cy="3328670"/>
                          <a:chOff x="0" y="0"/>
                          <a:chExt cx="5681980" cy="3328670"/>
                        </a:xfrm>
                      </wpg:grpSpPr>
                      <pic:pic xmlns:pic="http://schemas.openxmlformats.org/drawingml/2006/picture">
                        <pic:nvPicPr>
                          <pic:cNvPr id="60" name="Imagem 60"/>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1980" cy="3328670"/>
                          </a:xfrm>
                          <a:prstGeom prst="rect">
                            <a:avLst/>
                          </a:prstGeom>
                          <a:noFill/>
                        </pic:spPr>
                      </pic:pic>
                      <pic:pic xmlns:pic="http://schemas.openxmlformats.org/drawingml/2006/picture">
                        <pic:nvPicPr>
                          <pic:cNvPr id="62" name="chart"/>
                          <pic:cNvPicPr/>
                        </pic:nvPicPr>
                        <pic:blipFill>
                          <a:blip r:embed="rId44">
                            <a:extLst>
                              <a:ext uri="{28A0092B-C50C-407E-A947-70E740481C1C}">
                                <a14:useLocalDpi xmlns:a14="http://schemas.microsoft.com/office/drawing/2010/main" val="0"/>
                              </a:ext>
                            </a:extLst>
                          </a:blip>
                          <a:stretch>
                            <a:fillRect/>
                          </a:stretch>
                        </pic:blipFill>
                        <pic:spPr>
                          <a:xfrm>
                            <a:off x="318135" y="2387600"/>
                            <a:ext cx="5160010" cy="511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8EA1B3" id="Grupo 5" o:spid="_x0000_s1026" style="position:absolute;margin-left:7.35pt;margin-top:38.55pt;width:447.4pt;height:262.1pt;z-index:-251632128;mso-width-relative:margin;mso-height-relative:margin" coordsize="56819,33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0" o:spid="_x0000_s1027" type="#_x0000_t75" style="position:absolute;width:56819;height:3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pBu/BAAAA2wAAAA8AAABkcnMvZG93bnJldi54bWxET0tLAzEQvgv+hzCCF7FZ+5S1aWkFwVNp&#10;a0uv42bcLG4mSxLb7b93DoLHj+89X/a+VWeKqQls4GlQgCKugm24NnD4eHt8BpUyssU2MBm4UoLl&#10;4vZmjqUNF97ReZ9rJSGcSjTgcu5KrVPlyGMahI5YuK8QPWaBsdY24kXCfauHRTHVHhuWBocdvTqq&#10;vvc/Xkrw040fdqfZMW5HuJ6MtpPNdWXM/V2/egGVqc//4j/3uzUwlfXyRX6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pBu/BAAAA2wAAAA8AAAAAAAAAAAAAAAAAnwIA&#10;AGRycy9kb3ducmV2LnhtbFBLBQYAAAAABAAEAPcAAACNAwAAAAA=&#10;">
                  <v:imagedata r:id="rId47" o:title=""/>
                </v:shape>
                <v:shape id="chart" o:spid="_x0000_s1028" type="#_x0000_t75" style="position:absolute;left:3181;top:23876;width:51600;height: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1wCXFAAAA2wAAAA8AAABkcnMvZG93bnJldi54bWxEj81qwzAQhO+FvoPYQi8hlps2wbhWQgmk&#10;BHrKzyHHxVpbptbKSEri9umrQiDHYWa+YarVaHtxIR86xwpeshwEce10x62C42EzLUCEiKyxd0wK&#10;fijAavn4UGGp3ZV3dNnHViQIhxIVmBiHUspQG7IYMjcQJ69x3mJM0rdSe7wmuO3lLM8X0mLHacHg&#10;QGtD9ff+bBX088nO+6L5bE9n8/ulX9+2euKUen4aP95BRBrjPXxrb7WCxQz+v6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9cAlxQAAANsAAAAPAAAAAAAAAAAAAAAA&#10;AJ8CAABkcnMvZG93bnJldi54bWxQSwUGAAAAAAQABAD3AAAAkQMAAAAA&#10;">
                  <v:imagedata r:id="rId48" o:title=""/>
                </v:shape>
                <w10:wrap type="tight"/>
              </v:group>
            </w:pict>
          </mc:Fallback>
        </mc:AlternateContent>
      </w:r>
      <w:r w:rsidR="00F15438" w:rsidRPr="00E345E9">
        <w:rPr>
          <w:b/>
          <w:u w:val="single"/>
          <w:lang w:val="en-US"/>
        </w:rPr>
        <w:t>Portuguese side</w:t>
      </w:r>
    </w:p>
    <w:p w14:paraId="039F6897" w14:textId="3337059E" w:rsidR="00D6452E" w:rsidRPr="00D6452E" w:rsidRDefault="00D6452E" w:rsidP="00D6452E">
      <w:pPr>
        <w:jc w:val="center"/>
        <w:rPr>
          <w:rFonts w:ascii="Verdana" w:hAnsi="Verdana"/>
          <w:b/>
          <w:u w:val="single"/>
          <w:lang w:val="en-US"/>
        </w:rPr>
      </w:pPr>
      <w:r w:rsidRPr="00D6452E">
        <w:rPr>
          <w:rFonts w:ascii="Verdana" w:hAnsi="Verdana"/>
          <w:b/>
          <w:sz w:val="16"/>
          <w:lang w:val="en-US"/>
        </w:rPr>
        <w:t xml:space="preserve">Figure </w:t>
      </w:r>
      <w:r w:rsidRPr="00D6452E">
        <w:rPr>
          <w:rFonts w:ascii="Verdana" w:hAnsi="Verdana"/>
          <w:b/>
          <w:sz w:val="16"/>
          <w:lang w:val="en-US"/>
        </w:rPr>
        <w:fldChar w:fldCharType="begin"/>
      </w:r>
      <w:r w:rsidRPr="00D6452E">
        <w:rPr>
          <w:rFonts w:ascii="Verdana" w:hAnsi="Verdana"/>
          <w:b/>
          <w:sz w:val="16"/>
          <w:lang w:val="en-US"/>
        </w:rPr>
        <w:instrText xml:space="preserve"> SEQ Figure \* ARABIC </w:instrText>
      </w:r>
      <w:r w:rsidRPr="00D6452E">
        <w:rPr>
          <w:rFonts w:ascii="Verdana" w:hAnsi="Verdana"/>
          <w:b/>
          <w:sz w:val="16"/>
          <w:lang w:val="en-US"/>
        </w:rPr>
        <w:fldChar w:fldCharType="separate"/>
      </w:r>
      <w:r w:rsidR="00E859C7">
        <w:rPr>
          <w:rFonts w:ascii="Verdana" w:hAnsi="Verdana"/>
          <w:b/>
          <w:noProof/>
          <w:sz w:val="16"/>
          <w:lang w:val="en-US"/>
        </w:rPr>
        <w:t>28</w:t>
      </w:r>
      <w:r w:rsidRPr="00D6452E">
        <w:rPr>
          <w:rFonts w:ascii="Verdana" w:hAnsi="Verdana"/>
          <w:b/>
          <w:sz w:val="16"/>
          <w:lang w:val="en-US"/>
        </w:rPr>
        <w:fldChar w:fldCharType="end"/>
      </w:r>
      <w:r w:rsidRPr="00D6452E">
        <w:rPr>
          <w:rFonts w:ascii="Verdana" w:hAnsi="Verdana"/>
          <w:b/>
          <w:sz w:val="16"/>
          <w:lang w:val="en-US"/>
        </w:rPr>
        <w:t>: Status of booked capacity by product at VIP Ibérico, Portugal to Spain direction</w:t>
      </w:r>
    </w:p>
    <w:p w14:paraId="53404840" w14:textId="4F4A4BFF" w:rsidR="00135E25" w:rsidRPr="00E345E9" w:rsidRDefault="00135E25" w:rsidP="00320ADF">
      <w:pPr>
        <w:spacing w:line="312" w:lineRule="auto"/>
        <w:rPr>
          <w:lang w:val="en-US"/>
        </w:rPr>
      </w:pPr>
      <w:r w:rsidRPr="00E345E9">
        <w:rPr>
          <w:lang w:val="en-US"/>
        </w:rPr>
        <w:t xml:space="preserve">From figure 23, one can observe that the increase in activity of capacity booking </w:t>
      </w:r>
      <w:r w:rsidR="005E4FA4">
        <w:rPr>
          <w:lang w:val="en-US"/>
        </w:rPr>
        <w:t>in the</w:t>
      </w:r>
      <w:r w:rsidR="005E4FA4" w:rsidRPr="00E345E9">
        <w:rPr>
          <w:lang w:val="en-US"/>
        </w:rPr>
        <w:t xml:space="preserve"> </w:t>
      </w:r>
      <w:r w:rsidRPr="00E345E9">
        <w:rPr>
          <w:lang w:val="en-US"/>
        </w:rPr>
        <w:t xml:space="preserve">direction from Portugal to Spain relied mostly </w:t>
      </w:r>
      <w:r w:rsidR="005E4FA4">
        <w:rPr>
          <w:lang w:val="en-US"/>
        </w:rPr>
        <w:t>o</w:t>
      </w:r>
      <w:r w:rsidRPr="00E345E9">
        <w:rPr>
          <w:lang w:val="en-US"/>
        </w:rPr>
        <w:t>n short term bookings. Starting from within day, daily and evolving eventually to monthly bookings. Therefore, it is possible to notice how the use of the interconnection in this direction became more regular and sustained, resulting in prolonged periods of booked flow inversion.</w:t>
      </w:r>
    </w:p>
    <w:p w14:paraId="6420B3FD" w14:textId="6F637AB5" w:rsidR="00135E25" w:rsidRPr="00E345E9" w:rsidRDefault="00135E25" w:rsidP="00135E25">
      <w:pPr>
        <w:rPr>
          <w:lang w:val="en-US" w:eastAsia="ja-JP"/>
        </w:rPr>
      </w:pPr>
      <w:r w:rsidRPr="00E345E9">
        <w:rPr>
          <w:lang w:val="en-US" w:eastAsia="ja-JP"/>
        </w:rPr>
        <w:t>Table 1</w:t>
      </w:r>
      <w:r w:rsidR="00D6452E">
        <w:rPr>
          <w:lang w:val="en-US" w:eastAsia="ja-JP"/>
        </w:rPr>
        <w:t>7</w:t>
      </w:r>
      <w:r w:rsidRPr="00E345E9">
        <w:rPr>
          <w:lang w:val="en-US" w:eastAsia="ja-JP"/>
        </w:rPr>
        <w:t xml:space="preserve"> presents the weight of each product within the booked capacity on the Portuguese side:</w:t>
      </w:r>
    </w:p>
    <w:tbl>
      <w:tblPr>
        <w:tblW w:w="8925" w:type="dxa"/>
        <w:tblCellMar>
          <w:left w:w="70" w:type="dxa"/>
          <w:right w:w="70" w:type="dxa"/>
        </w:tblCellMar>
        <w:tblLook w:val="04A0" w:firstRow="1" w:lastRow="0" w:firstColumn="1" w:lastColumn="0" w:noHBand="0" w:noVBand="1"/>
      </w:tblPr>
      <w:tblGrid>
        <w:gridCol w:w="1094"/>
        <w:gridCol w:w="1221"/>
        <w:gridCol w:w="1203"/>
        <w:gridCol w:w="1203"/>
        <w:gridCol w:w="1307"/>
        <w:gridCol w:w="1307"/>
        <w:gridCol w:w="1590"/>
      </w:tblGrid>
      <w:tr w:rsidR="00135E25" w:rsidRPr="00E345E9" w14:paraId="1E7790F2" w14:textId="77777777" w:rsidTr="00130C2F">
        <w:trPr>
          <w:trHeight w:val="237"/>
        </w:trPr>
        <w:tc>
          <w:tcPr>
            <w:tcW w:w="1094" w:type="dxa"/>
            <w:tcBorders>
              <w:top w:val="nil"/>
              <w:left w:val="nil"/>
              <w:bottom w:val="nil"/>
              <w:right w:val="nil"/>
            </w:tcBorders>
            <w:shd w:val="clear" w:color="auto" w:fill="auto"/>
            <w:noWrap/>
            <w:vAlign w:val="center"/>
            <w:hideMark/>
          </w:tcPr>
          <w:p w14:paraId="545A39AE" w14:textId="77777777" w:rsidR="00135E25" w:rsidRPr="00E345E9" w:rsidRDefault="00135E25" w:rsidP="00D11CF4">
            <w:pPr>
              <w:keepNext/>
              <w:spacing w:before="0" w:after="0" w:line="240" w:lineRule="auto"/>
              <w:jc w:val="left"/>
              <w:rPr>
                <w:rFonts w:cs="Arial"/>
                <w:sz w:val="20"/>
                <w:szCs w:val="20"/>
                <w:lang w:val="en-US" w:eastAsia="es-ES"/>
              </w:rPr>
            </w:pPr>
          </w:p>
        </w:tc>
        <w:tc>
          <w:tcPr>
            <w:tcW w:w="7831" w:type="dxa"/>
            <w:gridSpan w:val="6"/>
            <w:tcBorders>
              <w:top w:val="single" w:sz="4" w:space="0" w:color="auto"/>
              <w:left w:val="single" w:sz="4" w:space="0" w:color="auto"/>
              <w:bottom w:val="single" w:sz="4" w:space="0" w:color="auto"/>
              <w:right w:val="single" w:sz="4" w:space="0" w:color="auto"/>
            </w:tcBorders>
            <w:shd w:val="clear" w:color="000000" w:fill="9CB700"/>
            <w:noWrap/>
            <w:vAlign w:val="center"/>
            <w:hideMark/>
          </w:tcPr>
          <w:p w14:paraId="2463A9D8" w14:textId="77777777" w:rsidR="00135E25" w:rsidRPr="00E345E9" w:rsidRDefault="00135E25" w:rsidP="00D11CF4">
            <w:pPr>
              <w:keepNext/>
              <w:spacing w:before="0" w:after="0" w:line="240" w:lineRule="auto"/>
              <w:jc w:val="center"/>
              <w:rPr>
                <w:rFonts w:cs="Arial"/>
                <w:b/>
                <w:bCs/>
                <w:color w:val="FFFFFF"/>
                <w:sz w:val="20"/>
                <w:szCs w:val="20"/>
                <w:lang w:val="en-US" w:eastAsia="es-ES"/>
              </w:rPr>
            </w:pPr>
            <w:r w:rsidRPr="00E345E9">
              <w:rPr>
                <w:rFonts w:cs="Arial"/>
                <w:b/>
                <w:bCs/>
                <w:color w:val="FFFFFF"/>
                <w:sz w:val="20"/>
                <w:szCs w:val="20"/>
                <w:lang w:val="en-US" w:eastAsia="es-ES"/>
              </w:rPr>
              <w:t>% Booked capacity by time horizon versus total booked capacity</w:t>
            </w:r>
          </w:p>
        </w:tc>
      </w:tr>
      <w:tr w:rsidR="004F2217" w:rsidRPr="00E345E9" w14:paraId="11963E78" w14:textId="77777777" w:rsidTr="00D11CF4">
        <w:trPr>
          <w:trHeight w:val="237"/>
        </w:trPr>
        <w:tc>
          <w:tcPr>
            <w:tcW w:w="1094" w:type="dxa"/>
            <w:tcBorders>
              <w:top w:val="nil"/>
              <w:left w:val="nil"/>
              <w:bottom w:val="nil"/>
              <w:right w:val="nil"/>
            </w:tcBorders>
            <w:shd w:val="clear" w:color="auto" w:fill="auto"/>
            <w:noWrap/>
            <w:vAlign w:val="center"/>
            <w:hideMark/>
          </w:tcPr>
          <w:p w14:paraId="6C0066B5" w14:textId="77777777" w:rsidR="00135E25" w:rsidRPr="00E345E9" w:rsidRDefault="00135E25" w:rsidP="00D11CF4">
            <w:pPr>
              <w:keepNext/>
              <w:spacing w:before="0" w:after="0" w:line="240" w:lineRule="auto"/>
              <w:jc w:val="center"/>
              <w:rPr>
                <w:rFonts w:cs="Arial"/>
                <w:b/>
                <w:bCs/>
                <w:color w:val="FFFFFF"/>
                <w:sz w:val="20"/>
                <w:szCs w:val="20"/>
                <w:lang w:val="en-US" w:eastAsia="es-ES"/>
              </w:rPr>
            </w:pPr>
          </w:p>
        </w:tc>
        <w:tc>
          <w:tcPr>
            <w:tcW w:w="1221" w:type="dxa"/>
            <w:tcBorders>
              <w:top w:val="nil"/>
              <w:left w:val="single" w:sz="4" w:space="0" w:color="auto"/>
              <w:bottom w:val="single" w:sz="4" w:space="0" w:color="auto"/>
              <w:right w:val="single" w:sz="4" w:space="0" w:color="auto"/>
            </w:tcBorders>
            <w:shd w:val="clear" w:color="000000" w:fill="63666A"/>
            <w:noWrap/>
            <w:vAlign w:val="center"/>
            <w:hideMark/>
          </w:tcPr>
          <w:p w14:paraId="667122F1" w14:textId="77777777" w:rsidR="00135E25" w:rsidRPr="00E345E9" w:rsidRDefault="00135E25" w:rsidP="00D11CF4">
            <w:pPr>
              <w:keepNext/>
              <w:spacing w:before="0" w:after="0" w:line="240" w:lineRule="auto"/>
              <w:jc w:val="center"/>
              <w:rPr>
                <w:rFonts w:cs="Arial"/>
                <w:b/>
                <w:bCs/>
                <w:color w:val="FFFFFF"/>
                <w:sz w:val="20"/>
                <w:szCs w:val="20"/>
                <w:lang w:val="es-ES" w:eastAsia="es-ES"/>
              </w:rPr>
            </w:pPr>
            <w:r w:rsidRPr="00E345E9">
              <w:rPr>
                <w:rFonts w:cs="Arial"/>
                <w:b/>
                <w:bCs/>
                <w:color w:val="FFFFFF"/>
                <w:sz w:val="20"/>
                <w:szCs w:val="20"/>
                <w:lang w:val="es-ES" w:eastAsia="es-ES"/>
              </w:rPr>
              <w:t>LT contracts</w:t>
            </w:r>
          </w:p>
        </w:tc>
        <w:tc>
          <w:tcPr>
            <w:tcW w:w="1203" w:type="dxa"/>
            <w:tcBorders>
              <w:top w:val="nil"/>
              <w:left w:val="nil"/>
              <w:bottom w:val="single" w:sz="4" w:space="0" w:color="auto"/>
              <w:right w:val="single" w:sz="4" w:space="0" w:color="auto"/>
            </w:tcBorders>
            <w:shd w:val="clear" w:color="000000" w:fill="63666A"/>
            <w:noWrap/>
            <w:vAlign w:val="center"/>
            <w:hideMark/>
          </w:tcPr>
          <w:p w14:paraId="1D5654B0" w14:textId="77777777" w:rsidR="00135E25" w:rsidRPr="00E345E9" w:rsidRDefault="00135E25" w:rsidP="00D11CF4">
            <w:pPr>
              <w:keepNext/>
              <w:spacing w:before="0" w:after="0" w:line="240" w:lineRule="auto"/>
              <w:jc w:val="center"/>
              <w:rPr>
                <w:rFonts w:cs="Arial"/>
                <w:b/>
                <w:bCs/>
                <w:color w:val="FFFFFF"/>
                <w:sz w:val="20"/>
                <w:szCs w:val="20"/>
                <w:lang w:val="es-ES" w:eastAsia="es-ES"/>
              </w:rPr>
            </w:pPr>
            <w:r w:rsidRPr="00E345E9">
              <w:rPr>
                <w:rFonts w:cs="Arial"/>
                <w:b/>
                <w:bCs/>
                <w:color w:val="FFFFFF"/>
                <w:sz w:val="20"/>
                <w:szCs w:val="20"/>
                <w:lang w:val="es-ES" w:eastAsia="es-ES"/>
              </w:rPr>
              <w:t>Yearly product</w:t>
            </w:r>
          </w:p>
        </w:tc>
        <w:tc>
          <w:tcPr>
            <w:tcW w:w="1203" w:type="dxa"/>
            <w:tcBorders>
              <w:top w:val="nil"/>
              <w:left w:val="nil"/>
              <w:bottom w:val="single" w:sz="4" w:space="0" w:color="auto"/>
              <w:right w:val="single" w:sz="4" w:space="0" w:color="auto"/>
            </w:tcBorders>
            <w:shd w:val="clear" w:color="000000" w:fill="63666A"/>
            <w:noWrap/>
            <w:vAlign w:val="center"/>
            <w:hideMark/>
          </w:tcPr>
          <w:p w14:paraId="13FBB550" w14:textId="77777777" w:rsidR="00135E25" w:rsidRPr="00E345E9" w:rsidRDefault="00135E25" w:rsidP="00D11CF4">
            <w:pPr>
              <w:keepNext/>
              <w:spacing w:before="0" w:after="0" w:line="240" w:lineRule="auto"/>
              <w:jc w:val="center"/>
              <w:rPr>
                <w:rFonts w:cs="Arial"/>
                <w:b/>
                <w:bCs/>
                <w:color w:val="FFFFFF"/>
                <w:sz w:val="20"/>
                <w:szCs w:val="20"/>
                <w:lang w:val="es-ES" w:eastAsia="es-ES"/>
              </w:rPr>
            </w:pPr>
            <w:r w:rsidRPr="00E345E9">
              <w:rPr>
                <w:rFonts w:cs="Arial"/>
                <w:b/>
                <w:bCs/>
                <w:color w:val="FFFFFF"/>
                <w:sz w:val="20"/>
                <w:szCs w:val="20"/>
                <w:lang w:val="es-ES" w:eastAsia="es-ES"/>
              </w:rPr>
              <w:t>Quarterly product</w:t>
            </w:r>
          </w:p>
        </w:tc>
        <w:tc>
          <w:tcPr>
            <w:tcW w:w="1307" w:type="dxa"/>
            <w:tcBorders>
              <w:top w:val="nil"/>
              <w:left w:val="nil"/>
              <w:bottom w:val="single" w:sz="4" w:space="0" w:color="auto"/>
              <w:right w:val="single" w:sz="4" w:space="0" w:color="auto"/>
            </w:tcBorders>
            <w:shd w:val="clear" w:color="000000" w:fill="63666A"/>
            <w:noWrap/>
            <w:vAlign w:val="center"/>
            <w:hideMark/>
          </w:tcPr>
          <w:p w14:paraId="3A677B94" w14:textId="77777777" w:rsidR="00135E25" w:rsidRPr="00E345E9" w:rsidRDefault="00135E25" w:rsidP="00D11CF4">
            <w:pPr>
              <w:keepNext/>
              <w:spacing w:before="0" w:after="0" w:line="240" w:lineRule="auto"/>
              <w:jc w:val="center"/>
              <w:rPr>
                <w:rFonts w:cs="Arial"/>
                <w:b/>
                <w:bCs/>
                <w:color w:val="FFFFFF"/>
                <w:sz w:val="20"/>
                <w:szCs w:val="20"/>
                <w:lang w:val="es-ES" w:eastAsia="es-ES"/>
              </w:rPr>
            </w:pPr>
            <w:r w:rsidRPr="00E345E9">
              <w:rPr>
                <w:rFonts w:cs="Arial"/>
                <w:b/>
                <w:bCs/>
                <w:color w:val="FFFFFF"/>
                <w:sz w:val="20"/>
                <w:szCs w:val="20"/>
                <w:lang w:val="es-ES" w:eastAsia="es-ES"/>
              </w:rPr>
              <w:t>Monthly product</w:t>
            </w:r>
          </w:p>
        </w:tc>
        <w:tc>
          <w:tcPr>
            <w:tcW w:w="1307" w:type="dxa"/>
            <w:tcBorders>
              <w:top w:val="nil"/>
              <w:left w:val="nil"/>
              <w:bottom w:val="single" w:sz="4" w:space="0" w:color="auto"/>
              <w:right w:val="single" w:sz="4" w:space="0" w:color="auto"/>
            </w:tcBorders>
            <w:shd w:val="clear" w:color="000000" w:fill="63666A"/>
            <w:noWrap/>
            <w:vAlign w:val="center"/>
            <w:hideMark/>
          </w:tcPr>
          <w:p w14:paraId="2EFCBB7A" w14:textId="77777777" w:rsidR="00135E25" w:rsidRPr="00E345E9" w:rsidRDefault="00135E25" w:rsidP="00D11CF4">
            <w:pPr>
              <w:keepNext/>
              <w:spacing w:before="0" w:after="0" w:line="240" w:lineRule="auto"/>
              <w:jc w:val="center"/>
              <w:rPr>
                <w:rFonts w:cs="Arial"/>
                <w:b/>
                <w:bCs/>
                <w:color w:val="FFFFFF"/>
                <w:sz w:val="20"/>
                <w:szCs w:val="20"/>
                <w:lang w:val="es-ES" w:eastAsia="es-ES"/>
              </w:rPr>
            </w:pPr>
            <w:r w:rsidRPr="00E345E9">
              <w:rPr>
                <w:rFonts w:cs="Arial"/>
                <w:b/>
                <w:bCs/>
                <w:color w:val="FFFFFF"/>
                <w:sz w:val="20"/>
                <w:szCs w:val="20"/>
                <w:lang w:val="es-ES" w:eastAsia="es-ES"/>
              </w:rPr>
              <w:t>Daily product</w:t>
            </w:r>
          </w:p>
        </w:tc>
        <w:tc>
          <w:tcPr>
            <w:tcW w:w="1590" w:type="dxa"/>
            <w:tcBorders>
              <w:top w:val="nil"/>
              <w:left w:val="nil"/>
              <w:bottom w:val="single" w:sz="4" w:space="0" w:color="auto"/>
              <w:right w:val="single" w:sz="4" w:space="0" w:color="auto"/>
            </w:tcBorders>
            <w:shd w:val="clear" w:color="000000" w:fill="63666A"/>
            <w:noWrap/>
            <w:vAlign w:val="center"/>
            <w:hideMark/>
          </w:tcPr>
          <w:p w14:paraId="30B10193" w14:textId="77777777" w:rsidR="00135E25" w:rsidRPr="00E345E9" w:rsidRDefault="00135E25" w:rsidP="00D11CF4">
            <w:pPr>
              <w:keepNext/>
              <w:spacing w:before="0" w:after="0" w:line="240" w:lineRule="auto"/>
              <w:jc w:val="center"/>
              <w:rPr>
                <w:rFonts w:cs="Arial"/>
                <w:b/>
                <w:bCs/>
                <w:color w:val="FFFFFF"/>
                <w:sz w:val="20"/>
                <w:szCs w:val="20"/>
                <w:lang w:val="es-ES" w:eastAsia="es-ES"/>
              </w:rPr>
            </w:pPr>
            <w:r w:rsidRPr="00E345E9">
              <w:rPr>
                <w:rFonts w:cs="Arial"/>
                <w:b/>
                <w:bCs/>
                <w:color w:val="FFFFFF"/>
                <w:sz w:val="20"/>
                <w:szCs w:val="20"/>
                <w:lang w:val="es-ES" w:eastAsia="es-ES"/>
              </w:rPr>
              <w:t>Within-day product</w:t>
            </w:r>
          </w:p>
        </w:tc>
      </w:tr>
      <w:tr w:rsidR="00135E25" w:rsidRPr="00E345E9" w14:paraId="25351910" w14:textId="77777777" w:rsidTr="00D11CF4">
        <w:trPr>
          <w:trHeight w:val="237"/>
        </w:trPr>
        <w:tc>
          <w:tcPr>
            <w:tcW w:w="1094" w:type="dxa"/>
            <w:tcBorders>
              <w:top w:val="single" w:sz="4" w:space="0" w:color="auto"/>
              <w:left w:val="single" w:sz="4" w:space="0" w:color="auto"/>
              <w:bottom w:val="single" w:sz="4" w:space="0" w:color="auto"/>
              <w:right w:val="single" w:sz="4" w:space="0" w:color="auto"/>
            </w:tcBorders>
            <w:shd w:val="clear" w:color="000000" w:fill="007AAE"/>
            <w:noWrap/>
            <w:vAlign w:val="center"/>
            <w:hideMark/>
          </w:tcPr>
          <w:p w14:paraId="4BE741CF" w14:textId="705256F7" w:rsidR="00135E25" w:rsidRPr="00E345E9" w:rsidRDefault="00F0554A" w:rsidP="00D11CF4">
            <w:pPr>
              <w:keepNext/>
              <w:spacing w:before="0" w:after="0" w:line="240" w:lineRule="auto"/>
              <w:jc w:val="center"/>
              <w:rPr>
                <w:rFonts w:cs="Arial"/>
                <w:b/>
                <w:bCs/>
                <w:color w:val="FFFFFF"/>
                <w:sz w:val="20"/>
                <w:szCs w:val="20"/>
                <w:lang w:val="es-ES" w:eastAsia="es-ES"/>
              </w:rPr>
            </w:pPr>
            <w:r>
              <w:rPr>
                <w:rFonts w:cs="Arial"/>
                <w:b/>
                <w:bCs/>
                <w:color w:val="FFFFFF"/>
                <w:sz w:val="20"/>
                <w:szCs w:val="20"/>
                <w:lang w:val="es-ES" w:eastAsia="es-ES"/>
              </w:rPr>
              <w:t>2016-2017</w:t>
            </w:r>
          </w:p>
        </w:tc>
        <w:tc>
          <w:tcPr>
            <w:tcW w:w="1221" w:type="dxa"/>
            <w:tcBorders>
              <w:top w:val="nil"/>
              <w:left w:val="nil"/>
              <w:bottom w:val="single" w:sz="4" w:space="0" w:color="auto"/>
              <w:right w:val="single" w:sz="4" w:space="0" w:color="auto"/>
            </w:tcBorders>
            <w:shd w:val="clear" w:color="auto" w:fill="auto"/>
            <w:noWrap/>
            <w:vAlign w:val="bottom"/>
            <w:hideMark/>
          </w:tcPr>
          <w:p w14:paraId="01D46F3B"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4DBBD36B"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39AA976D"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607FFC20"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28F83510"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86,84%</w:t>
            </w:r>
          </w:p>
        </w:tc>
        <w:tc>
          <w:tcPr>
            <w:tcW w:w="1590" w:type="dxa"/>
            <w:tcBorders>
              <w:top w:val="nil"/>
              <w:left w:val="nil"/>
              <w:bottom w:val="single" w:sz="4" w:space="0" w:color="auto"/>
              <w:right w:val="single" w:sz="4" w:space="0" w:color="auto"/>
            </w:tcBorders>
            <w:shd w:val="clear" w:color="auto" w:fill="auto"/>
            <w:noWrap/>
            <w:vAlign w:val="bottom"/>
            <w:hideMark/>
          </w:tcPr>
          <w:p w14:paraId="55186DB2"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13,16%</w:t>
            </w:r>
          </w:p>
        </w:tc>
      </w:tr>
      <w:tr w:rsidR="00135E25" w:rsidRPr="00E345E9" w14:paraId="75ABFBB1" w14:textId="77777777" w:rsidTr="00D11CF4">
        <w:trPr>
          <w:trHeight w:val="237"/>
        </w:trPr>
        <w:tc>
          <w:tcPr>
            <w:tcW w:w="1094" w:type="dxa"/>
            <w:tcBorders>
              <w:top w:val="nil"/>
              <w:left w:val="single" w:sz="4" w:space="0" w:color="auto"/>
              <w:bottom w:val="single" w:sz="4" w:space="0" w:color="auto"/>
              <w:right w:val="single" w:sz="4" w:space="0" w:color="auto"/>
            </w:tcBorders>
            <w:shd w:val="clear" w:color="000000" w:fill="007AAE"/>
            <w:noWrap/>
            <w:vAlign w:val="center"/>
            <w:hideMark/>
          </w:tcPr>
          <w:p w14:paraId="010F34A9" w14:textId="21DF4010" w:rsidR="00135E25" w:rsidRPr="00E345E9" w:rsidRDefault="00F0554A" w:rsidP="00D11CF4">
            <w:pPr>
              <w:keepNext/>
              <w:spacing w:before="0" w:after="0" w:line="240" w:lineRule="auto"/>
              <w:jc w:val="center"/>
              <w:rPr>
                <w:rFonts w:cs="Arial"/>
                <w:b/>
                <w:bCs/>
                <w:color w:val="FFFFFF"/>
                <w:sz w:val="20"/>
                <w:szCs w:val="20"/>
                <w:lang w:val="es-ES" w:eastAsia="es-ES"/>
              </w:rPr>
            </w:pPr>
            <w:r>
              <w:rPr>
                <w:rFonts w:cs="Arial"/>
                <w:b/>
                <w:bCs/>
                <w:color w:val="FFFFFF"/>
                <w:sz w:val="20"/>
                <w:szCs w:val="20"/>
                <w:lang w:val="es-ES" w:eastAsia="es-ES"/>
              </w:rPr>
              <w:t>2017-2018</w:t>
            </w:r>
          </w:p>
        </w:tc>
        <w:tc>
          <w:tcPr>
            <w:tcW w:w="1221" w:type="dxa"/>
            <w:tcBorders>
              <w:top w:val="nil"/>
              <w:left w:val="nil"/>
              <w:bottom w:val="single" w:sz="4" w:space="0" w:color="auto"/>
              <w:right w:val="single" w:sz="4" w:space="0" w:color="auto"/>
            </w:tcBorders>
            <w:shd w:val="clear" w:color="auto" w:fill="auto"/>
            <w:noWrap/>
            <w:vAlign w:val="bottom"/>
            <w:hideMark/>
          </w:tcPr>
          <w:p w14:paraId="3F63F390"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7883AFAE"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6EF79FBE"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2CB82DD7"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30C367A6"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10,87%</w:t>
            </w:r>
          </w:p>
        </w:tc>
        <w:tc>
          <w:tcPr>
            <w:tcW w:w="1590" w:type="dxa"/>
            <w:tcBorders>
              <w:top w:val="nil"/>
              <w:left w:val="nil"/>
              <w:bottom w:val="single" w:sz="4" w:space="0" w:color="auto"/>
              <w:right w:val="single" w:sz="4" w:space="0" w:color="auto"/>
            </w:tcBorders>
            <w:shd w:val="clear" w:color="auto" w:fill="auto"/>
            <w:noWrap/>
            <w:vAlign w:val="bottom"/>
            <w:hideMark/>
          </w:tcPr>
          <w:p w14:paraId="536C1D46"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89,13%</w:t>
            </w:r>
          </w:p>
        </w:tc>
      </w:tr>
      <w:tr w:rsidR="00135E25" w:rsidRPr="00E345E9" w14:paraId="05FBF438" w14:textId="77777777" w:rsidTr="00D11CF4">
        <w:trPr>
          <w:trHeight w:val="237"/>
        </w:trPr>
        <w:tc>
          <w:tcPr>
            <w:tcW w:w="1094" w:type="dxa"/>
            <w:tcBorders>
              <w:top w:val="nil"/>
              <w:left w:val="single" w:sz="4" w:space="0" w:color="auto"/>
              <w:bottom w:val="single" w:sz="4" w:space="0" w:color="auto"/>
              <w:right w:val="single" w:sz="4" w:space="0" w:color="auto"/>
            </w:tcBorders>
            <w:shd w:val="clear" w:color="000000" w:fill="007AAE"/>
            <w:noWrap/>
            <w:vAlign w:val="center"/>
            <w:hideMark/>
          </w:tcPr>
          <w:p w14:paraId="61E39967" w14:textId="0CA962E2" w:rsidR="00135E25" w:rsidRPr="00E345E9" w:rsidRDefault="00F0554A" w:rsidP="00D11CF4">
            <w:pPr>
              <w:keepNext/>
              <w:spacing w:before="0" w:after="0" w:line="240" w:lineRule="auto"/>
              <w:jc w:val="center"/>
              <w:rPr>
                <w:rFonts w:cs="Arial"/>
                <w:b/>
                <w:bCs/>
                <w:color w:val="FFFFFF"/>
                <w:sz w:val="20"/>
                <w:szCs w:val="20"/>
                <w:lang w:val="es-ES" w:eastAsia="es-ES"/>
              </w:rPr>
            </w:pPr>
            <w:r>
              <w:rPr>
                <w:rFonts w:cs="Arial"/>
                <w:b/>
                <w:bCs/>
                <w:color w:val="FFFFFF"/>
                <w:sz w:val="20"/>
                <w:szCs w:val="20"/>
                <w:lang w:val="es-ES" w:eastAsia="es-ES"/>
              </w:rPr>
              <w:t>2018-2019</w:t>
            </w:r>
          </w:p>
        </w:tc>
        <w:tc>
          <w:tcPr>
            <w:tcW w:w="1221" w:type="dxa"/>
            <w:tcBorders>
              <w:top w:val="nil"/>
              <w:left w:val="nil"/>
              <w:bottom w:val="single" w:sz="4" w:space="0" w:color="auto"/>
              <w:right w:val="single" w:sz="4" w:space="0" w:color="auto"/>
            </w:tcBorders>
            <w:shd w:val="clear" w:color="auto" w:fill="auto"/>
            <w:noWrap/>
            <w:vAlign w:val="bottom"/>
            <w:hideMark/>
          </w:tcPr>
          <w:p w14:paraId="7380F808"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35B82F29"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75F6133B"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7C4CA861"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59,98%</w:t>
            </w:r>
          </w:p>
        </w:tc>
        <w:tc>
          <w:tcPr>
            <w:tcW w:w="1307" w:type="dxa"/>
            <w:tcBorders>
              <w:top w:val="nil"/>
              <w:left w:val="nil"/>
              <w:bottom w:val="single" w:sz="4" w:space="0" w:color="auto"/>
              <w:right w:val="single" w:sz="4" w:space="0" w:color="auto"/>
            </w:tcBorders>
            <w:shd w:val="clear" w:color="auto" w:fill="auto"/>
            <w:noWrap/>
            <w:vAlign w:val="bottom"/>
            <w:hideMark/>
          </w:tcPr>
          <w:p w14:paraId="23E48B73"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24,54%</w:t>
            </w:r>
          </w:p>
        </w:tc>
        <w:tc>
          <w:tcPr>
            <w:tcW w:w="1590" w:type="dxa"/>
            <w:tcBorders>
              <w:top w:val="nil"/>
              <w:left w:val="nil"/>
              <w:bottom w:val="single" w:sz="4" w:space="0" w:color="auto"/>
              <w:right w:val="single" w:sz="4" w:space="0" w:color="auto"/>
            </w:tcBorders>
            <w:shd w:val="clear" w:color="auto" w:fill="auto"/>
            <w:noWrap/>
            <w:vAlign w:val="bottom"/>
            <w:hideMark/>
          </w:tcPr>
          <w:p w14:paraId="11C67826"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15,48%</w:t>
            </w:r>
          </w:p>
        </w:tc>
      </w:tr>
      <w:tr w:rsidR="00135E25" w:rsidRPr="00E345E9" w14:paraId="1159312C" w14:textId="77777777" w:rsidTr="00130C2F">
        <w:trPr>
          <w:trHeight w:val="237"/>
        </w:trPr>
        <w:tc>
          <w:tcPr>
            <w:tcW w:w="1094" w:type="dxa"/>
            <w:tcBorders>
              <w:top w:val="nil"/>
              <w:left w:val="single" w:sz="4" w:space="0" w:color="auto"/>
              <w:bottom w:val="single" w:sz="4" w:space="0" w:color="auto"/>
              <w:right w:val="single" w:sz="4" w:space="0" w:color="auto"/>
            </w:tcBorders>
            <w:shd w:val="clear" w:color="000000" w:fill="007AAE"/>
            <w:noWrap/>
            <w:vAlign w:val="center"/>
            <w:hideMark/>
          </w:tcPr>
          <w:p w14:paraId="2DD4B47A" w14:textId="77777777" w:rsidR="00135E25" w:rsidRPr="00E345E9" w:rsidRDefault="00135E25" w:rsidP="00D11CF4">
            <w:pPr>
              <w:keepNext/>
              <w:spacing w:before="0" w:after="0" w:line="240" w:lineRule="auto"/>
              <w:jc w:val="center"/>
              <w:rPr>
                <w:rFonts w:cs="Arial"/>
                <w:b/>
                <w:bCs/>
                <w:color w:val="FFFFFF"/>
                <w:sz w:val="20"/>
                <w:szCs w:val="20"/>
                <w:lang w:val="es-ES" w:eastAsia="es-ES"/>
              </w:rPr>
            </w:pPr>
            <w:r w:rsidRPr="00E345E9">
              <w:rPr>
                <w:rFonts w:cs="Arial"/>
                <w:b/>
                <w:bCs/>
                <w:color w:val="FFFFFF"/>
                <w:sz w:val="20"/>
                <w:szCs w:val="20"/>
                <w:lang w:val="es-ES" w:eastAsia="es-ES"/>
              </w:rPr>
              <w:t>Average</w:t>
            </w:r>
          </w:p>
        </w:tc>
        <w:tc>
          <w:tcPr>
            <w:tcW w:w="1221" w:type="dxa"/>
            <w:tcBorders>
              <w:top w:val="nil"/>
              <w:left w:val="nil"/>
              <w:bottom w:val="single" w:sz="4" w:space="0" w:color="auto"/>
              <w:right w:val="single" w:sz="4" w:space="0" w:color="auto"/>
            </w:tcBorders>
            <w:shd w:val="clear" w:color="auto" w:fill="auto"/>
            <w:noWrap/>
            <w:vAlign w:val="bottom"/>
            <w:hideMark/>
          </w:tcPr>
          <w:p w14:paraId="541C85A2"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653F8578"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50F042D4"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2C40B0FC"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19,99%</w:t>
            </w:r>
          </w:p>
        </w:tc>
        <w:tc>
          <w:tcPr>
            <w:tcW w:w="1307" w:type="dxa"/>
            <w:tcBorders>
              <w:top w:val="nil"/>
              <w:left w:val="nil"/>
              <w:bottom w:val="single" w:sz="4" w:space="0" w:color="auto"/>
              <w:right w:val="single" w:sz="4" w:space="0" w:color="auto"/>
            </w:tcBorders>
            <w:shd w:val="clear" w:color="auto" w:fill="auto"/>
            <w:noWrap/>
            <w:vAlign w:val="bottom"/>
            <w:hideMark/>
          </w:tcPr>
          <w:p w14:paraId="48D27196" w14:textId="77777777" w:rsidR="00135E25" w:rsidRPr="00E345E9" w:rsidRDefault="00135E25" w:rsidP="00D11CF4">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40,75%</w:t>
            </w:r>
          </w:p>
        </w:tc>
        <w:tc>
          <w:tcPr>
            <w:tcW w:w="1590" w:type="dxa"/>
            <w:tcBorders>
              <w:top w:val="nil"/>
              <w:left w:val="nil"/>
              <w:bottom w:val="single" w:sz="4" w:space="0" w:color="auto"/>
              <w:right w:val="single" w:sz="4" w:space="0" w:color="auto"/>
            </w:tcBorders>
            <w:shd w:val="clear" w:color="auto" w:fill="auto"/>
            <w:noWrap/>
            <w:vAlign w:val="bottom"/>
            <w:hideMark/>
          </w:tcPr>
          <w:p w14:paraId="4C5C709E" w14:textId="77777777" w:rsidR="00135E25" w:rsidRPr="00E345E9" w:rsidRDefault="00135E25" w:rsidP="00135E25">
            <w:pPr>
              <w:keepNext/>
              <w:spacing w:before="0" w:after="0" w:line="240" w:lineRule="auto"/>
              <w:jc w:val="center"/>
              <w:rPr>
                <w:rFonts w:cs="Arial"/>
                <w:color w:val="000000"/>
                <w:sz w:val="20"/>
                <w:szCs w:val="20"/>
                <w:lang w:val="es-ES" w:eastAsia="es-ES"/>
              </w:rPr>
            </w:pPr>
            <w:r w:rsidRPr="00E345E9">
              <w:rPr>
                <w:rFonts w:ascii="Calibri" w:hAnsi="Calibri" w:cs="Calibri"/>
                <w:color w:val="000000"/>
                <w:szCs w:val="22"/>
              </w:rPr>
              <w:t>39,26%</w:t>
            </w:r>
          </w:p>
        </w:tc>
      </w:tr>
    </w:tbl>
    <w:p w14:paraId="25C01B4F" w14:textId="39E8E213" w:rsidR="00135E25" w:rsidRPr="00E345E9" w:rsidRDefault="00135E25" w:rsidP="00135E25">
      <w:pPr>
        <w:pStyle w:val="Descripcin"/>
        <w:spacing w:before="240" w:line="360" w:lineRule="auto"/>
        <w:jc w:val="center"/>
        <w:rPr>
          <w:sz w:val="16"/>
          <w:lang w:val="en-US"/>
        </w:rPr>
      </w:pPr>
      <w:r w:rsidRPr="00E345E9">
        <w:rPr>
          <w:sz w:val="16"/>
          <w:lang w:val="en-US"/>
        </w:rPr>
        <w:t xml:space="preserve">Table </w:t>
      </w:r>
      <w:r w:rsidRPr="00E345E9">
        <w:rPr>
          <w:sz w:val="16"/>
          <w:lang w:val="en-US"/>
        </w:rPr>
        <w:fldChar w:fldCharType="begin"/>
      </w:r>
      <w:r w:rsidRPr="00E345E9">
        <w:rPr>
          <w:sz w:val="16"/>
          <w:lang w:val="en-US"/>
        </w:rPr>
        <w:instrText xml:space="preserve"> SEQ Table \* ARABIC </w:instrText>
      </w:r>
      <w:r w:rsidRPr="00E345E9">
        <w:rPr>
          <w:sz w:val="16"/>
          <w:lang w:val="en-US"/>
        </w:rPr>
        <w:fldChar w:fldCharType="separate"/>
      </w:r>
      <w:r w:rsidR="00E859C7">
        <w:rPr>
          <w:noProof/>
          <w:sz w:val="16"/>
          <w:lang w:val="en-US"/>
        </w:rPr>
        <w:t>18</w:t>
      </w:r>
      <w:r w:rsidRPr="00E345E9">
        <w:rPr>
          <w:sz w:val="16"/>
          <w:lang w:val="en-US"/>
        </w:rPr>
        <w:fldChar w:fldCharType="end"/>
      </w:r>
      <w:r w:rsidRPr="00E345E9">
        <w:rPr>
          <w:sz w:val="16"/>
          <w:lang w:val="en-US"/>
        </w:rPr>
        <w:t>: Booked capacities from Portugal to Spain on the Portuguese side</w:t>
      </w:r>
    </w:p>
    <w:p w14:paraId="68C86502" w14:textId="04B74BD8" w:rsidR="00734CA0" w:rsidRPr="00F414A4" w:rsidRDefault="00F15438" w:rsidP="005079F6">
      <w:pPr>
        <w:rPr>
          <w:rFonts w:cs="Arial"/>
          <w:color w:val="000000" w:themeColor="text1"/>
          <w:szCs w:val="22"/>
          <w:lang w:val="en-GB"/>
        </w:rPr>
      </w:pPr>
      <w:r w:rsidRPr="00E345E9">
        <w:rPr>
          <w:b/>
          <w:u w:val="single"/>
          <w:lang w:val="en-US"/>
        </w:rPr>
        <w:t>Spanish side</w:t>
      </w:r>
    </w:p>
    <w:p w14:paraId="1CF571C6" w14:textId="6519B567" w:rsidR="008524E6" w:rsidRPr="00F414A4" w:rsidRDefault="008524E6" w:rsidP="00ED5978">
      <w:pPr>
        <w:keepNext/>
        <w:jc w:val="center"/>
        <w:rPr>
          <w:rFonts w:cs="Arial"/>
          <w:color w:val="000000" w:themeColor="text1"/>
          <w:szCs w:val="22"/>
          <w:lang w:val="en-GB"/>
        </w:rPr>
      </w:pPr>
      <w:r>
        <w:rPr>
          <w:rFonts w:cs="Arial"/>
          <w:noProof/>
          <w:color w:val="000000" w:themeColor="text1"/>
          <w:szCs w:val="22"/>
          <w:lang w:val="es-ES" w:eastAsia="es-ES"/>
        </w:rPr>
        <w:drawing>
          <wp:inline distT="0" distB="0" distL="0" distR="0" wp14:anchorId="04D756C8" wp14:editId="5BC44E6C">
            <wp:extent cx="5200233" cy="2673145"/>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1769" cy="2679075"/>
                    </a:xfrm>
                    <a:prstGeom prst="rect">
                      <a:avLst/>
                    </a:prstGeom>
                    <a:noFill/>
                  </pic:spPr>
                </pic:pic>
              </a:graphicData>
            </a:graphic>
          </wp:inline>
        </w:drawing>
      </w:r>
    </w:p>
    <w:p w14:paraId="7F7628D0" w14:textId="59969172" w:rsidR="00F15438" w:rsidRPr="00F414A4" w:rsidRDefault="00F15438" w:rsidP="00F15438">
      <w:pPr>
        <w:pStyle w:val="Descripcin"/>
        <w:spacing w:before="240" w:line="360" w:lineRule="auto"/>
        <w:jc w:val="center"/>
        <w:rPr>
          <w:sz w:val="16"/>
          <w:lang w:val="en-US"/>
        </w:rPr>
      </w:pPr>
      <w:r w:rsidRPr="00F414A4">
        <w:rPr>
          <w:sz w:val="16"/>
          <w:lang w:val="en-US"/>
        </w:rPr>
        <w:t xml:space="preserve">Figure </w:t>
      </w:r>
      <w:r w:rsidRPr="00F414A4">
        <w:rPr>
          <w:sz w:val="16"/>
        </w:rPr>
        <w:fldChar w:fldCharType="begin"/>
      </w:r>
      <w:r w:rsidRPr="00F414A4">
        <w:rPr>
          <w:sz w:val="16"/>
          <w:lang w:val="en-US"/>
        </w:rPr>
        <w:instrText xml:space="preserve"> SEQ Figure \* ARABIC </w:instrText>
      </w:r>
      <w:r w:rsidRPr="00F414A4">
        <w:rPr>
          <w:sz w:val="16"/>
        </w:rPr>
        <w:fldChar w:fldCharType="separate"/>
      </w:r>
      <w:r w:rsidR="00E859C7">
        <w:rPr>
          <w:noProof/>
          <w:sz w:val="16"/>
          <w:lang w:val="en-US"/>
        </w:rPr>
        <w:t>29</w:t>
      </w:r>
      <w:r w:rsidRPr="00F414A4">
        <w:rPr>
          <w:sz w:val="16"/>
        </w:rPr>
        <w:fldChar w:fldCharType="end"/>
      </w:r>
      <w:r w:rsidRPr="00F414A4">
        <w:rPr>
          <w:sz w:val="16"/>
          <w:lang w:val="en-US"/>
        </w:rPr>
        <w:t xml:space="preserve">: Status of booked capacity by product at VIP </w:t>
      </w:r>
      <w:r w:rsidR="000673CD" w:rsidRPr="00F414A4">
        <w:rPr>
          <w:sz w:val="16"/>
          <w:lang w:val="en-US"/>
        </w:rPr>
        <w:t>Ib</w:t>
      </w:r>
      <w:r w:rsidR="000673CD">
        <w:rPr>
          <w:sz w:val="16"/>
          <w:lang w:val="en-US"/>
        </w:rPr>
        <w:t>é</w:t>
      </w:r>
      <w:r w:rsidR="000673CD" w:rsidRPr="00F414A4">
        <w:rPr>
          <w:sz w:val="16"/>
          <w:lang w:val="en-US"/>
        </w:rPr>
        <w:t>rico</w:t>
      </w:r>
      <w:r w:rsidRPr="00F414A4">
        <w:rPr>
          <w:sz w:val="16"/>
          <w:lang w:val="en-US"/>
        </w:rPr>
        <w:t xml:space="preserve">, </w:t>
      </w:r>
      <w:r w:rsidR="00AD0B6E" w:rsidRPr="00F414A4">
        <w:rPr>
          <w:sz w:val="16"/>
          <w:lang w:val="en-US"/>
        </w:rPr>
        <w:t>Portugal to Spain</w:t>
      </w:r>
      <w:r w:rsidRPr="00F414A4">
        <w:rPr>
          <w:sz w:val="16"/>
          <w:lang w:val="en-US"/>
        </w:rPr>
        <w:t xml:space="preserve"> direction</w:t>
      </w:r>
    </w:p>
    <w:p w14:paraId="09BD6BED" w14:textId="1162FB42" w:rsidR="00E74018" w:rsidRPr="00F414A4" w:rsidRDefault="00BC0FB7" w:rsidP="00E261BE">
      <w:pPr>
        <w:spacing w:line="312" w:lineRule="auto"/>
        <w:rPr>
          <w:rFonts w:cs="Arial"/>
          <w:color w:val="000000" w:themeColor="text1"/>
          <w:szCs w:val="22"/>
          <w:lang w:val="en-GB"/>
        </w:rPr>
      </w:pPr>
      <w:r w:rsidRPr="00F414A4">
        <w:rPr>
          <w:rFonts w:cs="Arial"/>
          <w:color w:val="000000" w:themeColor="text1"/>
          <w:szCs w:val="22"/>
          <w:lang w:val="en-GB"/>
        </w:rPr>
        <w:t xml:space="preserve">During the period analysed capacity </w:t>
      </w:r>
      <w:r w:rsidR="007F34E8">
        <w:rPr>
          <w:rFonts w:cs="Arial"/>
          <w:color w:val="000000" w:themeColor="text1"/>
          <w:szCs w:val="22"/>
          <w:lang w:val="en-GB"/>
        </w:rPr>
        <w:t>was</w:t>
      </w:r>
      <w:r w:rsidRPr="00F414A4">
        <w:rPr>
          <w:rFonts w:cs="Arial"/>
          <w:color w:val="000000" w:themeColor="text1"/>
          <w:szCs w:val="22"/>
          <w:lang w:val="en-GB"/>
        </w:rPr>
        <w:t xml:space="preserve"> booked only in short term basis and very few days</w:t>
      </w:r>
      <w:r w:rsidR="00E74018" w:rsidRPr="00F414A4">
        <w:rPr>
          <w:rFonts w:cs="Arial"/>
          <w:color w:val="000000" w:themeColor="text1"/>
          <w:szCs w:val="22"/>
          <w:lang w:val="en-GB"/>
        </w:rPr>
        <w:t>:</w:t>
      </w:r>
    </w:p>
    <w:p w14:paraId="786EA137" w14:textId="684D1E0C" w:rsidR="00E74018" w:rsidRPr="00F414A4" w:rsidRDefault="00E74018" w:rsidP="00E261BE">
      <w:pPr>
        <w:pStyle w:val="Prrafodelista"/>
        <w:numPr>
          <w:ilvl w:val="0"/>
          <w:numId w:val="16"/>
        </w:numPr>
        <w:spacing w:line="312" w:lineRule="auto"/>
        <w:contextualSpacing w:val="0"/>
        <w:rPr>
          <w:rFonts w:cs="Arial"/>
          <w:color w:val="000000" w:themeColor="text1"/>
          <w:szCs w:val="22"/>
          <w:lang w:val="en-GB"/>
        </w:rPr>
      </w:pPr>
      <w:r w:rsidRPr="00F414A4">
        <w:rPr>
          <w:rFonts w:cs="Arial"/>
          <w:color w:val="000000" w:themeColor="text1"/>
          <w:szCs w:val="22"/>
          <w:lang w:val="en-GB"/>
        </w:rPr>
        <w:t>Capacity booked in daily auctions: 12 days in the period between October 2016 and 31 December 2018 and 25 days from January to September 30</w:t>
      </w:r>
      <w:r w:rsidRPr="00F414A4">
        <w:rPr>
          <w:rFonts w:cs="Arial"/>
          <w:color w:val="000000" w:themeColor="text1"/>
          <w:szCs w:val="22"/>
          <w:vertAlign w:val="superscript"/>
          <w:lang w:val="en-GB"/>
        </w:rPr>
        <w:t>th</w:t>
      </w:r>
      <w:r w:rsidRPr="00F414A4">
        <w:rPr>
          <w:rFonts w:cs="Arial"/>
          <w:color w:val="000000" w:themeColor="text1"/>
          <w:szCs w:val="22"/>
          <w:lang w:val="en-GB"/>
        </w:rPr>
        <w:t xml:space="preserve"> 2019.</w:t>
      </w:r>
    </w:p>
    <w:p w14:paraId="52306407" w14:textId="1213FFF6" w:rsidR="00E74018" w:rsidRDefault="00E74018" w:rsidP="00E261BE">
      <w:pPr>
        <w:pStyle w:val="Prrafodelista"/>
        <w:numPr>
          <w:ilvl w:val="0"/>
          <w:numId w:val="16"/>
        </w:numPr>
        <w:spacing w:line="312" w:lineRule="auto"/>
        <w:contextualSpacing w:val="0"/>
        <w:rPr>
          <w:rFonts w:cs="Arial"/>
          <w:color w:val="000000" w:themeColor="text1"/>
          <w:szCs w:val="22"/>
          <w:lang w:val="en-GB"/>
        </w:rPr>
      </w:pPr>
      <w:r w:rsidRPr="00F414A4">
        <w:rPr>
          <w:rFonts w:cs="Arial"/>
          <w:color w:val="000000" w:themeColor="text1"/>
          <w:szCs w:val="22"/>
          <w:lang w:val="en-GB"/>
        </w:rPr>
        <w:t>Capacity booked in within-day auctions: 7 days in the period between October 2016 and 31 December 2018 and 12 days from January to September 30</w:t>
      </w:r>
      <w:r w:rsidRPr="00F414A4">
        <w:rPr>
          <w:rFonts w:cs="Arial"/>
          <w:color w:val="000000" w:themeColor="text1"/>
          <w:szCs w:val="22"/>
          <w:vertAlign w:val="superscript"/>
          <w:lang w:val="en-GB"/>
        </w:rPr>
        <w:t>th</w:t>
      </w:r>
      <w:r w:rsidRPr="00F414A4">
        <w:rPr>
          <w:rFonts w:cs="Arial"/>
          <w:color w:val="000000" w:themeColor="text1"/>
          <w:szCs w:val="22"/>
          <w:lang w:val="en-GB"/>
        </w:rPr>
        <w:t xml:space="preserve"> 2019</w:t>
      </w:r>
      <w:r w:rsidRPr="000210D6">
        <w:rPr>
          <w:rFonts w:cs="Arial"/>
          <w:color w:val="000000" w:themeColor="text1"/>
          <w:szCs w:val="22"/>
          <w:lang w:val="en-GB"/>
        </w:rPr>
        <w:t>.</w:t>
      </w:r>
    </w:p>
    <w:p w14:paraId="5AD03949" w14:textId="35C5C57A" w:rsidR="008423D6" w:rsidRDefault="00F15438" w:rsidP="00E261BE">
      <w:pPr>
        <w:pStyle w:val="Prrafodelista"/>
        <w:numPr>
          <w:ilvl w:val="0"/>
          <w:numId w:val="16"/>
        </w:numPr>
        <w:spacing w:line="312" w:lineRule="auto"/>
        <w:contextualSpacing w:val="0"/>
        <w:rPr>
          <w:rFonts w:cs="Arial"/>
          <w:color w:val="000000" w:themeColor="text1"/>
          <w:szCs w:val="22"/>
          <w:lang w:val="en-GB"/>
        </w:rPr>
      </w:pPr>
      <w:r w:rsidRPr="00F15438">
        <w:rPr>
          <w:rFonts w:cs="Arial"/>
          <w:color w:val="000000" w:themeColor="text1"/>
          <w:szCs w:val="22"/>
          <w:lang w:val="en-GB"/>
        </w:rPr>
        <w:t xml:space="preserve">From January 2019, shippers also booked capacity </w:t>
      </w:r>
      <w:r w:rsidR="009017C1">
        <w:rPr>
          <w:rFonts w:cs="Arial"/>
          <w:color w:val="000000" w:themeColor="text1"/>
          <w:szCs w:val="22"/>
          <w:lang w:val="en-GB"/>
        </w:rPr>
        <w:t>on</w:t>
      </w:r>
      <w:r w:rsidRPr="00F15438">
        <w:rPr>
          <w:rFonts w:cs="Arial"/>
          <w:color w:val="000000" w:themeColor="text1"/>
          <w:szCs w:val="22"/>
          <w:lang w:val="en-GB"/>
        </w:rPr>
        <w:t xml:space="preserve"> a monthly basis: February, March, May and June. This corresponds to the drop in the Sines tariffs, so that there was reversed flow for the first time.</w:t>
      </w:r>
    </w:p>
    <w:p w14:paraId="7F359915" w14:textId="2BEBAFBD" w:rsidR="008423D6" w:rsidRPr="0007161F" w:rsidRDefault="00BC2346" w:rsidP="00E261BE">
      <w:pPr>
        <w:spacing w:line="312" w:lineRule="auto"/>
        <w:rPr>
          <w:rFonts w:cs="Arial"/>
          <w:color w:val="000000" w:themeColor="text1"/>
          <w:szCs w:val="22"/>
        </w:rPr>
      </w:pPr>
      <w:r w:rsidRPr="00BC2346">
        <w:rPr>
          <w:rFonts w:cs="Arial"/>
          <w:color w:val="000000" w:themeColor="text1"/>
          <w:szCs w:val="22"/>
        </w:rPr>
        <w:t xml:space="preserve">The next table shows the percentage of each product within the total </w:t>
      </w:r>
      <w:r w:rsidR="00FC62A7">
        <w:rPr>
          <w:rFonts w:cs="Arial"/>
          <w:color w:val="000000" w:themeColor="text1"/>
          <w:szCs w:val="22"/>
        </w:rPr>
        <w:t>booked</w:t>
      </w:r>
      <w:r w:rsidRPr="00BC2346">
        <w:rPr>
          <w:rFonts w:cs="Arial"/>
          <w:color w:val="000000" w:themeColor="text1"/>
          <w:szCs w:val="22"/>
        </w:rPr>
        <w:t xml:space="preserve"> capacity on the Spanish side.</w:t>
      </w:r>
    </w:p>
    <w:tbl>
      <w:tblPr>
        <w:tblW w:w="8925" w:type="dxa"/>
        <w:tblCellMar>
          <w:left w:w="70" w:type="dxa"/>
          <w:right w:w="70" w:type="dxa"/>
        </w:tblCellMar>
        <w:tblLook w:val="04A0" w:firstRow="1" w:lastRow="0" w:firstColumn="1" w:lastColumn="0" w:noHBand="0" w:noVBand="1"/>
      </w:tblPr>
      <w:tblGrid>
        <w:gridCol w:w="1094"/>
        <w:gridCol w:w="1221"/>
        <w:gridCol w:w="1203"/>
        <w:gridCol w:w="1203"/>
        <w:gridCol w:w="1307"/>
        <w:gridCol w:w="1307"/>
        <w:gridCol w:w="1590"/>
      </w:tblGrid>
      <w:tr w:rsidR="00A2503D" w:rsidRPr="007D7BF4" w14:paraId="534B742C" w14:textId="77777777" w:rsidTr="00FC62A7">
        <w:trPr>
          <w:trHeight w:val="237"/>
        </w:trPr>
        <w:tc>
          <w:tcPr>
            <w:tcW w:w="1094" w:type="dxa"/>
            <w:tcBorders>
              <w:top w:val="nil"/>
              <w:left w:val="nil"/>
              <w:bottom w:val="nil"/>
              <w:right w:val="nil"/>
            </w:tcBorders>
            <w:shd w:val="clear" w:color="auto" w:fill="auto"/>
            <w:noWrap/>
            <w:vAlign w:val="center"/>
            <w:hideMark/>
          </w:tcPr>
          <w:p w14:paraId="6EA4D8BD" w14:textId="77777777" w:rsidR="00A2503D" w:rsidRPr="00F414A4" w:rsidRDefault="00A2503D" w:rsidP="00A2503D">
            <w:pPr>
              <w:keepNext/>
              <w:spacing w:before="0" w:after="0" w:line="240" w:lineRule="auto"/>
              <w:jc w:val="left"/>
              <w:rPr>
                <w:rFonts w:cs="Arial"/>
                <w:sz w:val="20"/>
                <w:szCs w:val="20"/>
                <w:lang w:val="en-US" w:eastAsia="es-ES"/>
              </w:rPr>
            </w:pPr>
          </w:p>
        </w:tc>
        <w:tc>
          <w:tcPr>
            <w:tcW w:w="7831" w:type="dxa"/>
            <w:gridSpan w:val="6"/>
            <w:tcBorders>
              <w:top w:val="single" w:sz="4" w:space="0" w:color="auto"/>
              <w:left w:val="single" w:sz="4" w:space="0" w:color="auto"/>
              <w:bottom w:val="single" w:sz="4" w:space="0" w:color="auto"/>
              <w:right w:val="single" w:sz="4" w:space="0" w:color="auto"/>
            </w:tcBorders>
            <w:shd w:val="clear" w:color="000000" w:fill="9CB700"/>
            <w:noWrap/>
            <w:vAlign w:val="center"/>
            <w:hideMark/>
          </w:tcPr>
          <w:p w14:paraId="451BB715" w14:textId="2B1B0C1C" w:rsidR="00A2503D" w:rsidRPr="00E261BE" w:rsidRDefault="00A2503D">
            <w:pPr>
              <w:keepNext/>
              <w:spacing w:before="0" w:after="0" w:line="240" w:lineRule="auto"/>
              <w:jc w:val="center"/>
              <w:rPr>
                <w:rFonts w:cs="Arial"/>
                <w:b/>
                <w:bCs/>
                <w:color w:val="FFFFFF"/>
                <w:sz w:val="20"/>
                <w:szCs w:val="20"/>
                <w:lang w:val="en-US" w:eastAsia="es-ES"/>
              </w:rPr>
            </w:pPr>
            <w:r w:rsidRPr="00B40D2A">
              <w:rPr>
                <w:rFonts w:cs="Arial"/>
                <w:b/>
                <w:bCs/>
                <w:color w:val="FFFFFF"/>
                <w:sz w:val="20"/>
                <w:szCs w:val="20"/>
                <w:lang w:val="en-US" w:eastAsia="es-ES"/>
              </w:rPr>
              <w:t>% Booked capacity by time horizon</w:t>
            </w:r>
            <w:r>
              <w:rPr>
                <w:rFonts w:cs="Arial"/>
                <w:b/>
                <w:bCs/>
                <w:color w:val="FFFFFF"/>
                <w:sz w:val="20"/>
                <w:szCs w:val="20"/>
                <w:lang w:val="en-US" w:eastAsia="es-ES"/>
              </w:rPr>
              <w:t xml:space="preserve"> </w:t>
            </w:r>
            <w:r w:rsidR="002D3920">
              <w:rPr>
                <w:rFonts w:cs="Arial"/>
                <w:b/>
                <w:bCs/>
                <w:color w:val="FFFFFF"/>
                <w:sz w:val="20"/>
                <w:szCs w:val="20"/>
                <w:lang w:val="en-US" w:eastAsia="es-ES"/>
              </w:rPr>
              <w:t>versus</w:t>
            </w:r>
            <w:r>
              <w:rPr>
                <w:rFonts w:cs="Arial"/>
                <w:b/>
                <w:bCs/>
                <w:color w:val="FFFFFF"/>
                <w:sz w:val="20"/>
                <w:szCs w:val="20"/>
                <w:lang w:val="en-US" w:eastAsia="es-ES"/>
              </w:rPr>
              <w:t xml:space="preserve"> total </w:t>
            </w:r>
            <w:r w:rsidR="00FC62A7">
              <w:rPr>
                <w:rFonts w:cs="Arial"/>
                <w:b/>
                <w:bCs/>
                <w:color w:val="FFFFFF"/>
                <w:sz w:val="20"/>
                <w:szCs w:val="20"/>
                <w:lang w:val="en-US" w:eastAsia="es-ES"/>
              </w:rPr>
              <w:t>booked</w:t>
            </w:r>
            <w:r>
              <w:rPr>
                <w:rFonts w:cs="Arial"/>
                <w:b/>
                <w:bCs/>
                <w:color w:val="FFFFFF"/>
                <w:sz w:val="20"/>
                <w:szCs w:val="20"/>
                <w:lang w:val="en-US" w:eastAsia="es-ES"/>
              </w:rPr>
              <w:t xml:space="preserve"> capacity</w:t>
            </w:r>
          </w:p>
        </w:tc>
      </w:tr>
      <w:tr w:rsidR="00A2503D" w:rsidRPr="007D7BF4" w14:paraId="1D14A2E1" w14:textId="77777777" w:rsidTr="00FC62A7">
        <w:trPr>
          <w:trHeight w:val="237"/>
        </w:trPr>
        <w:tc>
          <w:tcPr>
            <w:tcW w:w="1094" w:type="dxa"/>
            <w:tcBorders>
              <w:top w:val="nil"/>
              <w:left w:val="nil"/>
              <w:bottom w:val="nil"/>
              <w:right w:val="nil"/>
            </w:tcBorders>
            <w:shd w:val="clear" w:color="auto" w:fill="auto"/>
            <w:noWrap/>
            <w:vAlign w:val="center"/>
            <w:hideMark/>
          </w:tcPr>
          <w:p w14:paraId="10B4AA22" w14:textId="77777777" w:rsidR="00A2503D" w:rsidRPr="00E261BE" w:rsidRDefault="00A2503D" w:rsidP="00A2503D">
            <w:pPr>
              <w:keepNext/>
              <w:spacing w:before="0" w:after="0" w:line="240" w:lineRule="auto"/>
              <w:jc w:val="center"/>
              <w:rPr>
                <w:rFonts w:cs="Arial"/>
                <w:b/>
                <w:bCs/>
                <w:color w:val="FFFFFF"/>
                <w:sz w:val="20"/>
                <w:szCs w:val="20"/>
                <w:lang w:val="en-US" w:eastAsia="es-ES"/>
              </w:rPr>
            </w:pPr>
          </w:p>
        </w:tc>
        <w:tc>
          <w:tcPr>
            <w:tcW w:w="1221" w:type="dxa"/>
            <w:tcBorders>
              <w:top w:val="nil"/>
              <w:left w:val="single" w:sz="4" w:space="0" w:color="auto"/>
              <w:bottom w:val="single" w:sz="4" w:space="0" w:color="auto"/>
              <w:right w:val="single" w:sz="4" w:space="0" w:color="auto"/>
            </w:tcBorders>
            <w:shd w:val="clear" w:color="000000" w:fill="63666A"/>
            <w:noWrap/>
            <w:vAlign w:val="center"/>
            <w:hideMark/>
          </w:tcPr>
          <w:p w14:paraId="7DEF8E46" w14:textId="77777777" w:rsidR="00A2503D" w:rsidRPr="00F414A4" w:rsidRDefault="00A2503D" w:rsidP="00A2503D">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LT contracts</w:t>
            </w:r>
          </w:p>
        </w:tc>
        <w:tc>
          <w:tcPr>
            <w:tcW w:w="1203" w:type="dxa"/>
            <w:tcBorders>
              <w:top w:val="nil"/>
              <w:left w:val="nil"/>
              <w:bottom w:val="single" w:sz="4" w:space="0" w:color="auto"/>
              <w:right w:val="single" w:sz="4" w:space="0" w:color="auto"/>
            </w:tcBorders>
            <w:shd w:val="clear" w:color="000000" w:fill="63666A"/>
            <w:noWrap/>
            <w:vAlign w:val="center"/>
            <w:hideMark/>
          </w:tcPr>
          <w:p w14:paraId="6A320EE9" w14:textId="77777777" w:rsidR="00A2503D" w:rsidRPr="00F414A4" w:rsidRDefault="00A2503D" w:rsidP="00A2503D">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Yearly product</w:t>
            </w:r>
          </w:p>
        </w:tc>
        <w:tc>
          <w:tcPr>
            <w:tcW w:w="1203" w:type="dxa"/>
            <w:tcBorders>
              <w:top w:val="nil"/>
              <w:left w:val="nil"/>
              <w:bottom w:val="single" w:sz="4" w:space="0" w:color="auto"/>
              <w:right w:val="single" w:sz="4" w:space="0" w:color="auto"/>
            </w:tcBorders>
            <w:shd w:val="clear" w:color="000000" w:fill="63666A"/>
            <w:noWrap/>
            <w:vAlign w:val="center"/>
            <w:hideMark/>
          </w:tcPr>
          <w:p w14:paraId="1D72E7AC" w14:textId="77777777" w:rsidR="00A2503D" w:rsidRPr="00F414A4" w:rsidRDefault="00A2503D" w:rsidP="00A2503D">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Quarterly product</w:t>
            </w:r>
          </w:p>
        </w:tc>
        <w:tc>
          <w:tcPr>
            <w:tcW w:w="1307" w:type="dxa"/>
            <w:tcBorders>
              <w:top w:val="nil"/>
              <w:left w:val="nil"/>
              <w:bottom w:val="single" w:sz="4" w:space="0" w:color="auto"/>
              <w:right w:val="single" w:sz="4" w:space="0" w:color="auto"/>
            </w:tcBorders>
            <w:shd w:val="clear" w:color="000000" w:fill="63666A"/>
            <w:noWrap/>
            <w:vAlign w:val="center"/>
            <w:hideMark/>
          </w:tcPr>
          <w:p w14:paraId="5C2E81F5" w14:textId="77777777" w:rsidR="00A2503D" w:rsidRPr="00F414A4" w:rsidRDefault="00A2503D" w:rsidP="00A2503D">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Monthly product</w:t>
            </w:r>
          </w:p>
        </w:tc>
        <w:tc>
          <w:tcPr>
            <w:tcW w:w="1307" w:type="dxa"/>
            <w:tcBorders>
              <w:top w:val="nil"/>
              <w:left w:val="nil"/>
              <w:bottom w:val="single" w:sz="4" w:space="0" w:color="auto"/>
              <w:right w:val="single" w:sz="4" w:space="0" w:color="auto"/>
            </w:tcBorders>
            <w:shd w:val="clear" w:color="000000" w:fill="63666A"/>
            <w:noWrap/>
            <w:vAlign w:val="center"/>
            <w:hideMark/>
          </w:tcPr>
          <w:p w14:paraId="7F3C70FD" w14:textId="77777777" w:rsidR="00A2503D" w:rsidRPr="00F414A4" w:rsidRDefault="00A2503D" w:rsidP="00A2503D">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Daily product</w:t>
            </w:r>
          </w:p>
        </w:tc>
        <w:tc>
          <w:tcPr>
            <w:tcW w:w="1590" w:type="dxa"/>
            <w:tcBorders>
              <w:top w:val="nil"/>
              <w:left w:val="nil"/>
              <w:bottom w:val="single" w:sz="4" w:space="0" w:color="auto"/>
              <w:right w:val="single" w:sz="4" w:space="0" w:color="auto"/>
            </w:tcBorders>
            <w:shd w:val="clear" w:color="000000" w:fill="63666A"/>
            <w:noWrap/>
            <w:vAlign w:val="center"/>
            <w:hideMark/>
          </w:tcPr>
          <w:p w14:paraId="4CC783B5" w14:textId="77777777" w:rsidR="00A2503D" w:rsidRPr="00F414A4" w:rsidRDefault="00A2503D" w:rsidP="00A2503D">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Within-day product</w:t>
            </w:r>
          </w:p>
        </w:tc>
      </w:tr>
      <w:tr w:rsidR="00FC62A7" w:rsidRPr="007D7BF4" w14:paraId="775CFAAF" w14:textId="77777777" w:rsidTr="00E261BE">
        <w:trPr>
          <w:trHeight w:val="237"/>
        </w:trPr>
        <w:tc>
          <w:tcPr>
            <w:tcW w:w="1094" w:type="dxa"/>
            <w:tcBorders>
              <w:top w:val="single" w:sz="4" w:space="0" w:color="auto"/>
              <w:left w:val="single" w:sz="4" w:space="0" w:color="auto"/>
              <w:bottom w:val="single" w:sz="4" w:space="0" w:color="auto"/>
              <w:right w:val="single" w:sz="4" w:space="0" w:color="auto"/>
            </w:tcBorders>
            <w:shd w:val="clear" w:color="000000" w:fill="007AAE"/>
            <w:noWrap/>
            <w:vAlign w:val="center"/>
            <w:hideMark/>
          </w:tcPr>
          <w:p w14:paraId="3BB94956" w14:textId="77777777" w:rsidR="00FC62A7" w:rsidRPr="00F414A4" w:rsidRDefault="00FC62A7" w:rsidP="00FC62A7">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2016</w:t>
            </w:r>
          </w:p>
        </w:tc>
        <w:tc>
          <w:tcPr>
            <w:tcW w:w="1221" w:type="dxa"/>
            <w:tcBorders>
              <w:top w:val="nil"/>
              <w:left w:val="nil"/>
              <w:bottom w:val="single" w:sz="4" w:space="0" w:color="auto"/>
              <w:right w:val="single" w:sz="4" w:space="0" w:color="auto"/>
            </w:tcBorders>
            <w:shd w:val="clear" w:color="auto" w:fill="auto"/>
            <w:noWrap/>
            <w:vAlign w:val="bottom"/>
            <w:hideMark/>
          </w:tcPr>
          <w:p w14:paraId="4E3F398A" w14:textId="4213618A"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203" w:type="dxa"/>
            <w:tcBorders>
              <w:top w:val="nil"/>
              <w:left w:val="nil"/>
              <w:bottom w:val="single" w:sz="4" w:space="0" w:color="auto"/>
              <w:right w:val="single" w:sz="4" w:space="0" w:color="auto"/>
            </w:tcBorders>
            <w:shd w:val="clear" w:color="auto" w:fill="auto"/>
            <w:noWrap/>
            <w:vAlign w:val="bottom"/>
            <w:hideMark/>
          </w:tcPr>
          <w:p w14:paraId="6A8F400B" w14:textId="7C91B097"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203" w:type="dxa"/>
            <w:tcBorders>
              <w:top w:val="nil"/>
              <w:left w:val="nil"/>
              <w:bottom w:val="single" w:sz="4" w:space="0" w:color="auto"/>
              <w:right w:val="single" w:sz="4" w:space="0" w:color="auto"/>
            </w:tcBorders>
            <w:shd w:val="clear" w:color="auto" w:fill="auto"/>
            <w:noWrap/>
            <w:vAlign w:val="bottom"/>
            <w:hideMark/>
          </w:tcPr>
          <w:p w14:paraId="1498C8D4" w14:textId="7C30794D"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307" w:type="dxa"/>
            <w:tcBorders>
              <w:top w:val="nil"/>
              <w:left w:val="nil"/>
              <w:bottom w:val="single" w:sz="4" w:space="0" w:color="auto"/>
              <w:right w:val="single" w:sz="4" w:space="0" w:color="auto"/>
            </w:tcBorders>
            <w:shd w:val="clear" w:color="auto" w:fill="auto"/>
            <w:noWrap/>
            <w:vAlign w:val="bottom"/>
            <w:hideMark/>
          </w:tcPr>
          <w:p w14:paraId="445D36E5" w14:textId="6AAA8744"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307" w:type="dxa"/>
            <w:tcBorders>
              <w:top w:val="nil"/>
              <w:left w:val="nil"/>
              <w:bottom w:val="single" w:sz="4" w:space="0" w:color="auto"/>
              <w:right w:val="single" w:sz="4" w:space="0" w:color="auto"/>
            </w:tcBorders>
            <w:shd w:val="clear" w:color="auto" w:fill="auto"/>
            <w:noWrap/>
            <w:vAlign w:val="bottom"/>
            <w:hideMark/>
          </w:tcPr>
          <w:p w14:paraId="470FCCC7" w14:textId="2B142521"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98</w:t>
            </w:r>
            <w:r w:rsidR="00344883">
              <w:rPr>
                <w:rFonts w:cs="Arial"/>
                <w:color w:val="000000"/>
                <w:sz w:val="20"/>
                <w:szCs w:val="20"/>
              </w:rPr>
              <w:t>.</w:t>
            </w:r>
            <w:r w:rsidRPr="00E261BE">
              <w:rPr>
                <w:rFonts w:cs="Arial"/>
                <w:color w:val="000000"/>
                <w:sz w:val="20"/>
                <w:szCs w:val="20"/>
              </w:rPr>
              <w:t>92%</w:t>
            </w:r>
          </w:p>
        </w:tc>
        <w:tc>
          <w:tcPr>
            <w:tcW w:w="1590" w:type="dxa"/>
            <w:tcBorders>
              <w:top w:val="nil"/>
              <w:left w:val="nil"/>
              <w:bottom w:val="single" w:sz="4" w:space="0" w:color="auto"/>
              <w:right w:val="single" w:sz="4" w:space="0" w:color="auto"/>
            </w:tcBorders>
            <w:shd w:val="clear" w:color="auto" w:fill="auto"/>
            <w:noWrap/>
            <w:vAlign w:val="bottom"/>
            <w:hideMark/>
          </w:tcPr>
          <w:p w14:paraId="442FC31D" w14:textId="3EE12C45"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1</w:t>
            </w:r>
            <w:r w:rsidR="00344883">
              <w:rPr>
                <w:rFonts w:cs="Arial"/>
                <w:color w:val="000000"/>
                <w:sz w:val="20"/>
                <w:szCs w:val="20"/>
              </w:rPr>
              <w:t>.</w:t>
            </w:r>
            <w:r w:rsidRPr="00E261BE">
              <w:rPr>
                <w:rFonts w:cs="Arial"/>
                <w:color w:val="000000"/>
                <w:sz w:val="20"/>
                <w:szCs w:val="20"/>
              </w:rPr>
              <w:t>08%</w:t>
            </w:r>
          </w:p>
        </w:tc>
      </w:tr>
      <w:tr w:rsidR="00FC62A7" w:rsidRPr="007D7BF4" w14:paraId="30E039BC" w14:textId="77777777" w:rsidTr="00E261BE">
        <w:trPr>
          <w:trHeight w:val="237"/>
        </w:trPr>
        <w:tc>
          <w:tcPr>
            <w:tcW w:w="1094" w:type="dxa"/>
            <w:tcBorders>
              <w:top w:val="nil"/>
              <w:left w:val="single" w:sz="4" w:space="0" w:color="auto"/>
              <w:bottom w:val="single" w:sz="4" w:space="0" w:color="auto"/>
              <w:right w:val="single" w:sz="4" w:space="0" w:color="auto"/>
            </w:tcBorders>
            <w:shd w:val="clear" w:color="000000" w:fill="007AAE"/>
            <w:noWrap/>
            <w:vAlign w:val="center"/>
            <w:hideMark/>
          </w:tcPr>
          <w:p w14:paraId="450A12E5" w14:textId="77777777" w:rsidR="00FC62A7" w:rsidRPr="00F414A4" w:rsidRDefault="00FC62A7" w:rsidP="00FC62A7">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2017</w:t>
            </w:r>
          </w:p>
        </w:tc>
        <w:tc>
          <w:tcPr>
            <w:tcW w:w="1221" w:type="dxa"/>
            <w:tcBorders>
              <w:top w:val="nil"/>
              <w:left w:val="nil"/>
              <w:bottom w:val="single" w:sz="4" w:space="0" w:color="auto"/>
              <w:right w:val="single" w:sz="4" w:space="0" w:color="auto"/>
            </w:tcBorders>
            <w:shd w:val="clear" w:color="auto" w:fill="auto"/>
            <w:noWrap/>
            <w:vAlign w:val="bottom"/>
            <w:hideMark/>
          </w:tcPr>
          <w:p w14:paraId="2E83B6D5" w14:textId="5F6C1F44"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203" w:type="dxa"/>
            <w:tcBorders>
              <w:top w:val="nil"/>
              <w:left w:val="nil"/>
              <w:bottom w:val="single" w:sz="4" w:space="0" w:color="auto"/>
              <w:right w:val="single" w:sz="4" w:space="0" w:color="auto"/>
            </w:tcBorders>
            <w:shd w:val="clear" w:color="auto" w:fill="auto"/>
            <w:noWrap/>
            <w:vAlign w:val="bottom"/>
            <w:hideMark/>
          </w:tcPr>
          <w:p w14:paraId="0E09C27A" w14:textId="51F8697D"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203" w:type="dxa"/>
            <w:tcBorders>
              <w:top w:val="nil"/>
              <w:left w:val="nil"/>
              <w:bottom w:val="single" w:sz="4" w:space="0" w:color="auto"/>
              <w:right w:val="single" w:sz="4" w:space="0" w:color="auto"/>
            </w:tcBorders>
            <w:shd w:val="clear" w:color="auto" w:fill="auto"/>
            <w:noWrap/>
            <w:vAlign w:val="bottom"/>
            <w:hideMark/>
          </w:tcPr>
          <w:p w14:paraId="27768588" w14:textId="41F3CEEE"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307" w:type="dxa"/>
            <w:tcBorders>
              <w:top w:val="nil"/>
              <w:left w:val="nil"/>
              <w:bottom w:val="single" w:sz="4" w:space="0" w:color="auto"/>
              <w:right w:val="single" w:sz="4" w:space="0" w:color="auto"/>
            </w:tcBorders>
            <w:shd w:val="clear" w:color="auto" w:fill="auto"/>
            <w:noWrap/>
            <w:vAlign w:val="bottom"/>
            <w:hideMark/>
          </w:tcPr>
          <w:p w14:paraId="08ED89A0" w14:textId="4156573A"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307" w:type="dxa"/>
            <w:tcBorders>
              <w:top w:val="nil"/>
              <w:left w:val="nil"/>
              <w:bottom w:val="single" w:sz="4" w:space="0" w:color="auto"/>
              <w:right w:val="single" w:sz="4" w:space="0" w:color="auto"/>
            </w:tcBorders>
            <w:shd w:val="clear" w:color="auto" w:fill="auto"/>
            <w:noWrap/>
            <w:vAlign w:val="bottom"/>
            <w:hideMark/>
          </w:tcPr>
          <w:p w14:paraId="1BC58316" w14:textId="285D32F3"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10</w:t>
            </w:r>
            <w:r w:rsidR="00344883">
              <w:rPr>
                <w:rFonts w:cs="Arial"/>
                <w:color w:val="000000"/>
                <w:sz w:val="20"/>
                <w:szCs w:val="20"/>
              </w:rPr>
              <w:t>.</w:t>
            </w:r>
            <w:r w:rsidRPr="00E261BE">
              <w:rPr>
                <w:rFonts w:cs="Arial"/>
                <w:color w:val="000000"/>
                <w:sz w:val="20"/>
                <w:szCs w:val="20"/>
              </w:rPr>
              <w:t>87%</w:t>
            </w:r>
          </w:p>
        </w:tc>
        <w:tc>
          <w:tcPr>
            <w:tcW w:w="1590" w:type="dxa"/>
            <w:tcBorders>
              <w:top w:val="nil"/>
              <w:left w:val="nil"/>
              <w:bottom w:val="single" w:sz="4" w:space="0" w:color="auto"/>
              <w:right w:val="single" w:sz="4" w:space="0" w:color="auto"/>
            </w:tcBorders>
            <w:shd w:val="clear" w:color="auto" w:fill="auto"/>
            <w:noWrap/>
            <w:vAlign w:val="bottom"/>
            <w:hideMark/>
          </w:tcPr>
          <w:p w14:paraId="0342B32B" w14:textId="1A7856D1"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89</w:t>
            </w:r>
            <w:r w:rsidR="00344883">
              <w:rPr>
                <w:rFonts w:cs="Arial"/>
                <w:color w:val="000000"/>
                <w:sz w:val="20"/>
                <w:szCs w:val="20"/>
              </w:rPr>
              <w:t>.</w:t>
            </w:r>
            <w:r w:rsidRPr="00E261BE">
              <w:rPr>
                <w:rFonts w:cs="Arial"/>
                <w:color w:val="000000"/>
                <w:sz w:val="20"/>
                <w:szCs w:val="20"/>
              </w:rPr>
              <w:t>13%</w:t>
            </w:r>
          </w:p>
        </w:tc>
      </w:tr>
      <w:tr w:rsidR="00FC62A7" w:rsidRPr="007D7BF4" w14:paraId="111C4D72" w14:textId="77777777" w:rsidTr="00E261BE">
        <w:trPr>
          <w:trHeight w:val="237"/>
        </w:trPr>
        <w:tc>
          <w:tcPr>
            <w:tcW w:w="1094" w:type="dxa"/>
            <w:tcBorders>
              <w:top w:val="nil"/>
              <w:left w:val="single" w:sz="4" w:space="0" w:color="auto"/>
              <w:bottom w:val="single" w:sz="4" w:space="0" w:color="auto"/>
              <w:right w:val="single" w:sz="4" w:space="0" w:color="auto"/>
            </w:tcBorders>
            <w:shd w:val="clear" w:color="000000" w:fill="007AAE"/>
            <w:noWrap/>
            <w:vAlign w:val="center"/>
            <w:hideMark/>
          </w:tcPr>
          <w:p w14:paraId="2513B539" w14:textId="77777777" w:rsidR="00FC62A7" w:rsidRPr="00F414A4" w:rsidRDefault="00FC62A7" w:rsidP="00FC62A7">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2018</w:t>
            </w:r>
          </w:p>
        </w:tc>
        <w:tc>
          <w:tcPr>
            <w:tcW w:w="1221" w:type="dxa"/>
            <w:tcBorders>
              <w:top w:val="nil"/>
              <w:left w:val="nil"/>
              <w:bottom w:val="single" w:sz="4" w:space="0" w:color="auto"/>
              <w:right w:val="single" w:sz="4" w:space="0" w:color="auto"/>
            </w:tcBorders>
            <w:shd w:val="clear" w:color="auto" w:fill="auto"/>
            <w:noWrap/>
            <w:vAlign w:val="bottom"/>
            <w:hideMark/>
          </w:tcPr>
          <w:p w14:paraId="001C009C" w14:textId="15A74ECB"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203" w:type="dxa"/>
            <w:tcBorders>
              <w:top w:val="nil"/>
              <w:left w:val="nil"/>
              <w:bottom w:val="single" w:sz="4" w:space="0" w:color="auto"/>
              <w:right w:val="single" w:sz="4" w:space="0" w:color="auto"/>
            </w:tcBorders>
            <w:shd w:val="clear" w:color="auto" w:fill="auto"/>
            <w:noWrap/>
            <w:vAlign w:val="bottom"/>
            <w:hideMark/>
          </w:tcPr>
          <w:p w14:paraId="4D501D4A" w14:textId="4E86846F"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203" w:type="dxa"/>
            <w:tcBorders>
              <w:top w:val="nil"/>
              <w:left w:val="nil"/>
              <w:bottom w:val="single" w:sz="4" w:space="0" w:color="auto"/>
              <w:right w:val="single" w:sz="4" w:space="0" w:color="auto"/>
            </w:tcBorders>
            <w:shd w:val="clear" w:color="auto" w:fill="auto"/>
            <w:noWrap/>
            <w:vAlign w:val="bottom"/>
            <w:hideMark/>
          </w:tcPr>
          <w:p w14:paraId="158077B4" w14:textId="19936321"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307" w:type="dxa"/>
            <w:tcBorders>
              <w:top w:val="nil"/>
              <w:left w:val="nil"/>
              <w:bottom w:val="single" w:sz="4" w:space="0" w:color="auto"/>
              <w:right w:val="single" w:sz="4" w:space="0" w:color="auto"/>
            </w:tcBorders>
            <w:shd w:val="clear" w:color="auto" w:fill="auto"/>
            <w:noWrap/>
            <w:vAlign w:val="bottom"/>
            <w:hideMark/>
          </w:tcPr>
          <w:p w14:paraId="7C7CF1C1" w14:textId="464EA36F"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59</w:t>
            </w:r>
            <w:r w:rsidR="00344883">
              <w:rPr>
                <w:rFonts w:cs="Arial"/>
                <w:color w:val="000000"/>
                <w:sz w:val="20"/>
                <w:szCs w:val="20"/>
              </w:rPr>
              <w:t>.</w:t>
            </w:r>
            <w:r w:rsidRPr="00E261BE">
              <w:rPr>
                <w:rFonts w:cs="Arial"/>
                <w:color w:val="000000"/>
                <w:sz w:val="20"/>
                <w:szCs w:val="20"/>
              </w:rPr>
              <w:t>98%</w:t>
            </w:r>
          </w:p>
        </w:tc>
        <w:tc>
          <w:tcPr>
            <w:tcW w:w="1307" w:type="dxa"/>
            <w:tcBorders>
              <w:top w:val="nil"/>
              <w:left w:val="nil"/>
              <w:bottom w:val="single" w:sz="4" w:space="0" w:color="auto"/>
              <w:right w:val="single" w:sz="4" w:space="0" w:color="auto"/>
            </w:tcBorders>
            <w:shd w:val="clear" w:color="auto" w:fill="auto"/>
            <w:noWrap/>
            <w:vAlign w:val="bottom"/>
            <w:hideMark/>
          </w:tcPr>
          <w:p w14:paraId="6053703F" w14:textId="51E0A6E0"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26</w:t>
            </w:r>
            <w:r w:rsidR="00344883">
              <w:rPr>
                <w:rFonts w:cs="Arial"/>
                <w:color w:val="000000"/>
                <w:sz w:val="20"/>
                <w:szCs w:val="20"/>
              </w:rPr>
              <w:t>.</w:t>
            </w:r>
            <w:r w:rsidRPr="00E261BE">
              <w:rPr>
                <w:rFonts w:cs="Arial"/>
                <w:color w:val="000000"/>
                <w:sz w:val="20"/>
                <w:szCs w:val="20"/>
              </w:rPr>
              <w:t>6</w:t>
            </w:r>
            <w:r w:rsidR="004434BD">
              <w:rPr>
                <w:rFonts w:cs="Arial"/>
                <w:color w:val="000000"/>
                <w:sz w:val="20"/>
                <w:szCs w:val="20"/>
              </w:rPr>
              <w:t>8</w:t>
            </w:r>
            <w:r w:rsidRPr="00E261BE">
              <w:rPr>
                <w:rFonts w:cs="Arial"/>
                <w:color w:val="000000"/>
                <w:sz w:val="20"/>
                <w:szCs w:val="20"/>
              </w:rPr>
              <w:t>%</w:t>
            </w:r>
          </w:p>
        </w:tc>
        <w:tc>
          <w:tcPr>
            <w:tcW w:w="1590" w:type="dxa"/>
            <w:tcBorders>
              <w:top w:val="nil"/>
              <w:left w:val="nil"/>
              <w:bottom w:val="single" w:sz="4" w:space="0" w:color="auto"/>
              <w:right w:val="single" w:sz="4" w:space="0" w:color="auto"/>
            </w:tcBorders>
            <w:shd w:val="clear" w:color="auto" w:fill="auto"/>
            <w:noWrap/>
            <w:vAlign w:val="bottom"/>
            <w:hideMark/>
          </w:tcPr>
          <w:p w14:paraId="7C0619E4" w14:textId="326EB924"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13</w:t>
            </w:r>
            <w:r w:rsidR="00344883">
              <w:rPr>
                <w:rFonts w:cs="Arial"/>
                <w:color w:val="000000"/>
                <w:sz w:val="20"/>
                <w:szCs w:val="20"/>
              </w:rPr>
              <w:t>.</w:t>
            </w:r>
            <w:r w:rsidRPr="00E261BE">
              <w:rPr>
                <w:rFonts w:cs="Arial"/>
                <w:color w:val="000000"/>
                <w:sz w:val="20"/>
                <w:szCs w:val="20"/>
              </w:rPr>
              <w:t>34%</w:t>
            </w:r>
          </w:p>
        </w:tc>
      </w:tr>
      <w:tr w:rsidR="00FC62A7" w:rsidRPr="007D7BF4" w14:paraId="60B1D11D" w14:textId="77777777" w:rsidTr="00E261BE">
        <w:trPr>
          <w:trHeight w:val="237"/>
        </w:trPr>
        <w:tc>
          <w:tcPr>
            <w:tcW w:w="1094" w:type="dxa"/>
            <w:tcBorders>
              <w:top w:val="nil"/>
              <w:left w:val="single" w:sz="4" w:space="0" w:color="auto"/>
              <w:bottom w:val="single" w:sz="4" w:space="0" w:color="auto"/>
              <w:right w:val="single" w:sz="4" w:space="0" w:color="auto"/>
            </w:tcBorders>
            <w:shd w:val="clear" w:color="000000" w:fill="007AAE"/>
            <w:noWrap/>
            <w:vAlign w:val="center"/>
            <w:hideMark/>
          </w:tcPr>
          <w:p w14:paraId="05D3CD95" w14:textId="77777777" w:rsidR="00FC62A7" w:rsidRPr="00F414A4" w:rsidRDefault="00FC62A7" w:rsidP="00FC62A7">
            <w:pPr>
              <w:keepNext/>
              <w:spacing w:before="0" w:after="0" w:line="240" w:lineRule="auto"/>
              <w:jc w:val="center"/>
              <w:rPr>
                <w:rFonts w:cs="Arial"/>
                <w:b/>
                <w:bCs/>
                <w:color w:val="FFFFFF"/>
                <w:sz w:val="20"/>
                <w:szCs w:val="20"/>
                <w:lang w:val="es-ES" w:eastAsia="es-ES"/>
              </w:rPr>
            </w:pPr>
            <w:r w:rsidRPr="00F414A4">
              <w:rPr>
                <w:rFonts w:cs="Arial"/>
                <w:b/>
                <w:bCs/>
                <w:color w:val="FFFFFF"/>
                <w:sz w:val="20"/>
                <w:szCs w:val="20"/>
                <w:lang w:val="es-ES" w:eastAsia="es-ES"/>
              </w:rPr>
              <w:t>Average</w:t>
            </w:r>
          </w:p>
        </w:tc>
        <w:tc>
          <w:tcPr>
            <w:tcW w:w="1221" w:type="dxa"/>
            <w:tcBorders>
              <w:top w:val="nil"/>
              <w:left w:val="nil"/>
              <w:bottom w:val="single" w:sz="4" w:space="0" w:color="auto"/>
              <w:right w:val="single" w:sz="4" w:space="0" w:color="auto"/>
            </w:tcBorders>
            <w:shd w:val="clear" w:color="auto" w:fill="auto"/>
            <w:noWrap/>
            <w:vAlign w:val="bottom"/>
            <w:hideMark/>
          </w:tcPr>
          <w:p w14:paraId="29828554" w14:textId="5CC164C8"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203" w:type="dxa"/>
            <w:tcBorders>
              <w:top w:val="nil"/>
              <w:left w:val="nil"/>
              <w:bottom w:val="single" w:sz="4" w:space="0" w:color="auto"/>
              <w:right w:val="single" w:sz="4" w:space="0" w:color="auto"/>
            </w:tcBorders>
            <w:shd w:val="clear" w:color="auto" w:fill="auto"/>
            <w:noWrap/>
            <w:vAlign w:val="bottom"/>
            <w:hideMark/>
          </w:tcPr>
          <w:p w14:paraId="0F41A3D6" w14:textId="02442A2C"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203" w:type="dxa"/>
            <w:tcBorders>
              <w:top w:val="nil"/>
              <w:left w:val="nil"/>
              <w:bottom w:val="single" w:sz="4" w:space="0" w:color="auto"/>
              <w:right w:val="single" w:sz="4" w:space="0" w:color="auto"/>
            </w:tcBorders>
            <w:shd w:val="clear" w:color="auto" w:fill="auto"/>
            <w:noWrap/>
            <w:vAlign w:val="bottom"/>
            <w:hideMark/>
          </w:tcPr>
          <w:p w14:paraId="643704AF" w14:textId="0C12817A"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0</w:t>
            </w:r>
            <w:r w:rsidR="00344883">
              <w:rPr>
                <w:rFonts w:cs="Arial"/>
                <w:color w:val="000000"/>
                <w:sz w:val="20"/>
                <w:szCs w:val="20"/>
              </w:rPr>
              <w:t>.</w:t>
            </w:r>
            <w:r w:rsidRPr="00E261BE">
              <w:rPr>
                <w:rFonts w:cs="Arial"/>
                <w:color w:val="000000"/>
                <w:sz w:val="20"/>
                <w:szCs w:val="20"/>
              </w:rPr>
              <w:t>00%</w:t>
            </w:r>
          </w:p>
        </w:tc>
        <w:tc>
          <w:tcPr>
            <w:tcW w:w="1307" w:type="dxa"/>
            <w:tcBorders>
              <w:top w:val="nil"/>
              <w:left w:val="nil"/>
              <w:bottom w:val="single" w:sz="4" w:space="0" w:color="auto"/>
              <w:right w:val="single" w:sz="4" w:space="0" w:color="auto"/>
            </w:tcBorders>
            <w:shd w:val="clear" w:color="auto" w:fill="auto"/>
            <w:noWrap/>
            <w:vAlign w:val="bottom"/>
            <w:hideMark/>
          </w:tcPr>
          <w:p w14:paraId="2DBB9367" w14:textId="3CFDCE3C"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19</w:t>
            </w:r>
            <w:r w:rsidR="00344883">
              <w:rPr>
                <w:rFonts w:cs="Arial"/>
                <w:color w:val="000000"/>
                <w:sz w:val="20"/>
                <w:szCs w:val="20"/>
              </w:rPr>
              <w:t>.</w:t>
            </w:r>
            <w:r w:rsidRPr="00E261BE">
              <w:rPr>
                <w:rFonts w:cs="Arial"/>
                <w:color w:val="000000"/>
                <w:sz w:val="20"/>
                <w:szCs w:val="20"/>
              </w:rPr>
              <w:t>99%</w:t>
            </w:r>
          </w:p>
        </w:tc>
        <w:tc>
          <w:tcPr>
            <w:tcW w:w="1307" w:type="dxa"/>
            <w:tcBorders>
              <w:top w:val="nil"/>
              <w:left w:val="nil"/>
              <w:bottom w:val="single" w:sz="4" w:space="0" w:color="auto"/>
              <w:right w:val="single" w:sz="4" w:space="0" w:color="auto"/>
            </w:tcBorders>
            <w:shd w:val="clear" w:color="auto" w:fill="auto"/>
            <w:noWrap/>
            <w:vAlign w:val="bottom"/>
            <w:hideMark/>
          </w:tcPr>
          <w:p w14:paraId="1012AA7E" w14:textId="6FDDA502"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45</w:t>
            </w:r>
            <w:r w:rsidR="00344883">
              <w:rPr>
                <w:rFonts w:cs="Arial"/>
                <w:color w:val="000000"/>
                <w:sz w:val="20"/>
                <w:szCs w:val="20"/>
              </w:rPr>
              <w:t>.</w:t>
            </w:r>
            <w:r w:rsidRPr="00E261BE">
              <w:rPr>
                <w:rFonts w:cs="Arial"/>
                <w:color w:val="000000"/>
                <w:sz w:val="20"/>
                <w:szCs w:val="20"/>
              </w:rPr>
              <w:t>49%</w:t>
            </w:r>
          </w:p>
        </w:tc>
        <w:tc>
          <w:tcPr>
            <w:tcW w:w="1590" w:type="dxa"/>
            <w:tcBorders>
              <w:top w:val="nil"/>
              <w:left w:val="nil"/>
              <w:bottom w:val="single" w:sz="4" w:space="0" w:color="auto"/>
              <w:right w:val="single" w:sz="4" w:space="0" w:color="auto"/>
            </w:tcBorders>
            <w:shd w:val="clear" w:color="auto" w:fill="auto"/>
            <w:noWrap/>
            <w:vAlign w:val="bottom"/>
            <w:hideMark/>
          </w:tcPr>
          <w:p w14:paraId="37234F9B" w14:textId="25102AC0" w:rsidR="00FC62A7" w:rsidRPr="00FC62A7" w:rsidRDefault="00FC62A7" w:rsidP="00344883">
            <w:pPr>
              <w:keepNext/>
              <w:spacing w:before="0" w:after="0" w:line="240" w:lineRule="auto"/>
              <w:jc w:val="center"/>
              <w:rPr>
                <w:rFonts w:cs="Arial"/>
                <w:color w:val="000000"/>
                <w:sz w:val="20"/>
                <w:szCs w:val="20"/>
                <w:lang w:val="es-ES" w:eastAsia="es-ES"/>
              </w:rPr>
            </w:pPr>
            <w:r w:rsidRPr="00E261BE">
              <w:rPr>
                <w:rFonts w:cs="Arial"/>
                <w:color w:val="000000"/>
                <w:sz w:val="20"/>
                <w:szCs w:val="20"/>
              </w:rPr>
              <w:t>34</w:t>
            </w:r>
            <w:r w:rsidR="00344883">
              <w:rPr>
                <w:rFonts w:cs="Arial"/>
                <w:color w:val="000000"/>
                <w:sz w:val="20"/>
                <w:szCs w:val="20"/>
              </w:rPr>
              <w:t>.</w:t>
            </w:r>
            <w:r w:rsidRPr="00E261BE">
              <w:rPr>
                <w:rFonts w:cs="Arial"/>
                <w:color w:val="000000"/>
                <w:sz w:val="20"/>
                <w:szCs w:val="20"/>
              </w:rPr>
              <w:t>52%</w:t>
            </w:r>
          </w:p>
        </w:tc>
      </w:tr>
    </w:tbl>
    <w:p w14:paraId="66056AC2" w14:textId="2786AC24" w:rsidR="009017C1" w:rsidRDefault="009017C1" w:rsidP="009017C1">
      <w:pPr>
        <w:jc w:val="center"/>
        <w:rPr>
          <w:rFonts w:ascii="Verdana" w:hAnsi="Verdana"/>
          <w:b/>
          <w:sz w:val="16"/>
          <w:lang w:val="en-US"/>
        </w:rPr>
      </w:pPr>
      <w:r w:rsidRPr="005C5BB9">
        <w:rPr>
          <w:rFonts w:ascii="Verdana" w:hAnsi="Verdana"/>
          <w:b/>
          <w:sz w:val="16"/>
          <w:lang w:val="en-US"/>
        </w:rPr>
        <w:t xml:space="preserve">Table </w:t>
      </w:r>
      <w:r w:rsidRPr="005C5BB9">
        <w:rPr>
          <w:rFonts w:ascii="Verdana" w:hAnsi="Verdana"/>
          <w:b/>
          <w:sz w:val="16"/>
          <w:lang w:val="en-US"/>
        </w:rPr>
        <w:fldChar w:fldCharType="begin"/>
      </w:r>
      <w:r w:rsidRPr="005C5BB9">
        <w:rPr>
          <w:rFonts w:ascii="Verdana" w:hAnsi="Verdana"/>
          <w:b/>
          <w:sz w:val="16"/>
          <w:lang w:val="en-US"/>
        </w:rPr>
        <w:instrText xml:space="preserve"> SEQ Table \* ARABIC </w:instrText>
      </w:r>
      <w:r w:rsidRPr="005C5BB9">
        <w:rPr>
          <w:rFonts w:ascii="Verdana" w:hAnsi="Verdana"/>
          <w:b/>
          <w:sz w:val="16"/>
          <w:lang w:val="en-US"/>
        </w:rPr>
        <w:fldChar w:fldCharType="separate"/>
      </w:r>
      <w:r w:rsidR="00E859C7">
        <w:rPr>
          <w:rFonts w:ascii="Verdana" w:hAnsi="Verdana"/>
          <w:b/>
          <w:noProof/>
          <w:sz w:val="16"/>
          <w:lang w:val="en-US"/>
        </w:rPr>
        <w:t>19</w:t>
      </w:r>
      <w:r w:rsidRPr="005C5BB9">
        <w:rPr>
          <w:rFonts w:ascii="Verdana" w:hAnsi="Verdana"/>
          <w:b/>
          <w:sz w:val="16"/>
          <w:lang w:val="en-US"/>
        </w:rPr>
        <w:fldChar w:fldCharType="end"/>
      </w:r>
      <w:r>
        <w:rPr>
          <w:rFonts w:ascii="Verdana" w:hAnsi="Verdana"/>
          <w:b/>
          <w:sz w:val="16"/>
          <w:lang w:val="en-US"/>
        </w:rPr>
        <w:t xml:space="preserve">: Booked capacities from </w:t>
      </w:r>
      <w:r w:rsidRPr="009017C1">
        <w:rPr>
          <w:rFonts w:ascii="Verdana" w:hAnsi="Verdana"/>
          <w:b/>
          <w:sz w:val="16"/>
          <w:lang w:val="en-US"/>
        </w:rPr>
        <w:t xml:space="preserve">Portugal to Spain </w:t>
      </w:r>
      <w:r>
        <w:rPr>
          <w:rFonts w:ascii="Verdana" w:hAnsi="Verdana"/>
          <w:b/>
          <w:sz w:val="16"/>
          <w:lang w:val="en-US"/>
        </w:rPr>
        <w:t>on the Spanish side</w:t>
      </w:r>
    </w:p>
    <w:p w14:paraId="110419AC" w14:textId="6D0D8841" w:rsidR="00BC0FB7" w:rsidRPr="0021712F" w:rsidRDefault="00F15438" w:rsidP="00E261BE">
      <w:pPr>
        <w:spacing w:line="312" w:lineRule="auto"/>
        <w:rPr>
          <w:rFonts w:cs="Arial"/>
          <w:color w:val="000000" w:themeColor="text1"/>
          <w:szCs w:val="22"/>
          <w:lang w:val="en-GB"/>
        </w:rPr>
      </w:pPr>
      <w:r>
        <w:rPr>
          <w:rFonts w:cs="Arial"/>
          <w:color w:val="000000" w:themeColor="text1"/>
          <w:szCs w:val="22"/>
          <w:lang w:val="en-GB"/>
        </w:rPr>
        <w:t>However, d</w:t>
      </w:r>
      <w:r w:rsidR="00BC0FB7" w:rsidRPr="003F545A">
        <w:rPr>
          <w:rFonts w:cs="Arial"/>
          <w:color w:val="000000" w:themeColor="text1"/>
          <w:szCs w:val="22"/>
          <w:lang w:val="en-GB"/>
        </w:rPr>
        <w:t xml:space="preserve">uring the last quarter of 2019, </w:t>
      </w:r>
      <w:r>
        <w:rPr>
          <w:rFonts w:cs="Arial"/>
          <w:color w:val="000000" w:themeColor="text1"/>
          <w:szCs w:val="22"/>
          <w:lang w:val="en-GB"/>
        </w:rPr>
        <w:t>capacity bookings in the Spain to Portugal direction</w:t>
      </w:r>
      <w:r w:rsidR="00BC0FB7" w:rsidRPr="003F545A">
        <w:rPr>
          <w:rFonts w:cs="Arial"/>
          <w:color w:val="000000" w:themeColor="text1"/>
          <w:szCs w:val="22"/>
          <w:lang w:val="en-GB"/>
        </w:rPr>
        <w:t xml:space="preserve"> </w:t>
      </w:r>
      <w:r w:rsidR="00BC0FB7" w:rsidRPr="0021712F">
        <w:rPr>
          <w:rFonts w:cs="Arial"/>
          <w:color w:val="000000" w:themeColor="text1"/>
          <w:szCs w:val="22"/>
          <w:lang w:val="en-GB"/>
        </w:rPr>
        <w:t>decreased</w:t>
      </w:r>
      <w:r w:rsidRPr="0021712F">
        <w:rPr>
          <w:rFonts w:cs="Arial"/>
          <w:color w:val="000000" w:themeColor="text1"/>
          <w:szCs w:val="22"/>
          <w:lang w:val="en-GB"/>
        </w:rPr>
        <w:t xml:space="preserve"> </w:t>
      </w:r>
      <w:r w:rsidR="009017C1" w:rsidRPr="0021712F">
        <w:rPr>
          <w:rFonts w:cs="Arial"/>
          <w:color w:val="000000" w:themeColor="text1"/>
          <w:szCs w:val="22"/>
          <w:lang w:val="en-GB"/>
        </w:rPr>
        <w:t>again.</w:t>
      </w:r>
    </w:p>
    <w:p w14:paraId="05F47D4A" w14:textId="77777777" w:rsidR="00BC0FB7" w:rsidRPr="0021712F" w:rsidRDefault="00BC0FB7" w:rsidP="00BC0FB7">
      <w:pPr>
        <w:pStyle w:val="Ttulo3"/>
        <w:spacing w:line="360" w:lineRule="auto"/>
        <w:jc w:val="left"/>
        <w:rPr>
          <w:lang w:val="en-US"/>
        </w:rPr>
      </w:pPr>
      <w:r w:rsidRPr="0021712F">
        <w:rPr>
          <w:lang w:val="en-US"/>
        </w:rPr>
        <w:t>North-South Link</w:t>
      </w:r>
    </w:p>
    <w:p w14:paraId="7ECC9B9F" w14:textId="70BF50BF" w:rsidR="00FA6754" w:rsidRDefault="00014570" w:rsidP="00E345E9">
      <w:pPr>
        <w:spacing w:line="312" w:lineRule="auto"/>
        <w:rPr>
          <w:lang w:val="en-US"/>
        </w:rPr>
      </w:pPr>
      <w:r w:rsidRPr="0021712F">
        <w:rPr>
          <w:lang w:val="en-US"/>
        </w:rPr>
        <w:t>N</w:t>
      </w:r>
      <w:r w:rsidR="00277506">
        <w:rPr>
          <w:lang w:val="en-US"/>
        </w:rPr>
        <w:t xml:space="preserve">ot applicable </w:t>
      </w:r>
      <w:r w:rsidRPr="0021712F">
        <w:rPr>
          <w:lang w:val="en-US"/>
        </w:rPr>
        <w:t>as there were no unbundled capacity products and no long</w:t>
      </w:r>
      <w:r w:rsidR="00277506">
        <w:rPr>
          <w:lang w:val="en-US"/>
        </w:rPr>
        <w:t>-</w:t>
      </w:r>
      <w:r w:rsidRPr="0021712F">
        <w:rPr>
          <w:lang w:val="en-US"/>
        </w:rPr>
        <w:t>term contracts.</w:t>
      </w:r>
    </w:p>
    <w:p w14:paraId="6D0D1D9F" w14:textId="287A3763" w:rsidR="00021821" w:rsidRDefault="00021821" w:rsidP="00255AB5">
      <w:pPr>
        <w:pStyle w:val="Ttulo2"/>
        <w:spacing w:line="312" w:lineRule="auto"/>
        <w:rPr>
          <w:lang w:val="en-US"/>
        </w:rPr>
      </w:pPr>
      <w:bookmarkStart w:id="185" w:name="_Toc49770595"/>
      <w:r>
        <w:rPr>
          <w:lang w:val="en-US"/>
        </w:rPr>
        <w:t>Interruptible capacity</w:t>
      </w:r>
      <w:bookmarkEnd w:id="185"/>
    </w:p>
    <w:p w14:paraId="245822F4" w14:textId="4A03943F" w:rsidR="00361D3A" w:rsidRDefault="00361D3A" w:rsidP="00255AB5">
      <w:pPr>
        <w:pStyle w:val="Ttulo3"/>
        <w:rPr>
          <w:lang w:val="en-GB"/>
        </w:rPr>
      </w:pPr>
      <w:r>
        <w:rPr>
          <w:lang w:val="en-GB"/>
        </w:rPr>
        <w:t>VIP Pirineos</w:t>
      </w:r>
    </w:p>
    <w:p w14:paraId="54A0EDBA" w14:textId="7BE60021" w:rsidR="00D3127E" w:rsidRPr="007617A3" w:rsidRDefault="00D3127E" w:rsidP="00255AB5">
      <w:pPr>
        <w:pStyle w:val="Ttulo4"/>
        <w:spacing w:after="120" w:line="312" w:lineRule="auto"/>
      </w:pPr>
      <w:r w:rsidRPr="007617A3">
        <w:t>North to</w:t>
      </w:r>
      <w:r>
        <w:t xml:space="preserve"> South direction</w:t>
      </w:r>
    </w:p>
    <w:p w14:paraId="3C9F676C" w14:textId="06CE0D5B" w:rsidR="00361D3A" w:rsidRDefault="00361D3A" w:rsidP="00255AB5">
      <w:pPr>
        <w:spacing w:line="312" w:lineRule="auto"/>
        <w:rPr>
          <w:rFonts w:cs="Arial"/>
          <w:b/>
          <w:color w:val="000000" w:themeColor="text1"/>
          <w:szCs w:val="22"/>
          <w:u w:val="single"/>
          <w:lang w:val="en-GB"/>
        </w:rPr>
      </w:pPr>
      <w:r>
        <w:rPr>
          <w:rFonts w:cs="Arial"/>
          <w:b/>
          <w:color w:val="000000" w:themeColor="text1"/>
          <w:szCs w:val="22"/>
          <w:u w:val="single"/>
          <w:lang w:val="en-GB"/>
        </w:rPr>
        <w:t>French side</w:t>
      </w:r>
    </w:p>
    <w:p w14:paraId="245B9E0B" w14:textId="41FA78A7" w:rsidR="00255AB5" w:rsidRDefault="00255AB5" w:rsidP="00255AB5">
      <w:pPr>
        <w:spacing w:line="312" w:lineRule="auto"/>
        <w:rPr>
          <w:lang w:val="en-GB"/>
        </w:rPr>
      </w:pPr>
      <w:r>
        <w:rPr>
          <w:lang w:val="en-GB"/>
        </w:rPr>
        <w:t xml:space="preserve">On the French side, </w:t>
      </w:r>
      <w:r w:rsidR="00E96E59">
        <w:rPr>
          <w:lang w:val="en-GB"/>
        </w:rPr>
        <w:t xml:space="preserve">an extra 60 GWh/day of </w:t>
      </w:r>
      <w:r>
        <w:rPr>
          <w:lang w:val="en-GB"/>
        </w:rPr>
        <w:t>interruptible capacity is offered</w:t>
      </w:r>
      <w:r w:rsidR="00E96E59">
        <w:rPr>
          <w:lang w:val="en-GB"/>
        </w:rPr>
        <w:t xml:space="preserve"> thru daily product</w:t>
      </w:r>
      <w:r>
        <w:rPr>
          <w:lang w:val="en-GB"/>
        </w:rPr>
        <w:t xml:space="preserve"> </w:t>
      </w:r>
      <w:r w:rsidR="00FA6754">
        <w:rPr>
          <w:lang w:val="en-GB"/>
        </w:rPr>
        <w:t xml:space="preserve">only </w:t>
      </w:r>
      <w:r>
        <w:rPr>
          <w:lang w:val="en-GB"/>
        </w:rPr>
        <w:t xml:space="preserve">when </w:t>
      </w:r>
      <w:r w:rsidR="00E96E59">
        <w:rPr>
          <w:lang w:val="en-GB"/>
        </w:rPr>
        <w:t>98</w:t>
      </w:r>
      <w:r>
        <w:rPr>
          <w:lang w:val="en-GB"/>
        </w:rPr>
        <w:t>% of the technical</w:t>
      </w:r>
      <w:r w:rsidR="00E96E59">
        <w:rPr>
          <w:lang w:val="en-GB"/>
        </w:rPr>
        <w:t xml:space="preserve"> firm</w:t>
      </w:r>
      <w:r>
        <w:rPr>
          <w:lang w:val="en-GB"/>
        </w:rPr>
        <w:t xml:space="preserve"> capacity </w:t>
      </w:r>
      <w:r w:rsidR="00E96E59">
        <w:rPr>
          <w:lang w:val="en-GB"/>
        </w:rPr>
        <w:t>is</w:t>
      </w:r>
      <w:r>
        <w:rPr>
          <w:lang w:val="en-GB"/>
        </w:rPr>
        <w:t xml:space="preserve"> booked.</w:t>
      </w:r>
    </w:p>
    <w:p w14:paraId="64FA54D2" w14:textId="7294FAFD" w:rsidR="00FA6754" w:rsidRDefault="00FA6754" w:rsidP="00255AB5">
      <w:pPr>
        <w:spacing w:line="312" w:lineRule="auto"/>
        <w:rPr>
          <w:lang w:val="en-GB"/>
        </w:rPr>
      </w:pPr>
      <w:r>
        <w:rPr>
          <w:lang w:val="en-GB"/>
        </w:rPr>
        <w:t>Triggering of interruptible capacity per gas year:</w:t>
      </w:r>
    </w:p>
    <w:tbl>
      <w:tblPr>
        <w:tblStyle w:val="Tablaconcuadrcula"/>
        <w:tblW w:w="0" w:type="auto"/>
        <w:tblLook w:val="04A0" w:firstRow="1" w:lastRow="0" w:firstColumn="1" w:lastColumn="0" w:noHBand="0" w:noVBand="1"/>
      </w:tblPr>
      <w:tblGrid>
        <w:gridCol w:w="1403"/>
        <w:gridCol w:w="1109"/>
      </w:tblGrid>
      <w:tr w:rsidR="00FA6754" w14:paraId="388A281B" w14:textId="77777777" w:rsidTr="00E345E9">
        <w:trPr>
          <w:trHeight w:val="689"/>
        </w:trPr>
        <w:tc>
          <w:tcPr>
            <w:tcW w:w="0" w:type="auto"/>
          </w:tcPr>
          <w:p w14:paraId="1300D714" w14:textId="3C762605" w:rsidR="00FA6754" w:rsidRDefault="00FA6754" w:rsidP="00255AB5">
            <w:pPr>
              <w:spacing w:line="312" w:lineRule="auto"/>
              <w:rPr>
                <w:lang w:val="en-GB"/>
              </w:rPr>
            </w:pPr>
            <w:r>
              <w:rPr>
                <w:lang w:val="en-GB"/>
              </w:rPr>
              <w:t>GY 2016-17</w:t>
            </w:r>
          </w:p>
        </w:tc>
        <w:tc>
          <w:tcPr>
            <w:tcW w:w="0" w:type="auto"/>
          </w:tcPr>
          <w:p w14:paraId="2247D384" w14:textId="32B1AD49" w:rsidR="00FA6754" w:rsidRDefault="00FA6754" w:rsidP="00255AB5">
            <w:pPr>
              <w:spacing w:line="312" w:lineRule="auto"/>
              <w:rPr>
                <w:lang w:val="en-GB"/>
              </w:rPr>
            </w:pPr>
            <w:r>
              <w:rPr>
                <w:lang w:val="en-GB"/>
              </w:rPr>
              <w:t>27 days</w:t>
            </w:r>
          </w:p>
        </w:tc>
      </w:tr>
      <w:tr w:rsidR="00FA6754" w14:paraId="59D62D94" w14:textId="77777777" w:rsidTr="00E345E9">
        <w:trPr>
          <w:trHeight w:val="689"/>
        </w:trPr>
        <w:tc>
          <w:tcPr>
            <w:tcW w:w="0" w:type="auto"/>
          </w:tcPr>
          <w:p w14:paraId="273165DB" w14:textId="1B9D6EDA" w:rsidR="00FA6754" w:rsidRDefault="00FA6754" w:rsidP="00255AB5">
            <w:pPr>
              <w:spacing w:line="312" w:lineRule="auto"/>
              <w:rPr>
                <w:lang w:val="en-GB"/>
              </w:rPr>
            </w:pPr>
            <w:r>
              <w:rPr>
                <w:lang w:val="en-GB"/>
              </w:rPr>
              <w:t>GY 2017-18</w:t>
            </w:r>
          </w:p>
        </w:tc>
        <w:tc>
          <w:tcPr>
            <w:tcW w:w="0" w:type="auto"/>
          </w:tcPr>
          <w:p w14:paraId="2D1D586E" w14:textId="65519559" w:rsidR="00FA6754" w:rsidRDefault="00FA6754" w:rsidP="00255AB5">
            <w:pPr>
              <w:spacing w:line="312" w:lineRule="auto"/>
              <w:rPr>
                <w:lang w:val="en-GB"/>
              </w:rPr>
            </w:pPr>
            <w:r>
              <w:rPr>
                <w:lang w:val="en-GB"/>
              </w:rPr>
              <w:t>10 days</w:t>
            </w:r>
          </w:p>
        </w:tc>
      </w:tr>
      <w:tr w:rsidR="00FA6754" w14:paraId="35ED316A" w14:textId="77777777" w:rsidTr="00E345E9">
        <w:trPr>
          <w:trHeight w:val="689"/>
        </w:trPr>
        <w:tc>
          <w:tcPr>
            <w:tcW w:w="0" w:type="auto"/>
          </w:tcPr>
          <w:p w14:paraId="089F7AC2" w14:textId="01B25D4B" w:rsidR="00FA6754" w:rsidRDefault="00FA6754" w:rsidP="00255AB5">
            <w:pPr>
              <w:spacing w:line="312" w:lineRule="auto"/>
              <w:rPr>
                <w:lang w:val="en-GB"/>
              </w:rPr>
            </w:pPr>
            <w:r>
              <w:rPr>
                <w:lang w:val="en-GB"/>
              </w:rPr>
              <w:t>GY 2018-19</w:t>
            </w:r>
          </w:p>
        </w:tc>
        <w:tc>
          <w:tcPr>
            <w:tcW w:w="0" w:type="auto"/>
          </w:tcPr>
          <w:p w14:paraId="69351ED8" w14:textId="05DB6149" w:rsidR="00FA6754" w:rsidRDefault="00FA6754" w:rsidP="00255AB5">
            <w:pPr>
              <w:spacing w:line="312" w:lineRule="auto"/>
              <w:rPr>
                <w:lang w:val="en-GB"/>
              </w:rPr>
            </w:pPr>
            <w:r>
              <w:rPr>
                <w:lang w:val="en-GB"/>
              </w:rPr>
              <w:t>131 days</w:t>
            </w:r>
          </w:p>
        </w:tc>
      </w:tr>
    </w:tbl>
    <w:p w14:paraId="78FAC10B" w14:textId="00D3CFBA" w:rsidR="00C13545" w:rsidRDefault="00C13545" w:rsidP="00255AB5">
      <w:pPr>
        <w:spacing w:line="312" w:lineRule="auto"/>
        <w:rPr>
          <w:lang w:val="en-GB"/>
        </w:rPr>
      </w:pPr>
      <w:r>
        <w:rPr>
          <w:lang w:val="en-GB"/>
        </w:rPr>
        <w:t>For the gas year 2018-2019</w:t>
      </w:r>
      <w:r w:rsidR="00FA6754">
        <w:rPr>
          <w:lang w:val="en-GB"/>
        </w:rPr>
        <w:t xml:space="preserve"> (TRF effect)</w:t>
      </w:r>
      <w:r>
        <w:rPr>
          <w:lang w:val="en-GB"/>
        </w:rPr>
        <w:t xml:space="preserve">, the subscription level reached 4% </w:t>
      </w:r>
      <w:r w:rsidR="003C2042">
        <w:rPr>
          <w:lang w:val="en-GB"/>
        </w:rPr>
        <w:t xml:space="preserve">(10 GWh/day on average) </w:t>
      </w:r>
      <w:r>
        <w:rPr>
          <w:lang w:val="en-GB"/>
        </w:rPr>
        <w:t xml:space="preserve">of the total </w:t>
      </w:r>
      <w:r w:rsidR="003C2042">
        <w:rPr>
          <w:lang w:val="en-GB"/>
        </w:rPr>
        <w:t xml:space="preserve">technical </w:t>
      </w:r>
      <w:r>
        <w:rPr>
          <w:lang w:val="en-GB"/>
        </w:rPr>
        <w:t>capacity</w:t>
      </w:r>
      <w:r w:rsidR="003C2042">
        <w:rPr>
          <w:lang w:val="en-GB"/>
        </w:rPr>
        <w:t xml:space="preserve">, concentrated over the first two quarters. </w:t>
      </w:r>
    </w:p>
    <w:p w14:paraId="11B2FD9F" w14:textId="303666E7" w:rsidR="00E96E59" w:rsidRDefault="00FA6754" w:rsidP="00255AB5">
      <w:pPr>
        <w:spacing w:line="312" w:lineRule="auto"/>
        <w:rPr>
          <w:lang w:val="en-GB"/>
        </w:rPr>
      </w:pPr>
      <w:r>
        <w:rPr>
          <w:noProof/>
          <w:lang w:val="es-ES" w:eastAsia="es-ES"/>
        </w:rPr>
        <w:drawing>
          <wp:inline distT="0" distB="0" distL="0" distR="0" wp14:anchorId="163EF2D2" wp14:editId="5BB0FF13">
            <wp:extent cx="5700395" cy="3078480"/>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0395" cy="3078480"/>
                    </a:xfrm>
                    <a:prstGeom prst="rect">
                      <a:avLst/>
                    </a:prstGeom>
                    <a:noFill/>
                  </pic:spPr>
                </pic:pic>
              </a:graphicData>
            </a:graphic>
          </wp:inline>
        </w:drawing>
      </w:r>
    </w:p>
    <w:p w14:paraId="272DAB04" w14:textId="7376CDD4" w:rsidR="005B3498" w:rsidRPr="005B3498" w:rsidRDefault="005B3498" w:rsidP="005B3498">
      <w:pPr>
        <w:spacing w:line="312" w:lineRule="auto"/>
        <w:jc w:val="center"/>
        <w:rPr>
          <w:rFonts w:ascii="Verdana" w:hAnsi="Verdana"/>
          <w:b/>
          <w:lang w:val="en-GB"/>
        </w:rPr>
      </w:pPr>
      <w:r w:rsidRPr="005B3498">
        <w:rPr>
          <w:rFonts w:ascii="Verdana" w:hAnsi="Verdana"/>
          <w:b/>
          <w:sz w:val="16"/>
          <w:lang w:val="en-US"/>
        </w:rPr>
        <w:t xml:space="preserve">Figure </w:t>
      </w:r>
      <w:r w:rsidRPr="005B3498">
        <w:rPr>
          <w:rFonts w:ascii="Verdana" w:hAnsi="Verdana"/>
          <w:b/>
          <w:sz w:val="16"/>
        </w:rPr>
        <w:fldChar w:fldCharType="begin"/>
      </w:r>
      <w:r w:rsidRPr="005B3498">
        <w:rPr>
          <w:rFonts w:ascii="Verdana" w:hAnsi="Verdana"/>
          <w:b/>
          <w:sz w:val="16"/>
          <w:lang w:val="en-US"/>
        </w:rPr>
        <w:instrText xml:space="preserve"> SEQ Figure \* ARABIC </w:instrText>
      </w:r>
      <w:r w:rsidRPr="005B3498">
        <w:rPr>
          <w:rFonts w:ascii="Verdana" w:hAnsi="Verdana"/>
          <w:b/>
          <w:sz w:val="16"/>
        </w:rPr>
        <w:fldChar w:fldCharType="separate"/>
      </w:r>
      <w:r w:rsidR="00E859C7">
        <w:rPr>
          <w:rFonts w:ascii="Verdana" w:hAnsi="Verdana"/>
          <w:b/>
          <w:noProof/>
          <w:sz w:val="16"/>
          <w:lang w:val="en-US"/>
        </w:rPr>
        <w:t>30</w:t>
      </w:r>
      <w:r w:rsidRPr="005B3498">
        <w:rPr>
          <w:rFonts w:ascii="Verdana" w:hAnsi="Verdana"/>
          <w:b/>
          <w:sz w:val="16"/>
        </w:rPr>
        <w:fldChar w:fldCharType="end"/>
      </w:r>
      <w:r w:rsidRPr="005B3498">
        <w:rPr>
          <w:rFonts w:ascii="Verdana" w:hAnsi="Verdana"/>
          <w:b/>
          <w:sz w:val="16"/>
          <w:lang w:val="en-US"/>
        </w:rPr>
        <w:t xml:space="preserve">: Status of </w:t>
      </w:r>
      <w:r>
        <w:rPr>
          <w:rFonts w:ascii="Verdana" w:hAnsi="Verdana"/>
          <w:b/>
          <w:sz w:val="16"/>
          <w:lang w:val="en-US"/>
        </w:rPr>
        <w:t xml:space="preserve">interruptible </w:t>
      </w:r>
      <w:r w:rsidRPr="005B3498">
        <w:rPr>
          <w:rFonts w:ascii="Verdana" w:hAnsi="Verdana"/>
          <w:b/>
          <w:sz w:val="16"/>
          <w:lang w:val="en-US"/>
        </w:rPr>
        <w:t xml:space="preserve">booked capacity by product at VIP </w:t>
      </w:r>
      <w:r>
        <w:rPr>
          <w:rFonts w:ascii="Verdana" w:hAnsi="Verdana"/>
          <w:b/>
          <w:sz w:val="16"/>
          <w:lang w:val="en-US"/>
        </w:rPr>
        <w:t>Pirineos</w:t>
      </w:r>
      <w:r w:rsidRPr="005B3498">
        <w:rPr>
          <w:rFonts w:ascii="Verdana" w:hAnsi="Verdana"/>
          <w:b/>
          <w:sz w:val="16"/>
          <w:lang w:val="en-US"/>
        </w:rPr>
        <w:t xml:space="preserve">, </w:t>
      </w:r>
      <w:r>
        <w:rPr>
          <w:rFonts w:ascii="Verdana" w:hAnsi="Verdana"/>
          <w:b/>
          <w:sz w:val="16"/>
          <w:lang w:val="en-US"/>
        </w:rPr>
        <w:t>France</w:t>
      </w:r>
      <w:r w:rsidRPr="005B3498">
        <w:rPr>
          <w:rFonts w:ascii="Verdana" w:hAnsi="Verdana"/>
          <w:b/>
          <w:sz w:val="16"/>
          <w:lang w:val="en-US"/>
        </w:rPr>
        <w:t xml:space="preserve"> to Spain direction</w:t>
      </w:r>
    </w:p>
    <w:p w14:paraId="29E31C80" w14:textId="25607387" w:rsidR="00361D3A" w:rsidRPr="00E345E9" w:rsidRDefault="00361D3A" w:rsidP="00255AB5">
      <w:pPr>
        <w:spacing w:line="312" w:lineRule="auto"/>
        <w:rPr>
          <w:rFonts w:cs="Arial"/>
          <w:b/>
          <w:color w:val="000000" w:themeColor="text1"/>
          <w:szCs w:val="22"/>
          <w:u w:val="single"/>
          <w:lang w:val="en-GB"/>
        </w:rPr>
      </w:pPr>
      <w:r w:rsidRPr="00E345E9">
        <w:rPr>
          <w:rFonts w:cs="Arial"/>
          <w:b/>
          <w:color w:val="000000" w:themeColor="text1"/>
          <w:szCs w:val="22"/>
          <w:u w:val="single"/>
          <w:lang w:val="en-GB"/>
        </w:rPr>
        <w:t>Spanish side</w:t>
      </w:r>
    </w:p>
    <w:p w14:paraId="6619A7F5" w14:textId="1C5E9CDA" w:rsidR="00255AB5" w:rsidRPr="00E345E9" w:rsidRDefault="0025330C" w:rsidP="00255AB5">
      <w:pPr>
        <w:spacing w:line="312" w:lineRule="auto"/>
        <w:rPr>
          <w:rFonts w:cs="Arial"/>
          <w:b/>
          <w:color w:val="000000" w:themeColor="text1"/>
          <w:szCs w:val="22"/>
          <w:u w:val="single"/>
          <w:lang w:val="en-GB"/>
        </w:rPr>
      </w:pPr>
      <w:r w:rsidRPr="00E345E9">
        <w:rPr>
          <w:lang w:val="en-GB"/>
        </w:rPr>
        <w:t xml:space="preserve">For this period, following the </w:t>
      </w:r>
      <w:hyperlink r:id="rId51" w:history="1">
        <w:r w:rsidR="000673CD" w:rsidRPr="00E345E9">
          <w:rPr>
            <w:rStyle w:val="Hipervnculo"/>
            <w:lang w:val="en-GB"/>
          </w:rPr>
          <w:t>Commission</w:t>
        </w:r>
        <w:r w:rsidRPr="00E345E9">
          <w:rPr>
            <w:rStyle w:val="Hipervnculo"/>
            <w:lang w:val="en-GB"/>
          </w:rPr>
          <w:t xml:space="preserve"> Regulation (EU) 2017/459 of the 16</w:t>
        </w:r>
        <w:r w:rsidRPr="00E345E9">
          <w:rPr>
            <w:rStyle w:val="Hipervnculo"/>
            <w:vertAlign w:val="superscript"/>
          </w:rPr>
          <w:t>th</w:t>
        </w:r>
        <w:r w:rsidRPr="00E345E9">
          <w:rPr>
            <w:rStyle w:val="Hipervnculo"/>
            <w:lang w:val="en-GB"/>
          </w:rPr>
          <w:t xml:space="preserve"> of March 2017</w:t>
        </w:r>
      </w:hyperlink>
      <w:r w:rsidRPr="00E345E9">
        <w:rPr>
          <w:lang w:val="en-GB"/>
        </w:rPr>
        <w:t>, contractual interruptible capacity was offered on the Spanish side. This interruptible capacity is only offered if 100% of the firm daily capacity has already been contracted. The amount of capacity to be offered as contractual interruptible capacity will be calculated taking into account nominations by network users.</w:t>
      </w:r>
    </w:p>
    <w:p w14:paraId="39198BB9" w14:textId="0308EDBF" w:rsidR="00CA2A90" w:rsidRPr="00E345E9" w:rsidRDefault="00FE2575" w:rsidP="00255AB5">
      <w:pPr>
        <w:keepNext/>
        <w:spacing w:line="312" w:lineRule="auto"/>
      </w:pPr>
      <w:r w:rsidRPr="00E345E9">
        <w:rPr>
          <w:rFonts w:cs="Arial"/>
          <w:noProof/>
          <w:color w:val="000000" w:themeColor="text1"/>
          <w:szCs w:val="22"/>
          <w:lang w:val="es-ES" w:eastAsia="es-ES"/>
        </w:rPr>
        <w:drawing>
          <wp:inline distT="0" distB="0" distL="0" distR="0" wp14:anchorId="58088EE0" wp14:editId="1562BBDD">
            <wp:extent cx="5773547" cy="289268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92330" cy="2902096"/>
                    </a:xfrm>
                    <a:prstGeom prst="rect">
                      <a:avLst/>
                    </a:prstGeom>
                    <a:noFill/>
                  </pic:spPr>
                </pic:pic>
              </a:graphicData>
            </a:graphic>
          </wp:inline>
        </w:drawing>
      </w:r>
    </w:p>
    <w:p w14:paraId="3C5D182F" w14:textId="5E1CBFA4" w:rsidR="00E800DB" w:rsidRPr="00E345E9" w:rsidRDefault="00CA2A90" w:rsidP="00255AB5">
      <w:pPr>
        <w:pStyle w:val="Descripcin"/>
        <w:spacing w:before="240"/>
        <w:jc w:val="center"/>
        <w:rPr>
          <w:sz w:val="16"/>
          <w:lang w:val="en-US"/>
        </w:rPr>
      </w:pPr>
      <w:r w:rsidRPr="00E345E9">
        <w:rPr>
          <w:sz w:val="16"/>
          <w:lang w:val="en-US"/>
        </w:rPr>
        <w:t xml:space="preserve">Figure </w:t>
      </w:r>
      <w:r w:rsidRPr="00E345E9">
        <w:rPr>
          <w:sz w:val="16"/>
        </w:rPr>
        <w:fldChar w:fldCharType="begin"/>
      </w:r>
      <w:r w:rsidRPr="00E345E9">
        <w:rPr>
          <w:sz w:val="16"/>
          <w:lang w:val="en-US"/>
        </w:rPr>
        <w:instrText xml:space="preserve"> SEQ Figure \* ARABIC </w:instrText>
      </w:r>
      <w:r w:rsidRPr="00E345E9">
        <w:rPr>
          <w:sz w:val="16"/>
        </w:rPr>
        <w:fldChar w:fldCharType="separate"/>
      </w:r>
      <w:r w:rsidR="00E859C7">
        <w:rPr>
          <w:noProof/>
          <w:sz w:val="16"/>
          <w:lang w:val="en-US"/>
        </w:rPr>
        <w:t>31</w:t>
      </w:r>
      <w:r w:rsidRPr="00E345E9">
        <w:rPr>
          <w:sz w:val="16"/>
        </w:rPr>
        <w:fldChar w:fldCharType="end"/>
      </w:r>
      <w:r w:rsidRPr="00E345E9">
        <w:rPr>
          <w:sz w:val="16"/>
          <w:lang w:val="en-US"/>
        </w:rPr>
        <w:t xml:space="preserve">. </w:t>
      </w:r>
      <w:r w:rsidR="00FE2575" w:rsidRPr="00E345E9">
        <w:rPr>
          <w:sz w:val="16"/>
          <w:lang w:val="en-US"/>
        </w:rPr>
        <w:t>Interruptible</w:t>
      </w:r>
      <w:r w:rsidRPr="00E345E9">
        <w:rPr>
          <w:sz w:val="16"/>
          <w:lang w:val="en-US"/>
        </w:rPr>
        <w:t xml:space="preserve"> capacity booked on VIP Pirineos - France to Spain direction</w:t>
      </w:r>
    </w:p>
    <w:p w14:paraId="4743996A" w14:textId="5C19CC98" w:rsidR="00FB307F" w:rsidRPr="00E345E9" w:rsidRDefault="009A6D61" w:rsidP="00255AB5">
      <w:pPr>
        <w:spacing w:line="312" w:lineRule="auto"/>
        <w:rPr>
          <w:lang w:val="en-US" w:eastAsia="ja-JP"/>
        </w:rPr>
      </w:pPr>
      <w:r w:rsidRPr="00E345E9">
        <w:rPr>
          <w:lang w:val="en-US" w:eastAsia="ja-JP"/>
        </w:rPr>
        <w:t>The following table shows the number of days in which interruptible capacity has been booked per year.</w:t>
      </w:r>
    </w:p>
    <w:tbl>
      <w:tblPr>
        <w:tblW w:w="8505" w:type="dxa"/>
        <w:jc w:val="center"/>
        <w:tblCellMar>
          <w:left w:w="70" w:type="dxa"/>
          <w:right w:w="70" w:type="dxa"/>
        </w:tblCellMar>
        <w:tblLook w:val="04A0" w:firstRow="1" w:lastRow="0" w:firstColumn="1" w:lastColumn="0" w:noHBand="0" w:noVBand="1"/>
      </w:tblPr>
      <w:tblGrid>
        <w:gridCol w:w="2049"/>
        <w:gridCol w:w="1637"/>
        <w:gridCol w:w="2268"/>
        <w:gridCol w:w="2551"/>
      </w:tblGrid>
      <w:tr w:rsidR="006D78E8" w:rsidRPr="00E345E9" w14:paraId="4A405228" w14:textId="736BEB07" w:rsidTr="00255AB5">
        <w:trPr>
          <w:trHeight w:val="315"/>
          <w:jc w:val="center"/>
        </w:trPr>
        <w:tc>
          <w:tcPr>
            <w:tcW w:w="2049" w:type="dxa"/>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14:paraId="554AAE1A" w14:textId="5B4A65A0" w:rsidR="006D78E8" w:rsidRPr="00E345E9" w:rsidRDefault="006D78E8" w:rsidP="00255AB5">
            <w:pPr>
              <w:spacing w:line="312" w:lineRule="auto"/>
              <w:jc w:val="center"/>
              <w:rPr>
                <w:rFonts w:cs="Arial"/>
                <w:b/>
                <w:bCs/>
                <w:color w:val="000000"/>
                <w:sz w:val="16"/>
                <w:szCs w:val="16"/>
                <w:lang w:val="es-ES" w:eastAsia="es-ES_tradnl"/>
              </w:rPr>
            </w:pPr>
            <w:r w:rsidRPr="00E345E9">
              <w:rPr>
                <w:rFonts w:cs="Arial"/>
                <w:b/>
                <w:bCs/>
                <w:color w:val="000000"/>
                <w:sz w:val="16"/>
                <w:szCs w:val="16"/>
                <w:lang w:val="es-ES" w:eastAsia="es-ES_tradnl"/>
              </w:rPr>
              <w:t>VIP PIRINEOS</w:t>
            </w:r>
            <w:r w:rsidRPr="00E345E9">
              <w:rPr>
                <w:rFonts w:cs="Arial"/>
                <w:b/>
                <w:bCs/>
                <w:color w:val="000000"/>
                <w:sz w:val="16"/>
                <w:szCs w:val="16"/>
                <w:lang w:val="es-ES" w:eastAsia="es-ES_tradnl"/>
              </w:rPr>
              <w:br/>
              <w:t xml:space="preserve"> (FR-</w:t>
            </w:r>
            <w:r w:rsidR="00255AB5" w:rsidRPr="00E345E9">
              <w:rPr>
                <w:rFonts w:cs="Arial"/>
                <w:b/>
                <w:bCs/>
                <w:color w:val="000000"/>
                <w:sz w:val="16"/>
                <w:szCs w:val="16"/>
                <w:lang w:val="es-ES" w:eastAsia="es-ES_tradnl"/>
              </w:rPr>
              <w:t>ES</w:t>
            </w:r>
            <w:r w:rsidRPr="00E345E9">
              <w:rPr>
                <w:rFonts w:cs="Arial"/>
                <w:b/>
                <w:bCs/>
                <w:color w:val="000000"/>
                <w:sz w:val="16"/>
                <w:szCs w:val="16"/>
                <w:lang w:val="es-ES" w:eastAsia="es-ES_tradnl"/>
              </w:rPr>
              <w:t>)</w:t>
            </w:r>
            <w:r w:rsidRPr="00E345E9">
              <w:rPr>
                <w:rFonts w:cs="Arial"/>
                <w:b/>
                <w:bCs/>
                <w:color w:val="000000"/>
                <w:sz w:val="16"/>
                <w:szCs w:val="16"/>
                <w:lang w:val="es-ES" w:eastAsia="es-ES_tradnl"/>
              </w:rPr>
              <w:br/>
              <w:t>GWh/d</w:t>
            </w:r>
          </w:p>
        </w:tc>
        <w:tc>
          <w:tcPr>
            <w:tcW w:w="6456"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2451E6" w14:textId="634A2585" w:rsidR="006D78E8" w:rsidRPr="00E345E9" w:rsidRDefault="006D78E8" w:rsidP="00255AB5">
            <w:pPr>
              <w:spacing w:line="312" w:lineRule="auto"/>
              <w:jc w:val="center"/>
              <w:rPr>
                <w:rFonts w:cs="Arial"/>
                <w:b/>
                <w:bCs/>
                <w:color w:val="000000"/>
                <w:sz w:val="16"/>
                <w:szCs w:val="16"/>
                <w:lang w:val="es-ES_tradnl" w:eastAsia="es-ES_tradnl"/>
              </w:rPr>
            </w:pPr>
            <w:r w:rsidRPr="00E345E9">
              <w:rPr>
                <w:rFonts w:cs="Arial"/>
                <w:b/>
                <w:bCs/>
                <w:color w:val="000000"/>
                <w:sz w:val="16"/>
                <w:szCs w:val="16"/>
                <w:lang w:val="es-ES_tradnl" w:eastAsia="es-ES_tradnl"/>
              </w:rPr>
              <w:t>Spanish side</w:t>
            </w:r>
          </w:p>
        </w:tc>
      </w:tr>
      <w:tr w:rsidR="006D78E8" w:rsidRPr="00E345E9" w14:paraId="41A602D7" w14:textId="22669CD4" w:rsidTr="00255AB5">
        <w:trPr>
          <w:trHeight w:val="650"/>
          <w:jc w:val="center"/>
        </w:trPr>
        <w:tc>
          <w:tcPr>
            <w:tcW w:w="2049" w:type="dxa"/>
            <w:vMerge/>
            <w:tcBorders>
              <w:top w:val="single" w:sz="8" w:space="0" w:color="auto"/>
              <w:left w:val="single" w:sz="8" w:space="0" w:color="auto"/>
              <w:bottom w:val="single" w:sz="8" w:space="0" w:color="000000"/>
              <w:right w:val="single" w:sz="8" w:space="0" w:color="auto"/>
            </w:tcBorders>
            <w:vAlign w:val="center"/>
            <w:hideMark/>
          </w:tcPr>
          <w:p w14:paraId="209C9A48" w14:textId="77777777" w:rsidR="006D78E8" w:rsidRPr="00E345E9" w:rsidRDefault="006D78E8" w:rsidP="00255AB5">
            <w:pPr>
              <w:spacing w:line="312" w:lineRule="auto"/>
              <w:jc w:val="left"/>
              <w:rPr>
                <w:rFonts w:cs="Arial"/>
                <w:b/>
                <w:bCs/>
                <w:color w:val="000000"/>
                <w:sz w:val="16"/>
                <w:szCs w:val="16"/>
                <w:lang w:val="es-ES_tradnl" w:eastAsia="es-ES_tradnl"/>
              </w:rPr>
            </w:pPr>
          </w:p>
        </w:tc>
        <w:tc>
          <w:tcPr>
            <w:tcW w:w="1637"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32D77627" w14:textId="702FE29D" w:rsidR="006D78E8" w:rsidRPr="00E345E9" w:rsidRDefault="006D78E8" w:rsidP="00255AB5">
            <w:pPr>
              <w:spacing w:line="312" w:lineRule="auto"/>
              <w:jc w:val="center"/>
              <w:rPr>
                <w:rFonts w:cs="Arial"/>
                <w:color w:val="000000"/>
                <w:sz w:val="16"/>
                <w:szCs w:val="16"/>
                <w:lang w:val="en-US" w:eastAsia="es-ES_tradnl"/>
              </w:rPr>
            </w:pPr>
            <w:r w:rsidRPr="00E345E9">
              <w:rPr>
                <w:rFonts w:cs="Arial"/>
                <w:color w:val="000000"/>
                <w:sz w:val="16"/>
                <w:szCs w:val="16"/>
                <w:lang w:val="en-US" w:eastAsia="es-ES_tradnl"/>
              </w:rPr>
              <w:t>Days with Interruptible Capacity bookings</w:t>
            </w:r>
          </w:p>
        </w:tc>
        <w:tc>
          <w:tcPr>
            <w:tcW w:w="2268"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0EDC8046" w14:textId="23DD8DA1" w:rsidR="006D78E8" w:rsidRPr="00E345E9" w:rsidRDefault="006D78E8" w:rsidP="00255AB5">
            <w:pPr>
              <w:spacing w:line="312" w:lineRule="auto"/>
              <w:jc w:val="center"/>
              <w:rPr>
                <w:rFonts w:cs="Arial"/>
                <w:color w:val="000000"/>
                <w:sz w:val="16"/>
                <w:szCs w:val="16"/>
                <w:lang w:val="es-ES_tradnl" w:eastAsia="es-ES_tradnl"/>
              </w:rPr>
            </w:pPr>
            <w:r w:rsidRPr="00E345E9">
              <w:rPr>
                <w:rFonts w:cs="Arial"/>
                <w:color w:val="000000"/>
                <w:sz w:val="16"/>
                <w:szCs w:val="16"/>
                <w:lang w:val="es-ES_tradnl" w:eastAsia="es-ES_tradnl"/>
              </w:rPr>
              <w:t xml:space="preserve">Maximum Interruptible capacity booked </w:t>
            </w:r>
          </w:p>
        </w:tc>
        <w:tc>
          <w:tcPr>
            <w:tcW w:w="2551" w:type="dxa"/>
            <w:tcBorders>
              <w:top w:val="single" w:sz="4" w:space="0" w:color="auto"/>
              <w:left w:val="single" w:sz="8" w:space="0" w:color="auto"/>
              <w:bottom w:val="single" w:sz="8" w:space="0" w:color="000000"/>
              <w:right w:val="single" w:sz="8" w:space="0" w:color="auto"/>
            </w:tcBorders>
          </w:tcPr>
          <w:p w14:paraId="559B344D" w14:textId="0AD89485" w:rsidR="006D78E8" w:rsidRPr="00E345E9" w:rsidRDefault="006D78E8" w:rsidP="00255AB5">
            <w:pPr>
              <w:spacing w:line="312" w:lineRule="auto"/>
              <w:jc w:val="center"/>
              <w:rPr>
                <w:rFonts w:cs="Arial"/>
                <w:color w:val="000000"/>
                <w:sz w:val="16"/>
                <w:szCs w:val="16"/>
                <w:lang w:val="es-ES_tradnl" w:eastAsia="es-ES_tradnl"/>
              </w:rPr>
            </w:pPr>
            <w:r w:rsidRPr="00E345E9">
              <w:rPr>
                <w:rFonts w:cs="Arial"/>
                <w:color w:val="000000"/>
                <w:sz w:val="16"/>
                <w:szCs w:val="16"/>
                <w:lang w:val="es-ES_tradnl" w:eastAsia="es-ES_tradnl"/>
              </w:rPr>
              <w:t>Maximum vs Technical capacity</w:t>
            </w:r>
          </w:p>
        </w:tc>
      </w:tr>
      <w:tr w:rsidR="006D78E8" w:rsidRPr="00E345E9" w14:paraId="7AAE7503" w14:textId="3E324C28" w:rsidTr="00255AB5">
        <w:trPr>
          <w:trHeight w:val="315"/>
          <w:jc w:val="center"/>
        </w:trPr>
        <w:tc>
          <w:tcPr>
            <w:tcW w:w="2049" w:type="dxa"/>
            <w:tcBorders>
              <w:top w:val="nil"/>
              <w:left w:val="single" w:sz="8" w:space="0" w:color="auto"/>
              <w:bottom w:val="single" w:sz="8" w:space="0" w:color="auto"/>
              <w:right w:val="single" w:sz="8" w:space="0" w:color="auto"/>
            </w:tcBorders>
            <w:shd w:val="clear" w:color="000000" w:fill="007AAE"/>
            <w:noWrap/>
            <w:vAlign w:val="center"/>
            <w:hideMark/>
          </w:tcPr>
          <w:p w14:paraId="18C7DC82" w14:textId="77777777" w:rsidR="006D78E8" w:rsidRPr="00E345E9" w:rsidRDefault="006D78E8" w:rsidP="00255AB5">
            <w:pPr>
              <w:spacing w:line="312" w:lineRule="auto"/>
              <w:jc w:val="center"/>
              <w:rPr>
                <w:rFonts w:ascii="Calibri" w:hAnsi="Calibri" w:cs="Calibri"/>
                <w:b/>
                <w:bCs/>
                <w:color w:val="FFFFFF"/>
                <w:sz w:val="16"/>
                <w:szCs w:val="16"/>
                <w:lang w:val="es-ES_tradnl" w:eastAsia="es-ES_tradnl"/>
              </w:rPr>
            </w:pPr>
            <w:r w:rsidRPr="00E345E9">
              <w:rPr>
                <w:rFonts w:ascii="Calibri" w:hAnsi="Calibri" w:cs="Calibri"/>
                <w:b/>
                <w:bCs/>
                <w:color w:val="FFFFFF"/>
                <w:sz w:val="16"/>
                <w:szCs w:val="16"/>
                <w:lang w:val="es-ES_tradnl" w:eastAsia="es-ES_tradnl"/>
              </w:rPr>
              <w:t>2016</w:t>
            </w:r>
          </w:p>
        </w:tc>
        <w:tc>
          <w:tcPr>
            <w:tcW w:w="1637" w:type="dxa"/>
            <w:tcBorders>
              <w:top w:val="nil"/>
              <w:left w:val="nil"/>
              <w:bottom w:val="single" w:sz="8" w:space="0" w:color="auto"/>
              <w:right w:val="single" w:sz="8" w:space="0" w:color="auto"/>
            </w:tcBorders>
            <w:shd w:val="clear" w:color="auto" w:fill="auto"/>
            <w:noWrap/>
            <w:vAlign w:val="center"/>
          </w:tcPr>
          <w:p w14:paraId="46631801" w14:textId="64CAC85F" w:rsidR="006D78E8" w:rsidRPr="00E345E9" w:rsidRDefault="00881197" w:rsidP="00255AB5">
            <w:pPr>
              <w:spacing w:line="312" w:lineRule="auto"/>
              <w:jc w:val="center"/>
              <w:rPr>
                <w:rFonts w:cs="Arial"/>
                <w:color w:val="000000"/>
                <w:sz w:val="16"/>
                <w:szCs w:val="16"/>
                <w:lang w:val="es-ES_tradnl" w:eastAsia="es-ES_tradnl"/>
              </w:rPr>
            </w:pPr>
            <w:r w:rsidRPr="00E345E9">
              <w:rPr>
                <w:rFonts w:cs="Arial"/>
                <w:color w:val="000000"/>
                <w:sz w:val="16"/>
                <w:szCs w:val="16"/>
                <w:lang w:val="es-ES_tradnl" w:eastAsia="es-ES_tradnl"/>
              </w:rPr>
              <w:t>0</w:t>
            </w:r>
          </w:p>
        </w:tc>
        <w:tc>
          <w:tcPr>
            <w:tcW w:w="2268" w:type="dxa"/>
            <w:tcBorders>
              <w:top w:val="nil"/>
              <w:left w:val="nil"/>
              <w:bottom w:val="single" w:sz="8" w:space="0" w:color="auto"/>
              <w:right w:val="single" w:sz="8" w:space="0" w:color="auto"/>
            </w:tcBorders>
            <w:shd w:val="clear" w:color="auto" w:fill="auto"/>
            <w:noWrap/>
            <w:vAlign w:val="center"/>
          </w:tcPr>
          <w:p w14:paraId="629CC1B7" w14:textId="5E9017E6" w:rsidR="006D78E8" w:rsidRPr="00E345E9" w:rsidRDefault="00881197" w:rsidP="00255AB5">
            <w:pPr>
              <w:spacing w:line="312" w:lineRule="auto"/>
              <w:jc w:val="center"/>
              <w:rPr>
                <w:rFonts w:cs="Arial"/>
                <w:color w:val="000000"/>
                <w:sz w:val="16"/>
                <w:szCs w:val="16"/>
                <w:lang w:val="es-ES_tradnl" w:eastAsia="es-ES_tradnl"/>
              </w:rPr>
            </w:pPr>
            <w:r w:rsidRPr="00E345E9">
              <w:rPr>
                <w:rFonts w:cs="Arial"/>
                <w:sz w:val="16"/>
                <w:szCs w:val="20"/>
              </w:rPr>
              <w:t>0</w:t>
            </w:r>
          </w:p>
        </w:tc>
        <w:tc>
          <w:tcPr>
            <w:tcW w:w="2551" w:type="dxa"/>
            <w:tcBorders>
              <w:top w:val="nil"/>
              <w:left w:val="nil"/>
              <w:bottom w:val="single" w:sz="8" w:space="0" w:color="auto"/>
              <w:right w:val="single" w:sz="8" w:space="0" w:color="auto"/>
            </w:tcBorders>
            <w:vAlign w:val="center"/>
          </w:tcPr>
          <w:p w14:paraId="2AA080BC" w14:textId="4B4706AA" w:rsidR="006D78E8" w:rsidRPr="00E345E9" w:rsidRDefault="00881197" w:rsidP="00255AB5">
            <w:pPr>
              <w:spacing w:line="312" w:lineRule="auto"/>
              <w:jc w:val="center"/>
              <w:rPr>
                <w:rFonts w:cs="Arial"/>
                <w:sz w:val="16"/>
                <w:szCs w:val="20"/>
              </w:rPr>
            </w:pPr>
            <w:r w:rsidRPr="00E345E9">
              <w:rPr>
                <w:rFonts w:cs="Arial"/>
                <w:sz w:val="16"/>
                <w:szCs w:val="20"/>
              </w:rPr>
              <w:t>0</w:t>
            </w:r>
            <w:r w:rsidR="006D78E8" w:rsidRPr="00E345E9">
              <w:rPr>
                <w:rFonts w:cs="Arial"/>
                <w:sz w:val="16"/>
                <w:szCs w:val="20"/>
              </w:rPr>
              <w:t>%</w:t>
            </w:r>
          </w:p>
        </w:tc>
      </w:tr>
      <w:tr w:rsidR="006D78E8" w:rsidRPr="00E345E9" w14:paraId="2B09D2F5" w14:textId="6A777CD8" w:rsidTr="00255AB5">
        <w:trPr>
          <w:trHeight w:val="315"/>
          <w:jc w:val="center"/>
        </w:trPr>
        <w:tc>
          <w:tcPr>
            <w:tcW w:w="2049" w:type="dxa"/>
            <w:tcBorders>
              <w:top w:val="nil"/>
              <w:left w:val="single" w:sz="8" w:space="0" w:color="auto"/>
              <w:bottom w:val="single" w:sz="8" w:space="0" w:color="auto"/>
              <w:right w:val="single" w:sz="8" w:space="0" w:color="auto"/>
            </w:tcBorders>
            <w:shd w:val="clear" w:color="000000" w:fill="007AAE"/>
            <w:noWrap/>
            <w:vAlign w:val="center"/>
            <w:hideMark/>
          </w:tcPr>
          <w:p w14:paraId="11CBDE44" w14:textId="77777777" w:rsidR="006D78E8" w:rsidRPr="00E345E9" w:rsidRDefault="006D78E8" w:rsidP="00255AB5">
            <w:pPr>
              <w:spacing w:line="312" w:lineRule="auto"/>
              <w:jc w:val="center"/>
              <w:rPr>
                <w:rFonts w:ascii="Calibri" w:hAnsi="Calibri" w:cs="Calibri"/>
                <w:b/>
                <w:bCs/>
                <w:color w:val="FFFFFF"/>
                <w:sz w:val="16"/>
                <w:szCs w:val="16"/>
                <w:lang w:val="es-ES_tradnl" w:eastAsia="es-ES_tradnl"/>
              </w:rPr>
            </w:pPr>
            <w:r w:rsidRPr="00E345E9">
              <w:rPr>
                <w:rFonts w:ascii="Calibri" w:hAnsi="Calibri" w:cs="Calibri"/>
                <w:b/>
                <w:bCs/>
                <w:color w:val="FFFFFF"/>
                <w:sz w:val="16"/>
                <w:szCs w:val="16"/>
                <w:lang w:val="es-ES_tradnl" w:eastAsia="es-ES_tradnl"/>
              </w:rPr>
              <w:t>2017</w:t>
            </w:r>
          </w:p>
        </w:tc>
        <w:tc>
          <w:tcPr>
            <w:tcW w:w="1637" w:type="dxa"/>
            <w:tcBorders>
              <w:top w:val="nil"/>
              <w:left w:val="nil"/>
              <w:bottom w:val="single" w:sz="8" w:space="0" w:color="auto"/>
              <w:right w:val="single" w:sz="8" w:space="0" w:color="auto"/>
            </w:tcBorders>
            <w:shd w:val="clear" w:color="auto" w:fill="auto"/>
            <w:noWrap/>
            <w:vAlign w:val="center"/>
          </w:tcPr>
          <w:p w14:paraId="551A9904" w14:textId="195B133A" w:rsidR="006D78E8" w:rsidRPr="00E345E9" w:rsidRDefault="00881197" w:rsidP="00255AB5">
            <w:pPr>
              <w:spacing w:line="312" w:lineRule="auto"/>
              <w:jc w:val="center"/>
              <w:rPr>
                <w:rFonts w:cs="Arial"/>
                <w:color w:val="000000"/>
                <w:sz w:val="16"/>
                <w:szCs w:val="16"/>
                <w:lang w:val="es-ES_tradnl" w:eastAsia="es-ES_tradnl"/>
              </w:rPr>
            </w:pPr>
            <w:r w:rsidRPr="00E345E9">
              <w:rPr>
                <w:rFonts w:cs="Arial"/>
                <w:color w:val="000000"/>
                <w:sz w:val="16"/>
                <w:szCs w:val="16"/>
                <w:lang w:val="es-ES_tradnl" w:eastAsia="es-ES_tradnl"/>
              </w:rPr>
              <w:t>1</w:t>
            </w:r>
          </w:p>
        </w:tc>
        <w:tc>
          <w:tcPr>
            <w:tcW w:w="2268" w:type="dxa"/>
            <w:tcBorders>
              <w:top w:val="nil"/>
              <w:left w:val="nil"/>
              <w:bottom w:val="single" w:sz="8" w:space="0" w:color="auto"/>
              <w:right w:val="single" w:sz="8" w:space="0" w:color="auto"/>
            </w:tcBorders>
            <w:shd w:val="clear" w:color="auto" w:fill="auto"/>
            <w:noWrap/>
            <w:vAlign w:val="center"/>
          </w:tcPr>
          <w:p w14:paraId="786CFEC6" w14:textId="46154281" w:rsidR="006D78E8" w:rsidRPr="00E345E9" w:rsidRDefault="00881197" w:rsidP="00255AB5">
            <w:pPr>
              <w:spacing w:line="312" w:lineRule="auto"/>
              <w:jc w:val="center"/>
              <w:rPr>
                <w:rFonts w:cs="Arial"/>
                <w:color w:val="000000"/>
                <w:sz w:val="16"/>
                <w:szCs w:val="16"/>
                <w:lang w:val="es-ES_tradnl" w:eastAsia="es-ES_tradnl"/>
              </w:rPr>
            </w:pPr>
            <w:r w:rsidRPr="00E345E9">
              <w:rPr>
                <w:rFonts w:cs="Arial"/>
                <w:sz w:val="16"/>
                <w:szCs w:val="20"/>
              </w:rPr>
              <w:t>2</w:t>
            </w:r>
            <w:r w:rsidR="00255AB5" w:rsidRPr="00E345E9">
              <w:rPr>
                <w:rFonts w:cs="Arial"/>
                <w:sz w:val="16"/>
                <w:szCs w:val="20"/>
              </w:rPr>
              <w:t>.</w:t>
            </w:r>
            <w:r w:rsidRPr="00E345E9">
              <w:rPr>
                <w:rFonts w:cs="Arial"/>
                <w:sz w:val="16"/>
                <w:szCs w:val="20"/>
              </w:rPr>
              <w:t>63</w:t>
            </w:r>
          </w:p>
        </w:tc>
        <w:tc>
          <w:tcPr>
            <w:tcW w:w="2551" w:type="dxa"/>
            <w:tcBorders>
              <w:top w:val="nil"/>
              <w:left w:val="nil"/>
              <w:bottom w:val="single" w:sz="8" w:space="0" w:color="auto"/>
              <w:right w:val="single" w:sz="8" w:space="0" w:color="auto"/>
            </w:tcBorders>
            <w:vAlign w:val="center"/>
          </w:tcPr>
          <w:p w14:paraId="04FD4E6D" w14:textId="03C77526" w:rsidR="006D78E8" w:rsidRPr="00E345E9" w:rsidRDefault="00881197" w:rsidP="00255AB5">
            <w:pPr>
              <w:spacing w:line="312" w:lineRule="auto"/>
              <w:jc w:val="center"/>
              <w:rPr>
                <w:rFonts w:cs="Arial"/>
                <w:sz w:val="16"/>
                <w:szCs w:val="20"/>
              </w:rPr>
            </w:pPr>
            <w:r w:rsidRPr="00E345E9">
              <w:rPr>
                <w:rFonts w:cs="Arial"/>
                <w:sz w:val="16"/>
                <w:szCs w:val="20"/>
              </w:rPr>
              <w:t>1</w:t>
            </w:r>
            <w:r w:rsidR="00255AB5" w:rsidRPr="00E345E9">
              <w:rPr>
                <w:rFonts w:cs="Arial"/>
                <w:sz w:val="16"/>
                <w:szCs w:val="20"/>
              </w:rPr>
              <w:t>.</w:t>
            </w:r>
            <w:r w:rsidRPr="00E345E9">
              <w:rPr>
                <w:rFonts w:cs="Arial"/>
                <w:sz w:val="16"/>
                <w:szCs w:val="20"/>
              </w:rPr>
              <w:t>2</w:t>
            </w:r>
            <w:r w:rsidR="006D78E8" w:rsidRPr="00E345E9">
              <w:rPr>
                <w:rFonts w:cs="Arial"/>
                <w:sz w:val="16"/>
                <w:szCs w:val="20"/>
              </w:rPr>
              <w:t>%</w:t>
            </w:r>
          </w:p>
        </w:tc>
      </w:tr>
      <w:tr w:rsidR="006D78E8" w:rsidRPr="00E345E9" w14:paraId="666C9C72" w14:textId="04B66AEA" w:rsidTr="00255AB5">
        <w:trPr>
          <w:trHeight w:val="315"/>
          <w:jc w:val="center"/>
        </w:trPr>
        <w:tc>
          <w:tcPr>
            <w:tcW w:w="2049" w:type="dxa"/>
            <w:tcBorders>
              <w:top w:val="nil"/>
              <w:left w:val="single" w:sz="8" w:space="0" w:color="auto"/>
              <w:bottom w:val="single" w:sz="8" w:space="0" w:color="auto"/>
              <w:right w:val="single" w:sz="8" w:space="0" w:color="auto"/>
            </w:tcBorders>
            <w:shd w:val="clear" w:color="000000" w:fill="007AAE"/>
            <w:noWrap/>
            <w:vAlign w:val="center"/>
            <w:hideMark/>
          </w:tcPr>
          <w:p w14:paraId="32EED586" w14:textId="77777777" w:rsidR="006D78E8" w:rsidRPr="00E345E9" w:rsidRDefault="006D78E8" w:rsidP="00255AB5">
            <w:pPr>
              <w:spacing w:line="312" w:lineRule="auto"/>
              <w:jc w:val="center"/>
              <w:rPr>
                <w:rFonts w:ascii="Calibri" w:hAnsi="Calibri" w:cs="Calibri"/>
                <w:b/>
                <w:bCs/>
                <w:color w:val="FFFFFF"/>
                <w:sz w:val="16"/>
                <w:szCs w:val="16"/>
                <w:lang w:val="es-ES_tradnl" w:eastAsia="es-ES_tradnl"/>
              </w:rPr>
            </w:pPr>
            <w:r w:rsidRPr="00E345E9">
              <w:rPr>
                <w:rFonts w:ascii="Calibri" w:hAnsi="Calibri" w:cs="Calibri"/>
                <w:b/>
                <w:bCs/>
                <w:color w:val="FFFFFF"/>
                <w:sz w:val="16"/>
                <w:szCs w:val="16"/>
                <w:lang w:val="es-ES_tradnl" w:eastAsia="es-ES_tradnl"/>
              </w:rPr>
              <w:t>2018</w:t>
            </w:r>
          </w:p>
        </w:tc>
        <w:tc>
          <w:tcPr>
            <w:tcW w:w="1637" w:type="dxa"/>
            <w:tcBorders>
              <w:top w:val="nil"/>
              <w:left w:val="nil"/>
              <w:bottom w:val="single" w:sz="8" w:space="0" w:color="auto"/>
              <w:right w:val="single" w:sz="8" w:space="0" w:color="auto"/>
            </w:tcBorders>
            <w:shd w:val="clear" w:color="auto" w:fill="auto"/>
            <w:noWrap/>
            <w:vAlign w:val="center"/>
          </w:tcPr>
          <w:p w14:paraId="0F824B53" w14:textId="70877432" w:rsidR="006D78E8" w:rsidRPr="00E345E9" w:rsidRDefault="00881197" w:rsidP="00255AB5">
            <w:pPr>
              <w:spacing w:line="312" w:lineRule="auto"/>
              <w:jc w:val="center"/>
              <w:rPr>
                <w:rFonts w:cs="Arial"/>
                <w:color w:val="000000"/>
                <w:sz w:val="16"/>
                <w:szCs w:val="16"/>
                <w:lang w:val="es-ES_tradnl" w:eastAsia="es-ES_tradnl"/>
              </w:rPr>
            </w:pPr>
            <w:r w:rsidRPr="00E345E9">
              <w:rPr>
                <w:rFonts w:cs="Arial"/>
                <w:color w:val="000000"/>
                <w:sz w:val="16"/>
                <w:szCs w:val="16"/>
                <w:lang w:val="es-ES_tradnl" w:eastAsia="es-ES_tradnl"/>
              </w:rPr>
              <w:t>20</w:t>
            </w:r>
          </w:p>
        </w:tc>
        <w:tc>
          <w:tcPr>
            <w:tcW w:w="2268" w:type="dxa"/>
            <w:tcBorders>
              <w:top w:val="nil"/>
              <w:left w:val="nil"/>
              <w:bottom w:val="single" w:sz="8" w:space="0" w:color="auto"/>
              <w:right w:val="single" w:sz="8" w:space="0" w:color="auto"/>
            </w:tcBorders>
            <w:shd w:val="clear" w:color="auto" w:fill="auto"/>
            <w:noWrap/>
            <w:vAlign w:val="center"/>
          </w:tcPr>
          <w:p w14:paraId="14907A3C" w14:textId="0446A7B7" w:rsidR="006D78E8" w:rsidRPr="00E345E9" w:rsidRDefault="00881197" w:rsidP="00255AB5">
            <w:pPr>
              <w:spacing w:line="312" w:lineRule="auto"/>
              <w:jc w:val="center"/>
              <w:rPr>
                <w:rFonts w:cs="Arial"/>
                <w:color w:val="000000"/>
                <w:sz w:val="16"/>
                <w:szCs w:val="16"/>
                <w:lang w:val="es-ES_tradnl" w:eastAsia="es-ES_tradnl"/>
              </w:rPr>
            </w:pPr>
            <w:r w:rsidRPr="00E345E9">
              <w:rPr>
                <w:rFonts w:cs="Arial"/>
                <w:sz w:val="16"/>
                <w:szCs w:val="20"/>
              </w:rPr>
              <w:t>20</w:t>
            </w:r>
            <w:r w:rsidR="00255AB5" w:rsidRPr="00E345E9">
              <w:rPr>
                <w:rFonts w:cs="Arial"/>
                <w:sz w:val="16"/>
                <w:szCs w:val="20"/>
              </w:rPr>
              <w:t>.</w:t>
            </w:r>
            <w:r w:rsidRPr="00E345E9">
              <w:rPr>
                <w:rFonts w:cs="Arial"/>
                <w:sz w:val="16"/>
                <w:szCs w:val="20"/>
              </w:rPr>
              <w:t>97</w:t>
            </w:r>
          </w:p>
        </w:tc>
        <w:tc>
          <w:tcPr>
            <w:tcW w:w="2551" w:type="dxa"/>
            <w:tcBorders>
              <w:top w:val="nil"/>
              <w:left w:val="nil"/>
              <w:bottom w:val="single" w:sz="8" w:space="0" w:color="auto"/>
              <w:right w:val="single" w:sz="8" w:space="0" w:color="auto"/>
            </w:tcBorders>
            <w:vAlign w:val="center"/>
          </w:tcPr>
          <w:p w14:paraId="65305924" w14:textId="01C80179" w:rsidR="006D78E8" w:rsidRPr="00E345E9" w:rsidRDefault="00881197" w:rsidP="00255AB5">
            <w:pPr>
              <w:spacing w:line="312" w:lineRule="auto"/>
              <w:jc w:val="center"/>
              <w:rPr>
                <w:rFonts w:cs="Arial"/>
                <w:sz w:val="16"/>
                <w:szCs w:val="20"/>
              </w:rPr>
            </w:pPr>
            <w:r w:rsidRPr="00E345E9">
              <w:rPr>
                <w:rFonts w:cs="Arial"/>
                <w:sz w:val="16"/>
                <w:szCs w:val="20"/>
              </w:rPr>
              <w:t>9</w:t>
            </w:r>
            <w:r w:rsidR="00255AB5" w:rsidRPr="00E345E9">
              <w:rPr>
                <w:rFonts w:cs="Arial"/>
                <w:sz w:val="16"/>
                <w:szCs w:val="20"/>
              </w:rPr>
              <w:t>.</w:t>
            </w:r>
            <w:r w:rsidRPr="00E345E9">
              <w:rPr>
                <w:rFonts w:cs="Arial"/>
                <w:sz w:val="16"/>
                <w:szCs w:val="20"/>
              </w:rPr>
              <w:t>3</w:t>
            </w:r>
            <w:r w:rsidR="006D78E8" w:rsidRPr="00E345E9">
              <w:rPr>
                <w:rFonts w:cs="Arial"/>
                <w:sz w:val="16"/>
                <w:szCs w:val="20"/>
              </w:rPr>
              <w:t>%</w:t>
            </w:r>
          </w:p>
        </w:tc>
      </w:tr>
    </w:tbl>
    <w:p w14:paraId="0BDAA67C" w14:textId="56187A5C" w:rsidR="00CA2A90" w:rsidRPr="00E345E9" w:rsidRDefault="00417EF5" w:rsidP="00255AB5">
      <w:pPr>
        <w:spacing w:line="312" w:lineRule="auto"/>
        <w:rPr>
          <w:rFonts w:cs="Arial"/>
          <w:color w:val="000000" w:themeColor="text1"/>
          <w:szCs w:val="22"/>
          <w:lang w:val="en-GB"/>
        </w:rPr>
      </w:pPr>
      <w:r w:rsidRPr="00E345E9">
        <w:rPr>
          <w:lang w:val="en-US" w:eastAsia="ja-JP"/>
        </w:rPr>
        <w:t xml:space="preserve">As it can be seen, there have been interruptible capacity bookings for each gas year of the studied period. The highest peak was registered on </w:t>
      </w:r>
      <w:r w:rsidR="00881197" w:rsidRPr="00E345E9">
        <w:rPr>
          <w:lang w:val="en-US" w:eastAsia="ja-JP"/>
        </w:rPr>
        <w:t>10</w:t>
      </w:r>
      <w:r w:rsidRPr="00E345E9">
        <w:rPr>
          <w:vertAlign w:val="superscript"/>
          <w:lang w:val="en-US" w:eastAsia="ja-JP"/>
        </w:rPr>
        <w:t>th</w:t>
      </w:r>
      <w:r w:rsidRPr="00E345E9">
        <w:rPr>
          <w:lang w:val="en-US" w:eastAsia="ja-JP"/>
        </w:rPr>
        <w:t xml:space="preserve"> of </w:t>
      </w:r>
      <w:r w:rsidR="00881197" w:rsidRPr="00E345E9">
        <w:rPr>
          <w:lang w:val="en-US" w:eastAsia="ja-JP"/>
        </w:rPr>
        <w:t>January</w:t>
      </w:r>
      <w:r w:rsidRPr="00E345E9">
        <w:rPr>
          <w:lang w:val="en-US" w:eastAsia="ja-JP"/>
        </w:rPr>
        <w:t xml:space="preserve">, 2018 gas year, </w:t>
      </w:r>
      <w:r w:rsidR="00C41DC6" w:rsidRPr="00E345E9">
        <w:rPr>
          <w:lang w:val="en-US" w:eastAsia="ja-JP"/>
        </w:rPr>
        <w:t xml:space="preserve">when interruptible capacity bookings ascended up to </w:t>
      </w:r>
      <w:r w:rsidR="00881197" w:rsidRPr="00E345E9">
        <w:rPr>
          <w:lang w:val="en-US" w:eastAsia="ja-JP"/>
        </w:rPr>
        <w:t>20</w:t>
      </w:r>
      <w:r w:rsidR="00255AB5" w:rsidRPr="00E345E9">
        <w:rPr>
          <w:lang w:val="en-US" w:eastAsia="ja-JP"/>
        </w:rPr>
        <w:t>.</w:t>
      </w:r>
      <w:r w:rsidR="00881197" w:rsidRPr="00E345E9">
        <w:rPr>
          <w:lang w:val="en-US" w:eastAsia="ja-JP"/>
        </w:rPr>
        <w:t>97</w:t>
      </w:r>
      <w:r w:rsidR="00C41DC6" w:rsidRPr="00E345E9">
        <w:rPr>
          <w:lang w:val="en-US" w:eastAsia="ja-JP"/>
        </w:rPr>
        <w:t xml:space="preserve"> GWh/d (</w:t>
      </w:r>
      <w:r w:rsidR="00D52FB1" w:rsidRPr="00E345E9">
        <w:rPr>
          <w:lang w:val="en-US" w:eastAsia="ja-JP"/>
        </w:rPr>
        <w:t>9</w:t>
      </w:r>
      <w:r w:rsidRPr="00E345E9">
        <w:rPr>
          <w:lang w:val="en-US" w:eastAsia="ja-JP"/>
        </w:rPr>
        <w:t>.3</w:t>
      </w:r>
      <w:r w:rsidR="00C41DC6" w:rsidRPr="00E345E9">
        <w:rPr>
          <w:lang w:val="en-US" w:eastAsia="ja-JP"/>
        </w:rPr>
        <w:t>% of technical firm capacity).</w:t>
      </w:r>
      <w:r w:rsidRPr="00E345E9">
        <w:rPr>
          <w:lang w:val="en-US" w:eastAsia="ja-JP"/>
        </w:rPr>
        <w:t xml:space="preserve"> The peak for</w:t>
      </w:r>
      <w:r w:rsidR="00D52FB1" w:rsidRPr="00E345E9">
        <w:rPr>
          <w:lang w:val="en-US" w:eastAsia="ja-JP"/>
        </w:rPr>
        <w:t xml:space="preserve"> the</w:t>
      </w:r>
      <w:r w:rsidRPr="00E345E9">
        <w:rPr>
          <w:lang w:val="en-US" w:eastAsia="ja-JP"/>
        </w:rPr>
        <w:t xml:space="preserve"> 2017 gas year w</w:t>
      </w:r>
      <w:r w:rsidR="00D52FB1" w:rsidRPr="00E345E9">
        <w:rPr>
          <w:lang w:val="en-US" w:eastAsia="ja-JP"/>
        </w:rPr>
        <w:t>as</w:t>
      </w:r>
      <w:r w:rsidRPr="00E345E9">
        <w:rPr>
          <w:lang w:val="en-US" w:eastAsia="ja-JP"/>
        </w:rPr>
        <w:t xml:space="preserve"> registered on 1</w:t>
      </w:r>
      <w:r w:rsidR="00D52FB1" w:rsidRPr="00E345E9">
        <w:rPr>
          <w:lang w:val="en-US" w:eastAsia="ja-JP"/>
        </w:rPr>
        <w:t>1</w:t>
      </w:r>
      <w:r w:rsidRPr="00E345E9">
        <w:rPr>
          <w:vertAlign w:val="superscript"/>
          <w:lang w:val="en-US" w:eastAsia="ja-JP"/>
        </w:rPr>
        <w:t>th</w:t>
      </w:r>
      <w:r w:rsidRPr="00E345E9">
        <w:rPr>
          <w:lang w:val="en-US" w:eastAsia="ja-JP"/>
        </w:rPr>
        <w:t xml:space="preserve"> of </w:t>
      </w:r>
      <w:r w:rsidR="00D52FB1" w:rsidRPr="00E345E9">
        <w:rPr>
          <w:lang w:val="en-US" w:eastAsia="ja-JP"/>
        </w:rPr>
        <w:t>November</w:t>
      </w:r>
      <w:r w:rsidR="00C41DC6" w:rsidRPr="00E345E9">
        <w:rPr>
          <w:lang w:val="en-US" w:eastAsia="ja-JP"/>
        </w:rPr>
        <w:t xml:space="preserve">. </w:t>
      </w:r>
    </w:p>
    <w:p w14:paraId="7EEA9FCC" w14:textId="54DC8F51" w:rsidR="000F0005" w:rsidRPr="00E345E9" w:rsidRDefault="000F0005" w:rsidP="00255AB5">
      <w:pPr>
        <w:pStyle w:val="Ttulo4"/>
        <w:spacing w:after="120" w:line="312" w:lineRule="auto"/>
      </w:pPr>
      <w:r w:rsidRPr="00E345E9">
        <w:t>South to North direction</w:t>
      </w:r>
    </w:p>
    <w:p w14:paraId="0A22A884" w14:textId="77777777" w:rsidR="000F0005" w:rsidRPr="00E345E9" w:rsidRDefault="000F0005" w:rsidP="00255AB5">
      <w:pPr>
        <w:spacing w:line="312" w:lineRule="auto"/>
        <w:rPr>
          <w:rFonts w:cs="Arial"/>
          <w:b/>
          <w:color w:val="000000" w:themeColor="text1"/>
          <w:szCs w:val="22"/>
          <w:u w:val="single"/>
          <w:lang w:val="en-GB"/>
        </w:rPr>
      </w:pPr>
      <w:r w:rsidRPr="00E345E9">
        <w:rPr>
          <w:rFonts w:cs="Arial"/>
          <w:b/>
          <w:color w:val="000000" w:themeColor="text1"/>
          <w:szCs w:val="22"/>
          <w:u w:val="single"/>
          <w:lang w:val="en-GB"/>
        </w:rPr>
        <w:t>French side</w:t>
      </w:r>
    </w:p>
    <w:p w14:paraId="19415E83" w14:textId="7CF0F827" w:rsidR="00E96E59" w:rsidRPr="00E345E9" w:rsidRDefault="00E96E59" w:rsidP="00255AB5">
      <w:pPr>
        <w:spacing w:line="312" w:lineRule="auto"/>
        <w:rPr>
          <w:rFonts w:cs="Arial"/>
          <w:color w:val="000000" w:themeColor="text1"/>
          <w:szCs w:val="22"/>
          <w:lang w:val="en-GB"/>
        </w:rPr>
      </w:pPr>
      <w:r w:rsidRPr="00E345E9">
        <w:rPr>
          <w:rFonts w:cs="Arial"/>
          <w:color w:val="000000" w:themeColor="text1"/>
          <w:szCs w:val="22"/>
          <w:lang w:val="en-GB"/>
        </w:rPr>
        <w:t>No interruptible capacity proposed on the French side.</w:t>
      </w:r>
    </w:p>
    <w:p w14:paraId="7BD3870D" w14:textId="442ECB31" w:rsidR="00E96E59" w:rsidRPr="00E345E9" w:rsidRDefault="00E96E59" w:rsidP="00255AB5">
      <w:pPr>
        <w:spacing w:line="312" w:lineRule="auto"/>
        <w:rPr>
          <w:rFonts w:cs="Arial"/>
          <w:color w:val="000000" w:themeColor="text1"/>
          <w:szCs w:val="22"/>
          <w:lang w:val="en-GB"/>
        </w:rPr>
      </w:pPr>
      <w:r w:rsidRPr="00E345E9">
        <w:rPr>
          <w:rFonts w:cs="Arial"/>
          <w:color w:val="000000" w:themeColor="text1"/>
          <w:szCs w:val="22"/>
          <w:lang w:val="en-GB"/>
        </w:rPr>
        <w:t>UBI (Use-it and Buy-it) available.</w:t>
      </w:r>
    </w:p>
    <w:p w14:paraId="6EA77F3B" w14:textId="77777777" w:rsidR="000F0005" w:rsidRPr="00E345E9" w:rsidRDefault="000F0005" w:rsidP="00255AB5">
      <w:pPr>
        <w:spacing w:line="312" w:lineRule="auto"/>
        <w:rPr>
          <w:rFonts w:cs="Arial"/>
          <w:b/>
          <w:color w:val="000000" w:themeColor="text1"/>
          <w:szCs w:val="22"/>
          <w:u w:val="single"/>
          <w:lang w:val="en-GB"/>
        </w:rPr>
      </w:pPr>
      <w:r w:rsidRPr="00E345E9">
        <w:rPr>
          <w:rFonts w:cs="Arial"/>
          <w:b/>
          <w:color w:val="000000" w:themeColor="text1"/>
          <w:szCs w:val="22"/>
          <w:u w:val="single"/>
          <w:lang w:val="en-GB"/>
        </w:rPr>
        <w:t>Spanish side</w:t>
      </w:r>
    </w:p>
    <w:p w14:paraId="4BA5D795" w14:textId="4A70D3CE" w:rsidR="00255AB5" w:rsidRPr="00E345E9" w:rsidRDefault="00816C81" w:rsidP="00255AB5">
      <w:pPr>
        <w:spacing w:line="312" w:lineRule="auto"/>
        <w:rPr>
          <w:rFonts w:cs="Arial"/>
          <w:b/>
          <w:color w:val="000000" w:themeColor="text1"/>
          <w:szCs w:val="22"/>
          <w:u w:val="single"/>
        </w:rPr>
      </w:pPr>
      <w:r w:rsidRPr="00E345E9">
        <w:rPr>
          <w:lang w:val="en-GB"/>
        </w:rPr>
        <w:t>The interruptible capacity offer follows the same methodology as the one described for the North to South direction on the Spanish side previously.</w:t>
      </w:r>
    </w:p>
    <w:p w14:paraId="0D759891" w14:textId="591BC3A9" w:rsidR="007617A3" w:rsidRPr="00E345E9" w:rsidRDefault="005B4AA2" w:rsidP="00255AB5">
      <w:pPr>
        <w:keepNext/>
        <w:spacing w:line="312" w:lineRule="auto"/>
      </w:pPr>
      <w:r w:rsidRPr="00E345E9">
        <w:rPr>
          <w:rFonts w:cs="Arial"/>
          <w:noProof/>
          <w:color w:val="000000" w:themeColor="text1"/>
          <w:szCs w:val="22"/>
          <w:lang w:val="es-ES" w:eastAsia="es-ES"/>
        </w:rPr>
        <w:drawing>
          <wp:inline distT="0" distB="0" distL="0" distR="0" wp14:anchorId="2C50E256" wp14:editId="7A316D84">
            <wp:extent cx="5723814" cy="284614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2246" cy="2860281"/>
                    </a:xfrm>
                    <a:prstGeom prst="rect">
                      <a:avLst/>
                    </a:prstGeom>
                    <a:noFill/>
                  </pic:spPr>
                </pic:pic>
              </a:graphicData>
            </a:graphic>
          </wp:inline>
        </w:drawing>
      </w:r>
    </w:p>
    <w:p w14:paraId="45DC5F59" w14:textId="12AECCA5" w:rsidR="007617A3" w:rsidRPr="00E345E9" w:rsidRDefault="007617A3" w:rsidP="00255AB5">
      <w:pPr>
        <w:pStyle w:val="Descripcin"/>
        <w:spacing w:before="240"/>
        <w:jc w:val="center"/>
        <w:rPr>
          <w:sz w:val="16"/>
          <w:lang w:val="en-US"/>
        </w:rPr>
      </w:pPr>
      <w:r w:rsidRPr="00E345E9">
        <w:rPr>
          <w:sz w:val="16"/>
          <w:lang w:val="en-US"/>
        </w:rPr>
        <w:t xml:space="preserve">Figure </w:t>
      </w:r>
      <w:r w:rsidRPr="00E345E9">
        <w:rPr>
          <w:sz w:val="16"/>
        </w:rPr>
        <w:fldChar w:fldCharType="begin"/>
      </w:r>
      <w:r w:rsidRPr="00E345E9">
        <w:rPr>
          <w:sz w:val="16"/>
          <w:lang w:val="en-US"/>
        </w:rPr>
        <w:instrText xml:space="preserve"> SEQ Figure \* ARABIC </w:instrText>
      </w:r>
      <w:r w:rsidRPr="00E345E9">
        <w:rPr>
          <w:sz w:val="16"/>
        </w:rPr>
        <w:fldChar w:fldCharType="separate"/>
      </w:r>
      <w:r w:rsidR="00E859C7">
        <w:rPr>
          <w:noProof/>
          <w:sz w:val="16"/>
          <w:lang w:val="en-US"/>
        </w:rPr>
        <w:t>32</w:t>
      </w:r>
      <w:r w:rsidRPr="00E345E9">
        <w:rPr>
          <w:sz w:val="16"/>
        </w:rPr>
        <w:fldChar w:fldCharType="end"/>
      </w:r>
      <w:r w:rsidRPr="00E345E9">
        <w:rPr>
          <w:sz w:val="16"/>
          <w:lang w:val="en-US"/>
        </w:rPr>
        <w:t xml:space="preserve">. </w:t>
      </w:r>
      <w:r w:rsidR="00FE2575" w:rsidRPr="00E345E9">
        <w:rPr>
          <w:sz w:val="16"/>
          <w:lang w:val="en-US"/>
        </w:rPr>
        <w:t>Interruptible</w:t>
      </w:r>
      <w:r w:rsidRPr="00E345E9">
        <w:rPr>
          <w:sz w:val="16"/>
          <w:lang w:val="en-US"/>
        </w:rPr>
        <w:t xml:space="preserve"> capacity booked on VIP Pirineos - Spain to France direction</w:t>
      </w:r>
    </w:p>
    <w:p w14:paraId="0DC48DC3" w14:textId="276FA186" w:rsidR="007617A3" w:rsidRPr="00E345E9" w:rsidRDefault="00C41DC6" w:rsidP="00255AB5">
      <w:pPr>
        <w:spacing w:line="312" w:lineRule="auto"/>
        <w:rPr>
          <w:lang w:val="en-US" w:eastAsia="ja-JP"/>
        </w:rPr>
      </w:pPr>
      <w:r w:rsidRPr="00E345E9">
        <w:rPr>
          <w:lang w:val="en-US" w:eastAsia="ja-JP"/>
        </w:rPr>
        <w:t>There w</w:t>
      </w:r>
      <w:r w:rsidR="005B4AA2" w:rsidRPr="00E345E9">
        <w:rPr>
          <w:lang w:val="en-US" w:eastAsia="ja-JP"/>
        </w:rPr>
        <w:t>as</w:t>
      </w:r>
      <w:r w:rsidRPr="00E345E9">
        <w:rPr>
          <w:lang w:val="en-US" w:eastAsia="ja-JP"/>
        </w:rPr>
        <w:t xml:space="preserve"> only </w:t>
      </w:r>
      <w:r w:rsidR="0018074B" w:rsidRPr="00E345E9">
        <w:rPr>
          <w:lang w:val="en-US" w:eastAsia="ja-JP"/>
        </w:rPr>
        <w:t>one</w:t>
      </w:r>
      <w:r w:rsidRPr="00E345E9">
        <w:rPr>
          <w:lang w:val="en-US" w:eastAsia="ja-JP"/>
        </w:rPr>
        <w:t xml:space="preserve"> day in 201</w:t>
      </w:r>
      <w:r w:rsidR="004434BD" w:rsidRPr="00E345E9">
        <w:rPr>
          <w:lang w:val="en-US" w:eastAsia="ja-JP"/>
        </w:rPr>
        <w:t>7 gas year</w:t>
      </w:r>
      <w:r w:rsidRPr="00E345E9">
        <w:rPr>
          <w:lang w:val="en-US" w:eastAsia="ja-JP"/>
        </w:rPr>
        <w:t xml:space="preserve"> in which interruptible capacity w</w:t>
      </w:r>
      <w:r w:rsidR="0018074B" w:rsidRPr="00E345E9">
        <w:rPr>
          <w:lang w:val="en-US" w:eastAsia="ja-JP"/>
        </w:rPr>
        <w:t>as</w:t>
      </w:r>
      <w:r w:rsidRPr="00E345E9">
        <w:rPr>
          <w:lang w:val="en-US" w:eastAsia="ja-JP"/>
        </w:rPr>
        <w:t xml:space="preserve"> booked: 2</w:t>
      </w:r>
      <w:r w:rsidRPr="00E345E9">
        <w:rPr>
          <w:vertAlign w:val="superscript"/>
          <w:lang w:val="en-US" w:eastAsia="ja-JP"/>
        </w:rPr>
        <w:t>nd</w:t>
      </w:r>
      <w:r w:rsidRPr="00E345E9">
        <w:rPr>
          <w:lang w:val="en-US" w:eastAsia="ja-JP"/>
        </w:rPr>
        <w:t xml:space="preserve"> of March 2018. </w:t>
      </w:r>
      <w:r w:rsidR="00772B66" w:rsidRPr="00E345E9">
        <w:rPr>
          <w:lang w:val="en-US" w:eastAsia="ja-JP"/>
        </w:rPr>
        <w:t xml:space="preserve">The peak </w:t>
      </w:r>
      <w:r w:rsidR="0018074B" w:rsidRPr="00E345E9">
        <w:rPr>
          <w:lang w:val="en-US" w:eastAsia="ja-JP"/>
        </w:rPr>
        <w:t>reached on</w:t>
      </w:r>
      <w:r w:rsidR="00772B66" w:rsidRPr="00E345E9">
        <w:rPr>
          <w:lang w:val="en-US" w:eastAsia="ja-JP"/>
        </w:rPr>
        <w:t xml:space="preserve"> when interruptible capacity </w:t>
      </w:r>
      <w:r w:rsidRPr="00E345E9">
        <w:rPr>
          <w:lang w:val="en-US" w:eastAsia="ja-JP"/>
        </w:rPr>
        <w:t xml:space="preserve">bookings </w:t>
      </w:r>
      <w:r w:rsidR="00772B66" w:rsidRPr="00E345E9">
        <w:rPr>
          <w:lang w:val="en-US" w:eastAsia="ja-JP"/>
        </w:rPr>
        <w:t xml:space="preserve">ascended up to </w:t>
      </w:r>
      <w:r w:rsidR="00523B08" w:rsidRPr="00E345E9">
        <w:rPr>
          <w:lang w:val="en-US" w:eastAsia="ja-JP"/>
        </w:rPr>
        <w:t>12</w:t>
      </w:r>
      <w:r w:rsidR="00772B66" w:rsidRPr="00E345E9">
        <w:rPr>
          <w:lang w:val="en-US" w:eastAsia="ja-JP"/>
        </w:rPr>
        <w:t xml:space="preserve"> GWh/d (</w:t>
      </w:r>
      <w:r w:rsidR="00523B08" w:rsidRPr="00E345E9">
        <w:rPr>
          <w:lang w:val="en-US" w:eastAsia="ja-JP"/>
        </w:rPr>
        <w:t>5</w:t>
      </w:r>
      <w:r w:rsidRPr="00E345E9">
        <w:rPr>
          <w:lang w:val="en-US" w:eastAsia="ja-JP"/>
        </w:rPr>
        <w:t>.</w:t>
      </w:r>
      <w:r w:rsidR="00523B08" w:rsidRPr="00E345E9">
        <w:rPr>
          <w:lang w:val="en-US" w:eastAsia="ja-JP"/>
        </w:rPr>
        <w:t>3</w:t>
      </w:r>
      <w:r w:rsidR="00772B66" w:rsidRPr="00E345E9">
        <w:rPr>
          <w:lang w:val="en-US" w:eastAsia="ja-JP"/>
        </w:rPr>
        <w:t>% of technical firm capacity)</w:t>
      </w:r>
      <w:r w:rsidRPr="00E345E9">
        <w:rPr>
          <w:lang w:val="en-US" w:eastAsia="ja-JP"/>
        </w:rPr>
        <w:t xml:space="preserve">. </w:t>
      </w:r>
      <w:r w:rsidR="00772B66" w:rsidRPr="00E345E9">
        <w:rPr>
          <w:lang w:val="en-US" w:eastAsia="ja-JP"/>
        </w:rPr>
        <w:t>No interruptible capacity bookings were registered during the 2016 and 201</w:t>
      </w:r>
      <w:r w:rsidR="004434BD" w:rsidRPr="00E345E9">
        <w:rPr>
          <w:lang w:val="en-US" w:eastAsia="ja-JP"/>
        </w:rPr>
        <w:t>8</w:t>
      </w:r>
      <w:r w:rsidR="00772B66" w:rsidRPr="00E345E9">
        <w:rPr>
          <w:lang w:val="en-US" w:eastAsia="ja-JP"/>
        </w:rPr>
        <w:t xml:space="preserve"> gas years.</w:t>
      </w:r>
      <w:r w:rsidRPr="00E345E9">
        <w:rPr>
          <w:lang w:val="en-US" w:eastAsia="ja-JP"/>
        </w:rPr>
        <w:t xml:space="preserve"> </w:t>
      </w:r>
    </w:p>
    <w:p w14:paraId="003CC45C" w14:textId="036D19DB" w:rsidR="00361D3A" w:rsidRPr="00E345E9" w:rsidRDefault="00361D3A" w:rsidP="00255AB5">
      <w:pPr>
        <w:pStyle w:val="Ttulo3"/>
        <w:rPr>
          <w:lang w:val="en-GB"/>
        </w:rPr>
      </w:pPr>
      <w:r w:rsidRPr="00E345E9">
        <w:rPr>
          <w:lang w:val="en-GB"/>
        </w:rPr>
        <w:t xml:space="preserve">VIP </w:t>
      </w:r>
      <w:r w:rsidR="00344883" w:rsidRPr="00E345E9">
        <w:rPr>
          <w:lang w:val="en-GB"/>
        </w:rPr>
        <w:t>Ibérico</w:t>
      </w:r>
    </w:p>
    <w:p w14:paraId="2AC8EBE0" w14:textId="73724FC6" w:rsidR="000F0005" w:rsidRPr="00E345E9" w:rsidRDefault="000F0005" w:rsidP="00255AB5">
      <w:pPr>
        <w:pStyle w:val="Ttulo4"/>
        <w:spacing w:after="120" w:line="312" w:lineRule="auto"/>
      </w:pPr>
      <w:r w:rsidRPr="00E345E9">
        <w:t>Spain to Portugal direction</w:t>
      </w:r>
    </w:p>
    <w:p w14:paraId="4C9B7D83" w14:textId="77777777" w:rsidR="00361D3A" w:rsidRPr="00E345E9" w:rsidRDefault="00361D3A" w:rsidP="00255AB5">
      <w:pPr>
        <w:spacing w:line="312" w:lineRule="auto"/>
        <w:rPr>
          <w:rFonts w:cs="Arial"/>
          <w:b/>
          <w:color w:val="000000" w:themeColor="text1"/>
          <w:szCs w:val="22"/>
          <w:u w:val="single"/>
          <w:lang w:val="en-GB"/>
        </w:rPr>
      </w:pPr>
      <w:r w:rsidRPr="00E345E9">
        <w:rPr>
          <w:rFonts w:cs="Arial"/>
          <w:b/>
          <w:color w:val="000000" w:themeColor="text1"/>
          <w:szCs w:val="22"/>
          <w:u w:val="single"/>
          <w:lang w:val="en-GB"/>
        </w:rPr>
        <w:t>Spanish side</w:t>
      </w:r>
    </w:p>
    <w:p w14:paraId="3E960DFF" w14:textId="1FE51D8A" w:rsidR="00344883" w:rsidRPr="00E345E9" w:rsidRDefault="00816C81" w:rsidP="00344883">
      <w:pPr>
        <w:spacing w:line="312" w:lineRule="auto"/>
        <w:rPr>
          <w:rFonts w:cs="Arial"/>
          <w:b/>
          <w:color w:val="000000" w:themeColor="text1"/>
          <w:szCs w:val="22"/>
          <w:u w:val="single"/>
        </w:rPr>
      </w:pPr>
      <w:r w:rsidRPr="00E345E9">
        <w:rPr>
          <w:lang w:val="en-GB"/>
        </w:rPr>
        <w:t>As it occurred on VIP Pirineos, interruptible capacity on VIP Ib</w:t>
      </w:r>
      <w:r w:rsidR="000673CD" w:rsidRPr="00E345E9">
        <w:rPr>
          <w:lang w:val="en-GB"/>
        </w:rPr>
        <w:t>é</w:t>
      </w:r>
      <w:r w:rsidRPr="00E345E9">
        <w:rPr>
          <w:lang w:val="en-GB"/>
        </w:rPr>
        <w:t>rico on the Spanish side is offered when there is contractual congestion (not physical congestion). The offered capacity is calculated according to the same algorithm and the same variables that apply to the calculations on VIP Pirineos.</w:t>
      </w:r>
    </w:p>
    <w:p w14:paraId="5385005B" w14:textId="33AAF9F8" w:rsidR="00AC1DB3" w:rsidRPr="00E345E9" w:rsidRDefault="00AC1DB3" w:rsidP="00255AB5">
      <w:pPr>
        <w:spacing w:line="312" w:lineRule="auto"/>
        <w:rPr>
          <w:rFonts w:cs="Arial"/>
          <w:color w:val="000000" w:themeColor="text1"/>
          <w:szCs w:val="22"/>
          <w:lang w:val="en-GB"/>
        </w:rPr>
      </w:pPr>
      <w:r w:rsidRPr="00E345E9">
        <w:rPr>
          <w:rFonts w:cs="Arial"/>
          <w:color w:val="000000" w:themeColor="text1"/>
          <w:szCs w:val="22"/>
          <w:lang w:val="en-GB"/>
        </w:rPr>
        <w:t xml:space="preserve">There has not been any </w:t>
      </w:r>
      <w:r w:rsidR="00E81BBF" w:rsidRPr="00E345E9">
        <w:rPr>
          <w:rFonts w:cs="Arial"/>
          <w:color w:val="000000" w:themeColor="text1"/>
          <w:szCs w:val="22"/>
          <w:lang w:val="en-GB"/>
        </w:rPr>
        <w:t xml:space="preserve">interruptible </w:t>
      </w:r>
      <w:r w:rsidRPr="00E345E9">
        <w:rPr>
          <w:rFonts w:cs="Arial"/>
          <w:color w:val="000000" w:themeColor="text1"/>
          <w:szCs w:val="22"/>
          <w:lang w:val="en-GB"/>
        </w:rPr>
        <w:t xml:space="preserve">capacity bookings </w:t>
      </w:r>
      <w:r w:rsidR="00E81BBF" w:rsidRPr="00E345E9">
        <w:rPr>
          <w:rFonts w:cs="Arial"/>
          <w:color w:val="000000" w:themeColor="text1"/>
          <w:szCs w:val="22"/>
          <w:lang w:val="en-GB"/>
        </w:rPr>
        <w:t>at</w:t>
      </w:r>
      <w:r w:rsidRPr="00E345E9">
        <w:rPr>
          <w:rFonts w:cs="Arial"/>
          <w:color w:val="000000" w:themeColor="text1"/>
          <w:szCs w:val="22"/>
          <w:lang w:val="en-GB"/>
        </w:rPr>
        <w:t xml:space="preserve"> VIP </w:t>
      </w:r>
      <w:r w:rsidR="000673CD" w:rsidRPr="00E345E9">
        <w:rPr>
          <w:rFonts w:cs="Arial"/>
          <w:color w:val="000000" w:themeColor="text1"/>
          <w:szCs w:val="22"/>
          <w:lang w:val="en-GB"/>
        </w:rPr>
        <w:t xml:space="preserve">Ibérico </w:t>
      </w:r>
      <w:r w:rsidRPr="00E345E9">
        <w:rPr>
          <w:rFonts w:cs="Arial"/>
          <w:color w:val="000000" w:themeColor="text1"/>
          <w:szCs w:val="22"/>
          <w:lang w:val="en-GB"/>
        </w:rPr>
        <w:t xml:space="preserve">in the Spain to Portugal direction </w:t>
      </w:r>
      <w:r w:rsidR="003217ED" w:rsidRPr="00E345E9">
        <w:rPr>
          <w:rFonts w:cs="Arial"/>
          <w:color w:val="000000" w:themeColor="text1"/>
          <w:szCs w:val="22"/>
          <w:lang w:val="en-GB"/>
        </w:rPr>
        <w:t>on</w:t>
      </w:r>
      <w:r w:rsidRPr="00E345E9">
        <w:rPr>
          <w:rFonts w:cs="Arial"/>
          <w:color w:val="000000" w:themeColor="text1"/>
          <w:szCs w:val="22"/>
          <w:lang w:val="en-GB"/>
        </w:rPr>
        <w:t xml:space="preserve"> the studied period.</w:t>
      </w:r>
    </w:p>
    <w:p w14:paraId="0C7BF234" w14:textId="77777777" w:rsidR="0051416A" w:rsidRPr="00E345E9" w:rsidRDefault="00361D3A" w:rsidP="00255AB5">
      <w:pPr>
        <w:spacing w:line="312" w:lineRule="auto"/>
        <w:rPr>
          <w:rFonts w:cs="Arial"/>
          <w:b/>
          <w:color w:val="000000" w:themeColor="text1"/>
          <w:szCs w:val="22"/>
          <w:u w:val="single"/>
          <w:lang w:val="en-GB"/>
        </w:rPr>
      </w:pPr>
      <w:r w:rsidRPr="00E345E9">
        <w:rPr>
          <w:rFonts w:cs="Arial"/>
          <w:b/>
          <w:color w:val="000000" w:themeColor="text1"/>
          <w:szCs w:val="22"/>
          <w:u w:val="single"/>
          <w:lang w:val="en-GB"/>
        </w:rPr>
        <w:t>Portuguese side</w:t>
      </w:r>
    </w:p>
    <w:p w14:paraId="6B8CBB1B" w14:textId="282EA959" w:rsidR="0051416A" w:rsidRPr="00E345E9" w:rsidRDefault="0051416A" w:rsidP="0051416A">
      <w:pPr>
        <w:spacing w:line="312" w:lineRule="auto"/>
        <w:rPr>
          <w:lang w:val="en-GB"/>
        </w:rPr>
      </w:pPr>
      <w:r w:rsidRPr="00E345E9">
        <w:rPr>
          <w:lang w:val="en-GB"/>
        </w:rPr>
        <w:t xml:space="preserve">Interruptible capacity was offered on the Portuguese side in compliance with the </w:t>
      </w:r>
      <w:hyperlink r:id="rId54" w:history="1">
        <w:r w:rsidRPr="00E345E9">
          <w:rPr>
            <w:rStyle w:val="Hipervnculo"/>
            <w:color w:val="auto"/>
            <w:u w:val="none"/>
            <w:lang w:val="en-GB"/>
          </w:rPr>
          <w:t>Commission Regulation (EU) 2017/459 of the 16</w:t>
        </w:r>
        <w:r w:rsidRPr="00E345E9">
          <w:rPr>
            <w:rStyle w:val="Hipervnculo"/>
            <w:color w:val="auto"/>
            <w:u w:val="none"/>
            <w:vertAlign w:val="superscript"/>
          </w:rPr>
          <w:t>th</w:t>
        </w:r>
        <w:r w:rsidRPr="00E345E9">
          <w:rPr>
            <w:rStyle w:val="Hipervnculo"/>
            <w:color w:val="auto"/>
            <w:u w:val="none"/>
            <w:lang w:val="en-GB"/>
          </w:rPr>
          <w:t xml:space="preserve"> of March 2017</w:t>
        </w:r>
      </w:hyperlink>
      <w:r w:rsidRPr="00E345E9">
        <w:rPr>
          <w:lang w:val="en-GB"/>
        </w:rPr>
        <w:t xml:space="preserve">. Interruptible capacity is only offered once if firm daily capacity is totally booked. The capacity to be offered as interruptible capacity corresponds to the idle capacity of the network users who booked firm capacity. </w:t>
      </w:r>
    </w:p>
    <w:p w14:paraId="042AD79F" w14:textId="4F1434E3" w:rsidR="00361D3A" w:rsidRPr="00E345E9" w:rsidRDefault="0051416A" w:rsidP="00255AB5">
      <w:pPr>
        <w:spacing w:line="312" w:lineRule="auto"/>
        <w:rPr>
          <w:rFonts w:cs="Arial"/>
          <w:color w:val="000000" w:themeColor="text1"/>
          <w:szCs w:val="22"/>
          <w:lang w:val="en-GB"/>
        </w:rPr>
      </w:pPr>
      <w:r w:rsidRPr="00E345E9">
        <w:rPr>
          <w:rFonts w:cs="Arial"/>
          <w:color w:val="000000" w:themeColor="text1"/>
          <w:szCs w:val="22"/>
          <w:lang w:val="en-GB"/>
        </w:rPr>
        <w:t>There has not been any interruptible capacity bookings at VIP Ibérico in the Spain to Portugal direction on the studied period.</w:t>
      </w:r>
    </w:p>
    <w:p w14:paraId="3645A762" w14:textId="211EF123" w:rsidR="00361D3A" w:rsidRPr="00E345E9" w:rsidRDefault="000F0005" w:rsidP="00255AB5">
      <w:pPr>
        <w:pStyle w:val="Ttulo4"/>
        <w:spacing w:after="120" w:line="312" w:lineRule="auto"/>
        <w:rPr>
          <w:b w:val="0"/>
        </w:rPr>
      </w:pPr>
      <w:r w:rsidRPr="00E345E9">
        <w:t>Portugal to Spain direction</w:t>
      </w:r>
    </w:p>
    <w:p w14:paraId="0262B7DD" w14:textId="77777777" w:rsidR="000F0005" w:rsidRPr="00E345E9" w:rsidRDefault="000F0005" w:rsidP="00255AB5">
      <w:pPr>
        <w:spacing w:line="312" w:lineRule="auto"/>
        <w:rPr>
          <w:rFonts w:cs="Arial"/>
          <w:b/>
          <w:color w:val="000000" w:themeColor="text1"/>
          <w:szCs w:val="22"/>
          <w:u w:val="single"/>
          <w:lang w:val="en-GB"/>
        </w:rPr>
      </w:pPr>
      <w:r w:rsidRPr="00E345E9">
        <w:rPr>
          <w:rFonts w:cs="Arial"/>
          <w:b/>
          <w:color w:val="000000" w:themeColor="text1"/>
          <w:szCs w:val="22"/>
          <w:u w:val="single"/>
          <w:lang w:val="en-GB"/>
        </w:rPr>
        <w:t>Spanish side</w:t>
      </w:r>
    </w:p>
    <w:p w14:paraId="5665C853" w14:textId="327DEA37" w:rsidR="00344883" w:rsidRPr="00E345E9" w:rsidRDefault="00816C81" w:rsidP="00344883">
      <w:pPr>
        <w:spacing w:line="312" w:lineRule="auto"/>
        <w:rPr>
          <w:rFonts w:cs="Arial"/>
          <w:b/>
          <w:color w:val="000000" w:themeColor="text1"/>
          <w:szCs w:val="22"/>
          <w:u w:val="single"/>
        </w:rPr>
      </w:pPr>
      <w:r w:rsidRPr="00E345E9">
        <w:rPr>
          <w:lang w:val="en-GB"/>
        </w:rPr>
        <w:t>The interruptible capacity offer follows the same methodology as the one described for the Spain to Portugal direction on the Spanish side previously.</w:t>
      </w:r>
    </w:p>
    <w:p w14:paraId="16066FF1" w14:textId="07A61E7D" w:rsidR="00E81BBF" w:rsidRPr="00E345E9" w:rsidRDefault="00E81BBF" w:rsidP="00255AB5">
      <w:pPr>
        <w:spacing w:line="312" w:lineRule="auto"/>
        <w:rPr>
          <w:rFonts w:cs="Arial"/>
          <w:color w:val="000000" w:themeColor="text1"/>
          <w:szCs w:val="22"/>
          <w:lang w:val="en-GB"/>
        </w:rPr>
      </w:pPr>
      <w:r w:rsidRPr="00E345E9">
        <w:rPr>
          <w:rFonts w:cs="Arial"/>
          <w:color w:val="000000" w:themeColor="text1"/>
          <w:szCs w:val="22"/>
          <w:lang w:val="en-GB"/>
        </w:rPr>
        <w:t xml:space="preserve">There has not been any interruptible capacity bookings at VIP </w:t>
      </w:r>
      <w:r w:rsidR="000673CD" w:rsidRPr="00E345E9">
        <w:rPr>
          <w:rFonts w:cs="Arial"/>
          <w:color w:val="000000" w:themeColor="text1"/>
          <w:szCs w:val="22"/>
          <w:lang w:val="en-GB"/>
        </w:rPr>
        <w:t xml:space="preserve">Ibérico </w:t>
      </w:r>
      <w:r w:rsidRPr="00E345E9">
        <w:rPr>
          <w:rFonts w:cs="Arial"/>
          <w:color w:val="000000" w:themeColor="text1"/>
          <w:szCs w:val="22"/>
          <w:lang w:val="en-GB"/>
        </w:rPr>
        <w:t xml:space="preserve">in the Spain to Portugal direction </w:t>
      </w:r>
      <w:r w:rsidR="003217ED" w:rsidRPr="00E345E9">
        <w:rPr>
          <w:rFonts w:cs="Arial"/>
          <w:color w:val="000000" w:themeColor="text1"/>
          <w:szCs w:val="22"/>
          <w:lang w:val="en-GB"/>
        </w:rPr>
        <w:t>on</w:t>
      </w:r>
      <w:r w:rsidRPr="00E345E9">
        <w:rPr>
          <w:rFonts w:cs="Arial"/>
          <w:color w:val="000000" w:themeColor="text1"/>
          <w:szCs w:val="22"/>
          <w:lang w:val="en-GB"/>
        </w:rPr>
        <w:t xml:space="preserve"> the studied period.</w:t>
      </w:r>
    </w:p>
    <w:p w14:paraId="08F949BE" w14:textId="77777777" w:rsidR="0051416A" w:rsidRPr="00E345E9" w:rsidRDefault="000F0005" w:rsidP="00255AB5">
      <w:pPr>
        <w:spacing w:line="312" w:lineRule="auto"/>
        <w:rPr>
          <w:rFonts w:cs="Arial"/>
          <w:b/>
          <w:color w:val="000000" w:themeColor="text1"/>
          <w:szCs w:val="22"/>
          <w:u w:val="single"/>
          <w:lang w:val="en-GB"/>
        </w:rPr>
      </w:pPr>
      <w:r w:rsidRPr="00E345E9">
        <w:rPr>
          <w:rFonts w:cs="Arial"/>
          <w:b/>
          <w:color w:val="000000" w:themeColor="text1"/>
          <w:szCs w:val="22"/>
          <w:u w:val="single"/>
          <w:lang w:val="en-GB"/>
        </w:rPr>
        <w:t>Portuguese side</w:t>
      </w:r>
    </w:p>
    <w:p w14:paraId="2DF96FCA" w14:textId="68743064" w:rsidR="0051416A" w:rsidRPr="00E345E9" w:rsidRDefault="0051416A" w:rsidP="0051416A">
      <w:pPr>
        <w:spacing w:line="312" w:lineRule="auto"/>
        <w:rPr>
          <w:lang w:val="en-GB"/>
        </w:rPr>
      </w:pPr>
      <w:r w:rsidRPr="00E345E9">
        <w:rPr>
          <w:lang w:val="en-GB"/>
        </w:rPr>
        <w:t xml:space="preserve">Interruptible capacity was offered on the Portuguese side in compliance with the </w:t>
      </w:r>
      <w:hyperlink r:id="rId55" w:history="1">
        <w:r w:rsidRPr="00E345E9">
          <w:rPr>
            <w:rStyle w:val="Hipervnculo"/>
            <w:color w:val="auto"/>
            <w:u w:val="none"/>
            <w:lang w:val="en-GB"/>
          </w:rPr>
          <w:t>Commission Regulation (EU) 2017/459 of the 16</w:t>
        </w:r>
        <w:r w:rsidRPr="00E345E9">
          <w:rPr>
            <w:rStyle w:val="Hipervnculo"/>
            <w:color w:val="auto"/>
            <w:u w:val="none"/>
            <w:vertAlign w:val="superscript"/>
          </w:rPr>
          <w:t>th</w:t>
        </w:r>
        <w:r w:rsidRPr="00E345E9">
          <w:rPr>
            <w:rStyle w:val="Hipervnculo"/>
            <w:color w:val="auto"/>
            <w:u w:val="none"/>
            <w:lang w:val="en-GB"/>
          </w:rPr>
          <w:t xml:space="preserve"> of March 2017</w:t>
        </w:r>
      </w:hyperlink>
      <w:r w:rsidRPr="00E345E9">
        <w:rPr>
          <w:lang w:val="en-GB"/>
        </w:rPr>
        <w:t>. Interruptible capacity is only offered once</w:t>
      </w:r>
      <w:r w:rsidR="005F5CA7">
        <w:rPr>
          <w:lang w:val="en-GB"/>
        </w:rPr>
        <w:t>, if</w:t>
      </w:r>
      <w:r w:rsidRPr="00E345E9">
        <w:rPr>
          <w:lang w:val="en-GB"/>
        </w:rPr>
        <w:t xml:space="preserve"> firm daily capacity is totally booked. The capacity to be offered as interruptible capacity corresponds to the idle capacity of the network users who booked firm capacity. </w:t>
      </w:r>
    </w:p>
    <w:p w14:paraId="203439F5" w14:textId="0D64432F" w:rsidR="000F0005" w:rsidRPr="0051416A" w:rsidRDefault="0051416A" w:rsidP="00255AB5">
      <w:pPr>
        <w:spacing w:line="312" w:lineRule="auto"/>
        <w:rPr>
          <w:rFonts w:cs="Arial"/>
          <w:color w:val="000000" w:themeColor="text1"/>
          <w:szCs w:val="22"/>
          <w:lang w:val="en-GB"/>
        </w:rPr>
      </w:pPr>
      <w:r w:rsidRPr="00E345E9">
        <w:rPr>
          <w:rFonts w:cs="Arial"/>
          <w:color w:val="000000" w:themeColor="text1"/>
          <w:szCs w:val="22"/>
          <w:lang w:val="en-GB"/>
        </w:rPr>
        <w:t>There has not been any interruptible capacity bookings at VIP Ibérico in the Spain to Portugal direction on the studied period.</w:t>
      </w:r>
    </w:p>
    <w:p w14:paraId="45A9FF7D" w14:textId="77777777" w:rsidR="007B7D8A" w:rsidRDefault="00FC1E31" w:rsidP="00344883">
      <w:pPr>
        <w:pStyle w:val="Ttulo2"/>
        <w:keepNext/>
        <w:spacing w:line="312" w:lineRule="auto"/>
        <w:ind w:left="578" w:hanging="578"/>
        <w:rPr>
          <w:lang w:val="en-US"/>
        </w:rPr>
      </w:pPr>
      <w:bookmarkStart w:id="186" w:name="_Toc481748757"/>
      <w:bookmarkStart w:id="187" w:name="_Toc481748786"/>
      <w:bookmarkStart w:id="188" w:name="_Toc493607654"/>
      <w:bookmarkStart w:id="189" w:name="_Toc493607939"/>
      <w:bookmarkStart w:id="190" w:name="_Toc493607990"/>
      <w:bookmarkStart w:id="191" w:name="_Toc493608024"/>
      <w:bookmarkStart w:id="192" w:name="_Toc493608057"/>
      <w:bookmarkStart w:id="193" w:name="_Toc493608317"/>
      <w:bookmarkStart w:id="194" w:name="_Toc493608351"/>
      <w:bookmarkStart w:id="195" w:name="_d0rwboazefmb" w:colFirst="0" w:colLast="0"/>
      <w:bookmarkStart w:id="196" w:name="_sst5rgvwqhs" w:colFirst="0" w:colLast="0"/>
      <w:bookmarkStart w:id="197" w:name="_Toc49770596"/>
      <w:bookmarkEnd w:id="177"/>
      <w:bookmarkEnd w:id="178"/>
      <w:bookmarkEnd w:id="179"/>
      <w:bookmarkEnd w:id="186"/>
      <w:bookmarkEnd w:id="187"/>
      <w:bookmarkEnd w:id="188"/>
      <w:bookmarkEnd w:id="189"/>
      <w:bookmarkEnd w:id="190"/>
      <w:bookmarkEnd w:id="191"/>
      <w:bookmarkEnd w:id="192"/>
      <w:bookmarkEnd w:id="193"/>
      <w:bookmarkEnd w:id="194"/>
      <w:bookmarkEnd w:id="195"/>
      <w:bookmarkEnd w:id="196"/>
      <w:r w:rsidRPr="00FC1E31">
        <w:rPr>
          <w:lang w:val="en-US"/>
        </w:rPr>
        <w:t>Secondary capacity trade</w:t>
      </w:r>
      <w:bookmarkEnd w:id="197"/>
    </w:p>
    <w:p w14:paraId="61EB5D32" w14:textId="025C059D" w:rsidR="00723BE6" w:rsidRDefault="00674752" w:rsidP="00344883">
      <w:pPr>
        <w:pStyle w:val="Ttulo3"/>
        <w:jc w:val="left"/>
        <w:rPr>
          <w:lang w:val="en-US"/>
        </w:rPr>
      </w:pPr>
      <w:r w:rsidRPr="00E44404">
        <w:rPr>
          <w:lang w:val="en-US"/>
        </w:rPr>
        <w:t xml:space="preserve">VIP Pirineos </w:t>
      </w:r>
    </w:p>
    <w:p w14:paraId="0B1D7AAD" w14:textId="729ADE0D" w:rsidR="00682553" w:rsidRDefault="00682553" w:rsidP="00344883">
      <w:pPr>
        <w:spacing w:line="312" w:lineRule="auto"/>
        <w:rPr>
          <w:rFonts w:cs="Arial"/>
          <w:b/>
          <w:color w:val="000000" w:themeColor="text1"/>
          <w:szCs w:val="22"/>
          <w:u w:val="single"/>
          <w:lang w:val="en-GB"/>
        </w:rPr>
      </w:pPr>
      <w:r w:rsidRPr="0021712F">
        <w:rPr>
          <w:rFonts w:cs="Arial"/>
          <w:b/>
          <w:color w:val="000000" w:themeColor="text1"/>
          <w:szCs w:val="22"/>
          <w:u w:val="single"/>
          <w:lang w:val="en-GB"/>
        </w:rPr>
        <w:t>Teréga´s secondary Market</w:t>
      </w:r>
    </w:p>
    <w:p w14:paraId="1BA10677" w14:textId="07A04468" w:rsidR="00431E3F" w:rsidRPr="00E345E9" w:rsidRDefault="00431E3F" w:rsidP="00431E3F">
      <w:pPr>
        <w:spacing w:line="312" w:lineRule="auto"/>
        <w:rPr>
          <w:rFonts w:cs="Arial"/>
          <w:color w:val="000000" w:themeColor="text1"/>
          <w:szCs w:val="22"/>
          <w:lang w:val="en-GB"/>
        </w:rPr>
      </w:pPr>
      <w:r w:rsidRPr="00E345E9">
        <w:rPr>
          <w:rFonts w:cs="Arial"/>
          <w:color w:val="000000" w:themeColor="text1"/>
          <w:szCs w:val="22"/>
          <w:lang w:val="en-GB"/>
        </w:rPr>
        <w:t xml:space="preserve">The Secondary Market </w:t>
      </w:r>
      <w:r>
        <w:rPr>
          <w:rFonts w:cs="Arial"/>
          <w:color w:val="000000" w:themeColor="text1"/>
          <w:szCs w:val="22"/>
          <w:lang w:val="en-GB"/>
        </w:rPr>
        <w:t>takes place</w:t>
      </w:r>
      <w:r w:rsidRPr="00E345E9">
        <w:rPr>
          <w:rFonts w:cs="Arial"/>
          <w:color w:val="000000" w:themeColor="text1"/>
          <w:szCs w:val="22"/>
          <w:lang w:val="en-GB"/>
        </w:rPr>
        <w:t xml:space="preserve"> </w:t>
      </w:r>
      <w:r>
        <w:rPr>
          <w:rFonts w:cs="Arial"/>
          <w:color w:val="000000" w:themeColor="text1"/>
          <w:szCs w:val="22"/>
          <w:lang w:val="en-GB"/>
        </w:rPr>
        <w:t>on</w:t>
      </w:r>
      <w:r w:rsidRPr="00E345E9">
        <w:rPr>
          <w:rFonts w:cs="Arial"/>
          <w:color w:val="000000" w:themeColor="text1"/>
          <w:szCs w:val="22"/>
          <w:lang w:val="en-GB"/>
        </w:rPr>
        <w:t xml:space="preserve"> the PRISMA Platform.</w:t>
      </w:r>
    </w:p>
    <w:p w14:paraId="0B81B2AA" w14:textId="2A6D0666" w:rsidR="00431E3F" w:rsidRPr="00E345E9" w:rsidRDefault="00431E3F" w:rsidP="00431E3F">
      <w:pPr>
        <w:spacing w:line="312" w:lineRule="auto"/>
        <w:rPr>
          <w:rFonts w:cs="Arial"/>
          <w:color w:val="000000" w:themeColor="text1"/>
          <w:szCs w:val="22"/>
          <w:lang w:val="en-GB"/>
        </w:rPr>
      </w:pPr>
      <w:r w:rsidRPr="00E345E9">
        <w:rPr>
          <w:rFonts w:cs="Arial"/>
          <w:color w:val="000000" w:themeColor="text1"/>
          <w:szCs w:val="22"/>
          <w:lang w:val="en-GB"/>
        </w:rPr>
        <w:t>35 trades were posted on the secondary market over the studied period.</w:t>
      </w:r>
    </w:p>
    <w:p w14:paraId="09AFD66A" w14:textId="4105D3B0" w:rsidR="00431E3F" w:rsidRPr="00E345E9" w:rsidRDefault="00431E3F" w:rsidP="00431E3F">
      <w:pPr>
        <w:spacing w:line="312" w:lineRule="auto"/>
        <w:rPr>
          <w:rFonts w:cs="Arial"/>
          <w:color w:val="000000" w:themeColor="text1"/>
          <w:szCs w:val="22"/>
          <w:lang w:val="en-GB"/>
        </w:rPr>
      </w:pPr>
      <w:r w:rsidRPr="00E345E9">
        <w:rPr>
          <w:rFonts w:cs="Arial"/>
          <w:color w:val="000000" w:themeColor="text1"/>
          <w:szCs w:val="22"/>
          <w:lang w:val="en-GB"/>
        </w:rPr>
        <w:t xml:space="preserve">The exchange of capacities </w:t>
      </w:r>
      <w:r>
        <w:rPr>
          <w:rFonts w:cs="Arial"/>
          <w:color w:val="000000" w:themeColor="text1"/>
          <w:szCs w:val="22"/>
          <w:lang w:val="en-GB"/>
        </w:rPr>
        <w:t>is</w:t>
      </w:r>
      <w:r w:rsidRPr="00E345E9">
        <w:rPr>
          <w:rFonts w:cs="Arial"/>
          <w:color w:val="000000" w:themeColor="text1"/>
          <w:szCs w:val="22"/>
          <w:lang w:val="en-GB"/>
        </w:rPr>
        <w:t xml:space="preserve"> below 5% of technical capacity (CTN) and preferentially</w:t>
      </w:r>
      <w:r>
        <w:rPr>
          <w:rFonts w:cs="Arial"/>
          <w:color w:val="000000" w:themeColor="text1"/>
          <w:szCs w:val="22"/>
          <w:lang w:val="en-GB"/>
        </w:rPr>
        <w:t xml:space="preserve"> concerns </w:t>
      </w:r>
      <w:r w:rsidRPr="00E345E9">
        <w:rPr>
          <w:rFonts w:cs="Arial"/>
          <w:color w:val="000000" w:themeColor="text1"/>
          <w:szCs w:val="22"/>
          <w:lang w:val="en-GB"/>
        </w:rPr>
        <w:t xml:space="preserve">long term contracts </w:t>
      </w:r>
      <w:r>
        <w:rPr>
          <w:rFonts w:cs="Arial"/>
          <w:color w:val="000000" w:themeColor="text1"/>
          <w:szCs w:val="22"/>
          <w:lang w:val="en-GB"/>
        </w:rPr>
        <w:t>capacities</w:t>
      </w:r>
      <w:r w:rsidRPr="00E345E9">
        <w:rPr>
          <w:rFonts w:cs="Arial"/>
          <w:color w:val="000000" w:themeColor="text1"/>
          <w:szCs w:val="22"/>
          <w:lang w:val="en-GB"/>
        </w:rPr>
        <w:t>.</w:t>
      </w:r>
    </w:p>
    <w:p w14:paraId="575AF97A" w14:textId="3CCDA32A" w:rsidR="00C13545" w:rsidRPr="00E345E9" w:rsidRDefault="00431E3F" w:rsidP="00431E3F">
      <w:pPr>
        <w:spacing w:line="312" w:lineRule="auto"/>
        <w:rPr>
          <w:rFonts w:cs="Arial"/>
          <w:color w:val="000000" w:themeColor="text1"/>
          <w:szCs w:val="22"/>
          <w:lang w:val="en-GB"/>
        </w:rPr>
      </w:pPr>
      <w:r>
        <w:rPr>
          <w:rFonts w:cs="Arial"/>
          <w:color w:val="000000" w:themeColor="text1"/>
          <w:szCs w:val="22"/>
          <w:lang w:val="en-GB"/>
        </w:rPr>
        <w:t>It is w</w:t>
      </w:r>
      <w:r w:rsidRPr="00E345E9">
        <w:rPr>
          <w:rFonts w:cs="Arial"/>
          <w:color w:val="000000" w:themeColor="text1"/>
          <w:szCs w:val="22"/>
          <w:lang w:val="en-GB"/>
        </w:rPr>
        <w:t xml:space="preserve">orth noting </w:t>
      </w:r>
      <w:r>
        <w:rPr>
          <w:rFonts w:cs="Arial"/>
          <w:color w:val="000000" w:themeColor="text1"/>
          <w:szCs w:val="22"/>
          <w:lang w:val="en-GB"/>
        </w:rPr>
        <w:t xml:space="preserve">that Spain to France </w:t>
      </w:r>
      <w:r w:rsidRPr="00E345E9">
        <w:rPr>
          <w:rFonts w:cs="Arial"/>
          <w:color w:val="000000" w:themeColor="text1"/>
          <w:szCs w:val="22"/>
          <w:lang w:val="en-GB"/>
        </w:rPr>
        <w:t>capacity</w:t>
      </w:r>
      <w:r>
        <w:rPr>
          <w:rFonts w:cs="Arial"/>
          <w:color w:val="000000" w:themeColor="text1"/>
          <w:szCs w:val="22"/>
          <w:lang w:val="en-GB"/>
        </w:rPr>
        <w:t xml:space="preserve"> </w:t>
      </w:r>
      <w:r w:rsidRPr="00E345E9">
        <w:rPr>
          <w:rFonts w:cs="Arial"/>
          <w:color w:val="000000" w:themeColor="text1"/>
          <w:szCs w:val="22"/>
          <w:lang w:val="en-GB"/>
        </w:rPr>
        <w:t>was exchanged in March 2019 for future periods up to 2023</w:t>
      </w:r>
      <w:r>
        <w:rPr>
          <w:rFonts w:cs="Arial"/>
          <w:color w:val="000000" w:themeColor="text1"/>
          <w:szCs w:val="22"/>
          <w:lang w:val="en-GB"/>
        </w:rPr>
        <w:t xml:space="preserve"> (22% of CTN</w:t>
      </w:r>
      <w:r w:rsidRPr="00C50859">
        <w:rPr>
          <w:rFonts w:cs="Arial"/>
          <w:color w:val="000000" w:themeColor="text1"/>
          <w:szCs w:val="22"/>
          <w:lang w:val="en-GB"/>
        </w:rPr>
        <w:t>)</w:t>
      </w:r>
      <w:r w:rsidRPr="00E345E9">
        <w:rPr>
          <w:rFonts w:cs="Arial"/>
          <w:color w:val="000000" w:themeColor="text1"/>
          <w:szCs w:val="22"/>
          <w:lang w:val="en-GB"/>
        </w:rPr>
        <w:t>.</w:t>
      </w:r>
    </w:p>
    <w:p w14:paraId="3A458718" w14:textId="131C258A" w:rsidR="00682553" w:rsidRPr="0021712F" w:rsidRDefault="00682553" w:rsidP="00344883">
      <w:pPr>
        <w:spacing w:line="312" w:lineRule="auto"/>
        <w:rPr>
          <w:rFonts w:cs="Arial"/>
          <w:b/>
          <w:color w:val="000000" w:themeColor="text1"/>
          <w:szCs w:val="22"/>
          <w:u w:val="single"/>
          <w:lang w:val="en-GB"/>
        </w:rPr>
      </w:pPr>
      <w:r w:rsidRPr="0021712F">
        <w:rPr>
          <w:rFonts w:cs="Arial"/>
          <w:b/>
          <w:color w:val="000000" w:themeColor="text1"/>
          <w:szCs w:val="22"/>
          <w:u w:val="single"/>
          <w:lang w:val="en-GB"/>
        </w:rPr>
        <w:t>Enagas´ Secondary Market</w:t>
      </w:r>
    </w:p>
    <w:p w14:paraId="1B7A4684" w14:textId="35DE65CF" w:rsidR="004A3AE8" w:rsidRDefault="00682553" w:rsidP="00344883">
      <w:pPr>
        <w:spacing w:line="312" w:lineRule="auto"/>
        <w:rPr>
          <w:rFonts w:cs="Arial"/>
          <w:color w:val="000000" w:themeColor="text1"/>
          <w:szCs w:val="22"/>
          <w:lang w:val="en-GB"/>
        </w:rPr>
      </w:pPr>
      <w:r>
        <w:rPr>
          <w:rFonts w:cs="Arial"/>
          <w:color w:val="000000" w:themeColor="text1"/>
          <w:szCs w:val="22"/>
          <w:lang w:val="en-GB"/>
        </w:rPr>
        <w:t>In Enagas</w:t>
      </w:r>
      <w:r w:rsidR="005079F6">
        <w:rPr>
          <w:rFonts w:cs="Arial"/>
          <w:color w:val="000000" w:themeColor="text1"/>
          <w:szCs w:val="22"/>
          <w:lang w:val="en-GB"/>
        </w:rPr>
        <w:t>’</w:t>
      </w:r>
      <w:r>
        <w:rPr>
          <w:rFonts w:cs="Arial"/>
          <w:color w:val="000000" w:themeColor="text1"/>
          <w:szCs w:val="22"/>
          <w:lang w:val="en-GB"/>
        </w:rPr>
        <w:t xml:space="preserve"> side 32 trades were posted </w:t>
      </w:r>
      <w:r w:rsidR="00882CDC">
        <w:rPr>
          <w:rFonts w:cs="Arial"/>
          <w:color w:val="000000" w:themeColor="text1"/>
          <w:szCs w:val="22"/>
          <w:lang w:val="en-GB"/>
        </w:rPr>
        <w:t>on PRISMA</w:t>
      </w:r>
      <w:r>
        <w:rPr>
          <w:rFonts w:cs="Arial"/>
          <w:color w:val="000000" w:themeColor="text1"/>
          <w:szCs w:val="22"/>
          <w:lang w:val="en-GB"/>
        </w:rPr>
        <w:t xml:space="preserve"> platform</w:t>
      </w:r>
      <w:r w:rsidR="00687AC3">
        <w:rPr>
          <w:rFonts w:cs="Arial"/>
          <w:color w:val="000000" w:themeColor="text1"/>
          <w:szCs w:val="22"/>
          <w:lang w:val="en-GB"/>
        </w:rPr>
        <w:t xml:space="preserve"> during the studied period</w:t>
      </w:r>
      <w:r w:rsidR="00916214">
        <w:rPr>
          <w:rFonts w:cs="Arial"/>
          <w:color w:val="000000" w:themeColor="text1"/>
          <w:szCs w:val="22"/>
          <w:lang w:val="en-GB"/>
        </w:rPr>
        <w:t>.</w:t>
      </w:r>
      <w:r w:rsidR="005079F6">
        <w:rPr>
          <w:rFonts w:cs="Arial"/>
          <w:color w:val="000000" w:themeColor="text1"/>
          <w:szCs w:val="22"/>
          <w:lang w:val="en-GB"/>
        </w:rPr>
        <w:t xml:space="preserve"> </w:t>
      </w:r>
      <w:r>
        <w:rPr>
          <w:rFonts w:cs="Arial"/>
          <w:color w:val="000000" w:themeColor="text1"/>
          <w:szCs w:val="22"/>
          <w:lang w:val="en-GB"/>
        </w:rPr>
        <w:t>From those 32 trades</w:t>
      </w:r>
      <w:r w:rsidR="000B17C4">
        <w:rPr>
          <w:rFonts w:cs="Arial"/>
          <w:color w:val="000000" w:themeColor="text1"/>
          <w:szCs w:val="22"/>
          <w:lang w:val="en-GB"/>
        </w:rPr>
        <w:t xml:space="preserve">, 27 were accepted and </w:t>
      </w:r>
      <w:r w:rsidR="00C1296A">
        <w:rPr>
          <w:rFonts w:cs="Arial"/>
          <w:color w:val="000000" w:themeColor="text1"/>
          <w:szCs w:val="22"/>
          <w:lang w:val="en-GB"/>
        </w:rPr>
        <w:t>concluded, 1 was expired and 4 were rejected</w:t>
      </w:r>
      <w:r w:rsidR="005079F6">
        <w:rPr>
          <w:rFonts w:cs="Arial"/>
          <w:color w:val="000000" w:themeColor="text1"/>
          <w:szCs w:val="22"/>
          <w:lang w:val="en-GB"/>
        </w:rPr>
        <w:t>. A</w:t>
      </w:r>
      <w:r w:rsidR="0080491E">
        <w:rPr>
          <w:rFonts w:cs="Arial"/>
          <w:color w:val="000000" w:themeColor="text1"/>
          <w:szCs w:val="22"/>
          <w:lang w:val="en-GB"/>
        </w:rPr>
        <w:t>ll trades were OTC (Over</w:t>
      </w:r>
      <w:r w:rsidR="00277506">
        <w:rPr>
          <w:rFonts w:cs="Arial"/>
          <w:color w:val="000000" w:themeColor="text1"/>
          <w:szCs w:val="22"/>
          <w:lang w:val="en-GB"/>
        </w:rPr>
        <w:t>-</w:t>
      </w:r>
      <w:r w:rsidR="0080491E">
        <w:rPr>
          <w:rFonts w:cs="Arial"/>
          <w:color w:val="000000" w:themeColor="text1"/>
          <w:szCs w:val="22"/>
          <w:lang w:val="en-GB"/>
        </w:rPr>
        <w:t>The</w:t>
      </w:r>
      <w:r w:rsidR="00277506">
        <w:rPr>
          <w:rFonts w:cs="Arial"/>
          <w:color w:val="000000" w:themeColor="text1"/>
          <w:szCs w:val="22"/>
          <w:lang w:val="en-GB"/>
        </w:rPr>
        <w:t>-</w:t>
      </w:r>
      <w:r w:rsidR="0080491E">
        <w:rPr>
          <w:rFonts w:cs="Arial"/>
          <w:color w:val="000000" w:themeColor="text1"/>
          <w:szCs w:val="22"/>
          <w:lang w:val="en-GB"/>
        </w:rPr>
        <w:t>Counter).</w:t>
      </w:r>
      <w:r w:rsidR="004A3AE8">
        <w:rPr>
          <w:rFonts w:cs="Arial"/>
          <w:color w:val="000000" w:themeColor="text1"/>
          <w:szCs w:val="22"/>
          <w:lang w:val="en-GB"/>
        </w:rPr>
        <w:t xml:space="preserve"> In addition, more than 96% of the trades were related to unbundled capacity, with more than 77% percent of them associated with the South to North direction. Vast majority of the operations were carried out in 2017 (65%).</w:t>
      </w:r>
    </w:p>
    <w:p w14:paraId="72DDD4BA" w14:textId="5446A14E" w:rsidR="00682553" w:rsidRPr="00E44404" w:rsidRDefault="004A3AE8" w:rsidP="00344883">
      <w:pPr>
        <w:spacing w:line="312" w:lineRule="auto"/>
        <w:rPr>
          <w:rFonts w:cs="Arial"/>
          <w:color w:val="000000" w:themeColor="text1"/>
          <w:szCs w:val="22"/>
          <w:lang w:val="en-GB"/>
        </w:rPr>
      </w:pPr>
      <w:r>
        <w:rPr>
          <w:rFonts w:cs="Arial"/>
          <w:color w:val="000000" w:themeColor="text1"/>
          <w:szCs w:val="22"/>
          <w:lang w:val="en-GB"/>
        </w:rPr>
        <w:t>Overall, and by the total volume that was negociated</w:t>
      </w:r>
      <w:r w:rsidR="00954C31">
        <w:rPr>
          <w:rFonts w:cs="Arial"/>
          <w:color w:val="000000" w:themeColor="text1"/>
          <w:szCs w:val="22"/>
          <w:lang w:val="en-GB"/>
        </w:rPr>
        <w:t xml:space="preserve"> and the number of trades</w:t>
      </w:r>
      <w:r>
        <w:rPr>
          <w:rFonts w:cs="Arial"/>
          <w:color w:val="000000" w:themeColor="text1"/>
          <w:szCs w:val="22"/>
          <w:lang w:val="en-GB"/>
        </w:rPr>
        <w:t xml:space="preserve"> </w:t>
      </w:r>
      <w:r w:rsidR="00954C31">
        <w:rPr>
          <w:rFonts w:cs="Arial"/>
          <w:color w:val="000000" w:themeColor="text1"/>
          <w:szCs w:val="22"/>
          <w:lang w:val="en-GB"/>
        </w:rPr>
        <w:t xml:space="preserve">on the platform, </w:t>
      </w:r>
      <w:r>
        <w:rPr>
          <w:rFonts w:cs="Arial"/>
          <w:color w:val="000000" w:themeColor="text1"/>
          <w:szCs w:val="22"/>
          <w:lang w:val="en-GB"/>
        </w:rPr>
        <w:t xml:space="preserve">the secondary market does not seem to </w:t>
      </w:r>
      <w:r w:rsidR="00954C31">
        <w:rPr>
          <w:rFonts w:cs="Arial"/>
          <w:color w:val="000000" w:themeColor="text1"/>
          <w:szCs w:val="22"/>
          <w:lang w:val="en-GB"/>
        </w:rPr>
        <w:t>be claiming for the attention of the shippers.</w:t>
      </w:r>
      <w:r w:rsidR="007617A3">
        <w:rPr>
          <w:rFonts w:cs="Arial"/>
          <w:color w:val="000000" w:themeColor="text1"/>
          <w:szCs w:val="22"/>
          <w:lang w:val="en-GB"/>
        </w:rPr>
        <w:t xml:space="preserve"> Rather than that, and as most of the capacity offered is unbundled, the platform seems to be more a “last resource” to get capacity if required</w:t>
      </w:r>
      <w:r w:rsidR="00E81BBF">
        <w:rPr>
          <w:rFonts w:cs="Arial"/>
          <w:color w:val="000000" w:themeColor="text1"/>
          <w:szCs w:val="22"/>
          <w:lang w:val="en-GB"/>
        </w:rPr>
        <w:t>.</w:t>
      </w:r>
      <w:r w:rsidR="007617A3">
        <w:rPr>
          <w:rFonts w:cs="Arial"/>
          <w:color w:val="000000" w:themeColor="text1"/>
          <w:szCs w:val="22"/>
          <w:lang w:val="en-GB"/>
        </w:rPr>
        <w:t xml:space="preserve"> </w:t>
      </w:r>
    </w:p>
    <w:p w14:paraId="25BB4537" w14:textId="1D6332B0" w:rsidR="00674752" w:rsidRPr="0021712F" w:rsidRDefault="00674752" w:rsidP="00344883">
      <w:pPr>
        <w:pStyle w:val="Ttulo3"/>
        <w:jc w:val="left"/>
        <w:rPr>
          <w:lang w:val="en-US"/>
        </w:rPr>
      </w:pPr>
      <w:r w:rsidRPr="0021712F">
        <w:rPr>
          <w:lang w:val="en-US"/>
        </w:rPr>
        <w:t>VIP Ibérico</w:t>
      </w:r>
    </w:p>
    <w:p w14:paraId="7C2FD822" w14:textId="6931E1C6" w:rsidR="00B0783C" w:rsidRPr="0021712F" w:rsidRDefault="00723BE6" w:rsidP="00344883">
      <w:pPr>
        <w:spacing w:line="312" w:lineRule="auto"/>
        <w:rPr>
          <w:lang w:val="en-US" w:eastAsia="ja-JP"/>
        </w:rPr>
      </w:pPr>
      <w:r w:rsidRPr="0021712F">
        <w:rPr>
          <w:rFonts w:cs="Arial"/>
          <w:color w:val="000000" w:themeColor="text1"/>
          <w:szCs w:val="22"/>
          <w:lang w:val="en-GB"/>
        </w:rPr>
        <w:t xml:space="preserve">No trades were received for </w:t>
      </w:r>
      <w:r w:rsidR="00607D9B" w:rsidRPr="0021712F">
        <w:rPr>
          <w:rFonts w:cs="Arial"/>
          <w:color w:val="000000" w:themeColor="text1"/>
          <w:szCs w:val="22"/>
          <w:lang w:val="en-GB"/>
        </w:rPr>
        <w:t xml:space="preserve">the VIP </w:t>
      </w:r>
      <w:r w:rsidR="0032119A" w:rsidRPr="0021712F">
        <w:rPr>
          <w:rFonts w:cs="Arial"/>
          <w:color w:val="000000" w:themeColor="text1"/>
          <w:szCs w:val="22"/>
          <w:lang w:val="en-GB"/>
        </w:rPr>
        <w:t>I</w:t>
      </w:r>
      <w:r w:rsidR="004317BF" w:rsidRPr="0021712F">
        <w:rPr>
          <w:rFonts w:cs="Arial"/>
          <w:color w:val="000000" w:themeColor="text1"/>
          <w:szCs w:val="22"/>
          <w:lang w:val="en-GB"/>
        </w:rPr>
        <w:t>bérico</w:t>
      </w:r>
      <w:r w:rsidR="00607D9B" w:rsidRPr="0021712F">
        <w:rPr>
          <w:rFonts w:cs="Arial"/>
          <w:color w:val="000000" w:themeColor="text1"/>
          <w:szCs w:val="22"/>
          <w:lang w:val="en-GB"/>
        </w:rPr>
        <w:t>.</w:t>
      </w:r>
      <w:r w:rsidR="005366F9" w:rsidRPr="0021712F">
        <w:rPr>
          <w:rFonts w:cs="Arial"/>
          <w:color w:val="000000" w:themeColor="text1"/>
          <w:szCs w:val="22"/>
          <w:lang w:val="en-GB"/>
        </w:rPr>
        <w:t xml:space="preserve"> </w:t>
      </w:r>
    </w:p>
    <w:p w14:paraId="5283975F" w14:textId="5AF6754F" w:rsidR="00674752" w:rsidRPr="0021712F" w:rsidRDefault="00674752" w:rsidP="00344883">
      <w:pPr>
        <w:pStyle w:val="Ttulo3"/>
        <w:jc w:val="left"/>
        <w:rPr>
          <w:lang w:val="en-US"/>
        </w:rPr>
      </w:pPr>
      <w:r w:rsidRPr="0021712F">
        <w:rPr>
          <w:lang w:val="en-US"/>
        </w:rPr>
        <w:t>N</w:t>
      </w:r>
      <w:r w:rsidR="00C75F9C" w:rsidRPr="0021712F">
        <w:rPr>
          <w:lang w:val="en-US"/>
        </w:rPr>
        <w:t>or</w:t>
      </w:r>
      <w:r w:rsidR="00DC6E9E" w:rsidRPr="0021712F">
        <w:rPr>
          <w:lang w:val="en-US"/>
        </w:rPr>
        <w:t>th</w:t>
      </w:r>
      <w:r w:rsidRPr="0021712F">
        <w:rPr>
          <w:lang w:val="en-US"/>
        </w:rPr>
        <w:t>-S</w:t>
      </w:r>
      <w:r w:rsidR="00DC6E9E" w:rsidRPr="0021712F">
        <w:rPr>
          <w:lang w:val="en-US"/>
        </w:rPr>
        <w:t>outh link</w:t>
      </w:r>
    </w:p>
    <w:p w14:paraId="4F296D2E" w14:textId="34969A97" w:rsidR="00E00038" w:rsidRDefault="001C195B" w:rsidP="00344883">
      <w:pPr>
        <w:pStyle w:val="Descripcin"/>
        <w:spacing w:before="240"/>
        <w:rPr>
          <w:lang w:val="en-US"/>
        </w:rPr>
      </w:pPr>
      <w:r w:rsidRPr="0021712F">
        <w:rPr>
          <w:rFonts w:ascii="Arial" w:eastAsia="Times New Roman" w:hAnsi="Arial" w:cs="Arial"/>
          <w:b w:val="0"/>
          <w:bCs w:val="0"/>
          <w:color w:val="000000" w:themeColor="text1"/>
          <w:sz w:val="22"/>
          <w:szCs w:val="22"/>
          <w:lang w:val="en-GB" w:eastAsia="fr-FR"/>
        </w:rPr>
        <w:t>There were no exchanges on the secondary market</w:t>
      </w:r>
      <w:r w:rsidR="000E6F05">
        <w:rPr>
          <w:rFonts w:ascii="Arial" w:eastAsia="Times New Roman" w:hAnsi="Arial" w:cs="Arial"/>
          <w:b w:val="0"/>
          <w:bCs w:val="0"/>
          <w:color w:val="000000" w:themeColor="text1"/>
          <w:sz w:val="22"/>
          <w:szCs w:val="22"/>
          <w:lang w:val="en-GB" w:eastAsia="fr-FR"/>
        </w:rPr>
        <w:t>,</w:t>
      </w:r>
      <w:r w:rsidRPr="0021712F">
        <w:rPr>
          <w:rFonts w:ascii="Arial" w:eastAsia="Times New Roman" w:hAnsi="Arial" w:cs="Arial"/>
          <w:b w:val="0"/>
          <w:bCs w:val="0"/>
          <w:color w:val="000000" w:themeColor="text1"/>
          <w:sz w:val="22"/>
          <w:szCs w:val="22"/>
          <w:lang w:val="en-GB" w:eastAsia="fr-FR"/>
        </w:rPr>
        <w:t xml:space="preserve"> except a particular case (for certain intensive industrial consumers</w:t>
      </w:r>
      <w:r w:rsidR="000E6F05">
        <w:rPr>
          <w:rFonts w:ascii="Arial" w:eastAsia="Times New Roman" w:hAnsi="Arial" w:cs="Arial"/>
          <w:b w:val="0"/>
          <w:bCs w:val="0"/>
          <w:color w:val="000000" w:themeColor="text1"/>
          <w:sz w:val="22"/>
          <w:szCs w:val="22"/>
          <w:lang w:val="en-GB" w:eastAsia="fr-FR"/>
        </w:rPr>
        <w:t>)</w:t>
      </w:r>
      <w:r w:rsidRPr="0021712F">
        <w:rPr>
          <w:rFonts w:ascii="Arial" w:eastAsia="Times New Roman" w:hAnsi="Arial" w:cs="Arial"/>
          <w:b w:val="0"/>
          <w:bCs w:val="0"/>
          <w:color w:val="000000" w:themeColor="text1"/>
          <w:sz w:val="22"/>
          <w:szCs w:val="22"/>
          <w:lang w:val="en-GB" w:eastAsia="fr-FR"/>
        </w:rPr>
        <w:t xml:space="preserve">. </w:t>
      </w:r>
      <w:r w:rsidR="0032119A" w:rsidRPr="0021712F">
        <w:rPr>
          <w:rFonts w:ascii="Arial" w:eastAsia="Times New Roman" w:hAnsi="Arial" w:cs="Arial"/>
          <w:b w:val="0"/>
          <w:bCs w:val="0"/>
          <w:color w:val="000000" w:themeColor="text1"/>
          <w:sz w:val="22"/>
          <w:szCs w:val="22"/>
          <w:lang w:val="en-GB" w:eastAsia="fr-FR"/>
        </w:rPr>
        <w:t>On the Nor</w:t>
      </w:r>
      <w:r w:rsidRPr="0021712F">
        <w:rPr>
          <w:rFonts w:ascii="Arial" w:eastAsia="Times New Roman" w:hAnsi="Arial" w:cs="Arial"/>
          <w:b w:val="0"/>
          <w:bCs w:val="0"/>
          <w:color w:val="000000" w:themeColor="text1"/>
          <w:sz w:val="22"/>
          <w:szCs w:val="22"/>
          <w:lang w:val="en-GB" w:eastAsia="fr-FR"/>
        </w:rPr>
        <w:t>th</w:t>
      </w:r>
      <w:r w:rsidR="0032119A" w:rsidRPr="0021712F">
        <w:rPr>
          <w:rFonts w:ascii="Arial" w:eastAsia="Times New Roman" w:hAnsi="Arial" w:cs="Arial"/>
          <w:b w:val="0"/>
          <w:bCs w:val="0"/>
          <w:color w:val="000000" w:themeColor="text1"/>
          <w:sz w:val="22"/>
          <w:szCs w:val="22"/>
          <w:lang w:val="en-GB" w:eastAsia="fr-FR"/>
        </w:rPr>
        <w:t xml:space="preserve"> </w:t>
      </w:r>
      <w:r w:rsidR="0032119A" w:rsidRPr="0021712F">
        <w:rPr>
          <w:rFonts w:ascii="Wingdings" w:eastAsia="Wingdings" w:hAnsi="Wingdings" w:cs="Wingdings"/>
          <w:b w:val="0"/>
          <w:bCs w:val="0"/>
          <w:color w:val="000000" w:themeColor="text1"/>
          <w:sz w:val="22"/>
          <w:szCs w:val="22"/>
          <w:lang w:val="en-GB" w:eastAsia="fr-FR"/>
        </w:rPr>
        <w:t></w:t>
      </w:r>
      <w:r w:rsidR="0032119A" w:rsidRPr="0021712F">
        <w:rPr>
          <w:rFonts w:ascii="Arial" w:eastAsia="Times New Roman" w:hAnsi="Arial" w:cs="Arial"/>
          <w:b w:val="0"/>
          <w:bCs w:val="0"/>
          <w:color w:val="000000" w:themeColor="text1"/>
          <w:sz w:val="22"/>
          <w:szCs w:val="22"/>
          <w:lang w:val="en-GB" w:eastAsia="fr-FR"/>
        </w:rPr>
        <w:t xml:space="preserve"> S</w:t>
      </w:r>
      <w:r w:rsidRPr="0021712F">
        <w:rPr>
          <w:rFonts w:ascii="Arial" w:eastAsia="Times New Roman" w:hAnsi="Arial" w:cs="Arial"/>
          <w:b w:val="0"/>
          <w:bCs w:val="0"/>
          <w:color w:val="000000" w:themeColor="text1"/>
          <w:sz w:val="22"/>
          <w:szCs w:val="22"/>
          <w:lang w:val="en-GB" w:eastAsia="fr-FR"/>
        </w:rPr>
        <w:t>outh link</w:t>
      </w:r>
      <w:r w:rsidR="0032119A" w:rsidRPr="0021712F">
        <w:rPr>
          <w:rFonts w:ascii="Arial" w:eastAsia="Times New Roman" w:hAnsi="Arial" w:cs="Arial"/>
          <w:b w:val="0"/>
          <w:bCs w:val="0"/>
          <w:color w:val="000000" w:themeColor="text1"/>
          <w:sz w:val="22"/>
          <w:szCs w:val="22"/>
          <w:lang w:val="en-GB" w:eastAsia="fr-FR"/>
        </w:rPr>
        <w:t xml:space="preserve">, </w:t>
      </w:r>
      <w:r w:rsidRPr="0021712F">
        <w:rPr>
          <w:rFonts w:ascii="Arial" w:eastAsia="Times New Roman" w:hAnsi="Arial" w:cs="Arial"/>
          <w:b w:val="0"/>
          <w:bCs w:val="0"/>
          <w:color w:val="000000" w:themeColor="text1"/>
          <w:sz w:val="22"/>
          <w:szCs w:val="22"/>
          <w:lang w:val="en-GB" w:eastAsia="fr-FR"/>
        </w:rPr>
        <w:t>around 7 GWh/day were</w:t>
      </w:r>
      <w:r w:rsidR="0032119A" w:rsidRPr="0021712F">
        <w:rPr>
          <w:rFonts w:ascii="Arial" w:eastAsia="Times New Roman" w:hAnsi="Arial" w:cs="Arial"/>
          <w:b w:val="0"/>
          <w:bCs w:val="0"/>
          <w:color w:val="000000" w:themeColor="text1"/>
          <w:sz w:val="22"/>
          <w:szCs w:val="22"/>
          <w:lang w:val="en-GB" w:eastAsia="fr-FR"/>
        </w:rPr>
        <w:t xml:space="preserve"> usually exchange</w:t>
      </w:r>
      <w:r w:rsidRPr="0021712F">
        <w:rPr>
          <w:rFonts w:ascii="Arial" w:eastAsia="Times New Roman" w:hAnsi="Arial" w:cs="Arial"/>
          <w:b w:val="0"/>
          <w:bCs w:val="0"/>
          <w:color w:val="000000" w:themeColor="text1"/>
          <w:sz w:val="22"/>
          <w:szCs w:val="22"/>
          <w:lang w:val="en-GB" w:eastAsia="fr-FR"/>
        </w:rPr>
        <w:t>d</w:t>
      </w:r>
      <w:r w:rsidR="0032119A" w:rsidRPr="0021712F">
        <w:rPr>
          <w:rFonts w:ascii="Arial" w:eastAsia="Times New Roman" w:hAnsi="Arial" w:cs="Arial"/>
          <w:b w:val="0"/>
          <w:bCs w:val="0"/>
          <w:color w:val="000000" w:themeColor="text1"/>
          <w:sz w:val="22"/>
          <w:szCs w:val="22"/>
          <w:lang w:val="en-GB" w:eastAsia="fr-FR"/>
        </w:rPr>
        <w:t xml:space="preserve"> during the </w:t>
      </w:r>
      <w:r w:rsidRPr="0021712F">
        <w:rPr>
          <w:rFonts w:ascii="Arial" w:eastAsia="Times New Roman" w:hAnsi="Arial" w:cs="Arial"/>
          <w:b w:val="0"/>
          <w:bCs w:val="0"/>
          <w:color w:val="000000" w:themeColor="text1"/>
          <w:sz w:val="22"/>
          <w:szCs w:val="22"/>
          <w:lang w:val="en-GB" w:eastAsia="fr-FR"/>
        </w:rPr>
        <w:t>period</w:t>
      </w:r>
      <w:r w:rsidR="0032119A" w:rsidRPr="00603C7A">
        <w:rPr>
          <w:rFonts w:ascii="Arial" w:eastAsia="Times New Roman" w:hAnsi="Arial" w:cs="Arial"/>
          <w:b w:val="0"/>
          <w:bCs w:val="0"/>
          <w:color w:val="000000" w:themeColor="text1"/>
          <w:sz w:val="22"/>
          <w:szCs w:val="22"/>
          <w:lang w:val="en-GB" w:eastAsia="fr-FR"/>
        </w:rPr>
        <w:t xml:space="preserve"> considered in this study</w:t>
      </w:r>
      <w:r w:rsidR="003F6B56" w:rsidRPr="00603C7A">
        <w:rPr>
          <w:lang w:val="en-US"/>
        </w:rPr>
        <w:t>.</w:t>
      </w:r>
    </w:p>
    <w:p w14:paraId="1D52FDA4" w14:textId="64AEBC38" w:rsidR="00FC1E31" w:rsidRPr="00344883" w:rsidRDefault="00FC1E31" w:rsidP="004215EB">
      <w:pPr>
        <w:pStyle w:val="Descripcin"/>
        <w:spacing w:before="240" w:line="360" w:lineRule="auto"/>
        <w:rPr>
          <w:rFonts w:cs="Arial"/>
          <w:sz w:val="28"/>
          <w:u w:val="single"/>
          <w:lang w:val="en-US"/>
        </w:rPr>
      </w:pPr>
      <w:r w:rsidRPr="00344883">
        <w:rPr>
          <w:lang w:val="en-US"/>
        </w:rPr>
        <w:br w:type="page"/>
      </w:r>
    </w:p>
    <w:p w14:paraId="047AF45F" w14:textId="77777777" w:rsidR="005B30F6" w:rsidRDefault="005B30F6" w:rsidP="005B30F6">
      <w:pPr>
        <w:pStyle w:val="Ttulo1"/>
        <w:spacing w:before="240"/>
        <w:rPr>
          <w:lang w:val="en-GB"/>
        </w:rPr>
      </w:pPr>
      <w:bookmarkStart w:id="198" w:name="_Toc49770597"/>
      <w:bookmarkStart w:id="199" w:name="_Toc26657319"/>
      <w:r w:rsidRPr="00E44404">
        <w:rPr>
          <w:lang w:val="en-GB"/>
        </w:rPr>
        <w:t>Assessment of the use of the interconnections for the period October 2016 – September 2019</w:t>
      </w:r>
      <w:bookmarkEnd w:id="198"/>
    </w:p>
    <w:p w14:paraId="0ECCEC70" w14:textId="241BF3BF" w:rsidR="003A3BC6" w:rsidRDefault="003A3BC6" w:rsidP="00D06621">
      <w:pPr>
        <w:spacing w:line="312" w:lineRule="auto"/>
        <w:rPr>
          <w:rFonts w:cs="Arial"/>
          <w:color w:val="000000" w:themeColor="text1"/>
          <w:szCs w:val="22"/>
          <w:lang w:val="en-GB"/>
        </w:rPr>
      </w:pPr>
      <w:r>
        <w:rPr>
          <w:lang w:val="en-GB"/>
        </w:rPr>
        <w:t xml:space="preserve">The purpose of this section is to analyse the use </w:t>
      </w:r>
      <w:r w:rsidR="00D11612">
        <w:rPr>
          <w:lang w:val="en-GB"/>
        </w:rPr>
        <w:t xml:space="preserve">of </w:t>
      </w:r>
      <w:r>
        <w:rPr>
          <w:lang w:val="en-GB"/>
        </w:rPr>
        <w:t>the booked capacity</w:t>
      </w:r>
      <w:r>
        <w:rPr>
          <w:rFonts w:cs="Arial"/>
          <w:color w:val="000000" w:themeColor="text1"/>
          <w:szCs w:val="22"/>
          <w:lang w:val="en-GB"/>
        </w:rPr>
        <w:t xml:space="preserve">. </w:t>
      </w:r>
      <w:r>
        <w:t xml:space="preserve">For the abovementioned reason, all calculations and percentages represented on this part are calculated </w:t>
      </w:r>
      <w:r w:rsidR="00645510">
        <w:t xml:space="preserve">with </w:t>
      </w:r>
      <w:r>
        <w:t xml:space="preserve">respect </w:t>
      </w:r>
      <w:r w:rsidR="00645510">
        <w:t>to</w:t>
      </w:r>
      <w:r>
        <w:t xml:space="preserve"> the total booked capacity of each side of the VIP.</w:t>
      </w:r>
    </w:p>
    <w:p w14:paraId="7BFD9B2D" w14:textId="59461F7F" w:rsidR="005B30F6" w:rsidRPr="00E345E9" w:rsidRDefault="005B30F6" w:rsidP="005B30F6">
      <w:pPr>
        <w:pStyle w:val="Ttulo2"/>
        <w:rPr>
          <w:lang w:val="en-GB"/>
        </w:rPr>
      </w:pPr>
      <w:bookmarkStart w:id="200" w:name="_Toc43733876"/>
      <w:bookmarkStart w:id="201" w:name="_Toc49770598"/>
      <w:bookmarkEnd w:id="200"/>
      <w:r w:rsidRPr="00E44404">
        <w:rPr>
          <w:lang w:val="en-GB"/>
        </w:rPr>
        <w:t>Relationship between technical capacity, capacity bookings, use of</w:t>
      </w:r>
      <w:r w:rsidR="00125A63">
        <w:rPr>
          <w:lang w:val="en-GB"/>
        </w:rPr>
        <w:t xml:space="preserve"> the </w:t>
      </w:r>
      <w:r w:rsidR="00125A63" w:rsidRPr="00E345E9">
        <w:rPr>
          <w:lang w:val="en-GB"/>
        </w:rPr>
        <w:t xml:space="preserve">booked </w:t>
      </w:r>
      <w:r w:rsidRPr="00E345E9">
        <w:rPr>
          <w:lang w:val="en-GB"/>
        </w:rPr>
        <w:t>capacity and flows</w:t>
      </w:r>
      <w:bookmarkEnd w:id="201"/>
    </w:p>
    <w:p w14:paraId="4B37162B" w14:textId="77777777" w:rsidR="005B30F6" w:rsidRPr="00E345E9" w:rsidRDefault="005B30F6" w:rsidP="005B30F6">
      <w:pPr>
        <w:pStyle w:val="Ttulo3"/>
        <w:spacing w:line="360" w:lineRule="auto"/>
        <w:jc w:val="left"/>
        <w:rPr>
          <w:lang w:val="en-US"/>
        </w:rPr>
      </w:pPr>
      <w:r w:rsidRPr="00E345E9">
        <w:rPr>
          <w:lang w:val="en-US"/>
        </w:rPr>
        <w:t>VIP Pirineos</w:t>
      </w:r>
    </w:p>
    <w:p w14:paraId="1B5A3D2D" w14:textId="77777777" w:rsidR="005B30F6" w:rsidRPr="00E345E9" w:rsidRDefault="005B30F6" w:rsidP="00D06621">
      <w:pPr>
        <w:pStyle w:val="Ttulo4"/>
        <w:spacing w:line="240" w:lineRule="auto"/>
      </w:pPr>
      <w:r w:rsidRPr="00E345E9">
        <w:t>North South flow direction</w:t>
      </w:r>
    </w:p>
    <w:p w14:paraId="18C15ECC" w14:textId="77777777" w:rsidR="00431E3F" w:rsidRPr="00E345E9" w:rsidRDefault="00431E3F" w:rsidP="00320ADF">
      <w:pPr>
        <w:spacing w:line="312" w:lineRule="auto"/>
        <w:rPr>
          <w:lang w:val="en-GB"/>
        </w:rPr>
      </w:pPr>
      <w:r w:rsidRPr="00E345E9">
        <w:rPr>
          <w:lang w:val="en-GB"/>
        </w:rPr>
        <w:t>Hereafter you can find graphs on the technical capacity, capacity bookings, use of the booked capacity and flows at both French and Spanish sides.</w:t>
      </w:r>
    </w:p>
    <w:p w14:paraId="4D5E7ADF" w14:textId="4DCA70FC" w:rsidR="00431E3F" w:rsidRPr="00E345E9" w:rsidRDefault="00431E3F" w:rsidP="00431E3F">
      <w:pPr>
        <w:rPr>
          <w:b/>
          <w:u w:val="single"/>
          <w:lang w:val="en-US"/>
        </w:rPr>
      </w:pPr>
      <w:r w:rsidRPr="00E345E9">
        <w:rPr>
          <w:b/>
          <w:u w:val="single"/>
          <w:lang w:val="en-GB"/>
        </w:rPr>
        <w:t>Analysis on the utilization of booked capacity (</w:t>
      </w:r>
      <w:r w:rsidRPr="00E345E9">
        <w:rPr>
          <w:b/>
          <w:u w:val="single"/>
          <w:lang w:val="en-US"/>
        </w:rPr>
        <w:t>French side)</w:t>
      </w:r>
    </w:p>
    <w:p w14:paraId="3C9C90C8" w14:textId="77777777" w:rsidR="00431E3F" w:rsidRPr="00E345E9" w:rsidRDefault="00431E3F" w:rsidP="00431E3F">
      <w:pPr>
        <w:rPr>
          <w:b/>
          <w:u w:val="single"/>
          <w:lang w:val="en-GB"/>
        </w:rPr>
      </w:pPr>
      <w:r w:rsidRPr="00E345E9">
        <w:rPr>
          <w:noProof/>
          <w:lang w:val="es-ES" w:eastAsia="es-ES"/>
        </w:rPr>
        <w:drawing>
          <wp:inline distT="0" distB="0" distL="0" distR="0" wp14:anchorId="0DCD91D8" wp14:editId="2260C17F">
            <wp:extent cx="5683250" cy="2514600"/>
            <wp:effectExtent l="0" t="0" r="1270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D6B2557" w14:textId="2FC3457D" w:rsidR="00431E3F" w:rsidRPr="00E345E9" w:rsidRDefault="00431E3F" w:rsidP="005B3498">
      <w:pPr>
        <w:pStyle w:val="Descripcin"/>
        <w:jc w:val="center"/>
        <w:rPr>
          <w:sz w:val="16"/>
          <w:lang w:val="en-US"/>
        </w:rPr>
      </w:pPr>
      <w:r w:rsidRPr="00E345E9">
        <w:rPr>
          <w:sz w:val="16"/>
          <w:lang w:val="en-US"/>
        </w:rPr>
        <w:t xml:space="preserve">Figure </w:t>
      </w:r>
      <w:r w:rsidRPr="00E345E9">
        <w:fldChar w:fldCharType="begin"/>
      </w:r>
      <w:r w:rsidRPr="00E345E9">
        <w:rPr>
          <w:sz w:val="16"/>
          <w:lang w:val="en-US"/>
        </w:rPr>
        <w:instrText xml:space="preserve"> SEQ Figure \* ARABIC </w:instrText>
      </w:r>
      <w:r w:rsidRPr="00E345E9">
        <w:fldChar w:fldCharType="separate"/>
      </w:r>
      <w:r w:rsidR="00E859C7">
        <w:rPr>
          <w:noProof/>
          <w:sz w:val="16"/>
          <w:lang w:val="en-US"/>
        </w:rPr>
        <w:t>33</w:t>
      </w:r>
      <w:r w:rsidRPr="00E345E9">
        <w:fldChar w:fldCharType="end"/>
      </w:r>
      <w:r w:rsidRPr="00E345E9">
        <w:rPr>
          <w:sz w:val="16"/>
          <w:lang w:val="en-US"/>
        </w:rPr>
        <w:t>: Booked capacity, allocation from France to Spain</w:t>
      </w:r>
    </w:p>
    <w:p w14:paraId="72846EE4" w14:textId="77777777" w:rsidR="00431E3F" w:rsidRPr="00E345E9" w:rsidRDefault="00431E3F" w:rsidP="00431E3F">
      <w:pPr>
        <w:pStyle w:val="Descripcin"/>
        <w:rPr>
          <w:sz w:val="16"/>
          <w:lang w:val="en-US"/>
        </w:rPr>
      </w:pPr>
    </w:p>
    <w:tbl>
      <w:tblPr>
        <w:tblW w:w="5577" w:type="dxa"/>
        <w:jc w:val="center"/>
        <w:tblCellMar>
          <w:left w:w="70" w:type="dxa"/>
          <w:right w:w="70" w:type="dxa"/>
        </w:tblCellMar>
        <w:tblLook w:val="04A0" w:firstRow="1" w:lastRow="0" w:firstColumn="1" w:lastColumn="0" w:noHBand="0" w:noVBand="1"/>
      </w:tblPr>
      <w:tblGrid>
        <w:gridCol w:w="2251"/>
        <w:gridCol w:w="1139"/>
        <w:gridCol w:w="1048"/>
        <w:gridCol w:w="1139"/>
      </w:tblGrid>
      <w:tr w:rsidR="00431E3F" w:rsidRPr="00E345E9" w14:paraId="3C3907DC" w14:textId="77777777" w:rsidTr="00953AEB">
        <w:trPr>
          <w:trHeight w:val="300"/>
          <w:jc w:val="center"/>
        </w:trPr>
        <w:tc>
          <w:tcPr>
            <w:tcW w:w="5577" w:type="dxa"/>
            <w:gridSpan w:val="4"/>
            <w:tcBorders>
              <w:top w:val="single" w:sz="8" w:space="0" w:color="4F81BD"/>
              <w:left w:val="single" w:sz="8" w:space="0" w:color="4F81BD"/>
              <w:bottom w:val="single" w:sz="8" w:space="0" w:color="4F81BD"/>
              <w:right w:val="single" w:sz="8" w:space="0" w:color="4F81BD"/>
            </w:tcBorders>
            <w:shd w:val="clear" w:color="auto" w:fill="4F81BD"/>
            <w:noWrap/>
            <w:vAlign w:val="center"/>
            <w:hideMark/>
          </w:tcPr>
          <w:p w14:paraId="5D9F1D6F" w14:textId="77777777" w:rsidR="00431E3F" w:rsidRPr="00E345E9" w:rsidRDefault="00431E3F" w:rsidP="00953AEB">
            <w:pPr>
              <w:spacing w:before="0" w:after="0" w:line="240" w:lineRule="auto"/>
              <w:jc w:val="center"/>
              <w:rPr>
                <w:rFonts w:cs="Arial"/>
                <w:b/>
                <w:bCs/>
                <w:color w:val="FFFFFF"/>
                <w:sz w:val="20"/>
                <w:szCs w:val="20"/>
              </w:rPr>
            </w:pPr>
            <w:r w:rsidRPr="00E345E9">
              <w:rPr>
                <w:rFonts w:cs="Arial"/>
                <w:b/>
                <w:bCs/>
                <w:color w:val="FFFFFF"/>
                <w:sz w:val="20"/>
                <w:szCs w:val="20"/>
              </w:rPr>
              <w:t>Utilization rate of Firm capacity at VIP Pirineos Exit France</w:t>
            </w:r>
          </w:p>
        </w:tc>
      </w:tr>
      <w:tr w:rsidR="00431E3F" w:rsidRPr="00E345E9" w14:paraId="47246769" w14:textId="77777777" w:rsidTr="00953AEB">
        <w:trPr>
          <w:trHeight w:val="300"/>
          <w:jc w:val="center"/>
        </w:trPr>
        <w:tc>
          <w:tcPr>
            <w:tcW w:w="2251" w:type="dxa"/>
            <w:tcBorders>
              <w:top w:val="nil"/>
              <w:left w:val="single" w:sz="8" w:space="0" w:color="95B3D7"/>
              <w:bottom w:val="single" w:sz="8" w:space="0" w:color="95B3D7"/>
              <w:right w:val="single" w:sz="8" w:space="0" w:color="95B3D7"/>
            </w:tcBorders>
            <w:shd w:val="clear" w:color="auto" w:fill="DBE5F1"/>
            <w:noWrap/>
            <w:hideMark/>
          </w:tcPr>
          <w:p w14:paraId="72EF6945" w14:textId="77777777" w:rsidR="00431E3F" w:rsidRPr="00E345E9" w:rsidRDefault="00431E3F" w:rsidP="00953AEB">
            <w:pPr>
              <w:spacing w:before="0" w:after="0" w:line="240" w:lineRule="auto"/>
              <w:jc w:val="left"/>
              <w:rPr>
                <w:rFonts w:ascii="Times New Roman" w:hAnsi="Times New Roman"/>
                <w:color w:val="000000"/>
                <w:sz w:val="20"/>
                <w:szCs w:val="20"/>
              </w:rPr>
            </w:pPr>
            <w:r w:rsidRPr="00E345E9">
              <w:rPr>
                <w:rFonts w:ascii="Times New Roman" w:hAnsi="Times New Roman"/>
                <w:color w:val="000000"/>
                <w:sz w:val="20"/>
                <w:szCs w:val="20"/>
              </w:rPr>
              <w:t> </w:t>
            </w:r>
          </w:p>
        </w:tc>
        <w:tc>
          <w:tcPr>
            <w:tcW w:w="1139" w:type="dxa"/>
            <w:tcBorders>
              <w:top w:val="nil"/>
              <w:left w:val="nil"/>
              <w:bottom w:val="single" w:sz="8" w:space="0" w:color="95B3D7"/>
              <w:right w:val="single" w:sz="8" w:space="0" w:color="95B3D7"/>
            </w:tcBorders>
            <w:shd w:val="clear" w:color="auto" w:fill="DBE5F1"/>
            <w:noWrap/>
            <w:vAlign w:val="center"/>
            <w:hideMark/>
          </w:tcPr>
          <w:p w14:paraId="65A680EA"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Minimum</w:t>
            </w:r>
          </w:p>
        </w:tc>
        <w:tc>
          <w:tcPr>
            <w:tcW w:w="1048" w:type="dxa"/>
            <w:tcBorders>
              <w:top w:val="nil"/>
              <w:left w:val="nil"/>
              <w:bottom w:val="single" w:sz="8" w:space="0" w:color="95B3D7"/>
              <w:right w:val="single" w:sz="8" w:space="0" w:color="95B3D7"/>
            </w:tcBorders>
            <w:shd w:val="clear" w:color="auto" w:fill="DBE5F1"/>
            <w:noWrap/>
            <w:vAlign w:val="center"/>
            <w:hideMark/>
          </w:tcPr>
          <w:p w14:paraId="3FAC6CCC"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Average</w:t>
            </w:r>
          </w:p>
        </w:tc>
        <w:tc>
          <w:tcPr>
            <w:tcW w:w="1139" w:type="dxa"/>
            <w:tcBorders>
              <w:top w:val="nil"/>
              <w:left w:val="nil"/>
              <w:bottom w:val="single" w:sz="8" w:space="0" w:color="95B3D7"/>
              <w:right w:val="single" w:sz="8" w:space="0" w:color="95B3D7"/>
            </w:tcBorders>
            <w:shd w:val="clear" w:color="auto" w:fill="DBE5F1"/>
            <w:noWrap/>
            <w:vAlign w:val="center"/>
            <w:hideMark/>
          </w:tcPr>
          <w:p w14:paraId="54D69524"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Maximun</w:t>
            </w:r>
          </w:p>
        </w:tc>
      </w:tr>
      <w:tr w:rsidR="00431E3F" w:rsidRPr="00E345E9" w14:paraId="15257836" w14:textId="77777777" w:rsidTr="00953AEB">
        <w:trPr>
          <w:trHeight w:val="300"/>
          <w:jc w:val="center"/>
        </w:trPr>
        <w:tc>
          <w:tcPr>
            <w:tcW w:w="2251" w:type="dxa"/>
            <w:tcBorders>
              <w:top w:val="nil"/>
              <w:left w:val="single" w:sz="8" w:space="0" w:color="95B3D7"/>
              <w:bottom w:val="single" w:sz="8" w:space="0" w:color="95B3D7"/>
              <w:right w:val="single" w:sz="8" w:space="0" w:color="95B3D7"/>
            </w:tcBorders>
            <w:noWrap/>
            <w:vAlign w:val="center"/>
            <w:hideMark/>
          </w:tcPr>
          <w:p w14:paraId="5A9FFF1C" w14:textId="77777777" w:rsidR="00431E3F" w:rsidRPr="00E345E9" w:rsidRDefault="00431E3F" w:rsidP="00953AEB">
            <w:pPr>
              <w:spacing w:before="0" w:after="0" w:line="240" w:lineRule="auto"/>
              <w:jc w:val="center"/>
              <w:rPr>
                <w:rFonts w:cs="Arial"/>
                <w:b/>
                <w:bCs/>
                <w:color w:val="000000"/>
                <w:sz w:val="20"/>
                <w:szCs w:val="20"/>
              </w:rPr>
            </w:pPr>
            <w:r w:rsidRPr="00E345E9">
              <w:rPr>
                <w:rFonts w:cs="Arial"/>
                <w:b/>
                <w:bCs/>
                <w:color w:val="000000"/>
                <w:sz w:val="20"/>
                <w:szCs w:val="20"/>
              </w:rPr>
              <w:t>Gas year 2016-17</w:t>
            </w:r>
          </w:p>
        </w:tc>
        <w:tc>
          <w:tcPr>
            <w:tcW w:w="1139" w:type="dxa"/>
            <w:tcBorders>
              <w:top w:val="nil"/>
              <w:left w:val="nil"/>
              <w:bottom w:val="single" w:sz="8" w:space="0" w:color="95B3D7"/>
              <w:right w:val="single" w:sz="8" w:space="0" w:color="95B3D7"/>
            </w:tcBorders>
            <w:noWrap/>
            <w:vAlign w:val="center"/>
            <w:hideMark/>
          </w:tcPr>
          <w:p w14:paraId="470AB874"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35%</w:t>
            </w:r>
          </w:p>
        </w:tc>
        <w:tc>
          <w:tcPr>
            <w:tcW w:w="1048" w:type="dxa"/>
            <w:tcBorders>
              <w:top w:val="nil"/>
              <w:left w:val="nil"/>
              <w:bottom w:val="single" w:sz="8" w:space="0" w:color="95B3D7"/>
              <w:right w:val="single" w:sz="8" w:space="0" w:color="95B3D7"/>
            </w:tcBorders>
            <w:noWrap/>
            <w:vAlign w:val="center"/>
            <w:hideMark/>
          </w:tcPr>
          <w:p w14:paraId="01530779"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79%</w:t>
            </w:r>
          </w:p>
        </w:tc>
        <w:tc>
          <w:tcPr>
            <w:tcW w:w="1139" w:type="dxa"/>
            <w:tcBorders>
              <w:top w:val="nil"/>
              <w:left w:val="nil"/>
              <w:bottom w:val="single" w:sz="8" w:space="0" w:color="95B3D7"/>
              <w:right w:val="single" w:sz="8" w:space="0" w:color="95B3D7"/>
            </w:tcBorders>
            <w:noWrap/>
            <w:vAlign w:val="center"/>
            <w:hideMark/>
          </w:tcPr>
          <w:p w14:paraId="69524B73"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100%</w:t>
            </w:r>
          </w:p>
        </w:tc>
      </w:tr>
      <w:tr w:rsidR="00431E3F" w:rsidRPr="00E345E9" w14:paraId="48522F4B" w14:textId="77777777" w:rsidTr="00953AEB">
        <w:trPr>
          <w:trHeight w:val="300"/>
          <w:jc w:val="center"/>
        </w:trPr>
        <w:tc>
          <w:tcPr>
            <w:tcW w:w="2251" w:type="dxa"/>
            <w:tcBorders>
              <w:top w:val="nil"/>
              <w:left w:val="single" w:sz="8" w:space="0" w:color="95B3D7"/>
              <w:bottom w:val="single" w:sz="8" w:space="0" w:color="95B3D7"/>
              <w:right w:val="single" w:sz="8" w:space="0" w:color="95B3D7"/>
            </w:tcBorders>
            <w:shd w:val="clear" w:color="auto" w:fill="DBE5F1"/>
            <w:noWrap/>
            <w:vAlign w:val="center"/>
            <w:hideMark/>
          </w:tcPr>
          <w:p w14:paraId="5981711A" w14:textId="77777777" w:rsidR="00431E3F" w:rsidRPr="00E345E9" w:rsidRDefault="00431E3F" w:rsidP="00953AEB">
            <w:pPr>
              <w:spacing w:before="0" w:after="0" w:line="240" w:lineRule="auto"/>
              <w:jc w:val="center"/>
              <w:rPr>
                <w:rFonts w:cs="Arial"/>
                <w:b/>
                <w:bCs/>
                <w:color w:val="000000"/>
                <w:sz w:val="20"/>
                <w:szCs w:val="20"/>
              </w:rPr>
            </w:pPr>
            <w:r w:rsidRPr="00E345E9">
              <w:rPr>
                <w:rFonts w:cs="Arial"/>
                <w:b/>
                <w:bCs/>
                <w:color w:val="000000"/>
                <w:sz w:val="20"/>
                <w:szCs w:val="20"/>
              </w:rPr>
              <w:t>Gas year 2017-18</w:t>
            </w:r>
          </w:p>
        </w:tc>
        <w:tc>
          <w:tcPr>
            <w:tcW w:w="1139" w:type="dxa"/>
            <w:tcBorders>
              <w:top w:val="nil"/>
              <w:left w:val="nil"/>
              <w:bottom w:val="single" w:sz="8" w:space="0" w:color="95B3D7"/>
              <w:right w:val="single" w:sz="8" w:space="0" w:color="95B3D7"/>
            </w:tcBorders>
            <w:shd w:val="clear" w:color="auto" w:fill="DBE5F1"/>
            <w:noWrap/>
            <w:vAlign w:val="center"/>
            <w:hideMark/>
          </w:tcPr>
          <w:p w14:paraId="55DCE935"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16%</w:t>
            </w:r>
          </w:p>
        </w:tc>
        <w:tc>
          <w:tcPr>
            <w:tcW w:w="1048" w:type="dxa"/>
            <w:tcBorders>
              <w:top w:val="nil"/>
              <w:left w:val="nil"/>
              <w:bottom w:val="single" w:sz="8" w:space="0" w:color="95B3D7"/>
              <w:right w:val="single" w:sz="8" w:space="0" w:color="95B3D7"/>
            </w:tcBorders>
            <w:shd w:val="clear" w:color="auto" w:fill="DBE5F1"/>
            <w:noWrap/>
            <w:vAlign w:val="center"/>
            <w:hideMark/>
          </w:tcPr>
          <w:p w14:paraId="16EB6C46"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66%</w:t>
            </w:r>
          </w:p>
        </w:tc>
        <w:tc>
          <w:tcPr>
            <w:tcW w:w="1139" w:type="dxa"/>
            <w:tcBorders>
              <w:top w:val="nil"/>
              <w:left w:val="nil"/>
              <w:bottom w:val="single" w:sz="8" w:space="0" w:color="95B3D7"/>
              <w:right w:val="single" w:sz="8" w:space="0" w:color="95B3D7"/>
            </w:tcBorders>
            <w:shd w:val="clear" w:color="auto" w:fill="DDEBF7"/>
            <w:noWrap/>
            <w:vAlign w:val="center"/>
            <w:hideMark/>
          </w:tcPr>
          <w:p w14:paraId="60A580FC"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100%</w:t>
            </w:r>
          </w:p>
        </w:tc>
      </w:tr>
      <w:tr w:rsidR="00431E3F" w:rsidRPr="00E345E9" w14:paraId="52B8544C" w14:textId="77777777" w:rsidTr="00953AEB">
        <w:trPr>
          <w:trHeight w:val="300"/>
          <w:jc w:val="center"/>
        </w:trPr>
        <w:tc>
          <w:tcPr>
            <w:tcW w:w="2251" w:type="dxa"/>
            <w:tcBorders>
              <w:top w:val="nil"/>
              <w:left w:val="single" w:sz="8" w:space="0" w:color="95B3D7"/>
              <w:bottom w:val="single" w:sz="8" w:space="0" w:color="95B3D7"/>
              <w:right w:val="single" w:sz="8" w:space="0" w:color="95B3D7"/>
            </w:tcBorders>
            <w:noWrap/>
            <w:vAlign w:val="center"/>
            <w:hideMark/>
          </w:tcPr>
          <w:p w14:paraId="13ED31BB" w14:textId="77777777" w:rsidR="00431E3F" w:rsidRPr="00E345E9" w:rsidRDefault="00431E3F" w:rsidP="00953AEB">
            <w:pPr>
              <w:spacing w:before="0" w:after="0" w:line="240" w:lineRule="auto"/>
              <w:jc w:val="center"/>
              <w:rPr>
                <w:rFonts w:cs="Arial"/>
                <w:b/>
                <w:bCs/>
                <w:color w:val="000000"/>
                <w:sz w:val="20"/>
                <w:szCs w:val="20"/>
              </w:rPr>
            </w:pPr>
            <w:r w:rsidRPr="00E345E9">
              <w:rPr>
                <w:rFonts w:cs="Arial"/>
                <w:b/>
                <w:bCs/>
                <w:color w:val="000000"/>
                <w:sz w:val="20"/>
                <w:szCs w:val="20"/>
              </w:rPr>
              <w:t>Gas year 2018-19</w:t>
            </w:r>
          </w:p>
        </w:tc>
        <w:tc>
          <w:tcPr>
            <w:tcW w:w="1139" w:type="dxa"/>
            <w:tcBorders>
              <w:top w:val="nil"/>
              <w:left w:val="nil"/>
              <w:bottom w:val="single" w:sz="8" w:space="0" w:color="95B3D7"/>
              <w:right w:val="single" w:sz="8" w:space="0" w:color="95B3D7"/>
            </w:tcBorders>
            <w:noWrap/>
            <w:vAlign w:val="center"/>
            <w:hideMark/>
          </w:tcPr>
          <w:p w14:paraId="0D99927A"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49%</w:t>
            </w:r>
          </w:p>
        </w:tc>
        <w:tc>
          <w:tcPr>
            <w:tcW w:w="1048" w:type="dxa"/>
            <w:tcBorders>
              <w:top w:val="nil"/>
              <w:left w:val="nil"/>
              <w:bottom w:val="single" w:sz="8" w:space="0" w:color="95B3D7"/>
              <w:right w:val="single" w:sz="8" w:space="0" w:color="95B3D7"/>
            </w:tcBorders>
            <w:noWrap/>
            <w:vAlign w:val="center"/>
            <w:hideMark/>
          </w:tcPr>
          <w:p w14:paraId="579506FE"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96%</w:t>
            </w:r>
          </w:p>
        </w:tc>
        <w:tc>
          <w:tcPr>
            <w:tcW w:w="1139" w:type="dxa"/>
            <w:tcBorders>
              <w:top w:val="nil"/>
              <w:left w:val="nil"/>
              <w:bottom w:val="single" w:sz="8" w:space="0" w:color="95B3D7"/>
              <w:right w:val="single" w:sz="8" w:space="0" w:color="95B3D7"/>
            </w:tcBorders>
            <w:noWrap/>
            <w:vAlign w:val="center"/>
            <w:hideMark/>
          </w:tcPr>
          <w:p w14:paraId="0B3A32B7"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100%</w:t>
            </w:r>
          </w:p>
        </w:tc>
      </w:tr>
      <w:tr w:rsidR="00431E3F" w:rsidRPr="00E345E9" w14:paraId="48EE69E9" w14:textId="77777777" w:rsidTr="00953AEB">
        <w:trPr>
          <w:trHeight w:val="300"/>
          <w:jc w:val="center"/>
        </w:trPr>
        <w:tc>
          <w:tcPr>
            <w:tcW w:w="2251" w:type="dxa"/>
            <w:noWrap/>
            <w:vAlign w:val="bottom"/>
            <w:hideMark/>
          </w:tcPr>
          <w:p w14:paraId="0486BBD5" w14:textId="77777777" w:rsidR="00431E3F" w:rsidRPr="00E345E9" w:rsidRDefault="00431E3F" w:rsidP="00953AEB">
            <w:pPr>
              <w:rPr>
                <w:rFonts w:cs="Arial"/>
                <w:color w:val="000000"/>
                <w:sz w:val="20"/>
                <w:szCs w:val="20"/>
              </w:rPr>
            </w:pPr>
          </w:p>
        </w:tc>
        <w:tc>
          <w:tcPr>
            <w:tcW w:w="1139" w:type="dxa"/>
            <w:noWrap/>
            <w:vAlign w:val="bottom"/>
            <w:hideMark/>
          </w:tcPr>
          <w:p w14:paraId="3FE09426" w14:textId="77777777" w:rsidR="00431E3F" w:rsidRPr="00E345E9" w:rsidRDefault="00431E3F" w:rsidP="00953AEB">
            <w:pPr>
              <w:spacing w:before="0" w:after="0" w:line="240" w:lineRule="auto"/>
              <w:jc w:val="left"/>
              <w:rPr>
                <w:rFonts w:ascii="Times New Roman" w:hAnsi="Times New Roman"/>
                <w:sz w:val="20"/>
                <w:szCs w:val="20"/>
              </w:rPr>
            </w:pPr>
          </w:p>
        </w:tc>
        <w:tc>
          <w:tcPr>
            <w:tcW w:w="1048" w:type="dxa"/>
            <w:noWrap/>
            <w:vAlign w:val="bottom"/>
            <w:hideMark/>
          </w:tcPr>
          <w:p w14:paraId="25A0515E" w14:textId="77777777" w:rsidR="00431E3F" w:rsidRPr="00E345E9" w:rsidRDefault="00431E3F" w:rsidP="00953AEB">
            <w:pPr>
              <w:spacing w:before="0" w:after="0" w:line="240" w:lineRule="auto"/>
              <w:jc w:val="left"/>
              <w:rPr>
                <w:rFonts w:ascii="Times New Roman" w:hAnsi="Times New Roman"/>
                <w:sz w:val="20"/>
                <w:szCs w:val="20"/>
              </w:rPr>
            </w:pPr>
          </w:p>
        </w:tc>
        <w:tc>
          <w:tcPr>
            <w:tcW w:w="1139" w:type="dxa"/>
            <w:noWrap/>
            <w:vAlign w:val="bottom"/>
            <w:hideMark/>
          </w:tcPr>
          <w:p w14:paraId="125E5BA4" w14:textId="77777777" w:rsidR="00431E3F" w:rsidRPr="00E345E9" w:rsidRDefault="00431E3F" w:rsidP="00953AEB">
            <w:pPr>
              <w:spacing w:before="0" w:after="0" w:line="240" w:lineRule="auto"/>
              <w:jc w:val="left"/>
              <w:rPr>
                <w:rFonts w:ascii="Times New Roman" w:hAnsi="Times New Roman"/>
                <w:sz w:val="20"/>
                <w:szCs w:val="20"/>
              </w:rPr>
            </w:pPr>
          </w:p>
        </w:tc>
      </w:tr>
      <w:tr w:rsidR="00431E3F" w:rsidRPr="00E345E9" w14:paraId="2FD410E5" w14:textId="77777777" w:rsidTr="00953AEB">
        <w:trPr>
          <w:trHeight w:val="300"/>
          <w:jc w:val="center"/>
        </w:trPr>
        <w:tc>
          <w:tcPr>
            <w:tcW w:w="5577" w:type="dxa"/>
            <w:gridSpan w:val="4"/>
            <w:tcBorders>
              <w:top w:val="single" w:sz="8" w:space="0" w:color="4F81BD"/>
              <w:left w:val="single" w:sz="8" w:space="0" w:color="4F81BD"/>
              <w:bottom w:val="single" w:sz="8" w:space="0" w:color="4F81BD"/>
              <w:right w:val="single" w:sz="8" w:space="0" w:color="4F81BD"/>
            </w:tcBorders>
            <w:shd w:val="clear" w:color="auto" w:fill="4F81BD"/>
            <w:noWrap/>
            <w:vAlign w:val="center"/>
            <w:hideMark/>
          </w:tcPr>
          <w:p w14:paraId="7D61E67C" w14:textId="77777777" w:rsidR="00431E3F" w:rsidRPr="00E345E9" w:rsidRDefault="00431E3F" w:rsidP="00953AEB">
            <w:pPr>
              <w:spacing w:before="0" w:after="0" w:line="240" w:lineRule="auto"/>
              <w:jc w:val="center"/>
              <w:rPr>
                <w:rFonts w:cs="Arial"/>
                <w:b/>
                <w:bCs/>
                <w:color w:val="FFFFFF"/>
                <w:sz w:val="20"/>
                <w:szCs w:val="20"/>
              </w:rPr>
            </w:pPr>
            <w:r w:rsidRPr="00E345E9">
              <w:rPr>
                <w:rFonts w:cs="Arial"/>
                <w:b/>
                <w:bCs/>
                <w:color w:val="FFFFFF"/>
                <w:sz w:val="20"/>
                <w:szCs w:val="20"/>
              </w:rPr>
              <w:t>Utilization rate of total capacity at VIP Pirineos Exit France</w:t>
            </w:r>
          </w:p>
        </w:tc>
      </w:tr>
      <w:tr w:rsidR="00431E3F" w:rsidRPr="00E345E9" w14:paraId="441411B2" w14:textId="77777777" w:rsidTr="00953AEB">
        <w:trPr>
          <w:trHeight w:val="300"/>
          <w:jc w:val="center"/>
        </w:trPr>
        <w:tc>
          <w:tcPr>
            <w:tcW w:w="2251" w:type="dxa"/>
            <w:tcBorders>
              <w:top w:val="nil"/>
              <w:left w:val="single" w:sz="8" w:space="0" w:color="95B3D7"/>
              <w:bottom w:val="single" w:sz="8" w:space="0" w:color="95B3D7"/>
              <w:right w:val="single" w:sz="8" w:space="0" w:color="95B3D7"/>
            </w:tcBorders>
            <w:shd w:val="clear" w:color="auto" w:fill="DBE5F1"/>
            <w:noWrap/>
            <w:hideMark/>
          </w:tcPr>
          <w:p w14:paraId="7598DFC1" w14:textId="77777777" w:rsidR="00431E3F" w:rsidRPr="00E345E9" w:rsidRDefault="00431E3F" w:rsidP="00953AEB">
            <w:pPr>
              <w:spacing w:before="0" w:after="0" w:line="240" w:lineRule="auto"/>
              <w:jc w:val="left"/>
              <w:rPr>
                <w:rFonts w:ascii="Times New Roman" w:hAnsi="Times New Roman"/>
                <w:color w:val="000000"/>
                <w:sz w:val="20"/>
                <w:szCs w:val="20"/>
              </w:rPr>
            </w:pPr>
            <w:r w:rsidRPr="00E345E9">
              <w:rPr>
                <w:rFonts w:ascii="Times New Roman" w:hAnsi="Times New Roman"/>
                <w:color w:val="000000"/>
                <w:sz w:val="20"/>
                <w:szCs w:val="20"/>
              </w:rPr>
              <w:t> </w:t>
            </w:r>
          </w:p>
        </w:tc>
        <w:tc>
          <w:tcPr>
            <w:tcW w:w="1139" w:type="dxa"/>
            <w:tcBorders>
              <w:top w:val="nil"/>
              <w:left w:val="nil"/>
              <w:bottom w:val="single" w:sz="8" w:space="0" w:color="95B3D7"/>
              <w:right w:val="single" w:sz="8" w:space="0" w:color="95B3D7"/>
            </w:tcBorders>
            <w:shd w:val="clear" w:color="auto" w:fill="DBE5F1"/>
            <w:noWrap/>
            <w:vAlign w:val="center"/>
            <w:hideMark/>
          </w:tcPr>
          <w:p w14:paraId="04CCE2A8"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Minimum</w:t>
            </w:r>
          </w:p>
        </w:tc>
        <w:tc>
          <w:tcPr>
            <w:tcW w:w="1048" w:type="dxa"/>
            <w:tcBorders>
              <w:top w:val="nil"/>
              <w:left w:val="nil"/>
              <w:bottom w:val="single" w:sz="8" w:space="0" w:color="95B3D7"/>
              <w:right w:val="single" w:sz="8" w:space="0" w:color="95B3D7"/>
            </w:tcBorders>
            <w:shd w:val="clear" w:color="auto" w:fill="DBE5F1"/>
            <w:noWrap/>
            <w:vAlign w:val="center"/>
            <w:hideMark/>
          </w:tcPr>
          <w:p w14:paraId="431FFE1B"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Average</w:t>
            </w:r>
          </w:p>
        </w:tc>
        <w:tc>
          <w:tcPr>
            <w:tcW w:w="1139" w:type="dxa"/>
            <w:tcBorders>
              <w:top w:val="nil"/>
              <w:left w:val="nil"/>
              <w:bottom w:val="single" w:sz="8" w:space="0" w:color="95B3D7"/>
              <w:right w:val="single" w:sz="8" w:space="0" w:color="95B3D7"/>
            </w:tcBorders>
            <w:shd w:val="clear" w:color="auto" w:fill="DBE5F1"/>
            <w:noWrap/>
            <w:vAlign w:val="center"/>
            <w:hideMark/>
          </w:tcPr>
          <w:p w14:paraId="3D6418B1"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Maximun</w:t>
            </w:r>
          </w:p>
        </w:tc>
      </w:tr>
      <w:tr w:rsidR="00431E3F" w:rsidRPr="00E345E9" w14:paraId="5FCE4461" w14:textId="77777777" w:rsidTr="00953AEB">
        <w:trPr>
          <w:trHeight w:val="300"/>
          <w:jc w:val="center"/>
        </w:trPr>
        <w:tc>
          <w:tcPr>
            <w:tcW w:w="2251" w:type="dxa"/>
            <w:tcBorders>
              <w:top w:val="nil"/>
              <w:left w:val="single" w:sz="8" w:space="0" w:color="95B3D7"/>
              <w:bottom w:val="single" w:sz="8" w:space="0" w:color="95B3D7"/>
              <w:right w:val="single" w:sz="8" w:space="0" w:color="95B3D7"/>
            </w:tcBorders>
            <w:noWrap/>
            <w:vAlign w:val="center"/>
            <w:hideMark/>
          </w:tcPr>
          <w:p w14:paraId="50F7B9DF" w14:textId="77777777" w:rsidR="00431E3F" w:rsidRPr="00E345E9" w:rsidRDefault="00431E3F" w:rsidP="00953AEB">
            <w:pPr>
              <w:spacing w:before="0" w:after="0" w:line="240" w:lineRule="auto"/>
              <w:jc w:val="center"/>
              <w:rPr>
                <w:rFonts w:cs="Arial"/>
                <w:b/>
                <w:bCs/>
                <w:color w:val="000000"/>
                <w:sz w:val="20"/>
                <w:szCs w:val="20"/>
              </w:rPr>
            </w:pPr>
            <w:r w:rsidRPr="00E345E9">
              <w:rPr>
                <w:rFonts w:cs="Arial"/>
                <w:b/>
                <w:bCs/>
                <w:color w:val="000000"/>
                <w:sz w:val="20"/>
                <w:szCs w:val="20"/>
              </w:rPr>
              <w:t>Gas year 2016-17</w:t>
            </w:r>
          </w:p>
        </w:tc>
        <w:tc>
          <w:tcPr>
            <w:tcW w:w="1139" w:type="dxa"/>
            <w:tcBorders>
              <w:top w:val="nil"/>
              <w:left w:val="nil"/>
              <w:bottom w:val="single" w:sz="8" w:space="0" w:color="95B3D7"/>
              <w:right w:val="single" w:sz="8" w:space="0" w:color="95B3D7"/>
            </w:tcBorders>
            <w:noWrap/>
            <w:vAlign w:val="center"/>
            <w:hideMark/>
          </w:tcPr>
          <w:p w14:paraId="4AA2828B"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23%</w:t>
            </w:r>
          </w:p>
        </w:tc>
        <w:tc>
          <w:tcPr>
            <w:tcW w:w="1048" w:type="dxa"/>
            <w:tcBorders>
              <w:top w:val="nil"/>
              <w:left w:val="nil"/>
              <w:bottom w:val="single" w:sz="8" w:space="0" w:color="95B3D7"/>
              <w:right w:val="single" w:sz="8" w:space="0" w:color="95B3D7"/>
            </w:tcBorders>
            <w:noWrap/>
            <w:vAlign w:val="center"/>
            <w:hideMark/>
          </w:tcPr>
          <w:p w14:paraId="5776E2DD"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52%</w:t>
            </w:r>
          </w:p>
        </w:tc>
        <w:tc>
          <w:tcPr>
            <w:tcW w:w="1139" w:type="dxa"/>
            <w:tcBorders>
              <w:top w:val="nil"/>
              <w:left w:val="nil"/>
              <w:bottom w:val="single" w:sz="8" w:space="0" w:color="95B3D7"/>
              <w:right w:val="single" w:sz="8" w:space="0" w:color="95B3D7"/>
            </w:tcBorders>
            <w:noWrap/>
            <w:vAlign w:val="center"/>
            <w:hideMark/>
          </w:tcPr>
          <w:p w14:paraId="06EA265C"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85%</w:t>
            </w:r>
          </w:p>
        </w:tc>
      </w:tr>
      <w:tr w:rsidR="00431E3F" w:rsidRPr="00E345E9" w14:paraId="41EB7713" w14:textId="77777777" w:rsidTr="00953AEB">
        <w:trPr>
          <w:trHeight w:val="300"/>
          <w:jc w:val="center"/>
        </w:trPr>
        <w:tc>
          <w:tcPr>
            <w:tcW w:w="2251" w:type="dxa"/>
            <w:tcBorders>
              <w:top w:val="nil"/>
              <w:left w:val="single" w:sz="8" w:space="0" w:color="95B3D7"/>
              <w:bottom w:val="single" w:sz="8" w:space="0" w:color="95B3D7"/>
              <w:right w:val="single" w:sz="8" w:space="0" w:color="95B3D7"/>
            </w:tcBorders>
            <w:shd w:val="clear" w:color="auto" w:fill="DBE5F1"/>
            <w:noWrap/>
            <w:vAlign w:val="center"/>
            <w:hideMark/>
          </w:tcPr>
          <w:p w14:paraId="0722167B" w14:textId="77777777" w:rsidR="00431E3F" w:rsidRPr="00E345E9" w:rsidRDefault="00431E3F" w:rsidP="00953AEB">
            <w:pPr>
              <w:spacing w:before="0" w:after="0" w:line="240" w:lineRule="auto"/>
              <w:jc w:val="center"/>
              <w:rPr>
                <w:rFonts w:cs="Arial"/>
                <w:b/>
                <w:bCs/>
                <w:color w:val="000000"/>
                <w:sz w:val="20"/>
                <w:szCs w:val="20"/>
              </w:rPr>
            </w:pPr>
            <w:r w:rsidRPr="00E345E9">
              <w:rPr>
                <w:rFonts w:cs="Arial"/>
                <w:b/>
                <w:bCs/>
                <w:color w:val="000000"/>
                <w:sz w:val="20"/>
                <w:szCs w:val="20"/>
              </w:rPr>
              <w:t>Gas year 2017-18</w:t>
            </w:r>
          </w:p>
        </w:tc>
        <w:tc>
          <w:tcPr>
            <w:tcW w:w="1139" w:type="dxa"/>
            <w:tcBorders>
              <w:top w:val="nil"/>
              <w:left w:val="nil"/>
              <w:bottom w:val="single" w:sz="8" w:space="0" w:color="95B3D7"/>
              <w:right w:val="single" w:sz="8" w:space="0" w:color="95B3D7"/>
            </w:tcBorders>
            <w:shd w:val="clear" w:color="auto" w:fill="DBE5F1"/>
            <w:noWrap/>
            <w:vAlign w:val="center"/>
            <w:hideMark/>
          </w:tcPr>
          <w:p w14:paraId="41C52CF9"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10%</w:t>
            </w:r>
          </w:p>
        </w:tc>
        <w:tc>
          <w:tcPr>
            <w:tcW w:w="1048" w:type="dxa"/>
            <w:tcBorders>
              <w:top w:val="nil"/>
              <w:left w:val="nil"/>
              <w:bottom w:val="single" w:sz="8" w:space="0" w:color="95B3D7"/>
              <w:right w:val="single" w:sz="8" w:space="0" w:color="95B3D7"/>
            </w:tcBorders>
            <w:shd w:val="clear" w:color="auto" w:fill="DBE5F1"/>
            <w:noWrap/>
            <w:vAlign w:val="center"/>
            <w:hideMark/>
          </w:tcPr>
          <w:p w14:paraId="445B2074"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43%</w:t>
            </w:r>
          </w:p>
        </w:tc>
        <w:tc>
          <w:tcPr>
            <w:tcW w:w="1139" w:type="dxa"/>
            <w:tcBorders>
              <w:top w:val="nil"/>
              <w:left w:val="nil"/>
              <w:bottom w:val="single" w:sz="8" w:space="0" w:color="95B3D7"/>
              <w:right w:val="single" w:sz="8" w:space="0" w:color="95B3D7"/>
            </w:tcBorders>
            <w:shd w:val="clear" w:color="auto" w:fill="DBE5F1"/>
            <w:noWrap/>
            <w:vAlign w:val="center"/>
            <w:hideMark/>
          </w:tcPr>
          <w:p w14:paraId="76F8CD5E"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86%</w:t>
            </w:r>
          </w:p>
        </w:tc>
      </w:tr>
      <w:tr w:rsidR="00431E3F" w:rsidRPr="00E345E9" w14:paraId="11CF291F" w14:textId="77777777" w:rsidTr="00953AEB">
        <w:trPr>
          <w:trHeight w:val="300"/>
          <w:jc w:val="center"/>
        </w:trPr>
        <w:tc>
          <w:tcPr>
            <w:tcW w:w="2251" w:type="dxa"/>
            <w:tcBorders>
              <w:top w:val="nil"/>
              <w:left w:val="single" w:sz="8" w:space="0" w:color="95B3D7"/>
              <w:bottom w:val="single" w:sz="8" w:space="0" w:color="95B3D7"/>
              <w:right w:val="single" w:sz="8" w:space="0" w:color="95B3D7"/>
            </w:tcBorders>
            <w:noWrap/>
            <w:vAlign w:val="center"/>
            <w:hideMark/>
          </w:tcPr>
          <w:p w14:paraId="0143EB59" w14:textId="77777777" w:rsidR="00431E3F" w:rsidRPr="00E345E9" w:rsidRDefault="00431E3F" w:rsidP="00953AEB">
            <w:pPr>
              <w:spacing w:before="0" w:after="0" w:line="240" w:lineRule="auto"/>
              <w:jc w:val="center"/>
              <w:rPr>
                <w:rFonts w:cs="Arial"/>
                <w:b/>
                <w:bCs/>
                <w:color w:val="000000"/>
                <w:sz w:val="20"/>
                <w:szCs w:val="20"/>
              </w:rPr>
            </w:pPr>
            <w:r w:rsidRPr="00E345E9">
              <w:rPr>
                <w:rFonts w:cs="Arial"/>
                <w:b/>
                <w:bCs/>
                <w:color w:val="000000"/>
                <w:sz w:val="20"/>
                <w:szCs w:val="20"/>
              </w:rPr>
              <w:t>Gas year 2018-19</w:t>
            </w:r>
          </w:p>
        </w:tc>
        <w:tc>
          <w:tcPr>
            <w:tcW w:w="1139" w:type="dxa"/>
            <w:tcBorders>
              <w:top w:val="nil"/>
              <w:left w:val="nil"/>
              <w:bottom w:val="single" w:sz="8" w:space="0" w:color="95B3D7"/>
              <w:right w:val="single" w:sz="8" w:space="0" w:color="95B3D7"/>
            </w:tcBorders>
            <w:noWrap/>
            <w:vAlign w:val="center"/>
            <w:hideMark/>
          </w:tcPr>
          <w:p w14:paraId="25A867D6"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31%</w:t>
            </w:r>
          </w:p>
        </w:tc>
        <w:tc>
          <w:tcPr>
            <w:tcW w:w="1048" w:type="dxa"/>
            <w:tcBorders>
              <w:top w:val="nil"/>
              <w:left w:val="nil"/>
              <w:bottom w:val="single" w:sz="8" w:space="0" w:color="95B3D7"/>
              <w:right w:val="single" w:sz="8" w:space="0" w:color="95B3D7"/>
            </w:tcBorders>
            <w:noWrap/>
            <w:vAlign w:val="center"/>
            <w:hideMark/>
          </w:tcPr>
          <w:p w14:paraId="48A4408E"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67%</w:t>
            </w:r>
          </w:p>
        </w:tc>
        <w:tc>
          <w:tcPr>
            <w:tcW w:w="1139" w:type="dxa"/>
            <w:tcBorders>
              <w:top w:val="nil"/>
              <w:left w:val="nil"/>
              <w:bottom w:val="single" w:sz="8" w:space="0" w:color="95B3D7"/>
              <w:right w:val="single" w:sz="8" w:space="0" w:color="95B3D7"/>
            </w:tcBorders>
            <w:noWrap/>
            <w:vAlign w:val="center"/>
            <w:hideMark/>
          </w:tcPr>
          <w:p w14:paraId="604D5553"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100%</w:t>
            </w:r>
          </w:p>
        </w:tc>
      </w:tr>
    </w:tbl>
    <w:p w14:paraId="08DC7D0A" w14:textId="42DFC97A" w:rsidR="00431E3F" w:rsidRPr="00E345E9" w:rsidRDefault="00431E3F" w:rsidP="00431E3F">
      <w:pPr>
        <w:jc w:val="center"/>
        <w:rPr>
          <w:rFonts w:ascii="Verdana" w:hAnsi="Verdana"/>
          <w:b/>
          <w:sz w:val="16"/>
          <w:lang w:val="en-US"/>
        </w:rPr>
      </w:pPr>
      <w:r w:rsidRPr="00E345E9">
        <w:rPr>
          <w:rFonts w:ascii="Verdana" w:hAnsi="Verdana"/>
          <w:b/>
          <w:sz w:val="16"/>
          <w:lang w:val="en-US"/>
        </w:rPr>
        <w:t xml:space="preserve">Table </w:t>
      </w:r>
      <w:r w:rsidRPr="00E345E9">
        <w:fldChar w:fldCharType="begin"/>
      </w:r>
      <w:r w:rsidRPr="00E345E9">
        <w:rPr>
          <w:rFonts w:ascii="Verdana" w:hAnsi="Verdana"/>
          <w:b/>
          <w:sz w:val="16"/>
          <w:lang w:val="en-US"/>
        </w:rPr>
        <w:instrText xml:space="preserve"> SEQ Table \* ARABIC </w:instrText>
      </w:r>
      <w:r w:rsidRPr="00E345E9">
        <w:fldChar w:fldCharType="separate"/>
      </w:r>
      <w:r w:rsidR="00E859C7">
        <w:rPr>
          <w:rFonts w:ascii="Verdana" w:hAnsi="Verdana"/>
          <w:b/>
          <w:noProof/>
          <w:sz w:val="16"/>
          <w:lang w:val="en-US"/>
        </w:rPr>
        <w:t>20</w:t>
      </w:r>
      <w:r w:rsidRPr="00E345E9">
        <w:fldChar w:fldCharType="end"/>
      </w:r>
      <w:r w:rsidRPr="00E345E9">
        <w:rPr>
          <w:rFonts w:ascii="Verdana" w:hAnsi="Verdana"/>
          <w:b/>
          <w:sz w:val="16"/>
          <w:lang w:val="en-US"/>
        </w:rPr>
        <w:t>: Utilisation rates at VIP Pirineos on the French side</w:t>
      </w:r>
    </w:p>
    <w:p w14:paraId="0DB5AD7F" w14:textId="77777777" w:rsidR="00431E3F" w:rsidRPr="00E345E9" w:rsidRDefault="00431E3F" w:rsidP="00320ADF">
      <w:pPr>
        <w:pStyle w:val="Prrafodelista"/>
        <w:keepNext/>
        <w:spacing w:line="312" w:lineRule="auto"/>
        <w:ind w:left="0"/>
        <w:contextualSpacing w:val="0"/>
        <w:rPr>
          <w:rFonts w:cs="Arial"/>
          <w:bCs/>
          <w:color w:val="000000" w:themeColor="text1"/>
          <w:szCs w:val="22"/>
          <w:lang w:val="en-GB"/>
        </w:rPr>
      </w:pPr>
      <w:r w:rsidRPr="00E345E9">
        <w:rPr>
          <w:rFonts w:cs="Arial"/>
          <w:b/>
          <w:bCs/>
          <w:color w:val="000000" w:themeColor="text1"/>
          <w:szCs w:val="22"/>
          <w:lang w:val="en-GB"/>
        </w:rPr>
        <w:t xml:space="preserve">Comment: </w:t>
      </w:r>
      <w:r w:rsidRPr="00E345E9">
        <w:rPr>
          <w:rFonts w:cs="Arial"/>
          <w:bCs/>
          <w:color w:val="000000" w:themeColor="text1"/>
          <w:szCs w:val="22"/>
          <w:lang w:val="en-GB"/>
        </w:rPr>
        <w:t>Utilization rates from above tables show that the capacity booked at the VIP Pirineos is used with an increasing trend over the period. The firm capacity booked is used with an average of 96% (+17% in 3 years) with several days of saturation (100% of 170 GWh/day). The global technical capacity is used with an average of 67% (+15% in 3 years) with some days of saturation (100% of 230 GWh/day) when interruptible was triggered.</w:t>
      </w:r>
    </w:p>
    <w:p w14:paraId="0EC3CA91" w14:textId="77777777" w:rsidR="005B3498" w:rsidRDefault="00401EF1" w:rsidP="005B3498">
      <w:pPr>
        <w:spacing w:before="0" w:after="0" w:line="240" w:lineRule="auto"/>
        <w:rPr>
          <w:b/>
          <w:u w:val="single"/>
          <w:lang w:val="en-GB"/>
        </w:rPr>
      </w:pPr>
      <w:r w:rsidRPr="005B3498">
        <w:rPr>
          <w:noProof/>
          <w:lang w:val="es-ES" w:eastAsia="es-ES"/>
        </w:rPr>
        <w:drawing>
          <wp:inline distT="0" distB="0" distL="0" distR="0" wp14:anchorId="3678283D" wp14:editId="4124811C">
            <wp:extent cx="5700395" cy="307276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0395" cy="3072765"/>
                    </a:xfrm>
                    <a:prstGeom prst="rect">
                      <a:avLst/>
                    </a:prstGeom>
                    <a:noFill/>
                  </pic:spPr>
                </pic:pic>
              </a:graphicData>
            </a:graphic>
          </wp:inline>
        </w:drawing>
      </w:r>
    </w:p>
    <w:p w14:paraId="40825403" w14:textId="12DD6B8B" w:rsidR="00431E3F" w:rsidRPr="005B3498" w:rsidRDefault="005B3498" w:rsidP="005B3498">
      <w:pPr>
        <w:spacing w:before="120" w:after="0" w:line="240" w:lineRule="auto"/>
        <w:jc w:val="center"/>
        <w:rPr>
          <w:rFonts w:ascii="Verdana" w:hAnsi="Verdana"/>
          <w:b/>
          <w:sz w:val="16"/>
          <w:szCs w:val="16"/>
          <w:u w:val="single"/>
          <w:lang w:val="en-GB"/>
        </w:rPr>
      </w:pPr>
      <w:r w:rsidRPr="005B3498">
        <w:rPr>
          <w:rFonts w:ascii="Verdana" w:hAnsi="Verdana"/>
          <w:b/>
          <w:sz w:val="16"/>
          <w:szCs w:val="16"/>
          <w:lang w:val="en-US"/>
        </w:rPr>
        <w:t xml:space="preserve">Figure </w:t>
      </w:r>
      <w:r w:rsidRPr="005B3498">
        <w:rPr>
          <w:rFonts w:ascii="Verdana" w:hAnsi="Verdana"/>
          <w:b/>
          <w:sz w:val="16"/>
          <w:szCs w:val="16"/>
        </w:rPr>
        <w:fldChar w:fldCharType="begin"/>
      </w:r>
      <w:r w:rsidRPr="005B3498">
        <w:rPr>
          <w:rFonts w:ascii="Verdana" w:hAnsi="Verdana"/>
          <w:b/>
          <w:sz w:val="16"/>
          <w:szCs w:val="16"/>
          <w:lang w:val="en-US"/>
        </w:rPr>
        <w:instrText xml:space="preserve"> SEQ Figure \* ARABIC </w:instrText>
      </w:r>
      <w:r w:rsidRPr="005B3498">
        <w:rPr>
          <w:rFonts w:ascii="Verdana" w:hAnsi="Verdana"/>
          <w:b/>
          <w:sz w:val="16"/>
          <w:szCs w:val="16"/>
        </w:rPr>
        <w:fldChar w:fldCharType="separate"/>
      </w:r>
      <w:r w:rsidR="00E859C7">
        <w:rPr>
          <w:rFonts w:ascii="Verdana" w:hAnsi="Verdana"/>
          <w:b/>
          <w:noProof/>
          <w:sz w:val="16"/>
          <w:szCs w:val="16"/>
          <w:lang w:val="en-US"/>
        </w:rPr>
        <w:t>34</w:t>
      </w:r>
      <w:r w:rsidRPr="005B3498">
        <w:rPr>
          <w:rFonts w:ascii="Verdana" w:hAnsi="Verdana"/>
          <w:b/>
          <w:sz w:val="16"/>
          <w:szCs w:val="16"/>
        </w:rPr>
        <w:fldChar w:fldCharType="end"/>
      </w:r>
      <w:r w:rsidRPr="005B3498">
        <w:rPr>
          <w:rFonts w:ascii="Verdana" w:hAnsi="Verdana"/>
          <w:b/>
          <w:sz w:val="16"/>
          <w:szCs w:val="16"/>
          <w:lang w:val="en-US"/>
        </w:rPr>
        <w:t xml:space="preserve">: </w:t>
      </w:r>
      <w:r>
        <w:rPr>
          <w:rFonts w:ascii="Verdana" w:hAnsi="Verdana"/>
          <w:b/>
          <w:sz w:val="16"/>
          <w:szCs w:val="16"/>
          <w:lang w:val="en-US"/>
        </w:rPr>
        <w:t>Allocation vs booked capacity</w:t>
      </w:r>
      <w:r w:rsidR="00431E3F" w:rsidRPr="005B3498">
        <w:rPr>
          <w:rFonts w:ascii="Verdana" w:hAnsi="Verdana"/>
          <w:b/>
          <w:sz w:val="16"/>
          <w:szCs w:val="16"/>
          <w:u w:val="single"/>
          <w:lang w:val="en-GB"/>
        </w:rPr>
        <w:br w:type="page"/>
      </w:r>
    </w:p>
    <w:p w14:paraId="7DE9B588" w14:textId="2E02E07F" w:rsidR="005B30F6" w:rsidRPr="00E345E9" w:rsidRDefault="005B30F6" w:rsidP="00320ADF">
      <w:pPr>
        <w:spacing w:line="312" w:lineRule="auto"/>
        <w:rPr>
          <w:b/>
          <w:u w:val="single"/>
          <w:lang w:val="en-US"/>
        </w:rPr>
      </w:pPr>
      <w:r w:rsidRPr="00E345E9">
        <w:rPr>
          <w:b/>
          <w:u w:val="single"/>
          <w:lang w:val="en-GB"/>
        </w:rPr>
        <w:t>Analysis</w:t>
      </w:r>
      <w:r w:rsidR="00125A63" w:rsidRPr="00E345E9">
        <w:rPr>
          <w:b/>
          <w:u w:val="single"/>
          <w:lang w:val="en-GB"/>
        </w:rPr>
        <w:t xml:space="preserve"> on the utilization of booked capacity (</w:t>
      </w:r>
      <w:r w:rsidRPr="00E345E9">
        <w:rPr>
          <w:b/>
          <w:u w:val="single"/>
          <w:lang w:val="en-US"/>
        </w:rPr>
        <w:t>Spanish side</w:t>
      </w:r>
      <w:r w:rsidR="00125A63" w:rsidRPr="00E345E9">
        <w:rPr>
          <w:b/>
          <w:u w:val="single"/>
          <w:lang w:val="en-US"/>
        </w:rPr>
        <w:t>)</w:t>
      </w:r>
    </w:p>
    <w:p w14:paraId="09E61546" w14:textId="50D367AB" w:rsidR="005B30F6" w:rsidRPr="00E345E9" w:rsidRDefault="005B30F6" w:rsidP="00320ADF">
      <w:pPr>
        <w:spacing w:line="312" w:lineRule="auto"/>
        <w:rPr>
          <w:rFonts w:cs="Arial"/>
          <w:color w:val="000000" w:themeColor="text1"/>
          <w:szCs w:val="22"/>
          <w:lang w:val="en-GB"/>
        </w:rPr>
      </w:pPr>
      <w:r w:rsidRPr="00E345E9">
        <w:rPr>
          <w:rFonts w:cs="Arial"/>
          <w:color w:val="000000" w:themeColor="text1"/>
          <w:szCs w:val="22"/>
          <w:lang w:val="en-GB"/>
        </w:rPr>
        <w:t xml:space="preserve">Compared to the data of the previous gas </w:t>
      </w:r>
      <w:r w:rsidR="00125A63" w:rsidRPr="00E345E9">
        <w:rPr>
          <w:rFonts w:cs="Arial"/>
          <w:color w:val="000000" w:themeColor="text1"/>
          <w:szCs w:val="22"/>
          <w:lang w:val="en-GB"/>
        </w:rPr>
        <w:t>years, in the gas year 2018</w:t>
      </w:r>
      <w:r w:rsidRPr="00E345E9">
        <w:rPr>
          <w:rFonts w:cs="Arial"/>
          <w:color w:val="000000" w:themeColor="text1"/>
          <w:szCs w:val="22"/>
          <w:lang w:val="en-GB"/>
        </w:rPr>
        <w:t xml:space="preserve"> the utilization of the capacity significantly increased. The average rate of utilization raised up to 82% and the maximum utilization rate was 97%. In deeper detail, 64% of the days the utilization rate was at least 80% and 44% of the days it was above 90%.</w:t>
      </w:r>
    </w:p>
    <w:p w14:paraId="0A4E5E15" w14:textId="51D41602" w:rsidR="0002797F" w:rsidRPr="00E345E9" w:rsidRDefault="0002797F" w:rsidP="00ED5978">
      <w:pPr>
        <w:keepNext/>
        <w:rPr>
          <w:rFonts w:cs="Arial"/>
          <w:color w:val="000000" w:themeColor="text1"/>
          <w:szCs w:val="22"/>
          <w:lang w:val="en-GB"/>
        </w:rPr>
      </w:pPr>
      <w:r w:rsidRPr="00E345E9">
        <w:rPr>
          <w:rFonts w:cs="Arial"/>
          <w:noProof/>
          <w:color w:val="000000" w:themeColor="text1"/>
          <w:szCs w:val="22"/>
          <w:lang w:val="es-ES" w:eastAsia="es-ES"/>
        </w:rPr>
        <w:drawing>
          <wp:inline distT="0" distB="0" distL="0" distR="0" wp14:anchorId="672B4D1B" wp14:editId="3B6E3919">
            <wp:extent cx="5656885" cy="3396664"/>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3929" cy="3400894"/>
                    </a:xfrm>
                    <a:prstGeom prst="rect">
                      <a:avLst/>
                    </a:prstGeom>
                    <a:noFill/>
                  </pic:spPr>
                </pic:pic>
              </a:graphicData>
            </a:graphic>
          </wp:inline>
        </w:drawing>
      </w:r>
    </w:p>
    <w:p w14:paraId="4D24911D" w14:textId="134B06AA" w:rsidR="00D05946" w:rsidRPr="00E345E9" w:rsidRDefault="00D05946" w:rsidP="00D05946">
      <w:pPr>
        <w:pStyle w:val="Descripcin"/>
        <w:spacing w:before="240" w:line="360" w:lineRule="auto"/>
        <w:jc w:val="center"/>
        <w:rPr>
          <w:sz w:val="16"/>
          <w:lang w:val="en-US"/>
        </w:rPr>
      </w:pPr>
      <w:r w:rsidRPr="00E345E9">
        <w:rPr>
          <w:sz w:val="16"/>
          <w:lang w:val="en-US"/>
        </w:rPr>
        <w:t xml:space="preserve">Figure </w:t>
      </w:r>
      <w:r w:rsidRPr="00E345E9">
        <w:rPr>
          <w:sz w:val="16"/>
        </w:rPr>
        <w:fldChar w:fldCharType="begin"/>
      </w:r>
      <w:r w:rsidRPr="00E345E9">
        <w:rPr>
          <w:sz w:val="16"/>
          <w:lang w:val="en-US"/>
        </w:rPr>
        <w:instrText xml:space="preserve"> SEQ Figure \* ARABIC </w:instrText>
      </w:r>
      <w:r w:rsidRPr="00E345E9">
        <w:rPr>
          <w:sz w:val="16"/>
        </w:rPr>
        <w:fldChar w:fldCharType="separate"/>
      </w:r>
      <w:r w:rsidR="00E859C7">
        <w:rPr>
          <w:noProof/>
          <w:sz w:val="16"/>
          <w:lang w:val="en-US"/>
        </w:rPr>
        <w:t>35</w:t>
      </w:r>
      <w:r w:rsidRPr="00E345E9">
        <w:rPr>
          <w:sz w:val="16"/>
        </w:rPr>
        <w:fldChar w:fldCharType="end"/>
      </w:r>
      <w:r w:rsidRPr="00E345E9">
        <w:rPr>
          <w:sz w:val="16"/>
          <w:lang w:val="en-US"/>
        </w:rPr>
        <w:t>: Booked capacity, nomination and physical flow from Spain to France on the Spanish side</w:t>
      </w:r>
    </w:p>
    <w:tbl>
      <w:tblPr>
        <w:tblStyle w:val="Tabladecuadrcula4-nfasis1"/>
        <w:tblW w:w="5574" w:type="dxa"/>
        <w:jc w:val="center"/>
        <w:tblLook w:val="04A0" w:firstRow="1" w:lastRow="0" w:firstColumn="1" w:lastColumn="0" w:noHBand="0" w:noVBand="1"/>
      </w:tblPr>
      <w:tblGrid>
        <w:gridCol w:w="2126"/>
        <w:gridCol w:w="1125"/>
        <w:gridCol w:w="1068"/>
        <w:gridCol w:w="1255"/>
      </w:tblGrid>
      <w:tr w:rsidR="00CD7C40" w:rsidRPr="00E345E9" w14:paraId="01EF63E1" w14:textId="77777777" w:rsidTr="000772B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4" w:type="dxa"/>
            <w:gridSpan w:val="4"/>
            <w:noWrap/>
            <w:hideMark/>
          </w:tcPr>
          <w:p w14:paraId="48C32857" w14:textId="780A6AC8" w:rsidR="00CD7C40" w:rsidRPr="00E345E9" w:rsidRDefault="00CD7C40">
            <w:pPr>
              <w:keepNext/>
              <w:spacing w:before="0" w:after="0" w:line="240" w:lineRule="auto"/>
              <w:jc w:val="center"/>
              <w:rPr>
                <w:rFonts w:cs="Arial"/>
                <w:color w:val="000000"/>
                <w:sz w:val="20"/>
                <w:szCs w:val="20"/>
                <w:lang w:val="en-US" w:eastAsia="es-ES"/>
              </w:rPr>
            </w:pPr>
            <w:r w:rsidRPr="00E345E9">
              <w:rPr>
                <w:rFonts w:cs="Arial"/>
                <w:sz w:val="20"/>
                <w:szCs w:val="20"/>
                <w:lang w:val="en-US" w:eastAsia="es-ES"/>
              </w:rPr>
              <w:t>Utilization rates at VIP Pirineos</w:t>
            </w:r>
            <w:r w:rsidR="00B57478" w:rsidRPr="00E345E9">
              <w:rPr>
                <w:rFonts w:cs="Arial"/>
                <w:sz w:val="20"/>
                <w:szCs w:val="20"/>
                <w:lang w:val="en-US" w:eastAsia="es-ES"/>
              </w:rPr>
              <w:t xml:space="preserve"> </w:t>
            </w:r>
            <w:r w:rsidR="002D3920" w:rsidRPr="00E345E9">
              <w:rPr>
                <w:rFonts w:cs="Arial"/>
                <w:sz w:val="20"/>
                <w:szCs w:val="20"/>
                <w:lang w:val="en-US" w:eastAsia="es-ES"/>
              </w:rPr>
              <w:t>versus</w:t>
            </w:r>
            <w:r w:rsidR="00B57478" w:rsidRPr="00E345E9">
              <w:rPr>
                <w:rFonts w:cs="Arial"/>
                <w:sz w:val="20"/>
                <w:szCs w:val="20"/>
                <w:lang w:val="en-US" w:eastAsia="es-ES"/>
              </w:rPr>
              <w:t xml:space="preserve"> booked capacity</w:t>
            </w:r>
          </w:p>
        </w:tc>
      </w:tr>
      <w:tr w:rsidR="00CD7C40" w:rsidRPr="00E345E9" w14:paraId="22847C2C" w14:textId="77777777" w:rsidTr="000772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7D77326" w14:textId="36855FC9" w:rsidR="00CD7C40" w:rsidRPr="00E345E9" w:rsidRDefault="00A0109B" w:rsidP="000772BF">
            <w:pPr>
              <w:keepNext/>
              <w:spacing w:before="0" w:after="0" w:line="240" w:lineRule="auto"/>
              <w:jc w:val="center"/>
              <w:rPr>
                <w:rFonts w:cs="Arial"/>
                <w:color w:val="000000"/>
                <w:sz w:val="20"/>
                <w:szCs w:val="20"/>
                <w:lang w:val="en-US" w:eastAsia="es-ES"/>
              </w:rPr>
            </w:pPr>
            <w:r w:rsidRPr="00E345E9">
              <w:rPr>
                <w:rFonts w:cs="Arial"/>
                <w:color w:val="000000"/>
                <w:sz w:val="20"/>
                <w:szCs w:val="20"/>
                <w:lang w:val="en-US" w:eastAsia="es-ES"/>
              </w:rPr>
              <w:t>Period</w:t>
            </w:r>
          </w:p>
        </w:tc>
        <w:tc>
          <w:tcPr>
            <w:tcW w:w="1125" w:type="dxa"/>
            <w:noWrap/>
            <w:hideMark/>
          </w:tcPr>
          <w:p w14:paraId="7F694C6C" w14:textId="77777777" w:rsidR="00CD7C40" w:rsidRPr="00E345E9" w:rsidRDefault="00CD7C40" w:rsidP="000772B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Minimum</w:t>
            </w:r>
          </w:p>
        </w:tc>
        <w:tc>
          <w:tcPr>
            <w:tcW w:w="1068" w:type="dxa"/>
            <w:noWrap/>
            <w:hideMark/>
          </w:tcPr>
          <w:p w14:paraId="05A5D75B" w14:textId="77777777" w:rsidR="00CD7C40" w:rsidRPr="00E345E9" w:rsidRDefault="00CD7C40" w:rsidP="000772B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Average</w:t>
            </w:r>
          </w:p>
        </w:tc>
        <w:tc>
          <w:tcPr>
            <w:tcW w:w="1255" w:type="dxa"/>
            <w:noWrap/>
            <w:hideMark/>
          </w:tcPr>
          <w:p w14:paraId="464364F2" w14:textId="77777777" w:rsidR="00CD7C40" w:rsidRPr="00E345E9" w:rsidRDefault="00CD7C40" w:rsidP="000772B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Maximum</w:t>
            </w:r>
          </w:p>
        </w:tc>
      </w:tr>
      <w:tr w:rsidR="00AE2A05" w:rsidRPr="00E345E9" w14:paraId="373754AD" w14:textId="77777777" w:rsidTr="00D06621">
        <w:trPr>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hideMark/>
          </w:tcPr>
          <w:p w14:paraId="4F9C58CF" w14:textId="77777777" w:rsidR="00AE2A05" w:rsidRPr="00E345E9" w:rsidRDefault="00AE2A05" w:rsidP="00AE2A05">
            <w:pPr>
              <w:keepNext/>
              <w:spacing w:before="0" w:after="0" w:line="240" w:lineRule="auto"/>
              <w:jc w:val="center"/>
              <w:rPr>
                <w:rFonts w:cs="Arial"/>
                <w:color w:val="000000"/>
                <w:sz w:val="20"/>
                <w:szCs w:val="20"/>
                <w:lang w:val="es-ES" w:eastAsia="es-ES"/>
              </w:rPr>
            </w:pPr>
            <w:r w:rsidRPr="00E345E9">
              <w:rPr>
                <w:rFonts w:cs="Arial"/>
                <w:color w:val="000000"/>
                <w:sz w:val="20"/>
                <w:szCs w:val="20"/>
                <w:lang w:val="es-ES" w:eastAsia="es-ES"/>
              </w:rPr>
              <w:t>Gas year 2016</w:t>
            </w:r>
          </w:p>
        </w:tc>
        <w:tc>
          <w:tcPr>
            <w:tcW w:w="1125" w:type="dxa"/>
            <w:noWrap/>
            <w:vAlign w:val="bottom"/>
            <w:hideMark/>
          </w:tcPr>
          <w:p w14:paraId="3C07D936" w14:textId="4ACC02DC" w:rsidR="00AE2A05" w:rsidRPr="00E345E9" w:rsidRDefault="00AE2A05" w:rsidP="00AE2A05">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color w:val="000000"/>
                <w:szCs w:val="22"/>
              </w:rPr>
              <w:t>36%</w:t>
            </w:r>
          </w:p>
        </w:tc>
        <w:tc>
          <w:tcPr>
            <w:tcW w:w="1068" w:type="dxa"/>
            <w:noWrap/>
            <w:vAlign w:val="bottom"/>
            <w:hideMark/>
          </w:tcPr>
          <w:p w14:paraId="1424C88F" w14:textId="5774EE83" w:rsidR="00AE2A05" w:rsidRPr="00E345E9" w:rsidRDefault="00AE2A05" w:rsidP="00AE2A05">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color w:val="000000"/>
                <w:szCs w:val="22"/>
              </w:rPr>
              <w:t>76%</w:t>
            </w:r>
          </w:p>
        </w:tc>
        <w:tc>
          <w:tcPr>
            <w:tcW w:w="1255" w:type="dxa"/>
            <w:noWrap/>
            <w:vAlign w:val="bottom"/>
            <w:hideMark/>
          </w:tcPr>
          <w:p w14:paraId="622EC48E" w14:textId="7FE19DDA" w:rsidR="00AE2A05" w:rsidRPr="00E345E9" w:rsidRDefault="00AE2A05" w:rsidP="00AE2A05">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color w:val="000000"/>
                <w:szCs w:val="22"/>
              </w:rPr>
              <w:t>95%</w:t>
            </w:r>
          </w:p>
        </w:tc>
      </w:tr>
      <w:tr w:rsidR="00AE2A05" w:rsidRPr="00E345E9" w14:paraId="076979DB" w14:textId="77777777" w:rsidTr="00D066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hideMark/>
          </w:tcPr>
          <w:p w14:paraId="60B84990" w14:textId="77777777" w:rsidR="00AE2A05" w:rsidRPr="00E345E9" w:rsidRDefault="00AE2A05" w:rsidP="00AE2A05">
            <w:pPr>
              <w:keepNext/>
              <w:spacing w:before="0" w:after="0" w:line="240" w:lineRule="auto"/>
              <w:jc w:val="center"/>
              <w:rPr>
                <w:rFonts w:cs="Arial"/>
                <w:color w:val="000000"/>
                <w:sz w:val="20"/>
                <w:szCs w:val="20"/>
                <w:lang w:val="es-ES" w:eastAsia="es-ES"/>
              </w:rPr>
            </w:pPr>
            <w:r w:rsidRPr="00E345E9">
              <w:rPr>
                <w:rFonts w:cs="Arial"/>
                <w:color w:val="000000"/>
                <w:sz w:val="20"/>
                <w:szCs w:val="20"/>
                <w:lang w:val="es-ES" w:eastAsia="es-ES"/>
              </w:rPr>
              <w:t>Gas year 2017</w:t>
            </w:r>
          </w:p>
        </w:tc>
        <w:tc>
          <w:tcPr>
            <w:tcW w:w="1125" w:type="dxa"/>
            <w:noWrap/>
            <w:vAlign w:val="bottom"/>
            <w:hideMark/>
          </w:tcPr>
          <w:p w14:paraId="18EAF58D" w14:textId="3797F3D3" w:rsidR="00AE2A05" w:rsidRPr="00E345E9" w:rsidRDefault="00AE2A05" w:rsidP="00AE2A05">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Cs w:val="22"/>
              </w:rPr>
              <w:t>16%</w:t>
            </w:r>
          </w:p>
        </w:tc>
        <w:tc>
          <w:tcPr>
            <w:tcW w:w="1068" w:type="dxa"/>
            <w:noWrap/>
            <w:vAlign w:val="bottom"/>
            <w:hideMark/>
          </w:tcPr>
          <w:p w14:paraId="08DAECB4" w14:textId="0D5D88C5" w:rsidR="00AE2A05" w:rsidRPr="00E345E9" w:rsidRDefault="00AE2A05" w:rsidP="00AE2A05">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Cs w:val="22"/>
              </w:rPr>
              <w:t>62%</w:t>
            </w:r>
          </w:p>
        </w:tc>
        <w:tc>
          <w:tcPr>
            <w:tcW w:w="1255" w:type="dxa"/>
            <w:noWrap/>
            <w:vAlign w:val="bottom"/>
            <w:hideMark/>
          </w:tcPr>
          <w:p w14:paraId="51B77DFF" w14:textId="699C9C4F" w:rsidR="00AE2A05" w:rsidRPr="00E345E9" w:rsidRDefault="00AE2A05" w:rsidP="00AE2A05">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Cs w:val="22"/>
              </w:rPr>
              <w:t>94%</w:t>
            </w:r>
          </w:p>
        </w:tc>
      </w:tr>
      <w:tr w:rsidR="00AE2A05" w:rsidRPr="00E345E9" w14:paraId="00AF2545" w14:textId="77777777" w:rsidTr="00D06621">
        <w:trPr>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4746E58" w14:textId="77777777" w:rsidR="00AE2A05" w:rsidRPr="00E345E9" w:rsidRDefault="00AE2A05" w:rsidP="00AE2A05">
            <w:pPr>
              <w:keepNext/>
              <w:spacing w:before="0" w:after="0" w:line="240" w:lineRule="auto"/>
              <w:jc w:val="center"/>
              <w:rPr>
                <w:rFonts w:cs="Arial"/>
                <w:color w:val="000000"/>
                <w:sz w:val="20"/>
                <w:szCs w:val="20"/>
                <w:lang w:val="es-ES" w:eastAsia="es-ES"/>
              </w:rPr>
            </w:pPr>
            <w:r w:rsidRPr="00E345E9">
              <w:rPr>
                <w:rFonts w:cs="Arial"/>
                <w:color w:val="000000"/>
                <w:sz w:val="20"/>
                <w:szCs w:val="20"/>
                <w:lang w:val="es-ES" w:eastAsia="es-ES"/>
              </w:rPr>
              <w:t>Gas year 2018</w:t>
            </w:r>
          </w:p>
        </w:tc>
        <w:tc>
          <w:tcPr>
            <w:tcW w:w="1125" w:type="dxa"/>
            <w:noWrap/>
            <w:vAlign w:val="bottom"/>
            <w:hideMark/>
          </w:tcPr>
          <w:p w14:paraId="31BA111E" w14:textId="59F9742F" w:rsidR="00AE2A05" w:rsidRPr="00E345E9" w:rsidRDefault="00AE2A05" w:rsidP="00AE2A05">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color w:val="000000"/>
                <w:szCs w:val="22"/>
              </w:rPr>
              <w:t>43%</w:t>
            </w:r>
          </w:p>
        </w:tc>
        <w:tc>
          <w:tcPr>
            <w:tcW w:w="1068" w:type="dxa"/>
            <w:noWrap/>
            <w:vAlign w:val="bottom"/>
            <w:hideMark/>
          </w:tcPr>
          <w:p w14:paraId="4A2F7C25" w14:textId="6F691A3D" w:rsidR="00AE2A05" w:rsidRPr="00E345E9" w:rsidRDefault="00AE2A05" w:rsidP="00AE2A05">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color w:val="000000"/>
                <w:szCs w:val="22"/>
              </w:rPr>
              <w:t>82%</w:t>
            </w:r>
          </w:p>
        </w:tc>
        <w:tc>
          <w:tcPr>
            <w:tcW w:w="1255" w:type="dxa"/>
            <w:noWrap/>
            <w:vAlign w:val="bottom"/>
            <w:hideMark/>
          </w:tcPr>
          <w:p w14:paraId="1ABA85E3" w14:textId="099001EA" w:rsidR="00AE2A05" w:rsidRPr="00E345E9" w:rsidRDefault="00AE2A05" w:rsidP="00AE2A05">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color w:val="000000"/>
                <w:szCs w:val="22"/>
              </w:rPr>
              <w:t>97%</w:t>
            </w:r>
          </w:p>
        </w:tc>
      </w:tr>
    </w:tbl>
    <w:p w14:paraId="73D3A452" w14:textId="71A3BC4A" w:rsidR="005B30F6" w:rsidRPr="00E345E9" w:rsidRDefault="00D05946" w:rsidP="00D05946">
      <w:pPr>
        <w:jc w:val="center"/>
        <w:rPr>
          <w:rFonts w:ascii="Verdana" w:hAnsi="Verdana" w:cs="Arial"/>
          <w:b/>
          <w:color w:val="000000" w:themeColor="text1"/>
          <w:szCs w:val="22"/>
          <w:lang w:val="en-GB"/>
        </w:rPr>
      </w:pPr>
      <w:r w:rsidRPr="00E345E9">
        <w:rPr>
          <w:rFonts w:ascii="Verdana" w:hAnsi="Verdana"/>
          <w:b/>
          <w:sz w:val="16"/>
          <w:lang w:val="en-US"/>
        </w:rPr>
        <w:t xml:space="preserve">Table </w:t>
      </w:r>
      <w:r w:rsidRPr="00E345E9">
        <w:rPr>
          <w:rFonts w:ascii="Verdana" w:hAnsi="Verdana"/>
          <w:b/>
          <w:sz w:val="16"/>
          <w:lang w:val="en-US"/>
        </w:rPr>
        <w:fldChar w:fldCharType="begin"/>
      </w:r>
      <w:r w:rsidRPr="00E345E9">
        <w:rPr>
          <w:rFonts w:ascii="Verdana" w:hAnsi="Verdana"/>
          <w:b/>
          <w:sz w:val="16"/>
          <w:lang w:val="en-US"/>
        </w:rPr>
        <w:instrText xml:space="preserve"> SEQ Table \* ARABIC </w:instrText>
      </w:r>
      <w:r w:rsidRPr="00E345E9">
        <w:rPr>
          <w:rFonts w:ascii="Verdana" w:hAnsi="Verdana"/>
          <w:b/>
          <w:sz w:val="16"/>
          <w:lang w:val="en-US"/>
        </w:rPr>
        <w:fldChar w:fldCharType="separate"/>
      </w:r>
      <w:r w:rsidR="00E859C7">
        <w:rPr>
          <w:rFonts w:ascii="Verdana" w:hAnsi="Verdana"/>
          <w:b/>
          <w:noProof/>
          <w:sz w:val="16"/>
          <w:lang w:val="en-US"/>
        </w:rPr>
        <w:t>21</w:t>
      </w:r>
      <w:r w:rsidRPr="00E345E9">
        <w:rPr>
          <w:rFonts w:ascii="Verdana" w:hAnsi="Verdana"/>
          <w:b/>
          <w:sz w:val="16"/>
          <w:lang w:val="en-US"/>
        </w:rPr>
        <w:fldChar w:fldCharType="end"/>
      </w:r>
      <w:r w:rsidRPr="00E345E9">
        <w:rPr>
          <w:rFonts w:ascii="Verdana" w:hAnsi="Verdana"/>
          <w:b/>
          <w:sz w:val="16"/>
          <w:lang w:val="en-US"/>
        </w:rPr>
        <w:t xml:space="preserve">: </w:t>
      </w:r>
      <w:r w:rsidR="00B57478" w:rsidRPr="00E345E9">
        <w:rPr>
          <w:rFonts w:ascii="Verdana" w:hAnsi="Verdana"/>
          <w:b/>
          <w:sz w:val="16"/>
          <w:lang w:val="en-US"/>
        </w:rPr>
        <w:t>Utilization</w:t>
      </w:r>
      <w:r w:rsidRPr="00E345E9">
        <w:rPr>
          <w:rFonts w:ascii="Verdana" w:hAnsi="Verdana"/>
          <w:b/>
          <w:sz w:val="16"/>
          <w:lang w:val="en-US"/>
        </w:rPr>
        <w:t xml:space="preserve"> rates </w:t>
      </w:r>
      <w:r w:rsidR="00B835EF" w:rsidRPr="00E345E9">
        <w:rPr>
          <w:rFonts w:ascii="Verdana" w:hAnsi="Verdana"/>
          <w:b/>
          <w:sz w:val="16"/>
          <w:lang w:val="en-US"/>
        </w:rPr>
        <w:t>from Spain to France on the Spanish side</w:t>
      </w:r>
    </w:p>
    <w:p w14:paraId="1953D095" w14:textId="6A4EFB3C" w:rsidR="005B30F6" w:rsidRPr="00E345E9" w:rsidRDefault="005B30F6" w:rsidP="00D06621">
      <w:pPr>
        <w:spacing w:line="312" w:lineRule="auto"/>
        <w:rPr>
          <w:rFonts w:cs="Arial"/>
          <w:color w:val="000000" w:themeColor="text1"/>
          <w:szCs w:val="22"/>
          <w:lang w:val="en-GB"/>
        </w:rPr>
      </w:pPr>
      <w:r w:rsidRPr="00E345E9">
        <w:rPr>
          <w:rFonts w:cs="Arial"/>
          <w:color w:val="000000" w:themeColor="text1"/>
          <w:szCs w:val="22"/>
          <w:lang w:val="en-GB"/>
        </w:rPr>
        <w:t>Specificall</w:t>
      </w:r>
      <w:r w:rsidR="00125A63" w:rsidRPr="00E345E9">
        <w:rPr>
          <w:rFonts w:cs="Arial"/>
          <w:color w:val="000000" w:themeColor="text1"/>
          <w:szCs w:val="22"/>
          <w:lang w:val="en-GB"/>
        </w:rPr>
        <w:t>y, the graph shows a high</w:t>
      </w:r>
      <w:r w:rsidRPr="00E345E9">
        <w:rPr>
          <w:rFonts w:cs="Arial"/>
          <w:color w:val="000000" w:themeColor="text1"/>
          <w:szCs w:val="22"/>
          <w:lang w:val="en-GB"/>
        </w:rPr>
        <w:t xml:space="preserve"> utilization during the period between November 2018 and March 2019 (both months included). There was an enormous interest in importing gas from France to Spain. </w:t>
      </w:r>
      <w:r w:rsidR="00125A63" w:rsidRPr="00E345E9">
        <w:rPr>
          <w:rFonts w:cs="Arial"/>
          <w:color w:val="000000" w:themeColor="text1"/>
          <w:szCs w:val="22"/>
          <w:lang w:val="en-GB"/>
        </w:rPr>
        <w:t>In this period, t</w:t>
      </w:r>
      <w:r w:rsidRPr="00E345E9">
        <w:rPr>
          <w:rFonts w:cs="Arial"/>
          <w:color w:val="000000" w:themeColor="text1"/>
          <w:szCs w:val="22"/>
          <w:lang w:val="en-GB"/>
        </w:rPr>
        <w:t xml:space="preserve">he minimum utilization rate was 84%, the average utilization rate was 94%, the maximum utilization rate </w:t>
      </w:r>
      <w:r w:rsidR="00480D69" w:rsidRPr="00E345E9">
        <w:rPr>
          <w:rFonts w:cs="Arial"/>
          <w:color w:val="000000" w:themeColor="text1"/>
          <w:szCs w:val="22"/>
          <w:lang w:val="en-GB"/>
        </w:rPr>
        <w:t xml:space="preserve">was </w:t>
      </w:r>
      <w:r w:rsidRPr="00E345E9">
        <w:rPr>
          <w:rFonts w:cs="Arial"/>
          <w:color w:val="000000" w:themeColor="text1"/>
          <w:szCs w:val="22"/>
          <w:lang w:val="en-GB"/>
        </w:rPr>
        <w:t>97% and</w:t>
      </w:r>
      <w:r w:rsidR="00480D69" w:rsidRPr="00E345E9">
        <w:rPr>
          <w:rFonts w:cs="Arial"/>
          <w:color w:val="000000" w:themeColor="text1"/>
          <w:szCs w:val="22"/>
          <w:lang w:val="en-GB"/>
        </w:rPr>
        <w:t>, for</w:t>
      </w:r>
      <w:r w:rsidRPr="00E345E9">
        <w:rPr>
          <w:rFonts w:cs="Arial"/>
          <w:color w:val="000000" w:themeColor="text1"/>
          <w:szCs w:val="22"/>
          <w:lang w:val="en-GB"/>
        </w:rPr>
        <w:t xml:space="preserve"> 91% of the days, the utilization rate was above 90%. See</w:t>
      </w:r>
      <w:r w:rsidR="00277506" w:rsidRPr="00E345E9">
        <w:rPr>
          <w:rFonts w:cs="Arial"/>
          <w:color w:val="000000" w:themeColor="text1"/>
          <w:szCs w:val="22"/>
          <w:lang w:val="en-GB"/>
        </w:rPr>
        <w:t xml:space="preserve"> chapter</w:t>
      </w:r>
      <w:r w:rsidRPr="00E345E9">
        <w:rPr>
          <w:rFonts w:cs="Arial"/>
          <w:color w:val="000000" w:themeColor="text1"/>
          <w:szCs w:val="22"/>
          <w:lang w:val="en-GB"/>
        </w:rPr>
        <w:t xml:space="preserve"> </w:t>
      </w:r>
      <w:r w:rsidR="00277506" w:rsidRPr="00E345E9">
        <w:rPr>
          <w:rFonts w:cs="Arial"/>
          <w:i/>
          <w:color w:val="004E55"/>
          <w:szCs w:val="22"/>
          <w:lang w:val="en-GB"/>
        </w:rPr>
        <w:fldChar w:fldCharType="begin"/>
      </w:r>
      <w:r w:rsidR="00277506" w:rsidRPr="00E345E9">
        <w:rPr>
          <w:rFonts w:cs="Arial"/>
          <w:i/>
          <w:color w:val="004E55"/>
          <w:szCs w:val="22"/>
          <w:lang w:val="en-GB"/>
        </w:rPr>
        <w:instrText xml:space="preserve"> REF _Ref27493713 \r \h  \* MERGEFORMAT </w:instrText>
      </w:r>
      <w:r w:rsidR="00277506" w:rsidRPr="00E345E9">
        <w:rPr>
          <w:rFonts w:cs="Arial"/>
          <w:i/>
          <w:color w:val="004E55"/>
          <w:szCs w:val="22"/>
          <w:lang w:val="en-GB"/>
        </w:rPr>
      </w:r>
      <w:r w:rsidR="00277506" w:rsidRPr="00E345E9">
        <w:rPr>
          <w:rFonts w:cs="Arial"/>
          <w:i/>
          <w:color w:val="004E55"/>
          <w:szCs w:val="22"/>
          <w:lang w:val="en-GB"/>
        </w:rPr>
        <w:fldChar w:fldCharType="separate"/>
      </w:r>
      <w:r w:rsidR="00E859C7">
        <w:rPr>
          <w:rFonts w:cs="Arial"/>
          <w:i/>
          <w:color w:val="004E55"/>
          <w:szCs w:val="22"/>
          <w:lang w:val="en-GB"/>
        </w:rPr>
        <w:t>0</w:t>
      </w:r>
      <w:r w:rsidR="00277506" w:rsidRPr="00E345E9">
        <w:rPr>
          <w:rFonts w:cs="Arial"/>
          <w:i/>
          <w:color w:val="004E55"/>
          <w:szCs w:val="22"/>
          <w:lang w:val="en-GB"/>
        </w:rPr>
        <w:fldChar w:fldCharType="end"/>
      </w:r>
      <w:r w:rsidRPr="00E345E9">
        <w:rPr>
          <w:rFonts w:cs="Arial"/>
          <w:color w:val="000000" w:themeColor="text1"/>
          <w:szCs w:val="22"/>
          <w:lang w:val="en-GB"/>
        </w:rPr>
        <w:t xml:space="preserve"> for more details related about market conditions</w:t>
      </w:r>
      <w:r w:rsidR="00125A63" w:rsidRPr="00E345E9">
        <w:rPr>
          <w:rFonts w:cs="Arial"/>
          <w:color w:val="000000" w:themeColor="text1"/>
          <w:szCs w:val="22"/>
          <w:lang w:val="en-GB"/>
        </w:rPr>
        <w:t>.</w:t>
      </w:r>
      <w:r w:rsidRPr="00E345E9">
        <w:rPr>
          <w:rFonts w:cs="Arial"/>
          <w:color w:val="000000" w:themeColor="text1"/>
          <w:szCs w:val="22"/>
          <w:lang w:val="en-GB"/>
        </w:rPr>
        <w:t xml:space="preserve"> </w:t>
      </w:r>
    </w:p>
    <w:p w14:paraId="1ED854E1" w14:textId="7269FB99" w:rsidR="005B30F6" w:rsidRPr="00E345E9" w:rsidRDefault="005B30F6" w:rsidP="00D06621">
      <w:pPr>
        <w:spacing w:line="312" w:lineRule="auto"/>
        <w:rPr>
          <w:lang w:val="en-US" w:eastAsia="ja-JP"/>
        </w:rPr>
      </w:pPr>
      <w:r w:rsidRPr="00E345E9">
        <w:rPr>
          <w:rFonts w:cs="Arial"/>
          <w:color w:val="000000" w:themeColor="text1"/>
          <w:szCs w:val="22"/>
          <w:lang w:val="en-US"/>
        </w:rPr>
        <w:t>Besides</w:t>
      </w:r>
      <w:r w:rsidRPr="00E345E9">
        <w:rPr>
          <w:rFonts w:cs="Arial"/>
          <w:color w:val="000000" w:themeColor="text1"/>
          <w:szCs w:val="22"/>
          <w:lang w:val="en-GB"/>
        </w:rPr>
        <w:t xml:space="preserve">, a seasonal effect can be also seen through a slightly decrease of the utilization during the summer period. However, this effect was less pronounced </w:t>
      </w:r>
      <w:r w:rsidR="00D05946" w:rsidRPr="00E345E9">
        <w:rPr>
          <w:rFonts w:cs="Arial"/>
          <w:color w:val="000000" w:themeColor="text1"/>
          <w:szCs w:val="22"/>
          <w:lang w:val="en-GB"/>
        </w:rPr>
        <w:t xml:space="preserve">than </w:t>
      </w:r>
      <w:r w:rsidR="00BA5552" w:rsidRPr="00E345E9">
        <w:rPr>
          <w:rFonts w:cs="Arial"/>
          <w:color w:val="000000" w:themeColor="text1"/>
          <w:szCs w:val="22"/>
          <w:lang w:val="en-GB"/>
        </w:rPr>
        <w:t xml:space="preserve">the </w:t>
      </w:r>
      <w:r w:rsidRPr="00E345E9">
        <w:rPr>
          <w:rFonts w:cs="Arial"/>
          <w:color w:val="000000" w:themeColor="text1"/>
          <w:szCs w:val="22"/>
          <w:lang w:val="en-GB"/>
        </w:rPr>
        <w:t>last year</w:t>
      </w:r>
      <w:r w:rsidR="00BA5552" w:rsidRPr="00E345E9">
        <w:rPr>
          <w:rFonts w:cs="Arial"/>
          <w:color w:val="000000" w:themeColor="text1"/>
          <w:szCs w:val="22"/>
          <w:lang w:val="en-GB"/>
        </w:rPr>
        <w:t xml:space="preserve"> studied</w:t>
      </w:r>
      <w:r w:rsidRPr="00E345E9">
        <w:rPr>
          <w:rFonts w:cs="Arial"/>
          <w:color w:val="000000" w:themeColor="text1"/>
          <w:szCs w:val="22"/>
          <w:lang w:val="en-GB"/>
        </w:rPr>
        <w:t>.</w:t>
      </w:r>
    </w:p>
    <w:p w14:paraId="4707EE05" w14:textId="333197E0" w:rsidR="0002797F" w:rsidRPr="00E345E9" w:rsidRDefault="0002797F" w:rsidP="00ED5978">
      <w:pPr>
        <w:keepNext/>
        <w:rPr>
          <w:lang w:val="en-US" w:eastAsia="ja-JP"/>
        </w:rPr>
      </w:pPr>
      <w:r w:rsidRPr="00E345E9">
        <w:rPr>
          <w:noProof/>
          <w:lang w:val="es-ES" w:eastAsia="es-ES"/>
        </w:rPr>
        <w:drawing>
          <wp:inline distT="0" distB="0" distL="0" distR="0" wp14:anchorId="6D8132EF" wp14:editId="2C6C0928">
            <wp:extent cx="5696291" cy="3269894"/>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06661" cy="3275847"/>
                    </a:xfrm>
                    <a:prstGeom prst="rect">
                      <a:avLst/>
                    </a:prstGeom>
                    <a:noFill/>
                  </pic:spPr>
                </pic:pic>
              </a:graphicData>
            </a:graphic>
          </wp:inline>
        </w:drawing>
      </w:r>
    </w:p>
    <w:p w14:paraId="6C3CED43" w14:textId="77777777" w:rsidR="005B30F6" w:rsidRPr="00E345E9" w:rsidRDefault="005B30F6" w:rsidP="005B30F6">
      <w:pPr>
        <w:pStyle w:val="Descripcin"/>
        <w:spacing w:before="240" w:line="360" w:lineRule="auto"/>
        <w:jc w:val="center"/>
        <w:rPr>
          <w:sz w:val="16"/>
          <w:lang w:val="en-US"/>
        </w:rPr>
      </w:pPr>
      <w:r w:rsidRPr="00E345E9">
        <w:rPr>
          <w:sz w:val="16"/>
          <w:lang w:val="en-US"/>
        </w:rPr>
        <w:t xml:space="preserve">Figure </w:t>
      </w:r>
      <w:r w:rsidRPr="00E345E9">
        <w:rPr>
          <w:sz w:val="16"/>
        </w:rPr>
        <w:fldChar w:fldCharType="begin"/>
      </w:r>
      <w:r w:rsidRPr="00E345E9">
        <w:rPr>
          <w:sz w:val="16"/>
          <w:lang w:val="en-US"/>
        </w:rPr>
        <w:instrText xml:space="preserve"> SEQ Figure \* ARABIC </w:instrText>
      </w:r>
      <w:r w:rsidRPr="00E345E9">
        <w:rPr>
          <w:sz w:val="16"/>
        </w:rPr>
        <w:fldChar w:fldCharType="separate"/>
      </w:r>
      <w:r w:rsidR="00E859C7">
        <w:rPr>
          <w:noProof/>
          <w:sz w:val="16"/>
          <w:lang w:val="en-US"/>
        </w:rPr>
        <w:t>36</w:t>
      </w:r>
      <w:r w:rsidRPr="00E345E9">
        <w:rPr>
          <w:sz w:val="16"/>
        </w:rPr>
        <w:fldChar w:fldCharType="end"/>
      </w:r>
      <w:r w:rsidRPr="00E345E9">
        <w:rPr>
          <w:sz w:val="16"/>
          <w:lang w:val="en-US"/>
        </w:rPr>
        <w:t>: Indicators at VIP Pirineos (Spanish side)</w:t>
      </w:r>
    </w:p>
    <w:p w14:paraId="35AB4678" w14:textId="06BB4503" w:rsidR="00431E3F" w:rsidRPr="00E345E9" w:rsidRDefault="00431E3F">
      <w:pPr>
        <w:spacing w:before="0" w:after="0" w:line="240" w:lineRule="auto"/>
        <w:jc w:val="left"/>
        <w:rPr>
          <w:lang w:val="en-US" w:eastAsia="ja-JP"/>
        </w:rPr>
      </w:pPr>
      <w:r w:rsidRPr="00E345E9">
        <w:rPr>
          <w:lang w:val="en-US" w:eastAsia="ja-JP"/>
        </w:rPr>
        <w:br w:type="page"/>
      </w:r>
    </w:p>
    <w:p w14:paraId="5EECA08B" w14:textId="6FECD0F7" w:rsidR="005B30F6" w:rsidRPr="00E345E9" w:rsidRDefault="005B30F6" w:rsidP="005B30F6">
      <w:pPr>
        <w:pStyle w:val="Ttulo4"/>
        <w:spacing w:line="240" w:lineRule="auto"/>
        <w:ind w:hanging="1006"/>
        <w:rPr>
          <w:lang w:eastAsia="ja-JP"/>
        </w:rPr>
      </w:pPr>
      <w:bookmarkStart w:id="202" w:name="_Ref43726012"/>
      <w:r w:rsidRPr="00E345E9">
        <w:rPr>
          <w:lang w:eastAsia="ja-JP"/>
        </w:rPr>
        <w:t>South</w:t>
      </w:r>
      <w:r w:rsidR="000D2F75" w:rsidRPr="00E345E9">
        <w:rPr>
          <w:lang w:eastAsia="ja-JP"/>
        </w:rPr>
        <w:t>-</w:t>
      </w:r>
      <w:r w:rsidRPr="00E345E9">
        <w:rPr>
          <w:lang w:eastAsia="ja-JP"/>
        </w:rPr>
        <w:t>North flow direction</w:t>
      </w:r>
      <w:bookmarkEnd w:id="202"/>
    </w:p>
    <w:p w14:paraId="7D29EA34" w14:textId="4A5D4CC9" w:rsidR="00D05946" w:rsidRPr="00E345E9" w:rsidRDefault="00D05946" w:rsidP="00D05946">
      <w:pPr>
        <w:rPr>
          <w:b/>
          <w:u w:val="single"/>
          <w:lang w:val="en-US"/>
        </w:rPr>
      </w:pPr>
      <w:r w:rsidRPr="00E345E9">
        <w:rPr>
          <w:b/>
          <w:u w:val="single"/>
          <w:lang w:val="en-GB"/>
        </w:rPr>
        <w:t xml:space="preserve">Analysis of the </w:t>
      </w:r>
      <w:r w:rsidRPr="00E345E9">
        <w:rPr>
          <w:b/>
          <w:u w:val="single"/>
          <w:lang w:val="en-US"/>
        </w:rPr>
        <w:t xml:space="preserve">utilization </w:t>
      </w:r>
      <w:r w:rsidR="00D06621" w:rsidRPr="00E345E9">
        <w:rPr>
          <w:b/>
          <w:u w:val="single"/>
          <w:lang w:val="en-US"/>
        </w:rPr>
        <w:t xml:space="preserve">of the booked capacity </w:t>
      </w:r>
      <w:r w:rsidRPr="00E345E9">
        <w:rPr>
          <w:b/>
          <w:u w:val="single"/>
          <w:lang w:val="en-US"/>
        </w:rPr>
        <w:t>in the French side</w:t>
      </w:r>
    </w:p>
    <w:p w14:paraId="4A0BA316" w14:textId="77777777" w:rsidR="00431E3F" w:rsidRPr="00E345E9" w:rsidRDefault="00431E3F" w:rsidP="00431E3F">
      <w:pPr>
        <w:pStyle w:val="Descripcin"/>
        <w:spacing w:before="240" w:line="360" w:lineRule="auto"/>
        <w:jc w:val="center"/>
        <w:rPr>
          <w:rFonts w:cs="Arial"/>
          <w:color w:val="000000" w:themeColor="text1"/>
          <w:szCs w:val="22"/>
          <w:lang w:val="en-GB"/>
        </w:rPr>
      </w:pPr>
      <w:r w:rsidRPr="00E345E9">
        <w:rPr>
          <w:noProof/>
          <w:lang w:eastAsia="es-ES"/>
        </w:rPr>
        <w:drawing>
          <wp:inline distT="0" distB="0" distL="0" distR="0" wp14:anchorId="0E5BF882" wp14:editId="7959517D">
            <wp:extent cx="5683250" cy="2838450"/>
            <wp:effectExtent l="0" t="0" r="12700" b="0"/>
            <wp:docPr id="82" name="Graphique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B7C62C0" w14:textId="77777777" w:rsidR="00431E3F" w:rsidRPr="00E345E9" w:rsidRDefault="00431E3F" w:rsidP="005B3498">
      <w:pPr>
        <w:pStyle w:val="Descripcin"/>
        <w:spacing w:before="240" w:line="360" w:lineRule="auto"/>
        <w:jc w:val="center"/>
        <w:rPr>
          <w:sz w:val="16"/>
          <w:lang w:val="en-US"/>
        </w:rPr>
      </w:pPr>
      <w:r w:rsidRPr="00E345E9">
        <w:rPr>
          <w:sz w:val="16"/>
          <w:lang w:val="en-US"/>
        </w:rPr>
        <w:t xml:space="preserve">Figure </w:t>
      </w:r>
      <w:r w:rsidRPr="00E345E9">
        <w:fldChar w:fldCharType="begin"/>
      </w:r>
      <w:r w:rsidRPr="00E345E9">
        <w:rPr>
          <w:sz w:val="16"/>
          <w:lang w:val="en-US"/>
        </w:rPr>
        <w:instrText xml:space="preserve"> SEQ Figure \* ARABIC </w:instrText>
      </w:r>
      <w:r w:rsidRPr="00E345E9">
        <w:fldChar w:fldCharType="separate"/>
      </w:r>
      <w:r w:rsidR="00E859C7">
        <w:rPr>
          <w:noProof/>
          <w:sz w:val="16"/>
          <w:lang w:val="en-US"/>
        </w:rPr>
        <w:t>37</w:t>
      </w:r>
      <w:r w:rsidRPr="00E345E9">
        <w:fldChar w:fldCharType="end"/>
      </w:r>
      <w:r w:rsidRPr="00E345E9">
        <w:rPr>
          <w:sz w:val="16"/>
          <w:lang w:val="en-US"/>
        </w:rPr>
        <w:t>: Booked capacity, allocation from Spain to France on the French side</w:t>
      </w:r>
    </w:p>
    <w:tbl>
      <w:tblPr>
        <w:tblW w:w="5340" w:type="dxa"/>
        <w:jc w:val="center"/>
        <w:tblCellMar>
          <w:left w:w="70" w:type="dxa"/>
          <w:right w:w="70" w:type="dxa"/>
        </w:tblCellMar>
        <w:tblLook w:val="04A0" w:firstRow="1" w:lastRow="0" w:firstColumn="1" w:lastColumn="0" w:noHBand="0" w:noVBand="1"/>
      </w:tblPr>
      <w:tblGrid>
        <w:gridCol w:w="2156"/>
        <w:gridCol w:w="1090"/>
        <w:gridCol w:w="1004"/>
        <w:gridCol w:w="1090"/>
      </w:tblGrid>
      <w:tr w:rsidR="00431E3F" w:rsidRPr="00E345E9" w14:paraId="4EA85E79" w14:textId="77777777" w:rsidTr="00953AEB">
        <w:trPr>
          <w:trHeight w:val="300"/>
          <w:jc w:val="center"/>
        </w:trPr>
        <w:tc>
          <w:tcPr>
            <w:tcW w:w="5340" w:type="dxa"/>
            <w:gridSpan w:val="4"/>
            <w:tcBorders>
              <w:top w:val="single" w:sz="8" w:space="0" w:color="4F81BD"/>
              <w:left w:val="single" w:sz="8" w:space="0" w:color="4F81BD"/>
              <w:bottom w:val="single" w:sz="8" w:space="0" w:color="4F81BD"/>
              <w:right w:val="single" w:sz="8" w:space="0" w:color="4F81BD"/>
            </w:tcBorders>
            <w:shd w:val="clear" w:color="auto" w:fill="4F81BD"/>
            <w:noWrap/>
            <w:vAlign w:val="center"/>
            <w:hideMark/>
          </w:tcPr>
          <w:p w14:paraId="2DE53ED6" w14:textId="77777777" w:rsidR="00431E3F" w:rsidRPr="00E345E9" w:rsidRDefault="00431E3F" w:rsidP="00953AEB">
            <w:pPr>
              <w:spacing w:before="0" w:after="0" w:line="240" w:lineRule="auto"/>
              <w:jc w:val="center"/>
              <w:rPr>
                <w:rFonts w:cs="Arial"/>
                <w:b/>
                <w:bCs/>
                <w:color w:val="FFFFFF"/>
                <w:sz w:val="20"/>
                <w:szCs w:val="20"/>
              </w:rPr>
            </w:pPr>
            <w:r w:rsidRPr="00E345E9">
              <w:rPr>
                <w:rFonts w:cs="Arial"/>
                <w:b/>
                <w:bCs/>
                <w:color w:val="FFFFFF"/>
                <w:sz w:val="20"/>
                <w:szCs w:val="20"/>
              </w:rPr>
              <w:t>Firm Utilization rates at VIP Pirineos</w:t>
            </w:r>
          </w:p>
        </w:tc>
      </w:tr>
      <w:tr w:rsidR="00431E3F" w:rsidRPr="00E345E9" w14:paraId="4D1FE2CE" w14:textId="77777777" w:rsidTr="00953AEB">
        <w:trPr>
          <w:trHeight w:val="300"/>
          <w:jc w:val="center"/>
        </w:trPr>
        <w:tc>
          <w:tcPr>
            <w:tcW w:w="2156" w:type="dxa"/>
            <w:tcBorders>
              <w:top w:val="nil"/>
              <w:left w:val="single" w:sz="8" w:space="0" w:color="95B3D7"/>
              <w:bottom w:val="single" w:sz="8" w:space="0" w:color="95B3D7"/>
              <w:right w:val="single" w:sz="8" w:space="0" w:color="95B3D7"/>
            </w:tcBorders>
            <w:shd w:val="clear" w:color="auto" w:fill="DBE5F1"/>
            <w:noWrap/>
            <w:hideMark/>
          </w:tcPr>
          <w:p w14:paraId="2C3D33C8" w14:textId="77777777" w:rsidR="00431E3F" w:rsidRPr="00E345E9" w:rsidRDefault="00431E3F" w:rsidP="00953AEB">
            <w:pPr>
              <w:spacing w:before="0" w:after="0" w:line="240" w:lineRule="auto"/>
              <w:jc w:val="left"/>
              <w:rPr>
                <w:rFonts w:ascii="Times New Roman" w:hAnsi="Times New Roman"/>
                <w:color w:val="000000"/>
                <w:sz w:val="20"/>
                <w:szCs w:val="20"/>
              </w:rPr>
            </w:pPr>
            <w:r w:rsidRPr="00E345E9">
              <w:rPr>
                <w:rFonts w:ascii="Times New Roman" w:hAnsi="Times New Roman"/>
                <w:color w:val="000000"/>
                <w:sz w:val="20"/>
                <w:szCs w:val="20"/>
              </w:rPr>
              <w:t> </w:t>
            </w:r>
          </w:p>
        </w:tc>
        <w:tc>
          <w:tcPr>
            <w:tcW w:w="1090" w:type="dxa"/>
            <w:tcBorders>
              <w:top w:val="nil"/>
              <w:left w:val="nil"/>
              <w:bottom w:val="single" w:sz="8" w:space="0" w:color="95B3D7"/>
              <w:right w:val="single" w:sz="8" w:space="0" w:color="95B3D7"/>
            </w:tcBorders>
            <w:shd w:val="clear" w:color="auto" w:fill="DBE5F1"/>
            <w:noWrap/>
            <w:vAlign w:val="center"/>
            <w:hideMark/>
          </w:tcPr>
          <w:p w14:paraId="42F841BE"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Minimum</w:t>
            </w:r>
          </w:p>
        </w:tc>
        <w:tc>
          <w:tcPr>
            <w:tcW w:w="1004" w:type="dxa"/>
            <w:tcBorders>
              <w:top w:val="nil"/>
              <w:left w:val="nil"/>
              <w:bottom w:val="single" w:sz="8" w:space="0" w:color="95B3D7"/>
              <w:right w:val="single" w:sz="8" w:space="0" w:color="95B3D7"/>
            </w:tcBorders>
            <w:shd w:val="clear" w:color="auto" w:fill="DBE5F1"/>
            <w:noWrap/>
            <w:vAlign w:val="center"/>
            <w:hideMark/>
          </w:tcPr>
          <w:p w14:paraId="48FEF7CE"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Average</w:t>
            </w:r>
          </w:p>
        </w:tc>
        <w:tc>
          <w:tcPr>
            <w:tcW w:w="1090" w:type="dxa"/>
            <w:tcBorders>
              <w:top w:val="nil"/>
              <w:left w:val="nil"/>
              <w:bottom w:val="single" w:sz="8" w:space="0" w:color="95B3D7"/>
              <w:right w:val="single" w:sz="8" w:space="0" w:color="95B3D7"/>
            </w:tcBorders>
            <w:shd w:val="clear" w:color="auto" w:fill="DBE5F1"/>
            <w:noWrap/>
            <w:vAlign w:val="center"/>
            <w:hideMark/>
          </w:tcPr>
          <w:p w14:paraId="7875753F"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Maximun</w:t>
            </w:r>
          </w:p>
        </w:tc>
      </w:tr>
      <w:tr w:rsidR="00431E3F" w:rsidRPr="00E345E9" w14:paraId="717D7EC0" w14:textId="77777777" w:rsidTr="00953AEB">
        <w:trPr>
          <w:trHeight w:val="300"/>
          <w:jc w:val="center"/>
        </w:trPr>
        <w:tc>
          <w:tcPr>
            <w:tcW w:w="2156" w:type="dxa"/>
            <w:tcBorders>
              <w:top w:val="nil"/>
              <w:left w:val="single" w:sz="8" w:space="0" w:color="95B3D7"/>
              <w:bottom w:val="single" w:sz="8" w:space="0" w:color="95B3D7"/>
              <w:right w:val="single" w:sz="8" w:space="0" w:color="95B3D7"/>
            </w:tcBorders>
            <w:noWrap/>
            <w:vAlign w:val="center"/>
            <w:hideMark/>
          </w:tcPr>
          <w:p w14:paraId="5B4CC87C" w14:textId="77777777" w:rsidR="00431E3F" w:rsidRPr="00E345E9" w:rsidRDefault="00431E3F" w:rsidP="00953AEB">
            <w:pPr>
              <w:spacing w:before="0" w:after="0" w:line="240" w:lineRule="auto"/>
              <w:jc w:val="center"/>
              <w:rPr>
                <w:rFonts w:cs="Arial"/>
                <w:b/>
                <w:bCs/>
                <w:color w:val="000000"/>
                <w:sz w:val="20"/>
                <w:szCs w:val="20"/>
              </w:rPr>
            </w:pPr>
            <w:r w:rsidRPr="00E345E9">
              <w:rPr>
                <w:rFonts w:cs="Arial"/>
                <w:b/>
                <w:bCs/>
                <w:color w:val="000000"/>
                <w:sz w:val="20"/>
                <w:szCs w:val="20"/>
              </w:rPr>
              <w:t>Gas year 2016-17</w:t>
            </w:r>
          </w:p>
        </w:tc>
        <w:tc>
          <w:tcPr>
            <w:tcW w:w="1090" w:type="dxa"/>
            <w:tcBorders>
              <w:top w:val="nil"/>
              <w:left w:val="nil"/>
              <w:bottom w:val="single" w:sz="8" w:space="0" w:color="95B3D7"/>
              <w:right w:val="single" w:sz="8" w:space="0" w:color="95B3D7"/>
            </w:tcBorders>
            <w:noWrap/>
            <w:vAlign w:val="center"/>
            <w:hideMark/>
          </w:tcPr>
          <w:p w14:paraId="2BB41A1C"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0%</w:t>
            </w:r>
          </w:p>
        </w:tc>
        <w:tc>
          <w:tcPr>
            <w:tcW w:w="1004" w:type="dxa"/>
            <w:tcBorders>
              <w:top w:val="nil"/>
              <w:left w:val="nil"/>
              <w:bottom w:val="single" w:sz="8" w:space="0" w:color="95B3D7"/>
              <w:right w:val="single" w:sz="8" w:space="0" w:color="95B3D7"/>
            </w:tcBorders>
            <w:noWrap/>
            <w:vAlign w:val="center"/>
            <w:hideMark/>
          </w:tcPr>
          <w:p w14:paraId="375A6E94"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1%</w:t>
            </w:r>
          </w:p>
        </w:tc>
        <w:tc>
          <w:tcPr>
            <w:tcW w:w="1090" w:type="dxa"/>
            <w:tcBorders>
              <w:top w:val="nil"/>
              <w:left w:val="nil"/>
              <w:bottom w:val="single" w:sz="8" w:space="0" w:color="95B3D7"/>
              <w:right w:val="single" w:sz="8" w:space="0" w:color="95B3D7"/>
            </w:tcBorders>
            <w:noWrap/>
            <w:vAlign w:val="center"/>
            <w:hideMark/>
          </w:tcPr>
          <w:p w14:paraId="2350E568"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15%</w:t>
            </w:r>
          </w:p>
        </w:tc>
      </w:tr>
      <w:tr w:rsidR="00431E3F" w:rsidRPr="00E345E9" w14:paraId="5C0434A8" w14:textId="77777777" w:rsidTr="00953AEB">
        <w:trPr>
          <w:trHeight w:val="300"/>
          <w:jc w:val="center"/>
        </w:trPr>
        <w:tc>
          <w:tcPr>
            <w:tcW w:w="2156" w:type="dxa"/>
            <w:tcBorders>
              <w:top w:val="nil"/>
              <w:left w:val="single" w:sz="8" w:space="0" w:color="95B3D7"/>
              <w:bottom w:val="single" w:sz="8" w:space="0" w:color="95B3D7"/>
              <w:right w:val="single" w:sz="8" w:space="0" w:color="95B3D7"/>
            </w:tcBorders>
            <w:shd w:val="clear" w:color="auto" w:fill="DBE5F1"/>
            <w:noWrap/>
            <w:vAlign w:val="center"/>
            <w:hideMark/>
          </w:tcPr>
          <w:p w14:paraId="76747FE3" w14:textId="77777777" w:rsidR="00431E3F" w:rsidRPr="00E345E9" w:rsidRDefault="00431E3F" w:rsidP="00953AEB">
            <w:pPr>
              <w:spacing w:before="0" w:after="0" w:line="240" w:lineRule="auto"/>
              <w:jc w:val="center"/>
              <w:rPr>
                <w:rFonts w:cs="Arial"/>
                <w:b/>
                <w:bCs/>
                <w:color w:val="000000"/>
                <w:sz w:val="20"/>
                <w:szCs w:val="20"/>
              </w:rPr>
            </w:pPr>
            <w:r w:rsidRPr="00E345E9">
              <w:rPr>
                <w:rFonts w:cs="Arial"/>
                <w:b/>
                <w:bCs/>
                <w:color w:val="000000"/>
                <w:sz w:val="20"/>
                <w:szCs w:val="20"/>
              </w:rPr>
              <w:t>Gas year 2017-18</w:t>
            </w:r>
          </w:p>
        </w:tc>
        <w:tc>
          <w:tcPr>
            <w:tcW w:w="1090" w:type="dxa"/>
            <w:tcBorders>
              <w:top w:val="nil"/>
              <w:left w:val="nil"/>
              <w:bottom w:val="single" w:sz="8" w:space="0" w:color="95B3D7"/>
              <w:right w:val="single" w:sz="8" w:space="0" w:color="95B3D7"/>
            </w:tcBorders>
            <w:shd w:val="clear" w:color="auto" w:fill="DBE5F1"/>
            <w:noWrap/>
            <w:vAlign w:val="center"/>
            <w:hideMark/>
          </w:tcPr>
          <w:p w14:paraId="6E5B1648"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0%</w:t>
            </w:r>
          </w:p>
        </w:tc>
        <w:tc>
          <w:tcPr>
            <w:tcW w:w="1004" w:type="dxa"/>
            <w:tcBorders>
              <w:top w:val="nil"/>
              <w:left w:val="nil"/>
              <w:bottom w:val="single" w:sz="8" w:space="0" w:color="95B3D7"/>
              <w:right w:val="single" w:sz="8" w:space="0" w:color="95B3D7"/>
            </w:tcBorders>
            <w:shd w:val="clear" w:color="auto" w:fill="DBE5F1"/>
            <w:noWrap/>
            <w:vAlign w:val="center"/>
            <w:hideMark/>
          </w:tcPr>
          <w:p w14:paraId="3772BADF"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12%</w:t>
            </w:r>
          </w:p>
        </w:tc>
        <w:tc>
          <w:tcPr>
            <w:tcW w:w="1090" w:type="dxa"/>
            <w:tcBorders>
              <w:top w:val="nil"/>
              <w:left w:val="nil"/>
              <w:bottom w:val="single" w:sz="8" w:space="0" w:color="95B3D7"/>
              <w:right w:val="single" w:sz="8" w:space="0" w:color="95B3D7"/>
            </w:tcBorders>
            <w:shd w:val="clear" w:color="auto" w:fill="DBE5F1"/>
            <w:noWrap/>
            <w:vAlign w:val="center"/>
            <w:hideMark/>
          </w:tcPr>
          <w:p w14:paraId="4777DA72"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85%</w:t>
            </w:r>
          </w:p>
        </w:tc>
      </w:tr>
      <w:tr w:rsidR="00431E3F" w:rsidRPr="00E345E9" w14:paraId="703E2AF2" w14:textId="77777777" w:rsidTr="00953AEB">
        <w:trPr>
          <w:trHeight w:val="300"/>
          <w:jc w:val="center"/>
        </w:trPr>
        <w:tc>
          <w:tcPr>
            <w:tcW w:w="2156" w:type="dxa"/>
            <w:tcBorders>
              <w:top w:val="nil"/>
              <w:left w:val="single" w:sz="8" w:space="0" w:color="95B3D7"/>
              <w:bottom w:val="single" w:sz="8" w:space="0" w:color="95B3D7"/>
              <w:right w:val="single" w:sz="8" w:space="0" w:color="95B3D7"/>
            </w:tcBorders>
            <w:noWrap/>
            <w:vAlign w:val="center"/>
            <w:hideMark/>
          </w:tcPr>
          <w:p w14:paraId="28650ACB" w14:textId="77777777" w:rsidR="00431E3F" w:rsidRPr="00E345E9" w:rsidRDefault="00431E3F" w:rsidP="00953AEB">
            <w:pPr>
              <w:spacing w:before="0" w:after="0" w:line="240" w:lineRule="auto"/>
              <w:jc w:val="center"/>
              <w:rPr>
                <w:rFonts w:cs="Arial"/>
                <w:b/>
                <w:bCs/>
                <w:color w:val="000000"/>
                <w:sz w:val="20"/>
                <w:szCs w:val="20"/>
              </w:rPr>
            </w:pPr>
            <w:r w:rsidRPr="00E345E9">
              <w:rPr>
                <w:rFonts w:cs="Arial"/>
                <w:b/>
                <w:bCs/>
                <w:color w:val="000000"/>
                <w:sz w:val="20"/>
                <w:szCs w:val="20"/>
              </w:rPr>
              <w:t>Gas year 2018-19</w:t>
            </w:r>
          </w:p>
        </w:tc>
        <w:tc>
          <w:tcPr>
            <w:tcW w:w="1090" w:type="dxa"/>
            <w:tcBorders>
              <w:top w:val="nil"/>
              <w:left w:val="nil"/>
              <w:bottom w:val="single" w:sz="8" w:space="0" w:color="95B3D7"/>
              <w:right w:val="single" w:sz="8" w:space="0" w:color="95B3D7"/>
            </w:tcBorders>
            <w:noWrap/>
            <w:vAlign w:val="center"/>
            <w:hideMark/>
          </w:tcPr>
          <w:p w14:paraId="475BC797"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0%</w:t>
            </w:r>
          </w:p>
        </w:tc>
        <w:tc>
          <w:tcPr>
            <w:tcW w:w="1004" w:type="dxa"/>
            <w:tcBorders>
              <w:top w:val="nil"/>
              <w:left w:val="nil"/>
              <w:bottom w:val="single" w:sz="8" w:space="0" w:color="95B3D7"/>
              <w:right w:val="single" w:sz="8" w:space="0" w:color="95B3D7"/>
            </w:tcBorders>
            <w:noWrap/>
            <w:vAlign w:val="center"/>
            <w:hideMark/>
          </w:tcPr>
          <w:p w14:paraId="2704CE63"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2%</w:t>
            </w:r>
          </w:p>
        </w:tc>
        <w:tc>
          <w:tcPr>
            <w:tcW w:w="1090" w:type="dxa"/>
            <w:tcBorders>
              <w:top w:val="nil"/>
              <w:left w:val="nil"/>
              <w:bottom w:val="single" w:sz="8" w:space="0" w:color="95B3D7"/>
              <w:right w:val="single" w:sz="8" w:space="0" w:color="95B3D7"/>
            </w:tcBorders>
            <w:noWrap/>
            <w:vAlign w:val="center"/>
            <w:hideMark/>
          </w:tcPr>
          <w:p w14:paraId="7E6E8055" w14:textId="77777777" w:rsidR="00431E3F" w:rsidRPr="00E345E9" w:rsidRDefault="00431E3F" w:rsidP="00953AEB">
            <w:pPr>
              <w:spacing w:before="0" w:after="0" w:line="240" w:lineRule="auto"/>
              <w:jc w:val="center"/>
              <w:rPr>
                <w:rFonts w:cs="Arial"/>
                <w:color w:val="000000"/>
                <w:sz w:val="20"/>
                <w:szCs w:val="20"/>
              </w:rPr>
            </w:pPr>
            <w:r w:rsidRPr="00E345E9">
              <w:rPr>
                <w:rFonts w:cs="Arial"/>
                <w:color w:val="000000"/>
                <w:sz w:val="20"/>
                <w:szCs w:val="20"/>
              </w:rPr>
              <w:t>29%</w:t>
            </w:r>
          </w:p>
        </w:tc>
      </w:tr>
      <w:tr w:rsidR="00431E3F" w:rsidRPr="00E345E9" w14:paraId="205EC2A4" w14:textId="77777777" w:rsidTr="00953AEB">
        <w:trPr>
          <w:trHeight w:val="300"/>
          <w:jc w:val="center"/>
        </w:trPr>
        <w:tc>
          <w:tcPr>
            <w:tcW w:w="3246" w:type="dxa"/>
            <w:gridSpan w:val="2"/>
            <w:shd w:val="clear" w:color="auto" w:fill="FFFFFF"/>
            <w:noWrap/>
            <w:vAlign w:val="bottom"/>
            <w:hideMark/>
          </w:tcPr>
          <w:p w14:paraId="1C027FAD" w14:textId="77777777" w:rsidR="00431E3F" w:rsidRPr="00E345E9" w:rsidRDefault="00431E3F" w:rsidP="00953AEB">
            <w:pPr>
              <w:spacing w:before="0" w:after="0" w:line="240" w:lineRule="auto"/>
              <w:jc w:val="left"/>
              <w:rPr>
                <w:rFonts w:ascii="Calibri" w:hAnsi="Calibri"/>
                <w:i/>
                <w:iCs/>
                <w:color w:val="000000"/>
                <w:sz w:val="16"/>
                <w:szCs w:val="16"/>
              </w:rPr>
            </w:pPr>
            <w:r w:rsidRPr="00E345E9">
              <w:rPr>
                <w:rFonts w:ascii="Calibri" w:hAnsi="Calibri"/>
                <w:i/>
                <w:iCs/>
                <w:color w:val="000000"/>
                <w:sz w:val="16"/>
                <w:szCs w:val="16"/>
              </w:rPr>
              <w:t>in this direction : total capacity is firm</w:t>
            </w:r>
          </w:p>
        </w:tc>
        <w:tc>
          <w:tcPr>
            <w:tcW w:w="1004" w:type="dxa"/>
            <w:shd w:val="clear" w:color="auto" w:fill="FFFFFF"/>
            <w:noWrap/>
            <w:vAlign w:val="bottom"/>
            <w:hideMark/>
          </w:tcPr>
          <w:p w14:paraId="26E8C9C5" w14:textId="77777777" w:rsidR="00431E3F" w:rsidRPr="00E345E9" w:rsidRDefault="00431E3F" w:rsidP="00953AEB">
            <w:pPr>
              <w:spacing w:before="0" w:after="0" w:line="240" w:lineRule="auto"/>
              <w:jc w:val="left"/>
              <w:rPr>
                <w:rFonts w:ascii="Calibri" w:hAnsi="Calibri"/>
                <w:color w:val="000000"/>
                <w:szCs w:val="22"/>
              </w:rPr>
            </w:pPr>
            <w:r w:rsidRPr="00E345E9">
              <w:rPr>
                <w:rFonts w:ascii="Calibri" w:hAnsi="Calibri"/>
                <w:color w:val="000000"/>
                <w:szCs w:val="22"/>
              </w:rPr>
              <w:t> </w:t>
            </w:r>
          </w:p>
        </w:tc>
        <w:tc>
          <w:tcPr>
            <w:tcW w:w="1090" w:type="dxa"/>
            <w:shd w:val="clear" w:color="auto" w:fill="FFFFFF"/>
            <w:noWrap/>
            <w:vAlign w:val="bottom"/>
            <w:hideMark/>
          </w:tcPr>
          <w:p w14:paraId="4B914DB4" w14:textId="77777777" w:rsidR="00431E3F" w:rsidRPr="00E345E9" w:rsidRDefault="00431E3F" w:rsidP="00953AEB">
            <w:pPr>
              <w:spacing w:before="0" w:after="0" w:line="240" w:lineRule="auto"/>
              <w:jc w:val="left"/>
              <w:rPr>
                <w:rFonts w:ascii="Calibri" w:hAnsi="Calibri"/>
                <w:color w:val="000000"/>
                <w:szCs w:val="22"/>
              </w:rPr>
            </w:pPr>
            <w:r w:rsidRPr="00E345E9">
              <w:rPr>
                <w:rFonts w:ascii="Calibri" w:hAnsi="Calibri"/>
                <w:color w:val="000000"/>
                <w:szCs w:val="22"/>
              </w:rPr>
              <w:t> </w:t>
            </w:r>
          </w:p>
        </w:tc>
      </w:tr>
    </w:tbl>
    <w:p w14:paraId="7A0E36DF" w14:textId="2C3593F5" w:rsidR="00431E3F" w:rsidRPr="00E345E9" w:rsidRDefault="00431E3F" w:rsidP="00320ADF">
      <w:pPr>
        <w:pStyle w:val="Descripcin"/>
        <w:spacing w:before="240"/>
        <w:rPr>
          <w:rFonts w:ascii="Arial" w:eastAsia="Times New Roman" w:hAnsi="Arial"/>
          <w:b w:val="0"/>
          <w:bCs w:val="0"/>
          <w:sz w:val="22"/>
          <w:szCs w:val="24"/>
          <w:lang w:val="en-US"/>
        </w:rPr>
      </w:pPr>
      <w:r w:rsidRPr="00E345E9">
        <w:rPr>
          <w:rFonts w:ascii="Arial" w:eastAsia="Times New Roman" w:hAnsi="Arial"/>
          <w:b w:val="0"/>
          <w:bCs w:val="0"/>
          <w:sz w:val="22"/>
          <w:szCs w:val="24"/>
          <w:lang w:val="en-US"/>
        </w:rPr>
        <w:t>Remark: the reverse flow event in March 2018 must be highlightled - a net physical flow from Spain to France on the 1</w:t>
      </w:r>
      <w:r w:rsidRPr="00E345E9">
        <w:rPr>
          <w:rFonts w:ascii="Arial" w:hAnsi="Arial"/>
          <w:b w:val="0"/>
          <w:sz w:val="22"/>
          <w:vertAlign w:val="superscript"/>
          <w:lang w:val="en-US"/>
        </w:rPr>
        <w:t xml:space="preserve">st </w:t>
      </w:r>
      <w:r w:rsidRPr="00E345E9">
        <w:rPr>
          <w:rFonts w:ascii="Arial" w:eastAsia="Times New Roman" w:hAnsi="Arial"/>
          <w:b w:val="0"/>
          <w:bCs w:val="0"/>
          <w:sz w:val="22"/>
          <w:szCs w:val="24"/>
          <w:lang w:val="en-US"/>
        </w:rPr>
        <w:t>of March (115 GWh/day) and on the 2</w:t>
      </w:r>
      <w:r w:rsidRPr="00E345E9">
        <w:rPr>
          <w:rFonts w:ascii="Arial" w:hAnsi="Arial"/>
          <w:b w:val="0"/>
          <w:sz w:val="22"/>
          <w:vertAlign w:val="superscript"/>
          <w:lang w:val="en-US"/>
        </w:rPr>
        <w:t>nd</w:t>
      </w:r>
      <w:r w:rsidRPr="00E345E9">
        <w:rPr>
          <w:rFonts w:ascii="Arial" w:eastAsia="Times New Roman" w:hAnsi="Arial"/>
          <w:b w:val="0"/>
          <w:bCs w:val="0"/>
          <w:sz w:val="22"/>
          <w:szCs w:val="24"/>
          <w:lang w:val="en-US"/>
        </w:rPr>
        <w:t xml:space="preserve"> of March (133 GWh/day) was recorded.</w:t>
      </w:r>
    </w:p>
    <w:p w14:paraId="1490D439" w14:textId="131463CE" w:rsidR="00431E3F" w:rsidRPr="00E345E9" w:rsidRDefault="00431E3F">
      <w:pPr>
        <w:spacing w:before="0" w:after="0" w:line="240" w:lineRule="auto"/>
        <w:jc w:val="left"/>
        <w:rPr>
          <w:b/>
          <w:u w:val="single"/>
          <w:lang w:val="en-US"/>
        </w:rPr>
      </w:pPr>
      <w:r w:rsidRPr="00E345E9">
        <w:rPr>
          <w:b/>
          <w:u w:val="single"/>
          <w:lang w:val="en-US"/>
        </w:rPr>
        <w:br w:type="page"/>
      </w:r>
    </w:p>
    <w:p w14:paraId="36D7EF74" w14:textId="1B5E506C" w:rsidR="005B30F6" w:rsidRPr="00E345E9" w:rsidRDefault="005B30F6" w:rsidP="00D06621">
      <w:pPr>
        <w:spacing w:line="312" w:lineRule="auto"/>
        <w:rPr>
          <w:b/>
          <w:u w:val="single"/>
          <w:lang w:val="en-GB"/>
        </w:rPr>
      </w:pPr>
      <w:r w:rsidRPr="00E345E9">
        <w:rPr>
          <w:b/>
          <w:u w:val="single"/>
          <w:lang w:val="en-GB"/>
        </w:rPr>
        <w:t>Analysis</w:t>
      </w:r>
      <w:r w:rsidR="00696682" w:rsidRPr="00E345E9">
        <w:rPr>
          <w:b/>
          <w:u w:val="single"/>
          <w:lang w:val="en-GB"/>
        </w:rPr>
        <w:t xml:space="preserve"> on the utilization </w:t>
      </w:r>
      <w:r w:rsidRPr="00E345E9">
        <w:rPr>
          <w:b/>
          <w:u w:val="single"/>
          <w:lang w:val="en-GB"/>
        </w:rPr>
        <w:t>of the</w:t>
      </w:r>
      <w:r w:rsidR="00696682" w:rsidRPr="00E345E9">
        <w:rPr>
          <w:b/>
          <w:u w:val="single"/>
          <w:lang w:val="en-GB"/>
        </w:rPr>
        <w:t xml:space="preserve"> booked</w:t>
      </w:r>
      <w:r w:rsidRPr="00E345E9">
        <w:rPr>
          <w:b/>
          <w:u w:val="single"/>
          <w:lang w:val="en-GB"/>
        </w:rPr>
        <w:t xml:space="preserve"> </w:t>
      </w:r>
      <w:r w:rsidRPr="00E345E9">
        <w:rPr>
          <w:b/>
          <w:u w:val="single"/>
          <w:lang w:val="en-US"/>
        </w:rPr>
        <w:t>capa</w:t>
      </w:r>
      <w:r w:rsidR="00696682" w:rsidRPr="00E345E9">
        <w:rPr>
          <w:b/>
          <w:u w:val="single"/>
          <w:lang w:val="en-US"/>
        </w:rPr>
        <w:t xml:space="preserve">city </w:t>
      </w:r>
      <w:r w:rsidR="00D06621" w:rsidRPr="00E345E9">
        <w:rPr>
          <w:b/>
          <w:u w:val="single"/>
          <w:lang w:val="en-US"/>
        </w:rPr>
        <w:t xml:space="preserve">in the </w:t>
      </w:r>
      <w:r w:rsidRPr="00E345E9">
        <w:rPr>
          <w:b/>
          <w:u w:val="single"/>
          <w:lang w:val="en-US"/>
        </w:rPr>
        <w:t>Spanish side</w:t>
      </w:r>
    </w:p>
    <w:p w14:paraId="150A11C1" w14:textId="7346BC2E" w:rsidR="005B30F6" w:rsidRPr="00E345E9" w:rsidRDefault="005B30F6" w:rsidP="00D06621">
      <w:pPr>
        <w:spacing w:line="312" w:lineRule="auto"/>
        <w:rPr>
          <w:lang w:val="en-US" w:eastAsia="ja-JP"/>
        </w:rPr>
      </w:pPr>
      <w:r w:rsidRPr="00E345E9">
        <w:rPr>
          <w:rFonts w:cs="Arial"/>
          <w:color w:val="000000" w:themeColor="text1"/>
          <w:szCs w:val="22"/>
          <w:lang w:val="en-GB"/>
        </w:rPr>
        <w:t xml:space="preserve">VIP Pirineos is usually set as an entry point for the Spanish gas system and then, utilization rate in the South to North direction is </w:t>
      </w:r>
      <w:r w:rsidR="00C132C1" w:rsidRPr="00E345E9">
        <w:rPr>
          <w:rFonts w:cs="Arial"/>
          <w:color w:val="000000" w:themeColor="text1"/>
          <w:szCs w:val="22"/>
          <w:lang w:val="en-GB"/>
        </w:rPr>
        <w:t>rare</w:t>
      </w:r>
      <w:r w:rsidRPr="00E345E9">
        <w:rPr>
          <w:rFonts w:cs="Arial"/>
          <w:color w:val="000000" w:themeColor="text1"/>
          <w:szCs w:val="22"/>
          <w:lang w:val="en-GB"/>
        </w:rPr>
        <w:t xml:space="preserve">. Actually, the average value in the studied period is 7%. </w:t>
      </w:r>
      <w:r w:rsidRPr="00E345E9">
        <w:rPr>
          <w:lang w:val="en-US" w:eastAsia="ja-JP"/>
        </w:rPr>
        <w:t xml:space="preserve">However, during summer 2018, the utilization increased significantly, arriving to levels above 60% of utilization. </w:t>
      </w:r>
    </w:p>
    <w:p w14:paraId="31FC3602" w14:textId="4C714ADA" w:rsidR="005B30F6" w:rsidRPr="00E345E9" w:rsidRDefault="005B30F6" w:rsidP="0018221B">
      <w:pPr>
        <w:spacing w:line="312" w:lineRule="auto"/>
        <w:rPr>
          <w:lang w:val="en-US"/>
        </w:rPr>
      </w:pPr>
      <w:r w:rsidRPr="00E345E9">
        <w:rPr>
          <w:rFonts w:cs="Arial"/>
          <w:color w:val="000000" w:themeColor="text1"/>
          <w:szCs w:val="22"/>
          <w:lang w:val="en-US"/>
        </w:rPr>
        <w:t xml:space="preserve">Nevertheless, under specific market conditions, the capacity of the interconnection is highly booked and used. Here, it is </w:t>
      </w:r>
      <w:r w:rsidR="008334C4" w:rsidRPr="00E345E9">
        <w:rPr>
          <w:rFonts w:cs="Arial"/>
          <w:color w:val="000000" w:themeColor="text1"/>
          <w:szCs w:val="22"/>
          <w:lang w:val="en-US"/>
        </w:rPr>
        <w:t>worth mentioning</w:t>
      </w:r>
      <w:r w:rsidRPr="00E345E9">
        <w:rPr>
          <w:rFonts w:cs="Arial"/>
          <w:color w:val="000000" w:themeColor="text1"/>
          <w:szCs w:val="22"/>
          <w:lang w:val="en-US"/>
        </w:rPr>
        <w:t xml:space="preserve"> March 2</w:t>
      </w:r>
      <w:r w:rsidRPr="00E345E9">
        <w:rPr>
          <w:rFonts w:cs="Arial"/>
          <w:color w:val="000000" w:themeColor="text1"/>
          <w:szCs w:val="22"/>
          <w:vertAlign w:val="superscript"/>
          <w:lang w:val="en-US"/>
        </w:rPr>
        <w:t>nd</w:t>
      </w:r>
      <w:r w:rsidRPr="00E345E9">
        <w:rPr>
          <w:rFonts w:cs="Arial"/>
          <w:color w:val="000000" w:themeColor="text1"/>
          <w:szCs w:val="22"/>
          <w:lang w:val="en-US"/>
        </w:rPr>
        <w:t xml:space="preserve"> 2018. That day, </w:t>
      </w:r>
      <w:r w:rsidR="00842333" w:rsidRPr="00E345E9">
        <w:rPr>
          <w:rFonts w:cs="Arial"/>
          <w:color w:val="000000" w:themeColor="text1"/>
          <w:szCs w:val="22"/>
          <w:lang w:val="en-US"/>
        </w:rPr>
        <w:t>in the French side, the booked capacity was</w:t>
      </w:r>
      <w:r w:rsidRPr="00E345E9">
        <w:rPr>
          <w:rFonts w:cs="Arial"/>
          <w:color w:val="000000" w:themeColor="text1"/>
          <w:szCs w:val="22"/>
          <w:lang w:val="en-US"/>
        </w:rPr>
        <w:t xml:space="preserve"> 247</w:t>
      </w:r>
      <w:r w:rsidR="00D05946" w:rsidRPr="00E345E9">
        <w:rPr>
          <w:rFonts w:cs="Arial"/>
          <w:color w:val="000000" w:themeColor="text1"/>
          <w:szCs w:val="22"/>
          <w:lang w:val="en-US"/>
        </w:rPr>
        <w:t>.</w:t>
      </w:r>
      <w:r w:rsidRPr="00E345E9">
        <w:rPr>
          <w:rFonts w:cs="Arial"/>
          <w:color w:val="000000" w:themeColor="text1"/>
          <w:szCs w:val="22"/>
          <w:lang w:val="en-US"/>
        </w:rPr>
        <w:t>5 GWh/d (225</w:t>
      </w:r>
      <w:r w:rsidR="00842333" w:rsidRPr="00E345E9">
        <w:rPr>
          <w:rFonts w:cs="Arial"/>
          <w:color w:val="000000" w:themeColor="text1"/>
          <w:szCs w:val="22"/>
          <w:lang w:val="en-US"/>
        </w:rPr>
        <w:t xml:space="preserve"> technical capacity</w:t>
      </w:r>
      <w:r w:rsidRPr="00E345E9">
        <w:rPr>
          <w:rFonts w:cs="Arial"/>
          <w:color w:val="000000" w:themeColor="text1"/>
          <w:szCs w:val="22"/>
          <w:lang w:val="en-US"/>
        </w:rPr>
        <w:t xml:space="preserve"> + 22</w:t>
      </w:r>
      <w:r w:rsidR="00D05946" w:rsidRPr="00E345E9">
        <w:rPr>
          <w:rFonts w:cs="Arial"/>
          <w:color w:val="000000" w:themeColor="text1"/>
          <w:szCs w:val="22"/>
          <w:lang w:val="en-US"/>
        </w:rPr>
        <w:t>.</w:t>
      </w:r>
      <w:r w:rsidRPr="00E345E9">
        <w:rPr>
          <w:rFonts w:cs="Arial"/>
          <w:color w:val="000000" w:themeColor="text1"/>
          <w:szCs w:val="22"/>
          <w:lang w:val="en-US"/>
        </w:rPr>
        <w:t>5</w:t>
      </w:r>
      <w:r w:rsidR="00842333" w:rsidRPr="00E345E9">
        <w:rPr>
          <w:rFonts w:cs="Arial"/>
          <w:color w:val="000000" w:themeColor="text1"/>
          <w:szCs w:val="22"/>
          <w:lang w:val="en-US"/>
        </w:rPr>
        <w:t xml:space="preserve"> OSBB</w:t>
      </w:r>
      <w:r w:rsidRPr="00E345E9">
        <w:rPr>
          <w:rFonts w:cs="Arial"/>
          <w:color w:val="000000" w:themeColor="text1"/>
          <w:szCs w:val="22"/>
          <w:lang w:val="en-US"/>
        </w:rPr>
        <w:t>) and in the Spanish side was 259 GWh (225</w:t>
      </w:r>
      <w:r w:rsidR="00842333" w:rsidRPr="00E345E9">
        <w:rPr>
          <w:rFonts w:cs="Arial"/>
          <w:color w:val="000000" w:themeColor="text1"/>
          <w:szCs w:val="22"/>
          <w:lang w:val="en-US"/>
        </w:rPr>
        <w:t xml:space="preserve"> technical capacity</w:t>
      </w:r>
      <w:r w:rsidRPr="00E345E9">
        <w:rPr>
          <w:rFonts w:cs="Arial"/>
          <w:color w:val="000000" w:themeColor="text1"/>
          <w:szCs w:val="22"/>
          <w:lang w:val="en-US"/>
        </w:rPr>
        <w:t xml:space="preserve"> + </w:t>
      </w:r>
      <w:r w:rsidR="00842333" w:rsidRPr="00E345E9">
        <w:rPr>
          <w:rFonts w:cs="Arial"/>
          <w:color w:val="000000" w:themeColor="text1"/>
          <w:szCs w:val="22"/>
          <w:lang w:val="en-US"/>
        </w:rPr>
        <w:t>21</w:t>
      </w:r>
      <w:r w:rsidR="00746051" w:rsidRPr="00E345E9">
        <w:rPr>
          <w:rFonts w:cs="Arial"/>
          <w:color w:val="000000" w:themeColor="text1"/>
          <w:szCs w:val="22"/>
          <w:lang w:val="en-US"/>
        </w:rPr>
        <w:t>.</w:t>
      </w:r>
      <w:r w:rsidR="00842333" w:rsidRPr="00E345E9">
        <w:rPr>
          <w:rFonts w:cs="Arial"/>
          <w:color w:val="000000" w:themeColor="text1"/>
          <w:szCs w:val="22"/>
          <w:lang w:val="en-US"/>
        </w:rPr>
        <w:t>9 OSBB</w:t>
      </w:r>
      <w:r w:rsidR="003A3BC6" w:rsidRPr="00E345E9">
        <w:rPr>
          <w:rFonts w:cs="Arial"/>
          <w:color w:val="000000" w:themeColor="text1"/>
          <w:szCs w:val="22"/>
          <w:lang w:val="en-US"/>
        </w:rPr>
        <w:t xml:space="preserve"> </w:t>
      </w:r>
      <w:r w:rsidR="00842333" w:rsidRPr="00E345E9">
        <w:rPr>
          <w:rFonts w:cs="Arial"/>
          <w:color w:val="000000" w:themeColor="text1"/>
          <w:szCs w:val="22"/>
          <w:lang w:val="en-US"/>
        </w:rPr>
        <w:t>+</w:t>
      </w:r>
      <w:r w:rsidR="003A3BC6" w:rsidRPr="00E345E9">
        <w:rPr>
          <w:rFonts w:cs="Arial"/>
          <w:color w:val="000000" w:themeColor="text1"/>
          <w:szCs w:val="22"/>
          <w:lang w:val="en-US"/>
        </w:rPr>
        <w:t xml:space="preserve"> </w:t>
      </w:r>
      <w:r w:rsidR="00842333" w:rsidRPr="00E345E9">
        <w:rPr>
          <w:rFonts w:cs="Arial"/>
          <w:color w:val="000000" w:themeColor="text1"/>
          <w:szCs w:val="22"/>
          <w:lang w:val="en-US"/>
        </w:rPr>
        <w:t>12</w:t>
      </w:r>
      <w:r w:rsidR="00746051" w:rsidRPr="00E345E9">
        <w:rPr>
          <w:rFonts w:cs="Arial"/>
          <w:color w:val="000000" w:themeColor="text1"/>
          <w:szCs w:val="22"/>
          <w:lang w:val="en-US"/>
        </w:rPr>
        <w:t>.</w:t>
      </w:r>
      <w:r w:rsidR="00842333" w:rsidRPr="00E345E9">
        <w:rPr>
          <w:rFonts w:cs="Arial"/>
          <w:color w:val="000000" w:themeColor="text1"/>
          <w:szCs w:val="22"/>
          <w:lang w:val="en-US"/>
        </w:rPr>
        <w:t>4 interruptible</w:t>
      </w:r>
      <w:r w:rsidRPr="00E345E9">
        <w:rPr>
          <w:rFonts w:cs="Arial"/>
          <w:color w:val="000000" w:themeColor="text1"/>
          <w:szCs w:val="22"/>
          <w:lang w:val="en-US"/>
        </w:rPr>
        <w:t>).</w:t>
      </w:r>
      <w:r w:rsidR="001E2C81" w:rsidRPr="00E345E9">
        <w:rPr>
          <w:rFonts w:cs="Arial"/>
          <w:color w:val="000000" w:themeColor="text1"/>
          <w:szCs w:val="22"/>
          <w:lang w:val="en-US"/>
        </w:rPr>
        <w:t xml:space="preserve"> In spite of the fact that the booked capacity was +34 GWh over the firm technical capacity, it was not necessary to interrupt any capacity as the nominations accounted only for 77</w:t>
      </w:r>
      <w:r w:rsidR="00AA05C3">
        <w:rPr>
          <w:rFonts w:cs="Arial"/>
          <w:color w:val="000000" w:themeColor="text1"/>
          <w:szCs w:val="22"/>
          <w:lang w:val="en-US"/>
        </w:rPr>
        <w:t>.</w:t>
      </w:r>
      <w:r w:rsidR="001E2C81" w:rsidRPr="00E345E9">
        <w:rPr>
          <w:rFonts w:cs="Arial"/>
          <w:color w:val="000000" w:themeColor="text1"/>
          <w:szCs w:val="22"/>
          <w:lang w:val="en-US"/>
        </w:rPr>
        <w:t>8% of the total booked capacity.</w:t>
      </w:r>
      <w:r w:rsidRPr="00E345E9">
        <w:rPr>
          <w:rFonts w:cs="Arial"/>
          <w:color w:val="000000" w:themeColor="text1"/>
          <w:szCs w:val="22"/>
          <w:lang w:val="en-US"/>
        </w:rPr>
        <w:t xml:space="preserve"> This episode took place due to an unexpected cold </w:t>
      </w:r>
      <w:r w:rsidR="00696682" w:rsidRPr="00E345E9">
        <w:rPr>
          <w:rFonts w:cs="Arial"/>
          <w:color w:val="000000" w:themeColor="text1"/>
          <w:szCs w:val="22"/>
          <w:lang w:val="en-US"/>
        </w:rPr>
        <w:t>snap</w:t>
      </w:r>
      <w:r w:rsidRPr="00E345E9">
        <w:rPr>
          <w:rFonts w:cs="Arial"/>
          <w:color w:val="000000" w:themeColor="text1"/>
          <w:szCs w:val="22"/>
          <w:lang w:val="en-US"/>
        </w:rPr>
        <w:t xml:space="preserve"> at the end of the winter that led to a drop in LNG levels and underground stocks in central Europe. That is why, during the following summer, shippers used the IP in the Spain to France direction to refill the underground storages.</w:t>
      </w:r>
    </w:p>
    <w:p w14:paraId="70D903DC" w14:textId="02DCBFC6" w:rsidR="00A96B0C" w:rsidRPr="00E345E9" w:rsidRDefault="00B85F5A" w:rsidP="00ED5978">
      <w:pPr>
        <w:keepNext/>
        <w:jc w:val="center"/>
        <w:rPr>
          <w:lang w:val="en-US"/>
        </w:rPr>
      </w:pPr>
      <w:r w:rsidRPr="00E345E9">
        <w:rPr>
          <w:noProof/>
          <w:lang w:val="es-ES" w:eastAsia="es-ES"/>
        </w:rPr>
        <w:drawing>
          <wp:inline distT="0" distB="0" distL="0" distR="0" wp14:anchorId="4439E6A9" wp14:editId="06D7E070">
            <wp:extent cx="5161203" cy="2559372"/>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71241" cy="2564350"/>
                    </a:xfrm>
                    <a:prstGeom prst="rect">
                      <a:avLst/>
                    </a:prstGeom>
                    <a:noFill/>
                  </pic:spPr>
                </pic:pic>
              </a:graphicData>
            </a:graphic>
          </wp:inline>
        </w:drawing>
      </w:r>
    </w:p>
    <w:p w14:paraId="33B0A745" w14:textId="1D55E84D" w:rsidR="005B30F6" w:rsidRPr="00E345E9" w:rsidRDefault="005B30F6" w:rsidP="005B30F6">
      <w:pPr>
        <w:pStyle w:val="Descripcin"/>
        <w:spacing w:before="240" w:line="360" w:lineRule="auto"/>
        <w:jc w:val="center"/>
        <w:rPr>
          <w:sz w:val="16"/>
          <w:lang w:val="en-US"/>
        </w:rPr>
      </w:pPr>
      <w:r w:rsidRPr="00E345E9">
        <w:rPr>
          <w:sz w:val="16"/>
          <w:lang w:val="en-US"/>
        </w:rPr>
        <w:t xml:space="preserve">Figure </w:t>
      </w:r>
      <w:r w:rsidRPr="00E345E9">
        <w:rPr>
          <w:sz w:val="16"/>
        </w:rPr>
        <w:fldChar w:fldCharType="begin"/>
      </w:r>
      <w:r w:rsidRPr="00E345E9">
        <w:rPr>
          <w:sz w:val="16"/>
          <w:lang w:val="en-US"/>
        </w:rPr>
        <w:instrText xml:space="preserve"> SEQ Figure \* ARABIC </w:instrText>
      </w:r>
      <w:r w:rsidRPr="00E345E9">
        <w:rPr>
          <w:sz w:val="16"/>
        </w:rPr>
        <w:fldChar w:fldCharType="separate"/>
      </w:r>
      <w:r w:rsidR="00E859C7">
        <w:rPr>
          <w:noProof/>
          <w:sz w:val="16"/>
          <w:lang w:val="en-US"/>
        </w:rPr>
        <w:t>38</w:t>
      </w:r>
      <w:r w:rsidRPr="00E345E9">
        <w:rPr>
          <w:sz w:val="16"/>
        </w:rPr>
        <w:fldChar w:fldCharType="end"/>
      </w:r>
      <w:r w:rsidRPr="00E345E9">
        <w:rPr>
          <w:sz w:val="16"/>
          <w:lang w:val="en-US"/>
        </w:rPr>
        <w:t xml:space="preserve">: </w:t>
      </w:r>
      <w:r w:rsidR="00D05946" w:rsidRPr="00E345E9">
        <w:rPr>
          <w:sz w:val="16"/>
          <w:lang w:val="en-US"/>
        </w:rPr>
        <w:t>Booked capacity, nomination and physical flow from</w:t>
      </w:r>
      <w:r w:rsidRPr="00E345E9">
        <w:rPr>
          <w:sz w:val="16"/>
          <w:lang w:val="en-US"/>
        </w:rPr>
        <w:t xml:space="preserve"> Spain to France </w:t>
      </w:r>
      <w:r w:rsidR="00D05946" w:rsidRPr="00E345E9">
        <w:rPr>
          <w:sz w:val="16"/>
          <w:lang w:val="en-US"/>
        </w:rPr>
        <w:t>on the Spanish side</w:t>
      </w:r>
    </w:p>
    <w:p w14:paraId="1B0DD2EB" w14:textId="03BD9C15" w:rsidR="005B30F6" w:rsidRPr="00E345E9" w:rsidRDefault="005B30F6" w:rsidP="006822C9">
      <w:pPr>
        <w:spacing w:line="312" w:lineRule="auto"/>
        <w:rPr>
          <w:rFonts w:cs="Arial"/>
          <w:color w:val="000000" w:themeColor="text1"/>
          <w:szCs w:val="22"/>
          <w:lang w:val="en-US"/>
        </w:rPr>
      </w:pPr>
      <w:r w:rsidRPr="00E345E9">
        <w:rPr>
          <w:rFonts w:cs="Arial"/>
          <w:color w:val="000000" w:themeColor="text1"/>
          <w:szCs w:val="22"/>
          <w:lang w:val="en-US"/>
        </w:rPr>
        <w:t>There was also another period with some commercial activity in the South</w:t>
      </w:r>
      <w:r w:rsidR="0070566D" w:rsidRPr="00E345E9">
        <w:rPr>
          <w:rFonts w:cs="Arial"/>
          <w:color w:val="000000" w:themeColor="text1"/>
          <w:szCs w:val="22"/>
          <w:lang w:val="en-US"/>
        </w:rPr>
        <w:t xml:space="preserve"> to </w:t>
      </w:r>
      <w:r w:rsidRPr="00E345E9">
        <w:rPr>
          <w:rFonts w:cs="Arial"/>
          <w:color w:val="000000" w:themeColor="text1"/>
          <w:szCs w:val="22"/>
          <w:lang w:val="en-US"/>
        </w:rPr>
        <w:t xml:space="preserve">North direction: April 2019. In that case, the spread between markets was attractive enough to make shippers look for opportunities in France. </w:t>
      </w:r>
      <w:r w:rsidR="00277506" w:rsidRPr="00E345E9">
        <w:rPr>
          <w:rFonts w:cs="Arial"/>
          <w:color w:val="000000" w:themeColor="text1"/>
          <w:szCs w:val="22"/>
          <w:lang w:val="en-US"/>
        </w:rPr>
        <w:t>P</w:t>
      </w:r>
      <w:r w:rsidRPr="00E345E9">
        <w:rPr>
          <w:rFonts w:cs="Arial"/>
          <w:color w:val="000000" w:themeColor="text1"/>
          <w:szCs w:val="22"/>
          <w:lang w:val="en-US"/>
        </w:rPr>
        <w:t xml:space="preserve">lease see chapter </w:t>
      </w:r>
      <w:r w:rsidR="00277506" w:rsidRPr="00E345E9">
        <w:rPr>
          <w:rFonts w:cs="Arial"/>
          <w:i/>
          <w:color w:val="004E55"/>
          <w:szCs w:val="22"/>
          <w:lang w:val="en-US"/>
        </w:rPr>
        <w:fldChar w:fldCharType="begin"/>
      </w:r>
      <w:r w:rsidR="00277506" w:rsidRPr="00E345E9">
        <w:rPr>
          <w:rFonts w:cs="Arial"/>
          <w:i/>
          <w:color w:val="004E55"/>
          <w:szCs w:val="22"/>
          <w:lang w:val="en-US"/>
        </w:rPr>
        <w:instrText xml:space="preserve"> REF _Ref27493713 \r \h  \* MERGEFORMAT </w:instrText>
      </w:r>
      <w:r w:rsidR="00277506" w:rsidRPr="00E345E9">
        <w:rPr>
          <w:rFonts w:cs="Arial"/>
          <w:i/>
          <w:color w:val="004E55"/>
          <w:szCs w:val="22"/>
          <w:lang w:val="en-US"/>
        </w:rPr>
      </w:r>
      <w:r w:rsidR="00277506" w:rsidRPr="00E345E9">
        <w:rPr>
          <w:rFonts w:cs="Arial"/>
          <w:i/>
          <w:color w:val="004E55"/>
          <w:szCs w:val="22"/>
          <w:lang w:val="en-US"/>
        </w:rPr>
        <w:fldChar w:fldCharType="separate"/>
      </w:r>
      <w:r w:rsidR="00E859C7">
        <w:rPr>
          <w:rFonts w:cs="Arial"/>
          <w:i/>
          <w:color w:val="004E55"/>
          <w:szCs w:val="22"/>
          <w:lang w:val="en-US"/>
        </w:rPr>
        <w:t>0</w:t>
      </w:r>
      <w:r w:rsidR="00277506" w:rsidRPr="00E345E9">
        <w:rPr>
          <w:rFonts w:cs="Arial"/>
          <w:i/>
          <w:color w:val="004E55"/>
          <w:szCs w:val="22"/>
          <w:lang w:val="en-US"/>
        </w:rPr>
        <w:fldChar w:fldCharType="end"/>
      </w:r>
      <w:r w:rsidRPr="00E345E9">
        <w:rPr>
          <w:rFonts w:cs="Arial"/>
          <w:color w:val="000000" w:themeColor="text1"/>
          <w:szCs w:val="22"/>
          <w:lang w:val="en-US"/>
        </w:rPr>
        <w:t xml:space="preserve"> for more details on the market conditions these days.</w:t>
      </w:r>
    </w:p>
    <w:p w14:paraId="0BD61C3E" w14:textId="77777777" w:rsidR="005B30F6" w:rsidRPr="00E345E9" w:rsidRDefault="005B30F6" w:rsidP="005B30F6">
      <w:pPr>
        <w:pStyle w:val="Ttulo3"/>
        <w:spacing w:line="360" w:lineRule="auto"/>
        <w:jc w:val="left"/>
        <w:rPr>
          <w:lang w:val="en-US"/>
        </w:rPr>
      </w:pPr>
      <w:r w:rsidRPr="00E345E9">
        <w:rPr>
          <w:lang w:val="en-US"/>
        </w:rPr>
        <w:t>VIP Ibérico</w:t>
      </w:r>
    </w:p>
    <w:p w14:paraId="30062FD8" w14:textId="77777777" w:rsidR="005B30F6" w:rsidRPr="00E345E9" w:rsidRDefault="005B30F6" w:rsidP="008413FF">
      <w:pPr>
        <w:pStyle w:val="Ttulo4"/>
        <w:spacing w:line="240" w:lineRule="auto"/>
      </w:pPr>
      <w:r w:rsidRPr="00E345E9">
        <w:t>Spain to Portugal direction</w:t>
      </w:r>
    </w:p>
    <w:p w14:paraId="78664995" w14:textId="6D112287" w:rsidR="005B30F6" w:rsidRPr="00E345E9" w:rsidRDefault="005B30F6" w:rsidP="005B30F6">
      <w:pPr>
        <w:rPr>
          <w:lang w:val="en-US" w:eastAsia="ja-JP"/>
        </w:rPr>
      </w:pPr>
      <w:r w:rsidRPr="00E345E9">
        <w:rPr>
          <w:lang w:val="en-US" w:eastAsia="ja-JP"/>
        </w:rPr>
        <w:t xml:space="preserve">As in previous sections, hereunder there is a representation of </w:t>
      </w:r>
      <w:r w:rsidRPr="00E345E9">
        <w:rPr>
          <w:lang w:val="en-GB"/>
        </w:rPr>
        <w:t xml:space="preserve">the technical capacity, capacity bookings, use of </w:t>
      </w:r>
      <w:r w:rsidR="00696682" w:rsidRPr="00E345E9">
        <w:rPr>
          <w:lang w:val="en-GB"/>
        </w:rPr>
        <w:t xml:space="preserve">booked capacity </w:t>
      </w:r>
      <w:r w:rsidRPr="00E345E9">
        <w:rPr>
          <w:lang w:val="en-GB"/>
        </w:rPr>
        <w:t>and flows in both the Portuguese and the Spanish side</w:t>
      </w:r>
      <w:r w:rsidRPr="00E345E9">
        <w:rPr>
          <w:lang w:val="en-US" w:eastAsia="ja-JP"/>
        </w:rPr>
        <w:t>.</w:t>
      </w:r>
    </w:p>
    <w:p w14:paraId="0721CA59" w14:textId="77777777" w:rsidR="005B30F6" w:rsidRPr="00E345E9" w:rsidRDefault="005B30F6" w:rsidP="005B30F6">
      <w:pPr>
        <w:rPr>
          <w:b/>
          <w:u w:val="single"/>
          <w:lang w:val="en-US"/>
        </w:rPr>
      </w:pPr>
      <w:r w:rsidRPr="00E345E9">
        <w:rPr>
          <w:b/>
          <w:u w:val="single"/>
          <w:lang w:val="en-GB"/>
        </w:rPr>
        <w:t xml:space="preserve">Analysis of the </w:t>
      </w:r>
      <w:r w:rsidRPr="00E345E9">
        <w:rPr>
          <w:b/>
          <w:u w:val="single"/>
          <w:lang w:val="en-US"/>
        </w:rPr>
        <w:t>capacity utilization in the Spanish side</w:t>
      </w:r>
    </w:p>
    <w:p w14:paraId="361DB89E" w14:textId="374EE79B" w:rsidR="00F5162A" w:rsidRPr="00E345E9" w:rsidRDefault="00B85F5A" w:rsidP="0018221B">
      <w:pPr>
        <w:rPr>
          <w:lang w:val="es-ES" w:eastAsia="es-ES"/>
        </w:rPr>
      </w:pPr>
      <w:r w:rsidRPr="00E345E9">
        <w:rPr>
          <w:noProof/>
          <w:lang w:val="es-ES" w:eastAsia="es-ES"/>
        </w:rPr>
        <w:drawing>
          <wp:inline distT="0" distB="0" distL="0" distR="0" wp14:anchorId="68E04A2A" wp14:editId="2D90275C">
            <wp:extent cx="5620496" cy="3214047"/>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4295" cy="3216219"/>
                    </a:xfrm>
                    <a:prstGeom prst="rect">
                      <a:avLst/>
                    </a:prstGeom>
                    <a:noFill/>
                  </pic:spPr>
                </pic:pic>
              </a:graphicData>
            </a:graphic>
          </wp:inline>
        </w:drawing>
      </w:r>
    </w:p>
    <w:p w14:paraId="365C7D7E" w14:textId="60CC6A76" w:rsidR="005B30F6" w:rsidRPr="00E345E9" w:rsidRDefault="005B30F6" w:rsidP="005B30F6">
      <w:pPr>
        <w:pStyle w:val="Descripcin"/>
        <w:spacing w:before="240" w:line="360" w:lineRule="auto"/>
        <w:jc w:val="center"/>
        <w:rPr>
          <w:sz w:val="16"/>
          <w:lang w:val="en-GB"/>
        </w:rPr>
      </w:pPr>
      <w:r w:rsidRPr="00E345E9">
        <w:rPr>
          <w:sz w:val="16"/>
          <w:lang w:val="en-US"/>
        </w:rPr>
        <w:t xml:space="preserve">Figure </w:t>
      </w:r>
      <w:r w:rsidRPr="00E345E9">
        <w:rPr>
          <w:sz w:val="16"/>
        </w:rPr>
        <w:fldChar w:fldCharType="begin"/>
      </w:r>
      <w:r w:rsidRPr="00E345E9">
        <w:rPr>
          <w:sz w:val="16"/>
          <w:lang w:val="en-US"/>
        </w:rPr>
        <w:instrText xml:space="preserve"> SEQ Figure \* ARABIC </w:instrText>
      </w:r>
      <w:r w:rsidRPr="00E345E9">
        <w:rPr>
          <w:sz w:val="16"/>
        </w:rPr>
        <w:fldChar w:fldCharType="separate"/>
      </w:r>
      <w:r w:rsidR="00E859C7">
        <w:rPr>
          <w:noProof/>
          <w:sz w:val="16"/>
          <w:lang w:val="en-US"/>
        </w:rPr>
        <w:t>39</w:t>
      </w:r>
      <w:r w:rsidRPr="00E345E9">
        <w:rPr>
          <w:sz w:val="16"/>
        </w:rPr>
        <w:fldChar w:fldCharType="end"/>
      </w:r>
      <w:r w:rsidRPr="00E345E9">
        <w:rPr>
          <w:sz w:val="16"/>
          <w:lang w:val="en-US"/>
        </w:rPr>
        <w:t>: Use of the interconnection Spain to Portugal direction</w:t>
      </w:r>
    </w:p>
    <w:p w14:paraId="5716032D" w14:textId="20BBC8A2" w:rsidR="00B57478" w:rsidRPr="00E345E9" w:rsidRDefault="00696682" w:rsidP="0018221B">
      <w:pPr>
        <w:spacing w:line="312" w:lineRule="auto"/>
        <w:rPr>
          <w:lang w:val="en-GB"/>
        </w:rPr>
      </w:pPr>
      <w:r w:rsidRPr="00E345E9">
        <w:rPr>
          <w:lang w:val="en-GB"/>
        </w:rPr>
        <w:t xml:space="preserve">In the last </w:t>
      </w:r>
      <w:r w:rsidR="005B30F6" w:rsidRPr="00E345E9">
        <w:rPr>
          <w:lang w:val="en-GB"/>
        </w:rPr>
        <w:t xml:space="preserve">gas year </w:t>
      </w:r>
      <w:r w:rsidR="00BF7632" w:rsidRPr="00E345E9">
        <w:rPr>
          <w:lang w:val="en-GB"/>
        </w:rPr>
        <w:t xml:space="preserve">studied </w:t>
      </w:r>
      <w:r w:rsidR="005B30F6" w:rsidRPr="00E345E9">
        <w:rPr>
          <w:lang w:val="en-GB"/>
        </w:rPr>
        <w:t>there was an overall decrease in the amount of the capacity booked (see chapter 2 for more details) and in the utilization of that capacity. Even if the maximum utilization in each gas year still remain</w:t>
      </w:r>
      <w:r w:rsidR="00645510">
        <w:rPr>
          <w:lang w:val="en-GB"/>
        </w:rPr>
        <w:t>s</w:t>
      </w:r>
      <w:r w:rsidR="005B30F6" w:rsidRPr="00E345E9">
        <w:rPr>
          <w:lang w:val="en-GB"/>
        </w:rPr>
        <w:t xml:space="preserve"> quite high (above 85%), the average utilization shows a substantial fall in the interest of exporting gas from Spain to Portugal (fr</w:t>
      </w:r>
      <w:r w:rsidRPr="00E345E9">
        <w:rPr>
          <w:lang w:val="en-GB"/>
        </w:rPr>
        <w:t>om 72% in the gas year 2016</w:t>
      </w:r>
      <w:r w:rsidR="005B30F6" w:rsidRPr="00E345E9">
        <w:rPr>
          <w:lang w:val="en-GB"/>
        </w:rPr>
        <w:t xml:space="preserve"> to 26% in the gas </w:t>
      </w:r>
      <w:r w:rsidRPr="00E345E9">
        <w:rPr>
          <w:lang w:val="en-GB"/>
        </w:rPr>
        <w:t>year 2018</w:t>
      </w:r>
      <w:r w:rsidR="005B30F6" w:rsidRPr="00E345E9">
        <w:rPr>
          <w:lang w:val="en-GB"/>
        </w:rPr>
        <w:t>). Indeed, after the approval of the new Portuguese tariffs in mid-2018, there was a plunge in the use of the interconnection in the Spain to Portugal direction</w:t>
      </w:r>
      <w:r w:rsidR="00452346" w:rsidRPr="00E345E9">
        <w:rPr>
          <w:lang w:val="en-GB"/>
        </w:rPr>
        <w:t xml:space="preserve"> (</w:t>
      </w:r>
      <w:r w:rsidR="00F80821" w:rsidRPr="00E345E9">
        <w:rPr>
          <w:lang w:val="en-GB"/>
        </w:rPr>
        <w:t>other factors might also have some impact, such as: price balance between LNG and pipeline</w:t>
      </w:r>
      <w:r w:rsidR="00452346" w:rsidRPr="00E345E9">
        <w:rPr>
          <w:lang w:val="en-GB"/>
        </w:rPr>
        <w:t>)</w:t>
      </w:r>
      <w:r w:rsidR="005B30F6" w:rsidRPr="00E345E9">
        <w:rPr>
          <w:lang w:val="en-GB"/>
        </w:rPr>
        <w:t>.</w:t>
      </w:r>
      <w:r w:rsidR="00B57478" w:rsidRPr="00E345E9">
        <w:rPr>
          <w:lang w:val="en-GB"/>
        </w:rPr>
        <w:t xml:space="preserve"> As it can be observed, the use of the capacity increased during the months of June and July in 2019 respect to the lower nominations of the previous months. </w:t>
      </w:r>
    </w:p>
    <w:tbl>
      <w:tblPr>
        <w:tblStyle w:val="Tabladecuadrcula4-nfasis1"/>
        <w:tblW w:w="5574" w:type="dxa"/>
        <w:jc w:val="center"/>
        <w:tblLook w:val="04A0" w:firstRow="1" w:lastRow="0" w:firstColumn="1" w:lastColumn="0" w:noHBand="0" w:noVBand="1"/>
      </w:tblPr>
      <w:tblGrid>
        <w:gridCol w:w="2126"/>
        <w:gridCol w:w="1125"/>
        <w:gridCol w:w="1068"/>
        <w:gridCol w:w="1255"/>
      </w:tblGrid>
      <w:tr w:rsidR="009D2B25" w:rsidRPr="00E345E9" w14:paraId="3F6FA4F1" w14:textId="77777777" w:rsidTr="000772B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4" w:type="dxa"/>
            <w:gridSpan w:val="4"/>
            <w:noWrap/>
            <w:vAlign w:val="center"/>
            <w:hideMark/>
          </w:tcPr>
          <w:p w14:paraId="3B762B80" w14:textId="5E573AB5" w:rsidR="009D2B25" w:rsidRPr="00E345E9" w:rsidRDefault="009D2B25">
            <w:pPr>
              <w:keepNext/>
              <w:spacing w:before="0" w:after="0" w:line="240" w:lineRule="auto"/>
              <w:jc w:val="center"/>
              <w:rPr>
                <w:rFonts w:cs="Arial"/>
                <w:color w:val="000000"/>
                <w:sz w:val="20"/>
                <w:szCs w:val="20"/>
                <w:lang w:val="en-US" w:eastAsia="es-ES"/>
              </w:rPr>
            </w:pPr>
            <w:r w:rsidRPr="00E345E9">
              <w:rPr>
                <w:rFonts w:cs="Arial"/>
                <w:sz w:val="20"/>
                <w:szCs w:val="20"/>
                <w:lang w:val="en-US" w:eastAsia="es-ES"/>
              </w:rPr>
              <w:t>Utilization rates at VIP Ibérico</w:t>
            </w:r>
            <w:r w:rsidR="00B57478" w:rsidRPr="00E345E9">
              <w:rPr>
                <w:rFonts w:cs="Arial"/>
                <w:sz w:val="20"/>
                <w:szCs w:val="20"/>
                <w:lang w:val="en-US" w:eastAsia="es-ES"/>
              </w:rPr>
              <w:t xml:space="preserve"> </w:t>
            </w:r>
            <w:r w:rsidR="002D3920" w:rsidRPr="00E345E9">
              <w:rPr>
                <w:rFonts w:cs="Arial"/>
                <w:sz w:val="20"/>
                <w:szCs w:val="20"/>
                <w:lang w:val="en-US" w:eastAsia="es-ES"/>
              </w:rPr>
              <w:t>versus</w:t>
            </w:r>
            <w:r w:rsidR="00B57478" w:rsidRPr="00E345E9">
              <w:rPr>
                <w:rFonts w:cs="Arial"/>
                <w:sz w:val="20"/>
                <w:szCs w:val="20"/>
                <w:lang w:val="en-US" w:eastAsia="es-ES"/>
              </w:rPr>
              <w:t xml:space="preserve"> booked capacity</w:t>
            </w:r>
          </w:p>
        </w:tc>
      </w:tr>
      <w:tr w:rsidR="009D2B25" w:rsidRPr="00E345E9" w14:paraId="5DF7678A" w14:textId="77777777" w:rsidTr="000772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39178A6B" w14:textId="768C0C81" w:rsidR="009D2B25" w:rsidRPr="00E345E9" w:rsidRDefault="009D2B25" w:rsidP="000772BF">
            <w:pPr>
              <w:keepNext/>
              <w:spacing w:before="0" w:after="0" w:line="240" w:lineRule="auto"/>
              <w:jc w:val="center"/>
              <w:rPr>
                <w:rFonts w:cs="Arial"/>
                <w:color w:val="000000"/>
                <w:sz w:val="20"/>
                <w:szCs w:val="20"/>
                <w:lang w:val="en-US" w:eastAsia="es-ES"/>
              </w:rPr>
            </w:pPr>
            <w:r w:rsidRPr="00E345E9">
              <w:rPr>
                <w:rFonts w:cs="Arial"/>
                <w:color w:val="000000"/>
                <w:sz w:val="20"/>
                <w:szCs w:val="20"/>
                <w:lang w:val="en-US" w:eastAsia="es-ES"/>
              </w:rPr>
              <w:t>Period</w:t>
            </w:r>
          </w:p>
        </w:tc>
        <w:tc>
          <w:tcPr>
            <w:tcW w:w="1125" w:type="dxa"/>
            <w:noWrap/>
            <w:vAlign w:val="center"/>
            <w:hideMark/>
          </w:tcPr>
          <w:p w14:paraId="5725EEAE" w14:textId="77777777" w:rsidR="009D2B25" w:rsidRPr="00E345E9" w:rsidRDefault="009D2B25" w:rsidP="000772B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Minimum</w:t>
            </w:r>
          </w:p>
        </w:tc>
        <w:tc>
          <w:tcPr>
            <w:tcW w:w="1068" w:type="dxa"/>
            <w:noWrap/>
            <w:vAlign w:val="center"/>
            <w:hideMark/>
          </w:tcPr>
          <w:p w14:paraId="654271CF" w14:textId="77777777" w:rsidR="009D2B25" w:rsidRPr="00E345E9" w:rsidRDefault="009D2B25" w:rsidP="000772B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Average</w:t>
            </w:r>
          </w:p>
        </w:tc>
        <w:tc>
          <w:tcPr>
            <w:tcW w:w="1255" w:type="dxa"/>
            <w:noWrap/>
            <w:vAlign w:val="center"/>
            <w:hideMark/>
          </w:tcPr>
          <w:p w14:paraId="411501EB" w14:textId="126D987D" w:rsidR="009D2B25" w:rsidRPr="00E345E9" w:rsidRDefault="009D2B25" w:rsidP="00B30683">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Maximu</w:t>
            </w:r>
            <w:r w:rsidR="00253345" w:rsidRPr="00E345E9">
              <w:rPr>
                <w:rFonts w:cs="Arial"/>
                <w:color w:val="000000"/>
                <w:sz w:val="20"/>
                <w:szCs w:val="20"/>
                <w:lang w:val="es-ES" w:eastAsia="es-ES"/>
              </w:rPr>
              <w:t>m</w:t>
            </w:r>
          </w:p>
        </w:tc>
      </w:tr>
      <w:tr w:rsidR="00910DC8" w:rsidRPr="00E345E9" w14:paraId="03836254" w14:textId="77777777" w:rsidTr="00E345E9">
        <w:trPr>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774C0ACC" w14:textId="77777777" w:rsidR="00910DC8" w:rsidRPr="00E345E9" w:rsidRDefault="00910DC8" w:rsidP="00910DC8">
            <w:pPr>
              <w:keepNext/>
              <w:spacing w:before="0" w:after="0" w:line="240" w:lineRule="auto"/>
              <w:jc w:val="center"/>
              <w:rPr>
                <w:rFonts w:cs="Arial"/>
                <w:color w:val="000000"/>
                <w:sz w:val="20"/>
                <w:szCs w:val="20"/>
                <w:lang w:val="es-ES" w:eastAsia="es-ES"/>
              </w:rPr>
            </w:pPr>
            <w:r w:rsidRPr="00E345E9">
              <w:rPr>
                <w:rFonts w:cs="Arial"/>
                <w:color w:val="000000"/>
                <w:sz w:val="20"/>
                <w:szCs w:val="20"/>
                <w:lang w:val="es-ES" w:eastAsia="es-ES"/>
              </w:rPr>
              <w:t>Gas year 2016-2017</w:t>
            </w:r>
          </w:p>
        </w:tc>
        <w:tc>
          <w:tcPr>
            <w:tcW w:w="1125" w:type="dxa"/>
            <w:noWrap/>
            <w:hideMark/>
          </w:tcPr>
          <w:p w14:paraId="3B472301" w14:textId="6F5BA094" w:rsidR="00910DC8" w:rsidRPr="00E345E9" w:rsidRDefault="00910DC8" w:rsidP="00910DC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3%</w:t>
            </w:r>
          </w:p>
        </w:tc>
        <w:tc>
          <w:tcPr>
            <w:tcW w:w="1068" w:type="dxa"/>
            <w:noWrap/>
            <w:hideMark/>
          </w:tcPr>
          <w:p w14:paraId="3316B09C" w14:textId="1F1D69DE" w:rsidR="00910DC8" w:rsidRPr="00E345E9" w:rsidRDefault="00910DC8" w:rsidP="00910DC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72%</w:t>
            </w:r>
          </w:p>
        </w:tc>
        <w:tc>
          <w:tcPr>
            <w:tcW w:w="1255" w:type="dxa"/>
            <w:noWrap/>
            <w:hideMark/>
          </w:tcPr>
          <w:p w14:paraId="088222F2" w14:textId="4A6A7833" w:rsidR="00910DC8" w:rsidRPr="00E345E9" w:rsidRDefault="00910DC8" w:rsidP="00910DC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100%</w:t>
            </w:r>
          </w:p>
        </w:tc>
      </w:tr>
      <w:tr w:rsidR="00910DC8" w:rsidRPr="00E345E9" w14:paraId="2DF2CF71" w14:textId="77777777" w:rsidTr="00E345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625FDDC5" w14:textId="77777777" w:rsidR="00910DC8" w:rsidRPr="00E345E9" w:rsidRDefault="00910DC8" w:rsidP="00910DC8">
            <w:pPr>
              <w:keepNext/>
              <w:spacing w:before="0" w:after="0" w:line="240" w:lineRule="auto"/>
              <w:jc w:val="center"/>
              <w:rPr>
                <w:rFonts w:cs="Arial"/>
                <w:color w:val="000000"/>
                <w:sz w:val="20"/>
                <w:szCs w:val="20"/>
                <w:lang w:val="es-ES" w:eastAsia="es-ES"/>
              </w:rPr>
            </w:pPr>
            <w:r w:rsidRPr="00E345E9">
              <w:rPr>
                <w:rFonts w:cs="Arial"/>
                <w:color w:val="000000"/>
                <w:sz w:val="20"/>
                <w:szCs w:val="20"/>
                <w:lang w:val="es-ES" w:eastAsia="es-ES"/>
              </w:rPr>
              <w:t>Gas year 2017-2018</w:t>
            </w:r>
          </w:p>
        </w:tc>
        <w:tc>
          <w:tcPr>
            <w:tcW w:w="1125" w:type="dxa"/>
            <w:noWrap/>
            <w:hideMark/>
          </w:tcPr>
          <w:p w14:paraId="12CBC3AF" w14:textId="0E0BF354" w:rsidR="00910DC8" w:rsidRPr="00E345E9" w:rsidRDefault="00910DC8" w:rsidP="00910DC8">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sz w:val="20"/>
                <w:szCs w:val="20"/>
              </w:rPr>
              <w:t>10%</w:t>
            </w:r>
          </w:p>
        </w:tc>
        <w:tc>
          <w:tcPr>
            <w:tcW w:w="1068" w:type="dxa"/>
            <w:noWrap/>
            <w:hideMark/>
          </w:tcPr>
          <w:p w14:paraId="2E1EC061" w14:textId="5E9EC84D" w:rsidR="00910DC8" w:rsidRPr="00E345E9" w:rsidRDefault="00910DC8" w:rsidP="00910DC8">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sz w:val="20"/>
                <w:szCs w:val="20"/>
              </w:rPr>
              <w:t>62%</w:t>
            </w:r>
          </w:p>
        </w:tc>
        <w:tc>
          <w:tcPr>
            <w:tcW w:w="1255" w:type="dxa"/>
            <w:noWrap/>
            <w:hideMark/>
          </w:tcPr>
          <w:p w14:paraId="6CC71EBB" w14:textId="505761DA" w:rsidR="00910DC8" w:rsidRPr="00E345E9" w:rsidRDefault="00910DC8" w:rsidP="00910DC8">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sz w:val="20"/>
                <w:szCs w:val="20"/>
              </w:rPr>
              <w:t>95%</w:t>
            </w:r>
          </w:p>
        </w:tc>
      </w:tr>
      <w:tr w:rsidR="00910DC8" w:rsidRPr="00E345E9" w14:paraId="5E762C3D" w14:textId="77777777" w:rsidTr="00E345E9">
        <w:trPr>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570CDDEB" w14:textId="77777777" w:rsidR="00910DC8" w:rsidRPr="00E345E9" w:rsidRDefault="00910DC8" w:rsidP="00910DC8">
            <w:pPr>
              <w:keepNext/>
              <w:spacing w:before="0" w:after="0" w:line="240" w:lineRule="auto"/>
              <w:jc w:val="center"/>
              <w:rPr>
                <w:rFonts w:cs="Arial"/>
                <w:color w:val="000000"/>
                <w:sz w:val="20"/>
                <w:szCs w:val="20"/>
                <w:lang w:val="es-ES" w:eastAsia="es-ES"/>
              </w:rPr>
            </w:pPr>
            <w:r w:rsidRPr="00E345E9">
              <w:rPr>
                <w:rFonts w:cs="Arial"/>
                <w:color w:val="000000"/>
                <w:sz w:val="20"/>
                <w:szCs w:val="20"/>
                <w:lang w:val="es-ES" w:eastAsia="es-ES"/>
              </w:rPr>
              <w:t>Gas year 2018-2019</w:t>
            </w:r>
          </w:p>
        </w:tc>
        <w:tc>
          <w:tcPr>
            <w:tcW w:w="1125" w:type="dxa"/>
            <w:noWrap/>
            <w:hideMark/>
          </w:tcPr>
          <w:p w14:paraId="23AA5F3B" w14:textId="32FAE007" w:rsidR="00910DC8" w:rsidRPr="00E345E9" w:rsidRDefault="00910DC8" w:rsidP="00910DC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4%</w:t>
            </w:r>
          </w:p>
        </w:tc>
        <w:tc>
          <w:tcPr>
            <w:tcW w:w="1068" w:type="dxa"/>
            <w:noWrap/>
            <w:hideMark/>
          </w:tcPr>
          <w:p w14:paraId="5A14329F" w14:textId="5D1BF57B" w:rsidR="00910DC8" w:rsidRPr="00E345E9" w:rsidRDefault="00910DC8" w:rsidP="00910DC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26%</w:t>
            </w:r>
          </w:p>
        </w:tc>
        <w:tc>
          <w:tcPr>
            <w:tcW w:w="1255" w:type="dxa"/>
            <w:noWrap/>
            <w:hideMark/>
          </w:tcPr>
          <w:p w14:paraId="53E6F5F2" w14:textId="24D721C9" w:rsidR="00910DC8" w:rsidRPr="00E345E9" w:rsidRDefault="00910DC8" w:rsidP="00910DC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86%</w:t>
            </w:r>
          </w:p>
        </w:tc>
      </w:tr>
    </w:tbl>
    <w:p w14:paraId="60FD1C0F" w14:textId="017EF09C" w:rsidR="000C6F42" w:rsidRPr="00E345E9" w:rsidRDefault="000C6F42" w:rsidP="000C6F42">
      <w:pPr>
        <w:jc w:val="center"/>
        <w:rPr>
          <w:rFonts w:ascii="Verdana" w:hAnsi="Verdana"/>
          <w:b/>
          <w:sz w:val="16"/>
          <w:lang w:val="en-US"/>
        </w:rPr>
      </w:pPr>
      <w:r w:rsidRPr="00E345E9">
        <w:rPr>
          <w:rFonts w:ascii="Verdana" w:hAnsi="Verdana"/>
          <w:b/>
          <w:sz w:val="16"/>
          <w:lang w:val="en-US"/>
        </w:rPr>
        <w:t xml:space="preserve">Table </w:t>
      </w:r>
      <w:r w:rsidRPr="00E345E9">
        <w:rPr>
          <w:rFonts w:ascii="Verdana" w:hAnsi="Verdana"/>
          <w:b/>
          <w:sz w:val="16"/>
          <w:lang w:val="en-US"/>
        </w:rPr>
        <w:fldChar w:fldCharType="begin"/>
      </w:r>
      <w:r w:rsidRPr="00E345E9">
        <w:rPr>
          <w:rFonts w:ascii="Verdana" w:hAnsi="Verdana"/>
          <w:b/>
          <w:sz w:val="16"/>
          <w:lang w:val="en-US"/>
        </w:rPr>
        <w:instrText xml:space="preserve"> SEQ Table \* ARABIC </w:instrText>
      </w:r>
      <w:r w:rsidRPr="00E345E9">
        <w:rPr>
          <w:rFonts w:ascii="Verdana" w:hAnsi="Verdana"/>
          <w:b/>
          <w:sz w:val="16"/>
          <w:lang w:val="en-US"/>
        </w:rPr>
        <w:fldChar w:fldCharType="separate"/>
      </w:r>
      <w:r w:rsidR="00E859C7">
        <w:rPr>
          <w:rFonts w:ascii="Verdana" w:hAnsi="Verdana"/>
          <w:b/>
          <w:noProof/>
          <w:sz w:val="16"/>
          <w:lang w:val="en-US"/>
        </w:rPr>
        <w:t>22</w:t>
      </w:r>
      <w:r w:rsidRPr="00E345E9">
        <w:rPr>
          <w:rFonts w:ascii="Verdana" w:hAnsi="Verdana"/>
          <w:b/>
          <w:sz w:val="16"/>
          <w:lang w:val="en-US"/>
        </w:rPr>
        <w:fldChar w:fldCharType="end"/>
      </w:r>
      <w:r w:rsidRPr="00E345E9">
        <w:rPr>
          <w:rFonts w:ascii="Verdana" w:hAnsi="Verdana"/>
          <w:b/>
          <w:sz w:val="16"/>
          <w:lang w:val="en-US"/>
        </w:rPr>
        <w:t>: Utilisation rates from Spain to Portugal on the Spanish side</w:t>
      </w:r>
    </w:p>
    <w:p w14:paraId="1E059EED" w14:textId="2EF2205E" w:rsidR="001943A7" w:rsidRPr="00E345E9" w:rsidRDefault="001943A7" w:rsidP="000C6F42">
      <w:pPr>
        <w:jc w:val="center"/>
        <w:rPr>
          <w:rFonts w:ascii="Verdana" w:hAnsi="Verdana" w:cs="Arial"/>
          <w:b/>
          <w:color w:val="000000" w:themeColor="text1"/>
          <w:szCs w:val="22"/>
          <w:lang w:val="en-GB"/>
        </w:rPr>
      </w:pPr>
      <w:r w:rsidRPr="00E345E9">
        <w:rPr>
          <w:rFonts w:ascii="Verdana" w:hAnsi="Verdana" w:cs="Arial"/>
          <w:b/>
          <w:noProof/>
          <w:color w:val="000000" w:themeColor="text1"/>
          <w:szCs w:val="22"/>
          <w:lang w:val="es-ES" w:eastAsia="es-ES"/>
        </w:rPr>
        <w:drawing>
          <wp:inline distT="0" distB="0" distL="0" distR="0" wp14:anchorId="0D35212D" wp14:editId="7BB7C158">
            <wp:extent cx="5693108" cy="2926080"/>
            <wp:effectExtent l="0" t="0" r="3175"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7076" cy="2938399"/>
                    </a:xfrm>
                    <a:prstGeom prst="rect">
                      <a:avLst/>
                    </a:prstGeom>
                    <a:noFill/>
                  </pic:spPr>
                </pic:pic>
              </a:graphicData>
            </a:graphic>
          </wp:inline>
        </w:drawing>
      </w:r>
    </w:p>
    <w:p w14:paraId="2C521915" w14:textId="2C06D598" w:rsidR="005B30F6" w:rsidRPr="00E345E9" w:rsidRDefault="005B30F6" w:rsidP="005B30F6">
      <w:pPr>
        <w:pStyle w:val="Descripcin"/>
        <w:spacing w:before="240" w:line="360" w:lineRule="auto"/>
        <w:jc w:val="center"/>
        <w:rPr>
          <w:sz w:val="16"/>
          <w:lang w:val="en-US"/>
        </w:rPr>
      </w:pPr>
      <w:r w:rsidRPr="00E345E9">
        <w:rPr>
          <w:sz w:val="16"/>
          <w:lang w:val="en-US"/>
        </w:rPr>
        <w:t xml:space="preserve">Figure </w:t>
      </w:r>
      <w:r w:rsidRPr="00E345E9">
        <w:rPr>
          <w:sz w:val="16"/>
        </w:rPr>
        <w:fldChar w:fldCharType="begin"/>
      </w:r>
      <w:r w:rsidRPr="00E345E9">
        <w:rPr>
          <w:sz w:val="16"/>
          <w:lang w:val="en-US"/>
        </w:rPr>
        <w:instrText xml:space="preserve"> SEQ Figure \* ARABIC </w:instrText>
      </w:r>
      <w:r w:rsidRPr="00E345E9">
        <w:rPr>
          <w:sz w:val="16"/>
        </w:rPr>
        <w:fldChar w:fldCharType="separate"/>
      </w:r>
      <w:r w:rsidR="00E859C7">
        <w:rPr>
          <w:noProof/>
          <w:sz w:val="16"/>
          <w:lang w:val="en-US"/>
        </w:rPr>
        <w:t>40</w:t>
      </w:r>
      <w:r w:rsidRPr="00E345E9">
        <w:rPr>
          <w:sz w:val="16"/>
        </w:rPr>
        <w:fldChar w:fldCharType="end"/>
      </w:r>
      <w:r w:rsidRPr="00E345E9">
        <w:rPr>
          <w:sz w:val="16"/>
          <w:lang w:val="en-US"/>
        </w:rPr>
        <w:t xml:space="preserve">: Indicators at VIP </w:t>
      </w:r>
      <w:r w:rsidR="000673CD" w:rsidRPr="00E345E9">
        <w:rPr>
          <w:sz w:val="16"/>
          <w:lang w:val="en-US"/>
        </w:rPr>
        <w:t xml:space="preserve">Ibérico </w:t>
      </w:r>
      <w:r w:rsidRPr="00E345E9">
        <w:rPr>
          <w:sz w:val="16"/>
          <w:lang w:val="en-US"/>
        </w:rPr>
        <w:t>(Spanish side)</w:t>
      </w:r>
    </w:p>
    <w:p w14:paraId="2B3B18B4" w14:textId="18D6CDDF" w:rsidR="00B57478" w:rsidRPr="00E345E9" w:rsidRDefault="00B57478" w:rsidP="0018221B">
      <w:pPr>
        <w:spacing w:line="312" w:lineRule="auto"/>
        <w:rPr>
          <w:lang w:val="en-US"/>
        </w:rPr>
      </w:pPr>
      <w:r w:rsidRPr="00E345E9">
        <w:rPr>
          <w:lang w:val="en-US" w:eastAsia="ja-JP"/>
        </w:rPr>
        <w:t xml:space="preserve">Regarding the utilization rates of the booked capacities, </w:t>
      </w:r>
      <w:r w:rsidR="00AD1750" w:rsidRPr="00E345E9">
        <w:rPr>
          <w:lang w:val="en-US" w:eastAsia="ja-JP"/>
        </w:rPr>
        <w:t xml:space="preserve">it should be noted that the </w:t>
      </w:r>
      <w:r w:rsidR="001943A7" w:rsidRPr="00E345E9">
        <w:rPr>
          <w:lang w:val="en-US" w:eastAsia="ja-JP"/>
        </w:rPr>
        <w:t xml:space="preserve">lower </w:t>
      </w:r>
      <w:r w:rsidR="00AD1750" w:rsidRPr="00E345E9">
        <w:rPr>
          <w:lang w:val="en-US" w:eastAsia="ja-JP"/>
        </w:rPr>
        <w:t xml:space="preserve">peaks of utilization rates in the </w:t>
      </w:r>
      <w:r w:rsidR="001943A7" w:rsidRPr="00E345E9">
        <w:rPr>
          <w:lang w:val="en-US" w:eastAsia="ja-JP"/>
        </w:rPr>
        <w:t xml:space="preserve">Spain </w:t>
      </w:r>
      <w:r w:rsidR="00AD1750" w:rsidRPr="00E345E9">
        <w:rPr>
          <w:lang w:val="en-US" w:eastAsia="ja-JP"/>
        </w:rPr>
        <w:t xml:space="preserve">to </w:t>
      </w:r>
      <w:r w:rsidR="001943A7" w:rsidRPr="00E345E9">
        <w:rPr>
          <w:lang w:val="en-US" w:eastAsia="ja-JP"/>
        </w:rPr>
        <w:t xml:space="preserve">Portugal </w:t>
      </w:r>
      <w:r w:rsidR="00AD1750" w:rsidRPr="00E345E9">
        <w:rPr>
          <w:lang w:val="en-US" w:eastAsia="ja-JP"/>
        </w:rPr>
        <w:t xml:space="preserve">direction occurred during </w:t>
      </w:r>
      <w:r w:rsidR="001943A7" w:rsidRPr="00E345E9">
        <w:rPr>
          <w:lang w:val="en-US" w:eastAsia="ja-JP"/>
        </w:rPr>
        <w:t>the first half of the 2019 year,</w:t>
      </w:r>
      <w:r w:rsidR="00AD1750" w:rsidRPr="00E345E9">
        <w:rPr>
          <w:lang w:val="en-US" w:eastAsia="ja-JP"/>
        </w:rPr>
        <w:t xml:space="preserve"> </w:t>
      </w:r>
      <w:r w:rsidR="001943A7" w:rsidRPr="00E345E9">
        <w:rPr>
          <w:lang w:val="en-US" w:eastAsia="ja-JP"/>
        </w:rPr>
        <w:t>which corresponds to the inversion of the flow direction in the interconnection due to the LNG supply increase</w:t>
      </w:r>
      <w:r w:rsidR="00596767">
        <w:rPr>
          <w:lang w:val="en-US" w:eastAsia="ja-JP"/>
        </w:rPr>
        <w:t xml:space="preserve"> from Sines LNG plant (for the </w:t>
      </w:r>
      <w:r w:rsidR="001943A7" w:rsidRPr="00E345E9">
        <w:rPr>
          <w:lang w:val="en-US" w:eastAsia="ja-JP"/>
        </w:rPr>
        <w:t>previously commented reasons)</w:t>
      </w:r>
      <w:r w:rsidR="00311709" w:rsidRPr="00E345E9">
        <w:rPr>
          <w:lang w:val="en-US" w:eastAsia="ja-JP"/>
        </w:rPr>
        <w:t xml:space="preserve">. </w:t>
      </w:r>
    </w:p>
    <w:p w14:paraId="5C32399D" w14:textId="3A95461C" w:rsidR="005B30F6" w:rsidRPr="00E345E9" w:rsidRDefault="005B30F6" w:rsidP="005B30F6">
      <w:pPr>
        <w:rPr>
          <w:b/>
          <w:u w:val="single"/>
          <w:lang w:val="en-US"/>
        </w:rPr>
      </w:pPr>
      <w:r w:rsidRPr="00E345E9">
        <w:rPr>
          <w:b/>
          <w:u w:val="single"/>
          <w:lang w:val="en-GB"/>
        </w:rPr>
        <w:t xml:space="preserve">Analysis of the </w:t>
      </w:r>
      <w:r w:rsidRPr="00E345E9">
        <w:rPr>
          <w:b/>
          <w:u w:val="single"/>
          <w:lang w:val="en-US"/>
        </w:rPr>
        <w:t>capacity utilization in the Portuguese side</w:t>
      </w:r>
    </w:p>
    <w:p w14:paraId="0BAF7ECF" w14:textId="4C9A9AA5" w:rsidR="000F75D3" w:rsidRPr="00E345E9" w:rsidRDefault="000F75D3" w:rsidP="000F75D3">
      <w:pPr>
        <w:spacing w:line="312" w:lineRule="auto"/>
        <w:rPr>
          <w:lang w:val="en-US" w:eastAsia="ja-JP"/>
        </w:rPr>
      </w:pPr>
      <w:r w:rsidRPr="00E345E9">
        <w:rPr>
          <w:lang w:val="en-US" w:eastAsia="ja-JP"/>
        </w:rPr>
        <w:t xml:space="preserve">As explained previously in 2.1.2.1, the increase in LNG supply, mainly US driven, meant a reduction in its price, which made LNG deliveries at Iberia more competitive than Algerian Gas. As such, Iberian demand saw an increase in supply from LNG </w:t>
      </w:r>
      <w:r w:rsidR="00027EFD">
        <w:rPr>
          <w:lang w:val="en-US" w:eastAsia="ja-JP"/>
        </w:rPr>
        <w:t>as compared to</w:t>
      </w:r>
      <w:r w:rsidRPr="00E345E9">
        <w:rPr>
          <w:lang w:val="en-US" w:eastAsia="ja-JP"/>
        </w:rPr>
        <w:t xml:space="preserve"> the Algerian Gas. Together with small edge given by the reduction in tariffs at Sines, made it more profitable to some network users to supply gas to some of its clients in Spain through Portugal, using the interconnection. The same reduction behavior happened as well on the rest of the products (Q, M, D, WD), due to the same reason of less dependence on Algerian NG</w:t>
      </w:r>
      <w:r w:rsidR="00027EFD">
        <w:rPr>
          <w:lang w:val="en-US" w:eastAsia="ja-JP"/>
        </w:rPr>
        <w:t xml:space="preserve">, </w:t>
      </w:r>
      <w:r w:rsidRPr="00E345E9">
        <w:rPr>
          <w:lang w:val="en-US" w:eastAsia="ja-JP"/>
        </w:rPr>
        <w:t>and more on LNG. One can also find that the peak demands in the summer are mostly covered resorting to monthly booking (short-term solution) with daily bookings complementing the rest.</w:t>
      </w:r>
    </w:p>
    <w:p w14:paraId="2FE304B3" w14:textId="498CA948" w:rsidR="000C6F42" w:rsidRPr="00E345E9" w:rsidRDefault="008334C4" w:rsidP="000C6F42">
      <w:pPr>
        <w:pStyle w:val="Descripcin"/>
        <w:spacing w:before="240" w:line="360" w:lineRule="auto"/>
        <w:jc w:val="center"/>
        <w:rPr>
          <w:sz w:val="16"/>
          <w:lang w:val="en-US"/>
        </w:rPr>
      </w:pPr>
      <w:r w:rsidRPr="00E345E9">
        <w:rPr>
          <w:noProof/>
          <w:sz w:val="16"/>
          <w:lang w:eastAsia="es-ES"/>
        </w:rPr>
        <w:drawing>
          <wp:inline distT="0" distB="0" distL="0" distR="0" wp14:anchorId="2C0F4B54" wp14:editId="3560D706">
            <wp:extent cx="5681980" cy="2573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1980" cy="2573020"/>
                    </a:xfrm>
                    <a:prstGeom prst="rect">
                      <a:avLst/>
                    </a:prstGeom>
                    <a:noFill/>
                  </pic:spPr>
                </pic:pic>
              </a:graphicData>
            </a:graphic>
          </wp:inline>
        </w:drawing>
      </w:r>
      <w:r w:rsidR="000C6F42" w:rsidRPr="00E345E9">
        <w:rPr>
          <w:sz w:val="16"/>
          <w:lang w:val="en-US"/>
        </w:rPr>
        <w:t xml:space="preserve">Figure </w:t>
      </w:r>
      <w:r w:rsidR="000C6F42" w:rsidRPr="00E345E9">
        <w:rPr>
          <w:sz w:val="16"/>
        </w:rPr>
        <w:fldChar w:fldCharType="begin"/>
      </w:r>
      <w:r w:rsidR="000C6F42" w:rsidRPr="00E345E9">
        <w:rPr>
          <w:sz w:val="16"/>
          <w:lang w:val="en-US"/>
        </w:rPr>
        <w:instrText xml:space="preserve"> SEQ Figure \* ARABIC </w:instrText>
      </w:r>
      <w:r w:rsidR="000C6F42" w:rsidRPr="00E345E9">
        <w:rPr>
          <w:sz w:val="16"/>
        </w:rPr>
        <w:fldChar w:fldCharType="separate"/>
      </w:r>
      <w:r w:rsidR="00E859C7">
        <w:rPr>
          <w:noProof/>
          <w:sz w:val="16"/>
          <w:lang w:val="en-US"/>
        </w:rPr>
        <w:t>41</w:t>
      </w:r>
      <w:r w:rsidR="000C6F42" w:rsidRPr="00E345E9">
        <w:rPr>
          <w:sz w:val="16"/>
        </w:rPr>
        <w:fldChar w:fldCharType="end"/>
      </w:r>
      <w:r w:rsidR="000C6F42" w:rsidRPr="00E345E9">
        <w:rPr>
          <w:sz w:val="16"/>
          <w:lang w:val="en-US"/>
        </w:rPr>
        <w:t>: Booked capacity, nomination and physical flow from Spain to Portugal on the Portuguese side</w:t>
      </w:r>
    </w:p>
    <w:tbl>
      <w:tblPr>
        <w:tblStyle w:val="Tabladecuadrcula4-nfasis1"/>
        <w:tblW w:w="5574" w:type="dxa"/>
        <w:jc w:val="center"/>
        <w:tblLook w:val="04A0" w:firstRow="1" w:lastRow="0" w:firstColumn="1" w:lastColumn="0" w:noHBand="0" w:noVBand="1"/>
      </w:tblPr>
      <w:tblGrid>
        <w:gridCol w:w="2126"/>
        <w:gridCol w:w="1125"/>
        <w:gridCol w:w="1068"/>
        <w:gridCol w:w="1255"/>
      </w:tblGrid>
      <w:tr w:rsidR="000A6AB8" w:rsidRPr="00E345E9" w14:paraId="7C49239B" w14:textId="77777777" w:rsidTr="00091B4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4" w:type="dxa"/>
            <w:gridSpan w:val="4"/>
            <w:noWrap/>
            <w:hideMark/>
          </w:tcPr>
          <w:p w14:paraId="23C5F4B2" w14:textId="77777777" w:rsidR="000A6AB8" w:rsidRPr="00E345E9" w:rsidRDefault="000A6AB8" w:rsidP="00091B40">
            <w:pPr>
              <w:keepNext/>
              <w:spacing w:before="0" w:after="0" w:line="240" w:lineRule="auto"/>
              <w:jc w:val="center"/>
              <w:rPr>
                <w:rFonts w:cs="Arial"/>
                <w:color w:val="000000"/>
                <w:sz w:val="20"/>
                <w:szCs w:val="20"/>
                <w:lang w:val="en-US" w:eastAsia="es-ES"/>
              </w:rPr>
            </w:pPr>
            <w:r w:rsidRPr="00E345E9">
              <w:rPr>
                <w:rFonts w:cs="Arial"/>
                <w:sz w:val="20"/>
                <w:szCs w:val="20"/>
                <w:lang w:val="en-US" w:eastAsia="es-ES"/>
              </w:rPr>
              <w:t>Utilization rates at VIP Ibérico</w:t>
            </w:r>
          </w:p>
        </w:tc>
      </w:tr>
      <w:tr w:rsidR="000A6AB8" w:rsidRPr="00E345E9" w14:paraId="4ED59F71" w14:textId="77777777" w:rsidTr="00091B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CE7F470" w14:textId="77777777" w:rsidR="000A6AB8" w:rsidRPr="00E345E9" w:rsidRDefault="000A6AB8" w:rsidP="00091B40">
            <w:pPr>
              <w:keepNext/>
              <w:spacing w:before="0" w:after="0" w:line="240" w:lineRule="auto"/>
              <w:jc w:val="center"/>
              <w:rPr>
                <w:rFonts w:cs="Arial"/>
                <w:color w:val="000000"/>
                <w:sz w:val="20"/>
                <w:szCs w:val="20"/>
                <w:lang w:val="en-US" w:eastAsia="es-ES"/>
              </w:rPr>
            </w:pPr>
          </w:p>
        </w:tc>
        <w:tc>
          <w:tcPr>
            <w:tcW w:w="1125" w:type="dxa"/>
            <w:noWrap/>
            <w:hideMark/>
          </w:tcPr>
          <w:p w14:paraId="09991B5F" w14:textId="77777777" w:rsidR="000A6AB8" w:rsidRPr="00E345E9" w:rsidRDefault="000A6AB8" w:rsidP="00091B40">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Minimum</w:t>
            </w:r>
          </w:p>
        </w:tc>
        <w:tc>
          <w:tcPr>
            <w:tcW w:w="1068" w:type="dxa"/>
            <w:noWrap/>
            <w:hideMark/>
          </w:tcPr>
          <w:p w14:paraId="51BBC535" w14:textId="77777777" w:rsidR="000A6AB8" w:rsidRPr="00E345E9" w:rsidRDefault="000A6AB8" w:rsidP="00091B40">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Average</w:t>
            </w:r>
          </w:p>
        </w:tc>
        <w:tc>
          <w:tcPr>
            <w:tcW w:w="1255" w:type="dxa"/>
            <w:noWrap/>
            <w:hideMark/>
          </w:tcPr>
          <w:p w14:paraId="2B8956D9" w14:textId="77777777" w:rsidR="000A6AB8" w:rsidRPr="00E345E9" w:rsidRDefault="000A6AB8" w:rsidP="00091B40">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Maximun</w:t>
            </w:r>
          </w:p>
        </w:tc>
      </w:tr>
      <w:tr w:rsidR="000A6AB8" w:rsidRPr="00E345E9" w14:paraId="3468CFB6" w14:textId="77777777" w:rsidTr="00091B40">
        <w:trPr>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4529F5E" w14:textId="77777777" w:rsidR="000A6AB8" w:rsidRPr="00E345E9" w:rsidRDefault="000A6AB8" w:rsidP="000A6AB8">
            <w:pPr>
              <w:keepNext/>
              <w:spacing w:before="0" w:after="0" w:line="240" w:lineRule="auto"/>
              <w:jc w:val="center"/>
              <w:rPr>
                <w:rFonts w:cs="Arial"/>
                <w:color w:val="000000"/>
                <w:sz w:val="20"/>
                <w:szCs w:val="20"/>
                <w:lang w:val="es-ES" w:eastAsia="es-ES"/>
              </w:rPr>
            </w:pPr>
            <w:r w:rsidRPr="00E345E9">
              <w:rPr>
                <w:rFonts w:cs="Arial"/>
                <w:color w:val="000000"/>
                <w:sz w:val="20"/>
                <w:szCs w:val="20"/>
                <w:lang w:val="es-ES" w:eastAsia="es-ES"/>
              </w:rPr>
              <w:t>Gas year 2016-2017</w:t>
            </w:r>
          </w:p>
        </w:tc>
        <w:tc>
          <w:tcPr>
            <w:tcW w:w="1125" w:type="dxa"/>
            <w:noWrap/>
            <w:vAlign w:val="bottom"/>
            <w:hideMark/>
          </w:tcPr>
          <w:p w14:paraId="20B8D9E1" w14:textId="209E04BD" w:rsidR="000A6AB8" w:rsidRPr="00E345E9" w:rsidRDefault="000A6AB8" w:rsidP="000A6AB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ascii="Calibri" w:hAnsi="Calibri" w:cs="Calibri"/>
                <w:color w:val="000000"/>
                <w:szCs w:val="22"/>
              </w:rPr>
              <w:t>3%</w:t>
            </w:r>
          </w:p>
        </w:tc>
        <w:tc>
          <w:tcPr>
            <w:tcW w:w="1068" w:type="dxa"/>
            <w:noWrap/>
            <w:vAlign w:val="bottom"/>
            <w:hideMark/>
          </w:tcPr>
          <w:p w14:paraId="6E8B429C" w14:textId="51A2F9B9" w:rsidR="000A6AB8" w:rsidRPr="00E345E9" w:rsidRDefault="000A6AB8" w:rsidP="000A6AB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ascii="Calibri" w:hAnsi="Calibri" w:cs="Calibri"/>
                <w:color w:val="000000"/>
                <w:szCs w:val="22"/>
              </w:rPr>
              <w:t>75%</w:t>
            </w:r>
          </w:p>
        </w:tc>
        <w:tc>
          <w:tcPr>
            <w:tcW w:w="1255" w:type="dxa"/>
            <w:noWrap/>
            <w:vAlign w:val="bottom"/>
            <w:hideMark/>
          </w:tcPr>
          <w:p w14:paraId="6F874B83" w14:textId="2F34F3DF" w:rsidR="000A6AB8" w:rsidRPr="00E345E9" w:rsidRDefault="000A6AB8" w:rsidP="000A6AB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ascii="Calibri" w:hAnsi="Calibri" w:cs="Calibri"/>
                <w:color w:val="000000"/>
                <w:szCs w:val="22"/>
              </w:rPr>
              <w:t>100%</w:t>
            </w:r>
          </w:p>
        </w:tc>
      </w:tr>
      <w:tr w:rsidR="000A6AB8" w:rsidRPr="00E345E9" w14:paraId="481065A3" w14:textId="77777777" w:rsidTr="00091B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hideMark/>
          </w:tcPr>
          <w:p w14:paraId="33F53AFB" w14:textId="77777777" w:rsidR="000A6AB8" w:rsidRPr="00E345E9" w:rsidRDefault="000A6AB8" w:rsidP="000A6AB8">
            <w:pPr>
              <w:keepNext/>
              <w:spacing w:before="0" w:after="0" w:line="240" w:lineRule="auto"/>
              <w:jc w:val="center"/>
              <w:rPr>
                <w:rFonts w:cs="Arial"/>
                <w:color w:val="000000"/>
                <w:sz w:val="20"/>
                <w:szCs w:val="20"/>
                <w:lang w:val="es-ES" w:eastAsia="es-ES"/>
              </w:rPr>
            </w:pPr>
            <w:r w:rsidRPr="00E345E9">
              <w:rPr>
                <w:rFonts w:cs="Arial"/>
                <w:color w:val="000000"/>
                <w:sz w:val="20"/>
                <w:szCs w:val="20"/>
                <w:lang w:val="es-ES" w:eastAsia="es-ES"/>
              </w:rPr>
              <w:t>Gas year 2017-2018</w:t>
            </w:r>
          </w:p>
        </w:tc>
        <w:tc>
          <w:tcPr>
            <w:tcW w:w="1125" w:type="dxa"/>
            <w:noWrap/>
            <w:vAlign w:val="bottom"/>
            <w:hideMark/>
          </w:tcPr>
          <w:p w14:paraId="61E47C0F" w14:textId="4B171E02" w:rsidR="000A6AB8" w:rsidRPr="00E345E9" w:rsidRDefault="000A6AB8" w:rsidP="000A6AB8">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ascii="Calibri" w:hAnsi="Calibri" w:cs="Calibri"/>
                <w:color w:val="000000"/>
                <w:szCs w:val="22"/>
              </w:rPr>
              <w:t>10%</w:t>
            </w:r>
          </w:p>
        </w:tc>
        <w:tc>
          <w:tcPr>
            <w:tcW w:w="1068" w:type="dxa"/>
            <w:noWrap/>
            <w:vAlign w:val="bottom"/>
            <w:hideMark/>
          </w:tcPr>
          <w:p w14:paraId="1578333A" w14:textId="4CD99154" w:rsidR="000A6AB8" w:rsidRPr="00E345E9" w:rsidRDefault="000A6AB8" w:rsidP="000A6AB8">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ascii="Calibri" w:hAnsi="Calibri" w:cs="Calibri"/>
                <w:color w:val="000000"/>
                <w:szCs w:val="22"/>
              </w:rPr>
              <w:t>65%</w:t>
            </w:r>
          </w:p>
        </w:tc>
        <w:tc>
          <w:tcPr>
            <w:tcW w:w="1255" w:type="dxa"/>
            <w:noWrap/>
            <w:vAlign w:val="bottom"/>
            <w:hideMark/>
          </w:tcPr>
          <w:p w14:paraId="3F520180" w14:textId="5F148686" w:rsidR="000A6AB8" w:rsidRPr="00E345E9" w:rsidRDefault="000A6AB8" w:rsidP="000A6AB8">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ascii="Calibri" w:hAnsi="Calibri" w:cs="Calibri"/>
                <w:color w:val="000000"/>
                <w:szCs w:val="22"/>
              </w:rPr>
              <w:t>99%</w:t>
            </w:r>
          </w:p>
        </w:tc>
      </w:tr>
      <w:tr w:rsidR="000A6AB8" w:rsidRPr="00E345E9" w14:paraId="38B0B62D" w14:textId="77777777" w:rsidTr="00091B40">
        <w:trPr>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hideMark/>
          </w:tcPr>
          <w:p w14:paraId="38180BC3" w14:textId="77777777" w:rsidR="000A6AB8" w:rsidRPr="00E345E9" w:rsidRDefault="000A6AB8" w:rsidP="000A6AB8">
            <w:pPr>
              <w:keepNext/>
              <w:spacing w:before="0" w:after="0" w:line="240" w:lineRule="auto"/>
              <w:jc w:val="center"/>
              <w:rPr>
                <w:rFonts w:cs="Arial"/>
                <w:color w:val="000000"/>
                <w:sz w:val="20"/>
                <w:szCs w:val="20"/>
                <w:lang w:val="es-ES" w:eastAsia="es-ES"/>
              </w:rPr>
            </w:pPr>
            <w:r w:rsidRPr="00E345E9">
              <w:rPr>
                <w:rFonts w:cs="Arial"/>
                <w:color w:val="000000"/>
                <w:sz w:val="20"/>
                <w:szCs w:val="20"/>
                <w:lang w:val="es-ES" w:eastAsia="es-ES"/>
              </w:rPr>
              <w:t>Gas year 2018-2019</w:t>
            </w:r>
          </w:p>
        </w:tc>
        <w:tc>
          <w:tcPr>
            <w:tcW w:w="1125" w:type="dxa"/>
            <w:noWrap/>
            <w:vAlign w:val="bottom"/>
            <w:hideMark/>
          </w:tcPr>
          <w:p w14:paraId="0D8800C0" w14:textId="23259897" w:rsidR="000A6AB8" w:rsidRPr="00E345E9" w:rsidRDefault="000A6AB8" w:rsidP="000A6AB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ascii="Calibri" w:hAnsi="Calibri" w:cs="Calibri"/>
                <w:color w:val="000000"/>
                <w:szCs w:val="22"/>
              </w:rPr>
              <w:t>4%</w:t>
            </w:r>
          </w:p>
        </w:tc>
        <w:tc>
          <w:tcPr>
            <w:tcW w:w="1068" w:type="dxa"/>
            <w:noWrap/>
            <w:vAlign w:val="bottom"/>
            <w:hideMark/>
          </w:tcPr>
          <w:p w14:paraId="35916F1D" w14:textId="7C2B309C" w:rsidR="000A6AB8" w:rsidRPr="00E345E9" w:rsidRDefault="000A6AB8" w:rsidP="000A6AB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ascii="Calibri" w:hAnsi="Calibri" w:cs="Calibri"/>
                <w:color w:val="000000"/>
                <w:szCs w:val="22"/>
              </w:rPr>
              <w:t>27%</w:t>
            </w:r>
          </w:p>
        </w:tc>
        <w:tc>
          <w:tcPr>
            <w:tcW w:w="1255" w:type="dxa"/>
            <w:noWrap/>
            <w:vAlign w:val="bottom"/>
            <w:hideMark/>
          </w:tcPr>
          <w:p w14:paraId="27606934" w14:textId="0D3A7BEB" w:rsidR="000A6AB8" w:rsidRPr="00E345E9" w:rsidRDefault="000A6AB8" w:rsidP="000A6AB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ascii="Calibri" w:hAnsi="Calibri" w:cs="Calibri"/>
                <w:color w:val="000000"/>
                <w:szCs w:val="22"/>
              </w:rPr>
              <w:t>91%</w:t>
            </w:r>
          </w:p>
        </w:tc>
      </w:tr>
    </w:tbl>
    <w:p w14:paraId="2A1712D3" w14:textId="638F6136" w:rsidR="00AB38E3" w:rsidRPr="00E345E9" w:rsidRDefault="000C6F42" w:rsidP="0018221B">
      <w:pPr>
        <w:jc w:val="center"/>
        <w:rPr>
          <w:rFonts w:ascii="Verdana" w:hAnsi="Verdana"/>
          <w:b/>
          <w:sz w:val="16"/>
          <w:lang w:val="en-US"/>
        </w:rPr>
      </w:pPr>
      <w:r w:rsidRPr="00E345E9">
        <w:rPr>
          <w:rFonts w:ascii="Verdana" w:hAnsi="Verdana"/>
          <w:b/>
          <w:sz w:val="16"/>
          <w:lang w:val="en-US"/>
        </w:rPr>
        <w:t xml:space="preserve">Table </w:t>
      </w:r>
      <w:r w:rsidRPr="00E345E9">
        <w:rPr>
          <w:rFonts w:ascii="Verdana" w:hAnsi="Verdana"/>
          <w:b/>
          <w:sz w:val="16"/>
          <w:lang w:val="en-US"/>
        </w:rPr>
        <w:fldChar w:fldCharType="begin"/>
      </w:r>
      <w:r w:rsidRPr="00E345E9">
        <w:rPr>
          <w:rFonts w:ascii="Verdana" w:hAnsi="Verdana"/>
          <w:b/>
          <w:sz w:val="16"/>
          <w:lang w:val="en-US"/>
        </w:rPr>
        <w:instrText xml:space="preserve"> SEQ Table \* ARABIC </w:instrText>
      </w:r>
      <w:r w:rsidRPr="00E345E9">
        <w:rPr>
          <w:rFonts w:ascii="Verdana" w:hAnsi="Verdana"/>
          <w:b/>
          <w:sz w:val="16"/>
          <w:lang w:val="en-US"/>
        </w:rPr>
        <w:fldChar w:fldCharType="separate"/>
      </w:r>
      <w:r w:rsidR="00E859C7">
        <w:rPr>
          <w:rFonts w:ascii="Verdana" w:hAnsi="Verdana"/>
          <w:b/>
          <w:noProof/>
          <w:sz w:val="16"/>
          <w:lang w:val="en-US"/>
        </w:rPr>
        <w:t>23</w:t>
      </w:r>
      <w:r w:rsidRPr="00E345E9">
        <w:rPr>
          <w:rFonts w:ascii="Verdana" w:hAnsi="Verdana"/>
          <w:b/>
          <w:sz w:val="16"/>
          <w:lang w:val="en-US"/>
        </w:rPr>
        <w:fldChar w:fldCharType="end"/>
      </w:r>
      <w:r w:rsidRPr="00E345E9">
        <w:rPr>
          <w:rFonts w:ascii="Verdana" w:hAnsi="Verdana"/>
          <w:b/>
          <w:sz w:val="16"/>
          <w:lang w:val="en-US"/>
        </w:rPr>
        <w:t xml:space="preserve">: Utilisation rates at VIP </w:t>
      </w:r>
      <w:r w:rsidR="000673CD" w:rsidRPr="00E345E9">
        <w:rPr>
          <w:rFonts w:ascii="Verdana" w:hAnsi="Verdana"/>
          <w:b/>
          <w:sz w:val="16"/>
          <w:lang w:val="en-US"/>
        </w:rPr>
        <w:t xml:space="preserve">Ibérico </w:t>
      </w:r>
      <w:r w:rsidRPr="00E345E9">
        <w:rPr>
          <w:rFonts w:ascii="Verdana" w:hAnsi="Verdana"/>
          <w:b/>
          <w:sz w:val="16"/>
          <w:lang w:val="en-US"/>
        </w:rPr>
        <w:t>on the Portuguese side</w:t>
      </w:r>
    </w:p>
    <w:p w14:paraId="0E9131D5" w14:textId="2410C678" w:rsidR="00F7018C" w:rsidRPr="00E345E9" w:rsidRDefault="00027EFD" w:rsidP="00F7018C">
      <w:pPr>
        <w:spacing w:line="312" w:lineRule="auto"/>
        <w:rPr>
          <w:lang w:val="en-GB"/>
        </w:rPr>
      </w:pPr>
      <w:r>
        <w:rPr>
          <w:lang w:val="en-GB"/>
        </w:rPr>
        <w:t>T</w:t>
      </w:r>
      <w:r w:rsidR="00F7018C" w:rsidRPr="00E345E9">
        <w:rPr>
          <w:lang w:val="en-GB"/>
        </w:rPr>
        <w:t>able 2</w:t>
      </w:r>
      <w:r>
        <w:rPr>
          <w:lang w:val="en-GB"/>
        </w:rPr>
        <w:t>4</w:t>
      </w:r>
      <w:r w:rsidR="00F7018C" w:rsidRPr="00E345E9">
        <w:rPr>
          <w:lang w:val="en-GB"/>
        </w:rPr>
        <w:t xml:space="preserve"> present</w:t>
      </w:r>
      <w:r>
        <w:rPr>
          <w:lang w:val="en-GB"/>
        </w:rPr>
        <w:t>s</w:t>
      </w:r>
      <w:r w:rsidR="00F7018C" w:rsidRPr="00E345E9">
        <w:rPr>
          <w:lang w:val="en-GB"/>
        </w:rPr>
        <w:t xml:space="preserve"> the utilization levels of VIP Ibérico.</w:t>
      </w:r>
    </w:p>
    <w:p w14:paraId="5F0EA2AE" w14:textId="43A4DB65" w:rsidR="005B30F6" w:rsidRPr="00E345E9" w:rsidRDefault="005B30F6" w:rsidP="008413FF">
      <w:pPr>
        <w:pStyle w:val="Ttulo4"/>
        <w:spacing w:line="240" w:lineRule="auto"/>
      </w:pPr>
      <w:r w:rsidRPr="00E345E9">
        <w:t>Portugal to Spain direction</w:t>
      </w:r>
    </w:p>
    <w:p w14:paraId="4F83D18A" w14:textId="43E3BFA0" w:rsidR="005B30F6" w:rsidRPr="00E345E9" w:rsidRDefault="005B30F6" w:rsidP="0031312A">
      <w:pPr>
        <w:spacing w:line="312" w:lineRule="auto"/>
        <w:rPr>
          <w:lang w:val="en-GB"/>
        </w:rPr>
      </w:pPr>
      <w:r w:rsidRPr="00E345E9">
        <w:rPr>
          <w:lang w:val="en-GB"/>
        </w:rPr>
        <w:t>Again, hereunder there is a graph on the capacity</w:t>
      </w:r>
      <w:r w:rsidR="000C6F42" w:rsidRPr="00E345E9">
        <w:rPr>
          <w:lang w:val="en-GB"/>
        </w:rPr>
        <w:t xml:space="preserve"> booked, the utilization of the</w:t>
      </w:r>
      <w:r w:rsidRPr="00E345E9">
        <w:rPr>
          <w:lang w:val="en-GB"/>
        </w:rPr>
        <w:t xml:space="preserve"> </w:t>
      </w:r>
      <w:r w:rsidR="00696682" w:rsidRPr="00E345E9">
        <w:rPr>
          <w:lang w:val="en-GB"/>
        </w:rPr>
        <w:t xml:space="preserve">capacity </w:t>
      </w:r>
      <w:r w:rsidRPr="00E345E9">
        <w:rPr>
          <w:lang w:val="en-GB"/>
        </w:rPr>
        <w:t>and the physical flow in the interconnection, in the Portugal to Spain direction.</w:t>
      </w:r>
    </w:p>
    <w:p w14:paraId="0F0A7D4B" w14:textId="77777777" w:rsidR="005B30F6" w:rsidRPr="00E345E9" w:rsidRDefault="005B30F6" w:rsidP="005B30F6">
      <w:pPr>
        <w:rPr>
          <w:b/>
          <w:u w:val="single"/>
          <w:lang w:val="en-US"/>
        </w:rPr>
      </w:pPr>
      <w:r w:rsidRPr="00E345E9">
        <w:rPr>
          <w:b/>
          <w:u w:val="single"/>
          <w:lang w:val="en-GB"/>
        </w:rPr>
        <w:t xml:space="preserve">Analysis of the </w:t>
      </w:r>
      <w:r w:rsidRPr="00E345E9">
        <w:rPr>
          <w:b/>
          <w:u w:val="single"/>
          <w:lang w:val="en-US"/>
        </w:rPr>
        <w:t>capacity utilization in the Spanish side</w:t>
      </w:r>
    </w:p>
    <w:p w14:paraId="2BD64D8C" w14:textId="6236BBA4" w:rsidR="008D266C" w:rsidRPr="00E345E9" w:rsidRDefault="00EF6C69" w:rsidP="00ED5978">
      <w:pPr>
        <w:keepNext/>
        <w:rPr>
          <w:noProof/>
          <w:lang w:val="en-US" w:eastAsia="es-ES"/>
        </w:rPr>
      </w:pPr>
      <w:r w:rsidRPr="00E345E9">
        <w:rPr>
          <w:noProof/>
          <w:lang w:val="es-ES" w:eastAsia="es-ES"/>
        </w:rPr>
        <w:drawing>
          <wp:inline distT="0" distB="0" distL="0" distR="0" wp14:anchorId="6ED49598" wp14:editId="3E8F4245">
            <wp:extent cx="5650353" cy="2697920"/>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2697" cy="2708589"/>
                    </a:xfrm>
                    <a:prstGeom prst="rect">
                      <a:avLst/>
                    </a:prstGeom>
                    <a:noFill/>
                  </pic:spPr>
                </pic:pic>
              </a:graphicData>
            </a:graphic>
          </wp:inline>
        </w:drawing>
      </w:r>
    </w:p>
    <w:p w14:paraId="50B5233E" w14:textId="77777777" w:rsidR="005B30F6" w:rsidRPr="00E345E9" w:rsidRDefault="005B30F6" w:rsidP="005B30F6">
      <w:pPr>
        <w:pStyle w:val="Descripcin"/>
        <w:spacing w:before="240" w:line="360" w:lineRule="auto"/>
        <w:jc w:val="center"/>
        <w:rPr>
          <w:sz w:val="16"/>
          <w:lang w:val="en-US"/>
        </w:rPr>
      </w:pPr>
      <w:r w:rsidRPr="00E345E9">
        <w:rPr>
          <w:sz w:val="16"/>
          <w:lang w:val="en-US"/>
        </w:rPr>
        <w:t xml:space="preserve">Figure </w:t>
      </w:r>
      <w:r w:rsidRPr="00E345E9">
        <w:rPr>
          <w:sz w:val="16"/>
          <w:lang w:val="en-US"/>
        </w:rPr>
        <w:fldChar w:fldCharType="begin"/>
      </w:r>
      <w:r w:rsidRPr="00E345E9">
        <w:rPr>
          <w:sz w:val="16"/>
          <w:lang w:val="en-US"/>
        </w:rPr>
        <w:instrText xml:space="preserve"> SEQ Figure \* ARABIC </w:instrText>
      </w:r>
      <w:r w:rsidRPr="00E345E9">
        <w:rPr>
          <w:sz w:val="16"/>
          <w:lang w:val="en-US"/>
        </w:rPr>
        <w:fldChar w:fldCharType="separate"/>
      </w:r>
      <w:r w:rsidR="00E859C7">
        <w:rPr>
          <w:noProof/>
          <w:sz w:val="16"/>
          <w:lang w:val="en-US"/>
        </w:rPr>
        <w:t>42</w:t>
      </w:r>
      <w:r w:rsidRPr="00E345E9">
        <w:rPr>
          <w:sz w:val="16"/>
          <w:lang w:val="en-US"/>
        </w:rPr>
        <w:fldChar w:fldCharType="end"/>
      </w:r>
      <w:r w:rsidRPr="00E345E9">
        <w:rPr>
          <w:sz w:val="16"/>
          <w:lang w:val="en-US"/>
        </w:rPr>
        <w:t>: Use of the interconnection, Portugal to Spain direction</w:t>
      </w:r>
    </w:p>
    <w:p w14:paraId="5015D2F8" w14:textId="3F650480" w:rsidR="005B30F6" w:rsidRPr="00E345E9" w:rsidRDefault="005B30F6" w:rsidP="0031312A">
      <w:pPr>
        <w:spacing w:line="312" w:lineRule="auto"/>
        <w:rPr>
          <w:lang w:val="en-US" w:eastAsia="ja-JP"/>
        </w:rPr>
      </w:pPr>
      <w:r w:rsidRPr="00E345E9">
        <w:rPr>
          <w:lang w:val="en-US" w:eastAsia="ja-JP"/>
        </w:rPr>
        <w:t>Traditionally, this interconnection has been an entry point to the Portuguese gas system and therefore, there have not been any contract or nomination in that direction. However, during the first semester</w:t>
      </w:r>
      <w:r w:rsidR="00BF7632" w:rsidRPr="00E345E9">
        <w:rPr>
          <w:lang w:val="en-US" w:eastAsia="ja-JP"/>
        </w:rPr>
        <w:t xml:space="preserve"> of 2019</w:t>
      </w:r>
      <w:r w:rsidRPr="00E345E9">
        <w:rPr>
          <w:lang w:val="en-US" w:eastAsia="ja-JP"/>
        </w:rPr>
        <w:t>, the overall trend changed and an interesting activity was registered. If we look deeper into the details, between January and April 2019 (both months included):</w:t>
      </w:r>
    </w:p>
    <w:p w14:paraId="704B5EF0" w14:textId="77777777" w:rsidR="005B30F6" w:rsidRPr="00E345E9" w:rsidRDefault="005B30F6" w:rsidP="0031312A">
      <w:pPr>
        <w:pStyle w:val="Prrafodelista"/>
        <w:numPr>
          <w:ilvl w:val="0"/>
          <w:numId w:val="14"/>
        </w:numPr>
        <w:spacing w:line="312" w:lineRule="auto"/>
        <w:rPr>
          <w:lang w:val="en-US" w:eastAsia="ja-JP"/>
        </w:rPr>
      </w:pPr>
      <w:r w:rsidRPr="00E345E9">
        <w:rPr>
          <w:lang w:val="en-US" w:eastAsia="ja-JP"/>
        </w:rPr>
        <w:t>The flow reversed 49 days (41% of the time)</w:t>
      </w:r>
    </w:p>
    <w:p w14:paraId="323F15C8" w14:textId="77777777" w:rsidR="005B30F6" w:rsidRPr="00E345E9" w:rsidRDefault="005B30F6" w:rsidP="0031312A">
      <w:pPr>
        <w:pStyle w:val="Prrafodelista"/>
        <w:numPr>
          <w:ilvl w:val="0"/>
          <w:numId w:val="14"/>
        </w:numPr>
        <w:spacing w:line="312" w:lineRule="auto"/>
        <w:rPr>
          <w:lang w:val="en-US" w:eastAsia="ja-JP"/>
        </w:rPr>
      </w:pPr>
      <w:r w:rsidRPr="00E345E9">
        <w:rPr>
          <w:lang w:val="en-US" w:eastAsia="ja-JP"/>
        </w:rPr>
        <w:t>The average utilization rate was 60%</w:t>
      </w:r>
    </w:p>
    <w:p w14:paraId="066F7A7A" w14:textId="77777777" w:rsidR="005B30F6" w:rsidRPr="00E345E9" w:rsidRDefault="005B30F6" w:rsidP="0031312A">
      <w:pPr>
        <w:pStyle w:val="Prrafodelista"/>
        <w:numPr>
          <w:ilvl w:val="0"/>
          <w:numId w:val="14"/>
        </w:numPr>
        <w:spacing w:line="312" w:lineRule="auto"/>
        <w:rPr>
          <w:lang w:val="en-US" w:eastAsia="ja-JP"/>
        </w:rPr>
      </w:pPr>
      <w:r w:rsidRPr="00E345E9">
        <w:rPr>
          <w:lang w:val="en-US" w:eastAsia="ja-JP"/>
        </w:rPr>
        <w:t xml:space="preserve">Shippers used monthly products (see chapter 2 for more information about capacity booking) </w:t>
      </w:r>
    </w:p>
    <w:tbl>
      <w:tblPr>
        <w:tblStyle w:val="Tabladecuadrcula4-nfasis1"/>
        <w:tblW w:w="5574" w:type="dxa"/>
        <w:jc w:val="center"/>
        <w:tblLook w:val="04A0" w:firstRow="1" w:lastRow="0" w:firstColumn="1" w:lastColumn="0" w:noHBand="0" w:noVBand="1"/>
      </w:tblPr>
      <w:tblGrid>
        <w:gridCol w:w="2126"/>
        <w:gridCol w:w="1125"/>
        <w:gridCol w:w="1068"/>
        <w:gridCol w:w="1255"/>
      </w:tblGrid>
      <w:tr w:rsidR="005B30F6" w:rsidRPr="00E345E9" w14:paraId="41ED90FA" w14:textId="77777777" w:rsidTr="00277506">
        <w:trPr>
          <w:cnfStyle w:val="100000000000" w:firstRow="1" w:lastRow="0" w:firstColumn="0" w:lastColumn="0" w:oddVBand="0" w:evenVBand="0" w:oddHBand="0"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574" w:type="dxa"/>
            <w:gridSpan w:val="4"/>
            <w:noWrap/>
            <w:vAlign w:val="center"/>
            <w:hideMark/>
          </w:tcPr>
          <w:p w14:paraId="6DB20F04" w14:textId="77777777" w:rsidR="005B30F6" w:rsidRPr="00E345E9" w:rsidRDefault="005B30F6" w:rsidP="00ED5978">
            <w:pPr>
              <w:keepNext/>
              <w:spacing w:before="0" w:after="0" w:line="240" w:lineRule="auto"/>
              <w:jc w:val="center"/>
              <w:rPr>
                <w:rFonts w:cs="Arial"/>
                <w:sz w:val="20"/>
                <w:szCs w:val="20"/>
                <w:lang w:val="en-US" w:eastAsia="es-ES"/>
              </w:rPr>
            </w:pPr>
            <w:r w:rsidRPr="00E345E9">
              <w:rPr>
                <w:rFonts w:cs="Arial"/>
                <w:sz w:val="20"/>
                <w:szCs w:val="20"/>
                <w:lang w:val="en-US" w:eastAsia="es-ES"/>
              </w:rPr>
              <w:t xml:space="preserve">Utilization rates at VIP Ibérico </w:t>
            </w:r>
          </w:p>
          <w:p w14:paraId="62F6EB89" w14:textId="77777777" w:rsidR="005B30F6" w:rsidRPr="00E345E9" w:rsidRDefault="005B30F6" w:rsidP="00ED5978">
            <w:pPr>
              <w:keepNext/>
              <w:spacing w:before="0" w:after="0" w:line="240" w:lineRule="auto"/>
              <w:jc w:val="center"/>
              <w:rPr>
                <w:rFonts w:cs="Arial"/>
                <w:sz w:val="20"/>
                <w:szCs w:val="20"/>
                <w:lang w:val="en-US" w:eastAsia="es-ES"/>
              </w:rPr>
            </w:pPr>
            <w:r w:rsidRPr="00E345E9">
              <w:rPr>
                <w:rFonts w:cs="Arial"/>
                <w:sz w:val="20"/>
                <w:szCs w:val="20"/>
                <w:lang w:val="en-US" w:eastAsia="es-ES"/>
              </w:rPr>
              <w:t>Spain to Portugal direction</w:t>
            </w:r>
          </w:p>
          <w:p w14:paraId="35B6D3F1" w14:textId="77777777" w:rsidR="005B30F6" w:rsidRPr="00E345E9" w:rsidRDefault="005B30F6" w:rsidP="00ED5978">
            <w:pPr>
              <w:keepNext/>
              <w:spacing w:before="0" w:after="0" w:line="240" w:lineRule="auto"/>
              <w:jc w:val="center"/>
              <w:rPr>
                <w:rFonts w:cs="Arial"/>
                <w:color w:val="000000"/>
                <w:sz w:val="20"/>
                <w:szCs w:val="20"/>
                <w:lang w:val="en-US" w:eastAsia="es-ES"/>
              </w:rPr>
            </w:pPr>
            <w:r w:rsidRPr="00E345E9">
              <w:rPr>
                <w:rFonts w:cs="Arial"/>
                <w:sz w:val="20"/>
                <w:szCs w:val="20"/>
                <w:lang w:val="en-US" w:eastAsia="es-ES"/>
              </w:rPr>
              <w:t>January-April 2019</w:t>
            </w:r>
          </w:p>
        </w:tc>
      </w:tr>
      <w:tr w:rsidR="005B30F6" w:rsidRPr="00E345E9" w14:paraId="53203F54" w14:textId="77777777" w:rsidTr="00277506">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51DFAB26" w14:textId="77777777" w:rsidR="005B30F6" w:rsidRPr="00E345E9" w:rsidRDefault="005B30F6" w:rsidP="00ED5978">
            <w:pPr>
              <w:keepNext/>
              <w:spacing w:before="0" w:after="0" w:line="240" w:lineRule="auto"/>
              <w:jc w:val="center"/>
              <w:rPr>
                <w:rFonts w:cs="Arial"/>
                <w:color w:val="000000"/>
                <w:sz w:val="20"/>
                <w:szCs w:val="20"/>
                <w:lang w:val="en-US" w:eastAsia="es-ES"/>
              </w:rPr>
            </w:pPr>
          </w:p>
        </w:tc>
        <w:tc>
          <w:tcPr>
            <w:tcW w:w="1125" w:type="dxa"/>
            <w:noWrap/>
            <w:vAlign w:val="center"/>
            <w:hideMark/>
          </w:tcPr>
          <w:p w14:paraId="0CB5B2F7" w14:textId="77777777" w:rsidR="005B30F6" w:rsidRPr="00E345E9" w:rsidRDefault="005B30F6" w:rsidP="00ED5978">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Minimum</w:t>
            </w:r>
          </w:p>
        </w:tc>
        <w:tc>
          <w:tcPr>
            <w:tcW w:w="1068" w:type="dxa"/>
            <w:noWrap/>
            <w:vAlign w:val="center"/>
            <w:hideMark/>
          </w:tcPr>
          <w:p w14:paraId="319F5F42" w14:textId="77777777" w:rsidR="005B30F6" w:rsidRPr="00E345E9" w:rsidRDefault="005B30F6" w:rsidP="00ED5978">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Average</w:t>
            </w:r>
          </w:p>
        </w:tc>
        <w:tc>
          <w:tcPr>
            <w:tcW w:w="1255" w:type="dxa"/>
            <w:noWrap/>
            <w:vAlign w:val="center"/>
            <w:hideMark/>
          </w:tcPr>
          <w:p w14:paraId="4A16434A" w14:textId="77777777" w:rsidR="005B30F6" w:rsidRPr="00E345E9" w:rsidRDefault="005B30F6" w:rsidP="00ED5978">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Maximun</w:t>
            </w:r>
          </w:p>
        </w:tc>
      </w:tr>
      <w:tr w:rsidR="005B30F6" w:rsidRPr="00E345E9" w14:paraId="47566007" w14:textId="77777777" w:rsidTr="00277506">
        <w:trPr>
          <w:cantSplit/>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5A494803" w14:textId="77777777" w:rsidR="005B30F6" w:rsidRPr="00E345E9" w:rsidRDefault="005B30F6" w:rsidP="00ED5978">
            <w:pPr>
              <w:keepNext/>
              <w:spacing w:before="0" w:after="0" w:line="240" w:lineRule="auto"/>
              <w:jc w:val="center"/>
              <w:rPr>
                <w:rFonts w:cs="Arial"/>
                <w:b w:val="0"/>
                <w:color w:val="000000"/>
                <w:sz w:val="20"/>
                <w:szCs w:val="20"/>
                <w:lang w:val="es-ES" w:eastAsia="es-ES"/>
              </w:rPr>
            </w:pPr>
            <w:r w:rsidRPr="00E345E9">
              <w:rPr>
                <w:rFonts w:cs="Arial"/>
                <w:b w:val="0"/>
                <w:color w:val="000000"/>
                <w:sz w:val="20"/>
                <w:szCs w:val="20"/>
                <w:lang w:val="es-ES" w:eastAsia="es-ES"/>
              </w:rPr>
              <w:t>Allocations vs Booked Capacity</w:t>
            </w:r>
          </w:p>
        </w:tc>
        <w:tc>
          <w:tcPr>
            <w:tcW w:w="1125" w:type="dxa"/>
            <w:noWrap/>
            <w:vAlign w:val="center"/>
            <w:hideMark/>
          </w:tcPr>
          <w:p w14:paraId="485C7F32" w14:textId="77777777" w:rsidR="005B30F6" w:rsidRPr="00E345E9" w:rsidRDefault="005B30F6" w:rsidP="00ED597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0%</w:t>
            </w:r>
          </w:p>
        </w:tc>
        <w:tc>
          <w:tcPr>
            <w:tcW w:w="1068" w:type="dxa"/>
            <w:noWrap/>
            <w:vAlign w:val="center"/>
            <w:hideMark/>
          </w:tcPr>
          <w:p w14:paraId="1F886E6B" w14:textId="5A6A3034" w:rsidR="005B30F6" w:rsidRPr="00E345E9" w:rsidRDefault="00910DC8" w:rsidP="00ED597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87</w:t>
            </w:r>
            <w:r w:rsidR="005B30F6" w:rsidRPr="00E345E9">
              <w:rPr>
                <w:rFonts w:cs="Arial"/>
                <w:sz w:val="20"/>
                <w:szCs w:val="20"/>
              </w:rPr>
              <w:t>%</w:t>
            </w:r>
          </w:p>
        </w:tc>
        <w:tc>
          <w:tcPr>
            <w:tcW w:w="1255" w:type="dxa"/>
            <w:noWrap/>
            <w:vAlign w:val="center"/>
            <w:hideMark/>
          </w:tcPr>
          <w:p w14:paraId="5000BCC3" w14:textId="77777777" w:rsidR="005B30F6" w:rsidRPr="00E345E9" w:rsidRDefault="005B30F6" w:rsidP="00ED5978">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100%</w:t>
            </w:r>
          </w:p>
        </w:tc>
      </w:tr>
    </w:tbl>
    <w:p w14:paraId="54551658" w14:textId="0759832D" w:rsidR="000C6F42" w:rsidRPr="00E345E9" w:rsidRDefault="000C6F42" w:rsidP="000C6F42">
      <w:pPr>
        <w:jc w:val="center"/>
        <w:rPr>
          <w:rFonts w:ascii="Verdana" w:hAnsi="Verdana"/>
          <w:b/>
          <w:lang w:val="en-US"/>
        </w:rPr>
      </w:pPr>
      <w:r w:rsidRPr="00E345E9">
        <w:rPr>
          <w:rFonts w:ascii="Verdana" w:hAnsi="Verdana"/>
          <w:b/>
          <w:sz w:val="16"/>
          <w:lang w:val="en-US"/>
        </w:rPr>
        <w:t xml:space="preserve">Table </w:t>
      </w:r>
      <w:r w:rsidRPr="00E345E9">
        <w:rPr>
          <w:rFonts w:ascii="Verdana" w:hAnsi="Verdana"/>
          <w:b/>
          <w:sz w:val="16"/>
          <w:lang w:val="en-US"/>
        </w:rPr>
        <w:fldChar w:fldCharType="begin"/>
      </w:r>
      <w:r w:rsidRPr="00E345E9">
        <w:rPr>
          <w:rFonts w:ascii="Verdana" w:hAnsi="Verdana"/>
          <w:b/>
          <w:sz w:val="16"/>
          <w:lang w:val="en-US"/>
        </w:rPr>
        <w:instrText xml:space="preserve"> SEQ Table \* ARABIC </w:instrText>
      </w:r>
      <w:r w:rsidRPr="00E345E9">
        <w:rPr>
          <w:rFonts w:ascii="Verdana" w:hAnsi="Verdana"/>
          <w:b/>
          <w:sz w:val="16"/>
          <w:lang w:val="en-US"/>
        </w:rPr>
        <w:fldChar w:fldCharType="separate"/>
      </w:r>
      <w:r w:rsidR="00E859C7">
        <w:rPr>
          <w:rFonts w:ascii="Verdana" w:hAnsi="Verdana"/>
          <w:b/>
          <w:noProof/>
          <w:sz w:val="16"/>
          <w:lang w:val="en-US"/>
        </w:rPr>
        <w:t>24</w:t>
      </w:r>
      <w:r w:rsidRPr="00E345E9">
        <w:rPr>
          <w:rFonts w:ascii="Verdana" w:hAnsi="Verdana"/>
          <w:b/>
          <w:sz w:val="16"/>
          <w:lang w:val="en-US"/>
        </w:rPr>
        <w:fldChar w:fldCharType="end"/>
      </w:r>
      <w:r w:rsidRPr="00E345E9">
        <w:rPr>
          <w:rFonts w:ascii="Verdana" w:hAnsi="Verdana"/>
          <w:b/>
          <w:sz w:val="16"/>
          <w:lang w:val="en-US"/>
        </w:rPr>
        <w:t>: utilization rates from November 2018 to March 2019</w:t>
      </w:r>
    </w:p>
    <w:p w14:paraId="57AEC88E" w14:textId="6A98153A" w:rsidR="005B30F6" w:rsidRPr="00E345E9" w:rsidRDefault="005B30F6" w:rsidP="0031312A">
      <w:pPr>
        <w:spacing w:line="312" w:lineRule="auto"/>
        <w:rPr>
          <w:lang w:val="en-US"/>
        </w:rPr>
      </w:pPr>
      <w:r w:rsidRPr="00E345E9">
        <w:rPr>
          <w:lang w:val="en-US"/>
        </w:rPr>
        <w:t>The reason is the approval of the above-mentioned lower tariffs in Portugal</w:t>
      </w:r>
      <w:r w:rsidR="00996DF6" w:rsidRPr="00E345E9">
        <w:rPr>
          <w:lang w:val="en-US"/>
        </w:rPr>
        <w:t xml:space="preserve"> and the </w:t>
      </w:r>
      <w:r w:rsidR="00996DF6" w:rsidRPr="00E345E9">
        <w:rPr>
          <w:lang w:val="en-US" w:eastAsia="ja-JP"/>
        </w:rPr>
        <w:t>previously commented reasons (LNG supply increase, increment of global liquefaction capacity…)</w:t>
      </w:r>
      <w:r w:rsidRPr="00E345E9">
        <w:rPr>
          <w:lang w:val="en-US"/>
        </w:rPr>
        <w:t xml:space="preserve"> which was so attractive that allocation started diminishing and finally the flow reversed.</w:t>
      </w:r>
    </w:p>
    <w:p w14:paraId="6C95F15A" w14:textId="268708CF" w:rsidR="001943A7" w:rsidRDefault="001943A7" w:rsidP="0031312A">
      <w:pPr>
        <w:spacing w:line="312" w:lineRule="auto"/>
        <w:rPr>
          <w:lang w:val="en-US"/>
        </w:rPr>
      </w:pPr>
      <w:r w:rsidRPr="00E345E9">
        <w:rPr>
          <w:noProof/>
          <w:lang w:val="es-ES" w:eastAsia="es-ES"/>
        </w:rPr>
        <w:drawing>
          <wp:inline distT="0" distB="0" distL="0" distR="0" wp14:anchorId="24E9395F" wp14:editId="0846CAF3">
            <wp:extent cx="5855445" cy="300951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63038" cy="3013417"/>
                    </a:xfrm>
                    <a:prstGeom prst="rect">
                      <a:avLst/>
                    </a:prstGeom>
                    <a:noFill/>
                  </pic:spPr>
                </pic:pic>
              </a:graphicData>
            </a:graphic>
          </wp:inline>
        </w:drawing>
      </w:r>
    </w:p>
    <w:p w14:paraId="1755B335" w14:textId="255D0306" w:rsidR="005B3498" w:rsidRPr="00E345E9" w:rsidRDefault="005B3498" w:rsidP="005B3498">
      <w:pPr>
        <w:pStyle w:val="Descripcin"/>
        <w:spacing w:before="240" w:line="360" w:lineRule="auto"/>
        <w:jc w:val="center"/>
        <w:rPr>
          <w:sz w:val="16"/>
          <w:lang w:val="en-US"/>
        </w:rPr>
      </w:pPr>
      <w:r w:rsidRPr="00E345E9">
        <w:rPr>
          <w:sz w:val="16"/>
          <w:lang w:val="en-US"/>
        </w:rPr>
        <w:t xml:space="preserve">Figure </w:t>
      </w:r>
      <w:r w:rsidRPr="00E345E9">
        <w:rPr>
          <w:sz w:val="16"/>
          <w:lang w:val="en-US"/>
        </w:rPr>
        <w:fldChar w:fldCharType="begin"/>
      </w:r>
      <w:r w:rsidRPr="00E345E9">
        <w:rPr>
          <w:sz w:val="16"/>
          <w:lang w:val="en-US"/>
        </w:rPr>
        <w:instrText xml:space="preserve"> SEQ Figure \* ARABIC </w:instrText>
      </w:r>
      <w:r w:rsidRPr="00E345E9">
        <w:rPr>
          <w:sz w:val="16"/>
          <w:lang w:val="en-US"/>
        </w:rPr>
        <w:fldChar w:fldCharType="separate"/>
      </w:r>
      <w:r w:rsidR="00E859C7">
        <w:rPr>
          <w:noProof/>
          <w:sz w:val="16"/>
          <w:lang w:val="en-US"/>
        </w:rPr>
        <w:t>43</w:t>
      </w:r>
      <w:r w:rsidRPr="00E345E9">
        <w:rPr>
          <w:sz w:val="16"/>
          <w:lang w:val="en-US"/>
        </w:rPr>
        <w:fldChar w:fldCharType="end"/>
      </w:r>
      <w:r w:rsidRPr="00E345E9">
        <w:rPr>
          <w:sz w:val="16"/>
          <w:lang w:val="en-US"/>
        </w:rPr>
        <w:t xml:space="preserve">: </w:t>
      </w:r>
      <w:r>
        <w:rPr>
          <w:sz w:val="16"/>
          <w:lang w:val="en-US"/>
        </w:rPr>
        <w:t>Allocated vs booked capacity</w:t>
      </w:r>
      <w:r w:rsidRPr="00E345E9">
        <w:rPr>
          <w:sz w:val="16"/>
          <w:lang w:val="en-US"/>
        </w:rPr>
        <w:t>, Portugal to Spain direction</w:t>
      </w:r>
    </w:p>
    <w:p w14:paraId="42CBCA6D" w14:textId="31261EA2" w:rsidR="001943A7" w:rsidRPr="00E345E9" w:rsidRDefault="001943A7" w:rsidP="0031312A">
      <w:pPr>
        <w:spacing w:line="312" w:lineRule="auto"/>
        <w:rPr>
          <w:lang w:val="en-US"/>
        </w:rPr>
      </w:pPr>
      <w:r w:rsidRPr="00E345E9">
        <w:rPr>
          <w:lang w:val="en-US" w:eastAsia="ja-JP"/>
        </w:rPr>
        <w:t>Regarding the utilization rates of the booked capacities, it should be noted that the high peaks of utilization rates in the Portugal to Spain direction that occurred during November 2018</w:t>
      </w:r>
      <w:r w:rsidRPr="00E345E9">
        <w:rPr>
          <w:vertAlign w:val="superscript"/>
          <w:lang w:val="en-US" w:eastAsia="ja-JP"/>
        </w:rPr>
        <w:t xml:space="preserve"> </w:t>
      </w:r>
      <w:r w:rsidRPr="00E345E9">
        <w:rPr>
          <w:lang w:val="en-US" w:eastAsia="ja-JP"/>
        </w:rPr>
        <w:t>and the first half of the 2019 year corresponds to a high usage of the short term contracts signed during that period, namely, due to the daily and within-day capacity usage with some presence of monthly capacity bookings (February, March, May and June of 2019).</w:t>
      </w:r>
    </w:p>
    <w:p w14:paraId="53BE0F2B" w14:textId="10BB2353" w:rsidR="000C6F42" w:rsidRPr="00E345E9" w:rsidRDefault="005B30F6" w:rsidP="0031312A">
      <w:pPr>
        <w:spacing w:line="312" w:lineRule="auto"/>
        <w:rPr>
          <w:b/>
          <w:u w:val="single"/>
          <w:lang w:val="en-US"/>
        </w:rPr>
      </w:pPr>
      <w:r w:rsidRPr="00E345E9">
        <w:rPr>
          <w:b/>
          <w:u w:val="single"/>
          <w:lang w:val="en-GB"/>
        </w:rPr>
        <w:t xml:space="preserve">Analysis of the </w:t>
      </w:r>
      <w:r w:rsidRPr="00E345E9">
        <w:rPr>
          <w:b/>
          <w:u w:val="single"/>
          <w:lang w:val="en-US"/>
        </w:rPr>
        <w:t>capacity utilization in the Portuguese side</w:t>
      </w:r>
    </w:p>
    <w:p w14:paraId="7646E5A4" w14:textId="794D5B6C" w:rsidR="00D11CF4" w:rsidRPr="00E345E9" w:rsidRDefault="008F2EB4" w:rsidP="0031312A">
      <w:pPr>
        <w:spacing w:line="312" w:lineRule="auto"/>
        <w:rPr>
          <w:lang w:val="en-US"/>
        </w:rPr>
      </w:pPr>
      <w:r>
        <w:rPr>
          <w:lang w:val="en-US"/>
        </w:rPr>
        <w:t>A</w:t>
      </w:r>
      <w:r w:rsidR="00D11CF4" w:rsidRPr="00E345E9">
        <w:rPr>
          <w:lang w:val="en-US"/>
        </w:rPr>
        <w:t xml:space="preserve"> reduction behavior happened </w:t>
      </w:r>
      <w:r>
        <w:rPr>
          <w:lang w:val="en-US"/>
        </w:rPr>
        <w:t xml:space="preserve">for all non-long-term </w:t>
      </w:r>
      <w:r w:rsidR="00D11CF4" w:rsidRPr="00E345E9">
        <w:rPr>
          <w:lang w:val="en-US"/>
        </w:rPr>
        <w:t xml:space="preserve">products (Q, M, D, WD), </w:t>
      </w:r>
      <w:r>
        <w:rPr>
          <w:lang w:val="en-US"/>
        </w:rPr>
        <w:t xml:space="preserve">for the </w:t>
      </w:r>
      <w:r w:rsidRPr="00130C2F">
        <w:rPr>
          <w:lang w:val="en-US"/>
        </w:rPr>
        <w:t>reasons explained above</w:t>
      </w:r>
      <w:r w:rsidR="00D11CF4" w:rsidRPr="00E345E9">
        <w:rPr>
          <w:lang w:val="en-US"/>
        </w:rPr>
        <w:t>. One can also find that the peak demands in the summer are mostly covered resorting to monthly booking (short-term solution) with daily bookings complementing the rest.</w:t>
      </w:r>
    </w:p>
    <w:p w14:paraId="1513D4A7" w14:textId="53042020" w:rsidR="000C6F42" w:rsidRPr="00E345E9" w:rsidRDefault="008334C4" w:rsidP="000C6F42">
      <w:pPr>
        <w:pStyle w:val="Descripcin"/>
        <w:spacing w:before="240" w:line="360" w:lineRule="auto"/>
        <w:jc w:val="center"/>
        <w:rPr>
          <w:sz w:val="16"/>
          <w:lang w:val="en-US"/>
        </w:rPr>
      </w:pPr>
      <w:r w:rsidRPr="00E345E9">
        <w:rPr>
          <w:noProof/>
          <w:sz w:val="16"/>
          <w:lang w:eastAsia="es-ES"/>
        </w:rPr>
        <w:drawing>
          <wp:inline distT="0" distB="0" distL="0" distR="0" wp14:anchorId="3D7FDAE8" wp14:editId="455E0F0C">
            <wp:extent cx="5681980" cy="3133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1980" cy="3133725"/>
                    </a:xfrm>
                    <a:prstGeom prst="rect">
                      <a:avLst/>
                    </a:prstGeom>
                    <a:noFill/>
                  </pic:spPr>
                </pic:pic>
              </a:graphicData>
            </a:graphic>
          </wp:inline>
        </w:drawing>
      </w:r>
      <w:r w:rsidR="005B3498" w:rsidRPr="005B3498">
        <w:rPr>
          <w:sz w:val="16"/>
          <w:lang w:val="en-US"/>
        </w:rPr>
        <w:t xml:space="preserve"> </w:t>
      </w:r>
      <w:r w:rsidR="005B3498" w:rsidRPr="00E345E9">
        <w:rPr>
          <w:sz w:val="16"/>
          <w:lang w:val="en-US"/>
        </w:rPr>
        <w:t xml:space="preserve">Figure </w:t>
      </w:r>
      <w:r w:rsidR="005B3498" w:rsidRPr="00E345E9">
        <w:rPr>
          <w:sz w:val="16"/>
          <w:lang w:val="en-US"/>
        </w:rPr>
        <w:fldChar w:fldCharType="begin"/>
      </w:r>
      <w:r w:rsidR="005B3498" w:rsidRPr="00E345E9">
        <w:rPr>
          <w:sz w:val="16"/>
          <w:lang w:val="en-US"/>
        </w:rPr>
        <w:instrText xml:space="preserve"> SEQ Figure \* ARABIC </w:instrText>
      </w:r>
      <w:r w:rsidR="005B3498" w:rsidRPr="00E345E9">
        <w:rPr>
          <w:sz w:val="16"/>
          <w:lang w:val="en-US"/>
        </w:rPr>
        <w:fldChar w:fldCharType="separate"/>
      </w:r>
      <w:r w:rsidR="00E859C7">
        <w:rPr>
          <w:noProof/>
          <w:sz w:val="16"/>
          <w:lang w:val="en-US"/>
        </w:rPr>
        <w:t>44</w:t>
      </w:r>
      <w:r w:rsidR="005B3498" w:rsidRPr="00E345E9">
        <w:rPr>
          <w:sz w:val="16"/>
          <w:lang w:val="en-US"/>
        </w:rPr>
        <w:fldChar w:fldCharType="end"/>
      </w:r>
      <w:r w:rsidR="005B3498" w:rsidRPr="00E345E9">
        <w:rPr>
          <w:sz w:val="16"/>
          <w:lang w:val="en-US"/>
        </w:rPr>
        <w:t xml:space="preserve">: </w:t>
      </w:r>
      <w:r w:rsidR="000C6F42" w:rsidRPr="00E345E9">
        <w:rPr>
          <w:sz w:val="16"/>
          <w:lang w:val="en-US"/>
        </w:rPr>
        <w:t>Booked capacity, nomination and physical flow from Portugal to Spain on the Portuguese side</w:t>
      </w:r>
    </w:p>
    <w:tbl>
      <w:tblPr>
        <w:tblStyle w:val="Tabladecuadrcula4-nfasis1"/>
        <w:tblW w:w="5574" w:type="dxa"/>
        <w:jc w:val="center"/>
        <w:tblLook w:val="04A0" w:firstRow="1" w:lastRow="0" w:firstColumn="1" w:lastColumn="0" w:noHBand="0" w:noVBand="1"/>
      </w:tblPr>
      <w:tblGrid>
        <w:gridCol w:w="2126"/>
        <w:gridCol w:w="1125"/>
        <w:gridCol w:w="1068"/>
        <w:gridCol w:w="1255"/>
      </w:tblGrid>
      <w:tr w:rsidR="00B637CD" w:rsidRPr="00E345E9" w14:paraId="330976AD" w14:textId="77777777" w:rsidTr="00091B40">
        <w:trPr>
          <w:cnfStyle w:val="100000000000" w:firstRow="1" w:lastRow="0" w:firstColumn="0" w:lastColumn="0" w:oddVBand="0" w:evenVBand="0" w:oddHBand="0"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574" w:type="dxa"/>
            <w:gridSpan w:val="4"/>
            <w:noWrap/>
            <w:vAlign w:val="center"/>
            <w:hideMark/>
          </w:tcPr>
          <w:p w14:paraId="6F539D30" w14:textId="77777777" w:rsidR="00B637CD" w:rsidRPr="00E345E9" w:rsidRDefault="00B637CD" w:rsidP="00091B40">
            <w:pPr>
              <w:keepNext/>
              <w:spacing w:before="0" w:after="0" w:line="240" w:lineRule="auto"/>
              <w:jc w:val="center"/>
              <w:rPr>
                <w:rFonts w:cs="Arial"/>
                <w:sz w:val="20"/>
                <w:szCs w:val="20"/>
                <w:lang w:val="en-US" w:eastAsia="es-ES"/>
              </w:rPr>
            </w:pPr>
            <w:r w:rsidRPr="00E345E9">
              <w:rPr>
                <w:rFonts w:cs="Arial"/>
                <w:sz w:val="20"/>
                <w:szCs w:val="20"/>
                <w:lang w:val="en-US" w:eastAsia="es-ES"/>
              </w:rPr>
              <w:t xml:space="preserve">Utilization rates at VIP Ibérico </w:t>
            </w:r>
          </w:p>
          <w:p w14:paraId="75C2304C" w14:textId="77777777" w:rsidR="00B637CD" w:rsidRPr="00E345E9" w:rsidRDefault="00B637CD" w:rsidP="00091B40">
            <w:pPr>
              <w:keepNext/>
              <w:spacing w:before="0" w:after="0" w:line="240" w:lineRule="auto"/>
              <w:jc w:val="center"/>
              <w:rPr>
                <w:rFonts w:cs="Arial"/>
                <w:sz w:val="20"/>
                <w:szCs w:val="20"/>
                <w:lang w:val="en-US" w:eastAsia="es-ES"/>
              </w:rPr>
            </w:pPr>
            <w:r w:rsidRPr="00E345E9">
              <w:rPr>
                <w:rFonts w:cs="Arial"/>
                <w:sz w:val="20"/>
                <w:szCs w:val="20"/>
                <w:lang w:val="en-US" w:eastAsia="es-ES"/>
              </w:rPr>
              <w:t>Spain to Portugal direction</w:t>
            </w:r>
          </w:p>
          <w:p w14:paraId="35C3C92C" w14:textId="77777777" w:rsidR="00B637CD" w:rsidRPr="00E345E9" w:rsidRDefault="00B637CD" w:rsidP="00091B40">
            <w:pPr>
              <w:keepNext/>
              <w:spacing w:before="0" w:after="0" w:line="240" w:lineRule="auto"/>
              <w:jc w:val="center"/>
              <w:rPr>
                <w:rFonts w:cs="Arial"/>
                <w:color w:val="000000"/>
                <w:sz w:val="20"/>
                <w:szCs w:val="20"/>
                <w:lang w:val="en-US" w:eastAsia="es-ES"/>
              </w:rPr>
            </w:pPr>
            <w:r w:rsidRPr="00E345E9">
              <w:rPr>
                <w:rFonts w:cs="Arial"/>
                <w:sz w:val="20"/>
                <w:szCs w:val="20"/>
                <w:lang w:val="en-US" w:eastAsia="es-ES"/>
              </w:rPr>
              <w:t>January-April 2019</w:t>
            </w:r>
          </w:p>
        </w:tc>
      </w:tr>
      <w:tr w:rsidR="00B637CD" w:rsidRPr="00E345E9" w14:paraId="55FF6488" w14:textId="77777777" w:rsidTr="00091B4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0D1A8E96" w14:textId="77777777" w:rsidR="00B637CD" w:rsidRPr="00E345E9" w:rsidRDefault="00B637CD" w:rsidP="00091B40">
            <w:pPr>
              <w:keepNext/>
              <w:spacing w:before="0" w:after="0" w:line="240" w:lineRule="auto"/>
              <w:jc w:val="center"/>
              <w:rPr>
                <w:rFonts w:cs="Arial"/>
                <w:color w:val="000000"/>
                <w:sz w:val="20"/>
                <w:szCs w:val="20"/>
                <w:lang w:val="en-US" w:eastAsia="es-ES"/>
              </w:rPr>
            </w:pPr>
          </w:p>
        </w:tc>
        <w:tc>
          <w:tcPr>
            <w:tcW w:w="1125" w:type="dxa"/>
            <w:noWrap/>
            <w:vAlign w:val="center"/>
            <w:hideMark/>
          </w:tcPr>
          <w:p w14:paraId="4EDCCBC3" w14:textId="77777777" w:rsidR="00B637CD" w:rsidRPr="00E345E9" w:rsidRDefault="00B637CD" w:rsidP="00091B40">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Minimum</w:t>
            </w:r>
          </w:p>
        </w:tc>
        <w:tc>
          <w:tcPr>
            <w:tcW w:w="1068" w:type="dxa"/>
            <w:noWrap/>
            <w:vAlign w:val="center"/>
            <w:hideMark/>
          </w:tcPr>
          <w:p w14:paraId="0781C552" w14:textId="77777777" w:rsidR="00B637CD" w:rsidRPr="00E345E9" w:rsidRDefault="00B637CD" w:rsidP="00091B40">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Average</w:t>
            </w:r>
          </w:p>
        </w:tc>
        <w:tc>
          <w:tcPr>
            <w:tcW w:w="1255" w:type="dxa"/>
            <w:noWrap/>
            <w:vAlign w:val="center"/>
            <w:hideMark/>
          </w:tcPr>
          <w:p w14:paraId="187B8739" w14:textId="77777777" w:rsidR="00B637CD" w:rsidRPr="00E345E9" w:rsidRDefault="00B637CD" w:rsidP="00091B40">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ES" w:eastAsia="es-ES"/>
              </w:rPr>
            </w:pPr>
            <w:r w:rsidRPr="00E345E9">
              <w:rPr>
                <w:rFonts w:cs="Arial"/>
                <w:color w:val="000000"/>
                <w:sz w:val="20"/>
                <w:szCs w:val="20"/>
                <w:lang w:val="es-ES" w:eastAsia="es-ES"/>
              </w:rPr>
              <w:t>Maximun</w:t>
            </w:r>
          </w:p>
        </w:tc>
      </w:tr>
      <w:tr w:rsidR="00B637CD" w:rsidRPr="00E345E9" w14:paraId="5B309E5E" w14:textId="77777777" w:rsidTr="00091B40">
        <w:trPr>
          <w:cantSplit/>
          <w:trHeight w:val="300"/>
          <w:jc w:val="center"/>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41C0928B" w14:textId="77777777" w:rsidR="00B637CD" w:rsidRPr="00E345E9" w:rsidRDefault="00B637CD" w:rsidP="00091B40">
            <w:pPr>
              <w:keepNext/>
              <w:spacing w:before="0" w:after="0" w:line="240" w:lineRule="auto"/>
              <w:jc w:val="center"/>
              <w:rPr>
                <w:rFonts w:cs="Arial"/>
                <w:b w:val="0"/>
                <w:color w:val="000000"/>
                <w:sz w:val="20"/>
                <w:szCs w:val="20"/>
                <w:lang w:val="es-ES" w:eastAsia="es-ES"/>
              </w:rPr>
            </w:pPr>
            <w:r w:rsidRPr="00E345E9">
              <w:rPr>
                <w:rFonts w:cs="Arial"/>
                <w:b w:val="0"/>
                <w:color w:val="000000"/>
                <w:sz w:val="20"/>
                <w:szCs w:val="20"/>
                <w:lang w:val="es-ES" w:eastAsia="es-ES"/>
              </w:rPr>
              <w:t>Allocations vs Booked Capacity</w:t>
            </w:r>
          </w:p>
        </w:tc>
        <w:tc>
          <w:tcPr>
            <w:tcW w:w="1125" w:type="dxa"/>
            <w:noWrap/>
            <w:vAlign w:val="center"/>
            <w:hideMark/>
          </w:tcPr>
          <w:p w14:paraId="13C2AFDF" w14:textId="77777777" w:rsidR="00B637CD" w:rsidRPr="00E345E9" w:rsidRDefault="00B637CD" w:rsidP="00091B40">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0%</w:t>
            </w:r>
          </w:p>
        </w:tc>
        <w:tc>
          <w:tcPr>
            <w:tcW w:w="1068" w:type="dxa"/>
            <w:noWrap/>
            <w:vAlign w:val="center"/>
            <w:hideMark/>
          </w:tcPr>
          <w:p w14:paraId="2EE1BB87" w14:textId="7301E9CB" w:rsidR="00B637CD" w:rsidRPr="00E345E9" w:rsidRDefault="00B637CD" w:rsidP="00091B40">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87%</w:t>
            </w:r>
          </w:p>
        </w:tc>
        <w:tc>
          <w:tcPr>
            <w:tcW w:w="1255" w:type="dxa"/>
            <w:noWrap/>
            <w:vAlign w:val="center"/>
            <w:hideMark/>
          </w:tcPr>
          <w:p w14:paraId="24E408C1" w14:textId="77777777" w:rsidR="00B637CD" w:rsidRPr="00E345E9" w:rsidRDefault="00B637CD" w:rsidP="00AF7BA1">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ES" w:eastAsia="es-ES"/>
              </w:rPr>
            </w:pPr>
            <w:r w:rsidRPr="00E345E9">
              <w:rPr>
                <w:rFonts w:cs="Arial"/>
                <w:sz w:val="20"/>
                <w:szCs w:val="20"/>
              </w:rPr>
              <w:t>100%</w:t>
            </w:r>
          </w:p>
        </w:tc>
      </w:tr>
    </w:tbl>
    <w:p w14:paraId="4206BDB1" w14:textId="08DE3611" w:rsidR="00AF7BA1" w:rsidRPr="00E345E9" w:rsidRDefault="00AF7BA1" w:rsidP="00AF7BA1">
      <w:pPr>
        <w:pStyle w:val="Descripcin"/>
        <w:spacing w:before="240" w:line="360" w:lineRule="auto"/>
        <w:jc w:val="center"/>
        <w:rPr>
          <w:sz w:val="16"/>
          <w:lang w:val="en-US"/>
        </w:rPr>
      </w:pPr>
      <w:r w:rsidRPr="00E345E9">
        <w:rPr>
          <w:sz w:val="16"/>
          <w:lang w:val="en-US"/>
        </w:rPr>
        <w:t xml:space="preserve">Table </w:t>
      </w:r>
      <w:r w:rsidRPr="00E345E9">
        <w:rPr>
          <w:sz w:val="16"/>
          <w:lang w:val="en-US"/>
        </w:rPr>
        <w:fldChar w:fldCharType="begin"/>
      </w:r>
      <w:r w:rsidRPr="00E345E9">
        <w:rPr>
          <w:sz w:val="16"/>
          <w:lang w:val="en-US"/>
        </w:rPr>
        <w:instrText xml:space="preserve"> SEQ Table \* ARABIC </w:instrText>
      </w:r>
      <w:r w:rsidRPr="00E345E9">
        <w:rPr>
          <w:sz w:val="16"/>
          <w:lang w:val="en-US"/>
        </w:rPr>
        <w:fldChar w:fldCharType="separate"/>
      </w:r>
      <w:r w:rsidR="00E859C7">
        <w:rPr>
          <w:noProof/>
          <w:sz w:val="16"/>
          <w:lang w:val="en-US"/>
        </w:rPr>
        <w:t>25</w:t>
      </w:r>
      <w:r w:rsidRPr="00E345E9">
        <w:rPr>
          <w:sz w:val="16"/>
          <w:lang w:val="en-US"/>
        </w:rPr>
        <w:fldChar w:fldCharType="end"/>
      </w:r>
      <w:r w:rsidRPr="00E345E9">
        <w:rPr>
          <w:sz w:val="16"/>
          <w:lang w:val="en-US"/>
        </w:rPr>
        <w:t>: Utilisation rates at VIP Ibérico on the Portuguese side</w:t>
      </w:r>
    </w:p>
    <w:p w14:paraId="1FC45636" w14:textId="77777777" w:rsidR="000C6F42" w:rsidRPr="00E345E9" w:rsidRDefault="000C6F42">
      <w:pPr>
        <w:spacing w:before="0" w:after="0" w:line="240" w:lineRule="auto"/>
        <w:jc w:val="left"/>
        <w:rPr>
          <w:rFonts w:cs="Arial"/>
          <w:b/>
          <w:sz w:val="28"/>
          <w:u w:val="single"/>
          <w:lang w:val="en-AU"/>
        </w:rPr>
      </w:pPr>
      <w:r w:rsidRPr="00E345E9">
        <w:rPr>
          <w:bCs/>
          <w:lang w:val="en-AU"/>
        </w:rPr>
        <w:br w:type="page"/>
      </w:r>
    </w:p>
    <w:p w14:paraId="62DC0CB3" w14:textId="258FFC07" w:rsidR="005B30F6" w:rsidRPr="00E345E9" w:rsidRDefault="005B30F6" w:rsidP="005B30F6">
      <w:pPr>
        <w:pStyle w:val="Ttulo1"/>
        <w:spacing w:before="240"/>
        <w:rPr>
          <w:iCs/>
          <w:sz w:val="26"/>
          <w:lang w:val="en-US"/>
        </w:rPr>
      </w:pPr>
      <w:bookmarkStart w:id="203" w:name="_Toc49770599"/>
      <w:r w:rsidRPr="00E345E9">
        <w:rPr>
          <w:bCs w:val="0"/>
          <w:lang w:val="en-AU"/>
        </w:rPr>
        <w:t>Assessment of the gas flows and the congestion status</w:t>
      </w:r>
      <w:bookmarkEnd w:id="203"/>
    </w:p>
    <w:p w14:paraId="2EE01634" w14:textId="77777777" w:rsidR="005B30F6" w:rsidRPr="00E345E9" w:rsidRDefault="005B30F6" w:rsidP="005B30F6">
      <w:pPr>
        <w:pStyle w:val="Ttulo2"/>
        <w:rPr>
          <w:lang w:val="en-US"/>
        </w:rPr>
      </w:pPr>
      <w:bookmarkStart w:id="204" w:name="_Toc49770600"/>
      <w:r w:rsidRPr="00E345E9">
        <w:rPr>
          <w:lang w:val="en-US"/>
        </w:rPr>
        <w:t>Analysis of the VIP’s congestion status</w:t>
      </w:r>
      <w:bookmarkEnd w:id="204"/>
    </w:p>
    <w:p w14:paraId="65C0A74C" w14:textId="77777777" w:rsidR="005B30F6" w:rsidRPr="00E345E9" w:rsidRDefault="005B30F6" w:rsidP="005B30F6">
      <w:pPr>
        <w:pStyle w:val="Ttulo3"/>
        <w:spacing w:line="360" w:lineRule="auto"/>
        <w:jc w:val="left"/>
        <w:rPr>
          <w:lang w:val="en-US"/>
        </w:rPr>
      </w:pPr>
      <w:r w:rsidRPr="00E345E9">
        <w:rPr>
          <w:lang w:val="en-US"/>
        </w:rPr>
        <w:t>VIP Pirineos: France to Spain direction</w:t>
      </w:r>
    </w:p>
    <w:p w14:paraId="2ADF09B8" w14:textId="68F9ACF3" w:rsidR="005B30F6" w:rsidRPr="00E345E9" w:rsidRDefault="005B30F6" w:rsidP="0031312A">
      <w:pPr>
        <w:spacing w:line="312" w:lineRule="auto"/>
        <w:rPr>
          <w:lang w:val="en-US"/>
        </w:rPr>
      </w:pPr>
      <w:r w:rsidRPr="00E345E9">
        <w:rPr>
          <w:lang w:val="en-US"/>
        </w:rPr>
        <w:t>According to A</w:t>
      </w:r>
      <w:r w:rsidR="00BF7632" w:rsidRPr="00E345E9">
        <w:rPr>
          <w:lang w:val="en-US"/>
        </w:rPr>
        <w:t>CER</w:t>
      </w:r>
      <w:r w:rsidRPr="00E345E9">
        <w:rPr>
          <w:lang w:val="en-US"/>
        </w:rPr>
        <w:t>’s Annual Report on Contractual Congestion, an IP is considered congested whether at least one of the criteria set out in paragraph 2.2.3(1) of the Commission Guidelines on Congestion Management Procedures (“CMP GL”) is fulfilled. That is, an IP is considered congested when demand exceeds offer at the reserve price:</w:t>
      </w:r>
    </w:p>
    <w:p w14:paraId="49849C07" w14:textId="77777777" w:rsidR="005B30F6" w:rsidRPr="00E345E9" w:rsidRDefault="005B30F6" w:rsidP="0031312A">
      <w:pPr>
        <w:spacing w:line="312" w:lineRule="auto"/>
        <w:ind w:left="426"/>
        <w:rPr>
          <w:lang w:val="en-US"/>
        </w:rPr>
      </w:pPr>
      <w:r w:rsidRPr="00E345E9">
        <w:rPr>
          <w:lang w:val="en-US"/>
        </w:rPr>
        <w:t>(a) for at least three firm capacity products with a duration of one month or</w:t>
      </w:r>
    </w:p>
    <w:p w14:paraId="7F629D9E" w14:textId="77777777" w:rsidR="005B30F6" w:rsidRPr="00E345E9" w:rsidRDefault="005B30F6" w:rsidP="0031312A">
      <w:pPr>
        <w:spacing w:line="312" w:lineRule="auto"/>
        <w:ind w:left="426"/>
        <w:rPr>
          <w:lang w:val="en-US"/>
        </w:rPr>
      </w:pPr>
      <w:r w:rsidRPr="00E345E9">
        <w:rPr>
          <w:lang w:val="en-US"/>
        </w:rPr>
        <w:t>(b) for at least two firm capacity products with a duration of one quarter or</w:t>
      </w:r>
    </w:p>
    <w:p w14:paraId="0545B7E1" w14:textId="77777777" w:rsidR="005B30F6" w:rsidRPr="00E345E9" w:rsidRDefault="005B30F6" w:rsidP="0031312A">
      <w:pPr>
        <w:spacing w:line="312" w:lineRule="auto"/>
        <w:ind w:left="426"/>
        <w:rPr>
          <w:lang w:val="en-US"/>
        </w:rPr>
      </w:pPr>
      <w:r w:rsidRPr="00E345E9">
        <w:rPr>
          <w:lang w:val="en-US"/>
        </w:rPr>
        <w:t>(c) for at least one firm capacity product with a duration of one year or more or</w:t>
      </w:r>
    </w:p>
    <w:p w14:paraId="5EABE16B" w14:textId="77777777" w:rsidR="005B30F6" w:rsidRPr="00E345E9" w:rsidRDefault="005B30F6" w:rsidP="0031312A">
      <w:pPr>
        <w:spacing w:line="312" w:lineRule="auto"/>
        <w:ind w:left="426"/>
        <w:rPr>
          <w:lang w:val="en-US"/>
        </w:rPr>
      </w:pPr>
      <w:r w:rsidRPr="00E345E9">
        <w:rPr>
          <w:lang w:val="en-US"/>
        </w:rPr>
        <w:t>(d) where no firm capacity product with a duration of one month or more has been offered</w:t>
      </w:r>
    </w:p>
    <w:p w14:paraId="02F3A5EF" w14:textId="77777777" w:rsidR="005B30F6" w:rsidRPr="00E345E9" w:rsidRDefault="005B30F6" w:rsidP="0031312A">
      <w:pPr>
        <w:spacing w:line="312" w:lineRule="auto"/>
        <w:rPr>
          <w:lang w:val="en-US"/>
        </w:rPr>
      </w:pPr>
      <w:r w:rsidRPr="00E345E9">
        <w:rPr>
          <w:lang w:val="en-US"/>
        </w:rPr>
        <w:t>In order to assess whether or not VIP Pirineos is congested, the results of the auctions that cleared with a premium price in the last gas years are listed below.</w:t>
      </w:r>
    </w:p>
    <w:p w14:paraId="7BA4A5B2" w14:textId="3C9CF140" w:rsidR="005B30F6" w:rsidRPr="00E345E9" w:rsidRDefault="00696682" w:rsidP="00ED5978">
      <w:pPr>
        <w:keepNext/>
        <w:rPr>
          <w:lang w:val="en-US"/>
        </w:rPr>
      </w:pPr>
      <w:r w:rsidRPr="00E345E9">
        <w:rPr>
          <w:noProof/>
          <w:lang w:val="es-ES" w:eastAsia="es-ES"/>
        </w:rPr>
        <w:drawing>
          <wp:inline distT="0" distB="0" distL="0" distR="0" wp14:anchorId="6BDFFFF6" wp14:editId="0B6B66CC">
            <wp:extent cx="5667001" cy="81088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b="14066"/>
                    <a:stretch/>
                  </pic:blipFill>
                  <pic:spPr bwMode="auto">
                    <a:xfrm>
                      <a:off x="0" y="0"/>
                      <a:ext cx="5670550" cy="811391"/>
                    </a:xfrm>
                    <a:prstGeom prst="rect">
                      <a:avLst/>
                    </a:prstGeom>
                    <a:noFill/>
                    <a:ln>
                      <a:noFill/>
                    </a:ln>
                    <a:extLst>
                      <a:ext uri="{53640926-AAD7-44D8-BBD7-CCE9431645EC}">
                        <a14:shadowObscured xmlns:a14="http://schemas.microsoft.com/office/drawing/2010/main"/>
                      </a:ext>
                    </a:extLst>
                  </pic:spPr>
                </pic:pic>
              </a:graphicData>
            </a:graphic>
          </wp:inline>
        </w:drawing>
      </w:r>
    </w:p>
    <w:p w14:paraId="45654D52" w14:textId="6BAC6EC6" w:rsidR="00993CD6" w:rsidRPr="00E345E9" w:rsidRDefault="00993CD6" w:rsidP="00993CD6">
      <w:pPr>
        <w:pStyle w:val="Descripcin"/>
        <w:spacing w:before="240" w:line="360" w:lineRule="auto"/>
        <w:jc w:val="center"/>
        <w:rPr>
          <w:lang w:val="en-US"/>
        </w:rPr>
      </w:pPr>
      <w:r w:rsidRPr="00E345E9">
        <w:rPr>
          <w:sz w:val="16"/>
          <w:lang w:val="en-US"/>
        </w:rPr>
        <w:t xml:space="preserve">Table </w:t>
      </w:r>
      <w:r w:rsidRPr="00E345E9">
        <w:rPr>
          <w:sz w:val="16"/>
          <w:lang w:val="en-US"/>
        </w:rPr>
        <w:fldChar w:fldCharType="begin"/>
      </w:r>
      <w:r w:rsidRPr="00E345E9">
        <w:rPr>
          <w:sz w:val="16"/>
          <w:lang w:val="en-US"/>
        </w:rPr>
        <w:instrText xml:space="preserve"> SEQ Table \* ARABIC </w:instrText>
      </w:r>
      <w:r w:rsidRPr="00E345E9">
        <w:rPr>
          <w:sz w:val="16"/>
          <w:lang w:val="en-US"/>
        </w:rPr>
        <w:fldChar w:fldCharType="separate"/>
      </w:r>
      <w:r w:rsidR="00E859C7">
        <w:rPr>
          <w:noProof/>
          <w:sz w:val="16"/>
          <w:lang w:val="en-US"/>
        </w:rPr>
        <w:t>26</w:t>
      </w:r>
      <w:r w:rsidRPr="00E345E9">
        <w:rPr>
          <w:sz w:val="16"/>
          <w:lang w:val="en-US"/>
        </w:rPr>
        <w:fldChar w:fldCharType="end"/>
      </w:r>
      <w:r w:rsidRPr="00E345E9">
        <w:rPr>
          <w:sz w:val="16"/>
          <w:lang w:val="en-US"/>
        </w:rPr>
        <w:t>: Auctions that cleared with a premium price (duration equal than or greater than a month) at VIP Pirineos France to Spain direction</w:t>
      </w:r>
    </w:p>
    <w:p w14:paraId="7675A1FC" w14:textId="4D6CDD6A" w:rsidR="005B30F6" w:rsidRPr="00E345E9" w:rsidRDefault="005B30F6" w:rsidP="0031312A">
      <w:pPr>
        <w:spacing w:line="312" w:lineRule="auto"/>
        <w:rPr>
          <w:lang w:val="en-US"/>
        </w:rPr>
      </w:pPr>
      <w:r w:rsidRPr="00E345E9">
        <w:rPr>
          <w:lang w:val="en-US"/>
        </w:rPr>
        <w:t xml:space="preserve">In view of the data, it can be set that VIP Pirineos in France to Spain direction </w:t>
      </w:r>
      <w:r w:rsidR="00BF7632" w:rsidRPr="00E345E9">
        <w:rPr>
          <w:lang w:val="en-US"/>
        </w:rPr>
        <w:t xml:space="preserve">was </w:t>
      </w:r>
      <w:r w:rsidRPr="00E345E9">
        <w:rPr>
          <w:lang w:val="en-US"/>
        </w:rPr>
        <w:t xml:space="preserve">congested </w:t>
      </w:r>
      <w:r w:rsidR="00696682" w:rsidRPr="00E345E9">
        <w:rPr>
          <w:lang w:val="en-US"/>
        </w:rPr>
        <w:t>in the gas years 2016 and 2018</w:t>
      </w:r>
      <w:r w:rsidR="00BF7632" w:rsidRPr="00E345E9">
        <w:rPr>
          <w:lang w:val="en-US"/>
        </w:rPr>
        <w:t xml:space="preserve"> according to ACER’s definition</w:t>
      </w:r>
      <w:r w:rsidR="00696682" w:rsidRPr="00E345E9">
        <w:rPr>
          <w:lang w:val="en-US"/>
        </w:rPr>
        <w:t xml:space="preserve">. </w:t>
      </w:r>
    </w:p>
    <w:p w14:paraId="19D4385C" w14:textId="77777777" w:rsidR="005B30F6" w:rsidRPr="00E345E9" w:rsidRDefault="005B30F6" w:rsidP="0031312A">
      <w:pPr>
        <w:pStyle w:val="Prrafodelista"/>
        <w:numPr>
          <w:ilvl w:val="0"/>
          <w:numId w:val="17"/>
        </w:numPr>
        <w:spacing w:line="312" w:lineRule="auto"/>
        <w:rPr>
          <w:lang w:val="en-US"/>
        </w:rPr>
      </w:pPr>
      <w:r w:rsidRPr="00E345E9">
        <w:rPr>
          <w:lang w:val="en-US"/>
        </w:rPr>
        <w:t>Two consecutive firm capacity auctions with a duration of one quarter cleared with a premium price in the gas year 2018-2019 so criteria b) was fulfilled that year.</w:t>
      </w:r>
    </w:p>
    <w:p w14:paraId="7D82E5FA" w14:textId="77777777" w:rsidR="005B30F6" w:rsidRPr="00E345E9" w:rsidRDefault="005B30F6" w:rsidP="0031312A">
      <w:pPr>
        <w:pStyle w:val="Prrafodelista"/>
        <w:numPr>
          <w:ilvl w:val="0"/>
          <w:numId w:val="17"/>
        </w:numPr>
        <w:spacing w:line="312" w:lineRule="auto"/>
        <w:rPr>
          <w:lang w:val="en-US"/>
        </w:rPr>
      </w:pPr>
      <w:r w:rsidRPr="00E345E9">
        <w:rPr>
          <w:lang w:val="en-US"/>
        </w:rPr>
        <w:t>The three firm capacity auctions with a duration of one year cleared with a premium price so criteria c) is fulfilled in the three gas years.</w:t>
      </w:r>
    </w:p>
    <w:p w14:paraId="21BDAFBE" w14:textId="6476FE01" w:rsidR="005B30F6" w:rsidRPr="00E345E9" w:rsidRDefault="005B30F6" w:rsidP="0031312A">
      <w:pPr>
        <w:spacing w:line="312" w:lineRule="auto"/>
        <w:rPr>
          <w:lang w:val="en-US"/>
        </w:rPr>
      </w:pPr>
      <w:r w:rsidRPr="00E345E9">
        <w:rPr>
          <w:lang w:val="en-US"/>
        </w:rPr>
        <w:t>Indeed, A</w:t>
      </w:r>
      <w:r w:rsidR="00BF7632" w:rsidRPr="00E345E9">
        <w:rPr>
          <w:lang w:val="en-US"/>
        </w:rPr>
        <w:t>CER</w:t>
      </w:r>
      <w:r w:rsidRPr="00E345E9">
        <w:rPr>
          <w:lang w:val="en-US"/>
        </w:rPr>
        <w:t>’s Annual report on contractual congestion at IP (period covered 2018) included VIP Pirineos France to Spain direction as a congested IP side, for which the FDA UIOLI mechanism needs to be implemented according to paragraph 2.2.3(1) of the CMP GL, unless it is shown that a congested situation is unlikely to reoccur in the following three years.</w:t>
      </w:r>
    </w:p>
    <w:p w14:paraId="49CF84A9" w14:textId="43FB45AE" w:rsidR="005B30F6" w:rsidRPr="00E345E9" w:rsidRDefault="00AC35FE" w:rsidP="00ED5978">
      <w:pPr>
        <w:keepNext/>
        <w:jc w:val="center"/>
        <w:rPr>
          <w:lang w:val="en-US"/>
        </w:rPr>
      </w:pPr>
      <w:r w:rsidRPr="00E345E9">
        <w:rPr>
          <w:noProof/>
          <w:lang w:val="es-ES" w:eastAsia="es-ES"/>
        </w:rPr>
        <w:drawing>
          <wp:inline distT="0" distB="0" distL="0" distR="0" wp14:anchorId="3AC43AA1" wp14:editId="59E6FE33">
            <wp:extent cx="5616492" cy="2551048"/>
            <wp:effectExtent l="0" t="0" r="381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44275" cy="2563667"/>
                    </a:xfrm>
                    <a:prstGeom prst="rect">
                      <a:avLst/>
                    </a:prstGeom>
                    <a:noFill/>
                  </pic:spPr>
                </pic:pic>
              </a:graphicData>
            </a:graphic>
          </wp:inline>
        </w:drawing>
      </w:r>
    </w:p>
    <w:p w14:paraId="3921268E" w14:textId="77777777" w:rsidR="005B30F6" w:rsidRPr="00E345E9" w:rsidRDefault="005B30F6" w:rsidP="005B30F6">
      <w:pPr>
        <w:pStyle w:val="Descripcin"/>
        <w:spacing w:before="240" w:line="360" w:lineRule="auto"/>
        <w:jc w:val="center"/>
        <w:rPr>
          <w:sz w:val="16"/>
          <w:lang w:val="en-US"/>
        </w:rPr>
      </w:pPr>
      <w:r w:rsidRPr="00E345E9">
        <w:rPr>
          <w:sz w:val="16"/>
          <w:lang w:val="en-US"/>
        </w:rPr>
        <w:t xml:space="preserve">Figure </w:t>
      </w:r>
      <w:r w:rsidRPr="00E345E9">
        <w:rPr>
          <w:sz w:val="16"/>
          <w:lang w:val="en-US"/>
        </w:rPr>
        <w:fldChar w:fldCharType="begin"/>
      </w:r>
      <w:r w:rsidRPr="00E345E9">
        <w:rPr>
          <w:sz w:val="16"/>
          <w:lang w:val="en-US"/>
        </w:rPr>
        <w:instrText xml:space="preserve"> SEQ Figure \* ARABIC </w:instrText>
      </w:r>
      <w:r w:rsidRPr="00E345E9">
        <w:rPr>
          <w:sz w:val="16"/>
          <w:lang w:val="en-US"/>
        </w:rPr>
        <w:fldChar w:fldCharType="separate"/>
      </w:r>
      <w:r w:rsidR="00E859C7">
        <w:rPr>
          <w:noProof/>
          <w:sz w:val="16"/>
          <w:lang w:val="en-US"/>
        </w:rPr>
        <w:t>45</w:t>
      </w:r>
      <w:r w:rsidRPr="00E345E9">
        <w:rPr>
          <w:sz w:val="16"/>
          <w:lang w:val="en-US"/>
        </w:rPr>
        <w:fldChar w:fldCharType="end"/>
      </w:r>
      <w:r w:rsidRPr="00E345E9">
        <w:rPr>
          <w:sz w:val="16"/>
          <w:lang w:val="en-US"/>
        </w:rPr>
        <w:t>: Booked capacity at VIP Pirineos</w:t>
      </w:r>
    </w:p>
    <w:p w14:paraId="620311D0" w14:textId="7484A91C" w:rsidR="005B30F6" w:rsidRPr="00E345E9" w:rsidRDefault="003217ED" w:rsidP="0031312A">
      <w:pPr>
        <w:tabs>
          <w:tab w:val="left" w:pos="1005"/>
        </w:tabs>
        <w:spacing w:after="240" w:line="312" w:lineRule="auto"/>
        <w:rPr>
          <w:color w:val="000000"/>
          <w:sz w:val="24"/>
          <w:lang w:val="en-US"/>
        </w:rPr>
      </w:pPr>
      <w:r w:rsidRPr="00E345E9">
        <w:rPr>
          <w:color w:val="000000"/>
          <w:sz w:val="24"/>
          <w:lang w:val="en-US"/>
        </w:rPr>
        <w:t>On</w:t>
      </w:r>
      <w:r w:rsidR="00F06D59" w:rsidRPr="00E345E9">
        <w:rPr>
          <w:color w:val="000000"/>
          <w:sz w:val="24"/>
          <w:lang w:val="en-US"/>
        </w:rPr>
        <w:t xml:space="preserve"> the studied period, there were only 29 days (2</w:t>
      </w:r>
      <w:r w:rsidR="007B51A1" w:rsidRPr="00E345E9">
        <w:rPr>
          <w:color w:val="000000"/>
          <w:sz w:val="24"/>
          <w:lang w:val="en-US"/>
        </w:rPr>
        <w:t>.</w:t>
      </w:r>
      <w:r w:rsidR="00F06D59" w:rsidRPr="00E345E9">
        <w:rPr>
          <w:color w:val="000000"/>
          <w:sz w:val="24"/>
          <w:lang w:val="en-US"/>
        </w:rPr>
        <w:t>6% of the time) with a firm booked capacity above 98% of the technical capacity at VIP Pirin</w:t>
      </w:r>
      <w:r w:rsidR="007B51A1" w:rsidRPr="00E345E9">
        <w:rPr>
          <w:color w:val="000000"/>
          <w:sz w:val="24"/>
          <w:lang w:val="en-US"/>
        </w:rPr>
        <w:t>eos, North South flow direction</w:t>
      </w:r>
      <w:r w:rsidR="005B30F6" w:rsidRPr="00E345E9">
        <w:rPr>
          <w:color w:val="000000"/>
          <w:sz w:val="24"/>
          <w:lang w:val="en-US"/>
        </w:rPr>
        <w:t>.</w:t>
      </w:r>
    </w:p>
    <w:p w14:paraId="515F673F" w14:textId="41F4F616" w:rsidR="005B30F6" w:rsidRDefault="005B30F6" w:rsidP="005B30F6">
      <w:pPr>
        <w:pStyle w:val="Ttulo3"/>
        <w:spacing w:line="360" w:lineRule="auto"/>
        <w:jc w:val="left"/>
        <w:rPr>
          <w:lang w:val="en-US"/>
        </w:rPr>
      </w:pPr>
      <w:r w:rsidRPr="00E345E9">
        <w:rPr>
          <w:lang w:val="en-US"/>
        </w:rPr>
        <w:t>VIP Pirineos: Spain to France direction</w:t>
      </w:r>
    </w:p>
    <w:p w14:paraId="4E16511A" w14:textId="000DA672" w:rsidR="004E0128" w:rsidRPr="004E0128" w:rsidRDefault="004E0128" w:rsidP="004E0128">
      <w:pPr>
        <w:spacing w:line="312" w:lineRule="auto"/>
        <w:rPr>
          <w:lang w:val="en-US" w:eastAsia="ja-JP"/>
        </w:rPr>
      </w:pPr>
      <w:r>
        <w:rPr>
          <w:lang w:val="en-US" w:eastAsia="ja-JP"/>
        </w:rPr>
        <w:t>In this side of the IP, only a daily and a within day auction resulted with premium in the studied period.</w:t>
      </w:r>
    </w:p>
    <w:p w14:paraId="1DFB9F5E" w14:textId="77777777" w:rsidR="005B30F6" w:rsidRPr="00E345E9" w:rsidRDefault="005B30F6" w:rsidP="00ED5978">
      <w:pPr>
        <w:keepNext/>
        <w:jc w:val="center"/>
        <w:rPr>
          <w:lang w:val="en-US" w:eastAsia="ja-JP"/>
        </w:rPr>
      </w:pPr>
      <w:r w:rsidRPr="00E345E9">
        <w:rPr>
          <w:noProof/>
          <w:lang w:val="es-ES" w:eastAsia="es-ES"/>
        </w:rPr>
        <w:drawing>
          <wp:inline distT="0" distB="0" distL="0" distR="0" wp14:anchorId="02029897" wp14:editId="38A47E3F">
            <wp:extent cx="5670550" cy="527493"/>
            <wp:effectExtent l="0" t="0" r="0" b="635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0550" cy="527493"/>
                    </a:xfrm>
                    <a:prstGeom prst="rect">
                      <a:avLst/>
                    </a:prstGeom>
                    <a:noFill/>
                    <a:ln>
                      <a:noFill/>
                    </a:ln>
                  </pic:spPr>
                </pic:pic>
              </a:graphicData>
            </a:graphic>
          </wp:inline>
        </w:drawing>
      </w:r>
    </w:p>
    <w:p w14:paraId="6B89FF10" w14:textId="78D86E39" w:rsidR="00993CD6" w:rsidRPr="00130C2F" w:rsidRDefault="00993CD6" w:rsidP="00993CD6">
      <w:pPr>
        <w:pStyle w:val="Descripcin"/>
        <w:spacing w:before="240" w:line="360" w:lineRule="auto"/>
        <w:jc w:val="center"/>
        <w:rPr>
          <w:sz w:val="16"/>
          <w:lang w:val="en-US"/>
        </w:rPr>
      </w:pPr>
      <w:r w:rsidRPr="00E345E9">
        <w:rPr>
          <w:sz w:val="16"/>
          <w:lang w:val="en-US"/>
        </w:rPr>
        <w:t xml:space="preserve">Table </w:t>
      </w:r>
      <w:r w:rsidRPr="00E345E9">
        <w:rPr>
          <w:sz w:val="16"/>
          <w:lang w:val="en-US"/>
        </w:rPr>
        <w:fldChar w:fldCharType="begin"/>
      </w:r>
      <w:r w:rsidRPr="00E345E9">
        <w:rPr>
          <w:sz w:val="16"/>
          <w:lang w:val="en-US"/>
        </w:rPr>
        <w:instrText xml:space="preserve"> SEQ Table \* ARABIC </w:instrText>
      </w:r>
      <w:r w:rsidRPr="00E345E9">
        <w:rPr>
          <w:sz w:val="16"/>
          <w:lang w:val="en-US"/>
        </w:rPr>
        <w:fldChar w:fldCharType="separate"/>
      </w:r>
      <w:r w:rsidR="00E859C7">
        <w:rPr>
          <w:noProof/>
          <w:sz w:val="16"/>
          <w:lang w:val="en-US"/>
        </w:rPr>
        <w:t>27</w:t>
      </w:r>
      <w:r w:rsidRPr="00E345E9">
        <w:rPr>
          <w:sz w:val="16"/>
          <w:lang w:val="en-US"/>
        </w:rPr>
        <w:fldChar w:fldCharType="end"/>
      </w:r>
      <w:r w:rsidRPr="00E345E9">
        <w:rPr>
          <w:sz w:val="16"/>
          <w:lang w:val="en-US"/>
        </w:rPr>
        <w:t>: Auctions that cleared with a premium price at VIP Pirineos Spain to France direction</w:t>
      </w:r>
    </w:p>
    <w:p w14:paraId="22096D94" w14:textId="79E3B3BD" w:rsidR="004E0128" w:rsidRPr="004E0128" w:rsidRDefault="004E0128" w:rsidP="004E0128">
      <w:pPr>
        <w:spacing w:line="312" w:lineRule="auto"/>
        <w:rPr>
          <w:lang w:val="en-US" w:eastAsia="ja-JP"/>
        </w:rPr>
      </w:pPr>
      <w:r>
        <w:rPr>
          <w:lang w:val="en-US" w:eastAsia="ja-JP"/>
        </w:rPr>
        <w:t xml:space="preserve">None of the criteria </w:t>
      </w:r>
      <w:r w:rsidRPr="00D439D6">
        <w:rPr>
          <w:lang w:val="en-US" w:eastAsia="ja-JP"/>
        </w:rPr>
        <w:t xml:space="preserve">set out in paragraph 2.2.3(1) of the Commission Guidelines on Congestion Management Procedures </w:t>
      </w:r>
      <w:r>
        <w:rPr>
          <w:lang w:val="en-US" w:eastAsia="ja-JP"/>
        </w:rPr>
        <w:t>have been fu</w:t>
      </w:r>
      <w:r w:rsidRPr="00D439D6">
        <w:rPr>
          <w:lang w:val="en-US" w:eastAsia="ja-JP"/>
        </w:rPr>
        <w:t>lfil</w:t>
      </w:r>
      <w:r>
        <w:rPr>
          <w:lang w:val="en-US" w:eastAsia="ja-JP"/>
        </w:rPr>
        <w:t>l</w:t>
      </w:r>
      <w:r w:rsidRPr="00D439D6">
        <w:rPr>
          <w:lang w:val="en-US" w:eastAsia="ja-JP"/>
        </w:rPr>
        <w:t>ed</w:t>
      </w:r>
      <w:r>
        <w:rPr>
          <w:lang w:val="en-US" w:eastAsia="ja-JP"/>
        </w:rPr>
        <w:t>. Therefore, that IP side cannot be considered congested.</w:t>
      </w:r>
    </w:p>
    <w:p w14:paraId="13D8EC84" w14:textId="77777777" w:rsidR="005B30F6" w:rsidRPr="00E345E9" w:rsidRDefault="005B30F6" w:rsidP="005B30F6">
      <w:pPr>
        <w:pStyle w:val="Ttulo3"/>
        <w:spacing w:line="360" w:lineRule="auto"/>
        <w:jc w:val="left"/>
        <w:rPr>
          <w:lang w:val="en-US"/>
        </w:rPr>
      </w:pPr>
      <w:r w:rsidRPr="00E345E9">
        <w:rPr>
          <w:lang w:val="en-US"/>
        </w:rPr>
        <w:t>VIP Ibérico: Spain to Portugal direction</w:t>
      </w:r>
    </w:p>
    <w:p w14:paraId="1A4B8B05" w14:textId="77777777" w:rsidR="005B30F6" w:rsidRPr="00E345E9" w:rsidRDefault="005B30F6" w:rsidP="00ED5978">
      <w:pPr>
        <w:keepNext/>
        <w:rPr>
          <w:lang w:val="en-US"/>
        </w:rPr>
      </w:pPr>
      <w:r w:rsidRPr="00E345E9">
        <w:rPr>
          <w:noProof/>
          <w:lang w:val="es-ES" w:eastAsia="es-ES"/>
        </w:rPr>
        <w:drawing>
          <wp:inline distT="0" distB="0" distL="0" distR="0" wp14:anchorId="198C02DE" wp14:editId="2B56D02C">
            <wp:extent cx="5670550" cy="789699"/>
            <wp:effectExtent l="0" t="0" r="635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0550" cy="789699"/>
                    </a:xfrm>
                    <a:prstGeom prst="rect">
                      <a:avLst/>
                    </a:prstGeom>
                    <a:noFill/>
                    <a:ln>
                      <a:noFill/>
                    </a:ln>
                  </pic:spPr>
                </pic:pic>
              </a:graphicData>
            </a:graphic>
          </wp:inline>
        </w:drawing>
      </w:r>
    </w:p>
    <w:p w14:paraId="1FDDFF2D" w14:textId="2BF25837" w:rsidR="00AB6B65" w:rsidRPr="00E345E9" w:rsidRDefault="00AB6B65" w:rsidP="00AB6B65">
      <w:pPr>
        <w:pStyle w:val="Descripcin"/>
        <w:spacing w:before="240" w:line="360" w:lineRule="auto"/>
        <w:jc w:val="center"/>
        <w:rPr>
          <w:lang w:val="en-US"/>
        </w:rPr>
      </w:pPr>
      <w:r w:rsidRPr="00E345E9">
        <w:rPr>
          <w:sz w:val="16"/>
          <w:lang w:val="en-US"/>
        </w:rPr>
        <w:t xml:space="preserve">Table </w:t>
      </w:r>
      <w:r w:rsidRPr="00E345E9">
        <w:rPr>
          <w:sz w:val="16"/>
          <w:lang w:val="en-US"/>
        </w:rPr>
        <w:fldChar w:fldCharType="begin"/>
      </w:r>
      <w:r w:rsidRPr="00E345E9">
        <w:rPr>
          <w:sz w:val="16"/>
          <w:lang w:val="en-US"/>
        </w:rPr>
        <w:instrText xml:space="preserve"> SEQ Table \* ARABIC </w:instrText>
      </w:r>
      <w:r w:rsidRPr="00E345E9">
        <w:rPr>
          <w:sz w:val="16"/>
          <w:lang w:val="en-US"/>
        </w:rPr>
        <w:fldChar w:fldCharType="separate"/>
      </w:r>
      <w:r w:rsidR="00E859C7">
        <w:rPr>
          <w:noProof/>
          <w:sz w:val="16"/>
          <w:lang w:val="en-US"/>
        </w:rPr>
        <w:t>28</w:t>
      </w:r>
      <w:r w:rsidRPr="00E345E9">
        <w:rPr>
          <w:sz w:val="16"/>
          <w:lang w:val="en-US"/>
        </w:rPr>
        <w:fldChar w:fldCharType="end"/>
      </w:r>
      <w:r w:rsidRPr="00E345E9">
        <w:rPr>
          <w:sz w:val="16"/>
          <w:lang w:val="en-US"/>
        </w:rPr>
        <w:t>: Auctions that cleared with a premium price at VIP Ibérico Spain to Portugal direction</w:t>
      </w:r>
    </w:p>
    <w:p w14:paraId="581A134B" w14:textId="2F733FCA" w:rsidR="004E0128" w:rsidRDefault="004E0128" w:rsidP="004E0128">
      <w:pPr>
        <w:spacing w:line="312" w:lineRule="auto"/>
        <w:rPr>
          <w:lang w:val="en-US"/>
        </w:rPr>
      </w:pPr>
      <w:r w:rsidRPr="00E345E9">
        <w:rPr>
          <w:lang w:val="en-US"/>
        </w:rPr>
        <w:t xml:space="preserve">During the analyzed period, there have been few days when booked capacity represented 100% of the total bundled offered capacity at VIP Ibérico Spain to Portugal direction. </w:t>
      </w:r>
    </w:p>
    <w:p w14:paraId="1C22C93A" w14:textId="5B690788" w:rsidR="004E0128" w:rsidRPr="00E345E9" w:rsidRDefault="004E0128" w:rsidP="004E0128">
      <w:pPr>
        <w:spacing w:line="312" w:lineRule="auto"/>
        <w:rPr>
          <w:lang w:val="en-US" w:eastAsia="ja-JP"/>
        </w:rPr>
      </w:pPr>
      <w:r w:rsidRPr="00E345E9">
        <w:rPr>
          <w:lang w:val="en-US"/>
        </w:rPr>
        <w:t>As no such event occurred since May 2017, that IP cannot be actually considered congested.</w:t>
      </w:r>
      <w:r w:rsidRPr="00E345E9">
        <w:rPr>
          <w:lang w:val="en-US" w:eastAsia="ja-JP"/>
        </w:rPr>
        <w:t>.</w:t>
      </w:r>
    </w:p>
    <w:p w14:paraId="373FE76B" w14:textId="77777777" w:rsidR="005B30F6" w:rsidRPr="00E345E9" w:rsidRDefault="005B30F6" w:rsidP="005B30F6">
      <w:pPr>
        <w:pStyle w:val="Ttulo3"/>
        <w:spacing w:line="360" w:lineRule="auto"/>
        <w:jc w:val="left"/>
        <w:rPr>
          <w:lang w:val="en-US"/>
        </w:rPr>
      </w:pPr>
      <w:r w:rsidRPr="00E345E9">
        <w:rPr>
          <w:lang w:val="en-US"/>
        </w:rPr>
        <w:t>VIP Ibérico: Portugal to Spain direction</w:t>
      </w:r>
    </w:p>
    <w:p w14:paraId="299DB55C" w14:textId="35EC3250" w:rsidR="005B30F6" w:rsidRPr="00E345E9" w:rsidRDefault="003217ED" w:rsidP="00CA2692">
      <w:pPr>
        <w:spacing w:line="312" w:lineRule="auto"/>
        <w:rPr>
          <w:lang w:val="en-US" w:eastAsia="ja-JP"/>
        </w:rPr>
      </w:pPr>
      <w:r w:rsidRPr="00E345E9">
        <w:rPr>
          <w:lang w:val="en-US" w:eastAsia="ja-JP"/>
        </w:rPr>
        <w:t xml:space="preserve">On </w:t>
      </w:r>
      <w:r w:rsidR="005B30F6" w:rsidRPr="00E345E9">
        <w:rPr>
          <w:lang w:val="en-US" w:eastAsia="ja-JP"/>
        </w:rPr>
        <w:t>the studied period, none of the auctions resulted with premium. None of the criteria set out in paragraph 2.2.3(1) of the Commission Guidelines on Congestion Management Procedures have been fulfilled and therefore that IP side cannot be considered congested.</w:t>
      </w:r>
    </w:p>
    <w:p w14:paraId="0D00004F" w14:textId="77777777" w:rsidR="005B30F6" w:rsidRPr="00E345E9" w:rsidRDefault="005B30F6" w:rsidP="005B30F6">
      <w:pPr>
        <w:pStyle w:val="Ttulo2"/>
        <w:rPr>
          <w:lang w:val="en-US"/>
        </w:rPr>
      </w:pPr>
      <w:bookmarkStart w:id="205" w:name="_Toc49770601"/>
      <w:r w:rsidRPr="00E345E9">
        <w:rPr>
          <w:lang w:val="en-US"/>
        </w:rPr>
        <w:t>Use of anti-hoarding mechanisms in the region</w:t>
      </w:r>
      <w:bookmarkEnd w:id="205"/>
    </w:p>
    <w:p w14:paraId="54189E41" w14:textId="77777777" w:rsidR="005B30F6" w:rsidRPr="00E345E9" w:rsidRDefault="005B30F6" w:rsidP="005B30F6">
      <w:pPr>
        <w:pStyle w:val="Ttulo3"/>
        <w:spacing w:line="360" w:lineRule="auto"/>
        <w:jc w:val="left"/>
        <w:rPr>
          <w:lang w:val="en-US"/>
        </w:rPr>
      </w:pPr>
      <w:r w:rsidRPr="00E345E9">
        <w:rPr>
          <w:lang w:val="en-US"/>
        </w:rPr>
        <w:t>Long Term Use-It-Or-Lose-It</w:t>
      </w:r>
    </w:p>
    <w:p w14:paraId="5FF2BBF9" w14:textId="3479A4FB" w:rsidR="00953D75" w:rsidRPr="00E345E9" w:rsidRDefault="00953D75" w:rsidP="00FA7429">
      <w:pPr>
        <w:pStyle w:val="Ttulo4"/>
      </w:pPr>
      <w:r w:rsidRPr="00E345E9">
        <w:rPr>
          <w:u w:val="none"/>
        </w:rPr>
        <w:t>VIP Pirineos</w:t>
      </w:r>
    </w:p>
    <w:p w14:paraId="29AD7BA7" w14:textId="3E3559A4" w:rsidR="001701E0" w:rsidRPr="00E345E9" w:rsidRDefault="005B30F6" w:rsidP="00FA7429">
      <w:pPr>
        <w:spacing w:line="312" w:lineRule="auto"/>
        <w:rPr>
          <w:lang w:val="es-ES"/>
        </w:rPr>
      </w:pPr>
      <w:r w:rsidRPr="00E345E9">
        <w:rPr>
          <w:lang w:val="es-ES"/>
        </w:rPr>
        <w:t>In April 2017, April 2018 and April 2019 Enagas</w:t>
      </w:r>
      <w:r w:rsidR="00503224" w:rsidRPr="00E345E9">
        <w:rPr>
          <w:lang w:val="es-ES"/>
        </w:rPr>
        <w:t xml:space="preserve"> and Teréga</w:t>
      </w:r>
      <w:r w:rsidR="00953D75" w:rsidRPr="00E345E9">
        <w:rPr>
          <w:lang w:val="es-ES"/>
        </w:rPr>
        <w:t xml:space="preserve"> </w:t>
      </w:r>
      <w:r w:rsidRPr="00E345E9">
        <w:rPr>
          <w:lang w:val="es-ES"/>
        </w:rPr>
        <w:t xml:space="preserve">performed the calculations according to regulation </w:t>
      </w:r>
      <w:hyperlink r:id="rId72" w:history="1">
        <w:r w:rsidRPr="00E345E9">
          <w:rPr>
            <w:rStyle w:val="Hipervnculo"/>
            <w:i/>
            <w:lang w:val="es-ES"/>
          </w:rPr>
          <w:t>Circular 1/2013, de 18 de diciembre, de la Comisión Nacional de los Mercados y la Competencia, por la que se establecen los mecanismos de gestión de congestiones a aplicar en las conexiones internacionales por gasoducto con Europa</w:t>
        </w:r>
      </w:hyperlink>
      <w:r w:rsidR="00503224" w:rsidRPr="00E345E9">
        <w:rPr>
          <w:i/>
          <w:lang w:val="es-ES"/>
        </w:rPr>
        <w:t>.</w:t>
      </w:r>
      <w:r w:rsidRPr="00E345E9">
        <w:rPr>
          <w:lang w:val="es-ES"/>
        </w:rPr>
        <w:t>.</w:t>
      </w:r>
    </w:p>
    <w:p w14:paraId="575BFAAF" w14:textId="0F00288A" w:rsidR="00772B25" w:rsidRPr="00E345E9" w:rsidRDefault="00772B25" w:rsidP="00FA7429">
      <w:pPr>
        <w:spacing w:line="312" w:lineRule="auto"/>
        <w:rPr>
          <w:lang w:val="en-GB"/>
        </w:rPr>
      </w:pPr>
      <w:r w:rsidRPr="00E345E9">
        <w:rPr>
          <w:lang w:val="en-GB"/>
        </w:rPr>
        <w:t xml:space="preserve">At Spanish side, </w:t>
      </w:r>
      <w:r w:rsidR="00EF6D5D" w:rsidRPr="00E345E9">
        <w:rPr>
          <w:lang w:val="en-GB"/>
        </w:rPr>
        <w:t>c</w:t>
      </w:r>
      <w:r w:rsidR="00EF6D5D" w:rsidRPr="00E345E9">
        <w:t>ontracted</w:t>
      </w:r>
      <w:r w:rsidR="00EF6D5D" w:rsidRPr="00E345E9">
        <w:rPr>
          <w:spacing w:val="45"/>
        </w:rPr>
        <w:t xml:space="preserve"> </w:t>
      </w:r>
      <w:r w:rsidR="00EF6D5D" w:rsidRPr="00E345E9">
        <w:t>capacity</w:t>
      </w:r>
      <w:r w:rsidR="00EF6D5D" w:rsidRPr="00E345E9">
        <w:rPr>
          <w:spacing w:val="42"/>
        </w:rPr>
        <w:t xml:space="preserve"> </w:t>
      </w:r>
      <w:r w:rsidR="00EF6D5D" w:rsidRPr="00E345E9">
        <w:t>shall</w:t>
      </w:r>
      <w:r w:rsidR="00EF6D5D" w:rsidRPr="00E345E9">
        <w:rPr>
          <w:spacing w:val="45"/>
        </w:rPr>
        <w:t xml:space="preserve"> </w:t>
      </w:r>
      <w:r w:rsidR="00EF6D5D" w:rsidRPr="00E345E9">
        <w:t>be</w:t>
      </w:r>
      <w:r w:rsidR="00EF6D5D" w:rsidRPr="00E345E9">
        <w:rPr>
          <w:spacing w:val="41"/>
        </w:rPr>
        <w:t xml:space="preserve"> </w:t>
      </w:r>
      <w:r w:rsidR="00EF6D5D" w:rsidRPr="00E345E9">
        <w:t>considered</w:t>
      </w:r>
      <w:r w:rsidR="00EF6D5D" w:rsidRPr="00E345E9">
        <w:rPr>
          <w:spacing w:val="49"/>
        </w:rPr>
        <w:t xml:space="preserve"> </w:t>
      </w:r>
      <w:r w:rsidR="00EF6D5D" w:rsidRPr="00E345E9">
        <w:t>systematically</w:t>
      </w:r>
      <w:r w:rsidR="00EF6D5D" w:rsidRPr="00E345E9">
        <w:rPr>
          <w:spacing w:val="41"/>
        </w:rPr>
        <w:t xml:space="preserve"> </w:t>
      </w:r>
      <w:r w:rsidR="00EF6D5D" w:rsidRPr="00E345E9">
        <w:t>underutilized,</w:t>
      </w:r>
      <w:r w:rsidR="00EF6D5D" w:rsidRPr="00E345E9">
        <w:rPr>
          <w:spacing w:val="46"/>
        </w:rPr>
        <w:t xml:space="preserve"> </w:t>
      </w:r>
      <w:r w:rsidR="00EF6D5D" w:rsidRPr="00E345E9">
        <w:t>in</w:t>
      </w:r>
      <w:r w:rsidR="00EF6D5D" w:rsidRPr="00E345E9">
        <w:rPr>
          <w:spacing w:val="60"/>
          <w:w w:val="99"/>
        </w:rPr>
        <w:t xml:space="preserve"> </w:t>
      </w:r>
      <w:r w:rsidR="00EF6D5D" w:rsidRPr="00E345E9">
        <w:t>particular,</w:t>
      </w:r>
      <w:r w:rsidR="00EF6D5D" w:rsidRPr="00E345E9">
        <w:rPr>
          <w:spacing w:val="-8"/>
        </w:rPr>
        <w:t xml:space="preserve"> </w:t>
      </w:r>
      <w:r w:rsidR="00EF6D5D" w:rsidRPr="00E345E9">
        <w:rPr>
          <w:spacing w:val="1"/>
        </w:rPr>
        <w:t>if</w:t>
      </w:r>
      <w:r w:rsidR="00EF6D5D" w:rsidRPr="00E345E9">
        <w:rPr>
          <w:spacing w:val="-6"/>
        </w:rPr>
        <w:t xml:space="preserve"> </w:t>
      </w:r>
      <w:r w:rsidR="00EF6D5D" w:rsidRPr="00E345E9">
        <w:t>at</w:t>
      </w:r>
      <w:r w:rsidR="00EF6D5D" w:rsidRPr="00E345E9">
        <w:rPr>
          <w:spacing w:val="-6"/>
        </w:rPr>
        <w:t xml:space="preserve"> </w:t>
      </w:r>
      <w:r w:rsidR="00EF6D5D" w:rsidRPr="00E345E9">
        <w:t>least</w:t>
      </w:r>
      <w:r w:rsidR="00EF6D5D" w:rsidRPr="00E345E9">
        <w:rPr>
          <w:spacing w:val="-6"/>
        </w:rPr>
        <w:t xml:space="preserve"> </w:t>
      </w:r>
      <w:r w:rsidR="00EF6D5D" w:rsidRPr="00E345E9">
        <w:rPr>
          <w:spacing w:val="-1"/>
        </w:rPr>
        <w:t>one</w:t>
      </w:r>
      <w:r w:rsidR="00EF6D5D" w:rsidRPr="00E345E9">
        <w:rPr>
          <w:spacing w:val="-7"/>
        </w:rPr>
        <w:t xml:space="preserve"> </w:t>
      </w:r>
      <w:r w:rsidR="00EF6D5D" w:rsidRPr="00E345E9">
        <w:rPr>
          <w:spacing w:val="-1"/>
        </w:rPr>
        <w:t>of</w:t>
      </w:r>
      <w:r w:rsidR="00EF6D5D" w:rsidRPr="00E345E9">
        <w:rPr>
          <w:spacing w:val="-6"/>
        </w:rPr>
        <w:t xml:space="preserve"> </w:t>
      </w:r>
      <w:r w:rsidR="00EF6D5D" w:rsidRPr="00E345E9">
        <w:rPr>
          <w:spacing w:val="1"/>
        </w:rPr>
        <w:t>the</w:t>
      </w:r>
      <w:r w:rsidR="00EF6D5D" w:rsidRPr="00E345E9">
        <w:rPr>
          <w:spacing w:val="-7"/>
        </w:rPr>
        <w:t xml:space="preserve"> </w:t>
      </w:r>
      <w:r w:rsidR="00EF6D5D" w:rsidRPr="00E345E9">
        <w:t>following</w:t>
      </w:r>
      <w:r w:rsidR="00EF6D5D" w:rsidRPr="00E345E9">
        <w:rPr>
          <w:spacing w:val="-6"/>
        </w:rPr>
        <w:t xml:space="preserve"> </w:t>
      </w:r>
      <w:r w:rsidR="00EF6D5D" w:rsidRPr="00E345E9">
        <w:rPr>
          <w:spacing w:val="-1"/>
        </w:rPr>
        <w:t>conditions</w:t>
      </w:r>
      <w:r w:rsidR="00EF6D5D" w:rsidRPr="00E345E9">
        <w:rPr>
          <w:spacing w:val="-6"/>
        </w:rPr>
        <w:t xml:space="preserve"> </w:t>
      </w:r>
      <w:r w:rsidR="00EF6D5D" w:rsidRPr="00E345E9">
        <w:rPr>
          <w:spacing w:val="1"/>
        </w:rPr>
        <w:t>is</w:t>
      </w:r>
      <w:r w:rsidR="00EF6D5D" w:rsidRPr="00E345E9">
        <w:rPr>
          <w:spacing w:val="-8"/>
        </w:rPr>
        <w:t xml:space="preserve"> </w:t>
      </w:r>
      <w:r w:rsidR="00EF6D5D" w:rsidRPr="00E345E9">
        <w:t>met</w:t>
      </w:r>
      <w:r w:rsidRPr="00E345E9">
        <w:rPr>
          <w:lang w:val="en-GB"/>
        </w:rPr>
        <w:t>:</w:t>
      </w:r>
    </w:p>
    <w:p w14:paraId="7D789DFA" w14:textId="537DCE0F" w:rsidR="00772B25" w:rsidRPr="00E345E9" w:rsidRDefault="00772B25" w:rsidP="00FA7429">
      <w:pPr>
        <w:pStyle w:val="Prrafodelista"/>
        <w:numPr>
          <w:ilvl w:val="0"/>
          <w:numId w:val="24"/>
        </w:numPr>
        <w:spacing w:line="312" w:lineRule="auto"/>
        <w:rPr>
          <w:lang w:val="en-GB"/>
        </w:rPr>
      </w:pPr>
      <w:r w:rsidRPr="00E345E9">
        <w:rPr>
          <w:lang w:val="en-GB"/>
        </w:rPr>
        <w:t>If, for two successive periods of six (6) consecutive months, starting on the first (1) October or the first (1) April, the utilization rate of the contract (calculated as the average used capacity per day in each period divided by</w:t>
      </w:r>
      <w:r w:rsidR="00BC0859" w:rsidRPr="00E345E9">
        <w:rPr>
          <w:lang w:val="en-GB"/>
        </w:rPr>
        <w:t xml:space="preserve"> the average booked capacity) is less than 80%, or</w:t>
      </w:r>
    </w:p>
    <w:p w14:paraId="026E108E" w14:textId="047350E6" w:rsidR="00BC0859" w:rsidRPr="00E345E9" w:rsidRDefault="00BC0859" w:rsidP="00FA7429">
      <w:pPr>
        <w:pStyle w:val="Prrafodelista"/>
        <w:numPr>
          <w:ilvl w:val="0"/>
          <w:numId w:val="24"/>
        </w:numPr>
        <w:spacing w:line="312" w:lineRule="auto"/>
        <w:rPr>
          <w:lang w:val="en-GB"/>
        </w:rPr>
      </w:pPr>
      <w:r w:rsidRPr="00E345E9">
        <w:rPr>
          <w:lang w:val="en-GB"/>
        </w:rPr>
        <w:t>If, in both analysed periods, there are at least 60 days in which the shipper nominates above the 80% of its booked capacity and then renominates half or less of the capacity initially nominated.</w:t>
      </w:r>
    </w:p>
    <w:p w14:paraId="0EEBF37D" w14:textId="141FE677" w:rsidR="00953D75" w:rsidRPr="00E345E9" w:rsidRDefault="00BC0859" w:rsidP="00FA7429">
      <w:pPr>
        <w:spacing w:line="312" w:lineRule="auto"/>
        <w:rPr>
          <w:lang w:val="en-US"/>
        </w:rPr>
      </w:pPr>
      <w:r w:rsidRPr="00E345E9">
        <w:rPr>
          <w:lang w:val="en-US"/>
        </w:rPr>
        <w:t>If underutilization is detected in the previous analysis, it is checked if the shipper has offered capacity in the secondary market under reasonable conditions (in terms of price and amount of capacity offered). If that is not the case, capacity is susceptible of being withdraw</w:t>
      </w:r>
      <w:r w:rsidR="0067069D" w:rsidRPr="00E345E9">
        <w:rPr>
          <w:lang w:val="en-US"/>
        </w:rPr>
        <w:t>n</w:t>
      </w:r>
      <w:r w:rsidRPr="00E345E9">
        <w:rPr>
          <w:lang w:val="en-US"/>
        </w:rPr>
        <w:t>.</w:t>
      </w:r>
    </w:p>
    <w:p w14:paraId="6B444F08" w14:textId="009CE32D" w:rsidR="00953D75" w:rsidRPr="00E345E9" w:rsidRDefault="00953D75" w:rsidP="00FA7429">
      <w:pPr>
        <w:spacing w:line="312" w:lineRule="auto"/>
        <w:rPr>
          <w:lang w:val="en-GB"/>
        </w:rPr>
      </w:pPr>
      <w:r w:rsidRPr="00E345E9">
        <w:rPr>
          <w:lang w:val="en-GB"/>
        </w:rPr>
        <w:t xml:space="preserve">At French side, the Long-Term UIOLI procedure can be implemented if </w:t>
      </w:r>
      <w:r w:rsidR="00ED6B55" w:rsidRPr="00E345E9">
        <w:rPr>
          <w:lang w:val="en-GB"/>
        </w:rPr>
        <w:t xml:space="preserve">at least one of </w:t>
      </w:r>
      <w:r w:rsidRPr="00E345E9">
        <w:rPr>
          <w:lang w:val="en-GB"/>
        </w:rPr>
        <w:t xml:space="preserve">the following conditions are met:    </w:t>
      </w:r>
    </w:p>
    <w:p w14:paraId="3698DEEB" w14:textId="7F785C05" w:rsidR="00953D75" w:rsidRPr="00E345E9" w:rsidRDefault="00953D75" w:rsidP="00FA7429">
      <w:pPr>
        <w:spacing w:line="312" w:lineRule="auto"/>
        <w:rPr>
          <w:lang w:val="en-GB"/>
        </w:rPr>
      </w:pPr>
      <w:r w:rsidRPr="00E345E9">
        <w:rPr>
          <w:lang w:val="en-GB"/>
        </w:rPr>
        <w:t>1)</w:t>
      </w:r>
      <w:r w:rsidRPr="00E345E9">
        <w:rPr>
          <w:lang w:val="en-GB"/>
        </w:rPr>
        <w:tab/>
      </w:r>
      <w:r w:rsidR="00EF6D5D" w:rsidRPr="00E345E9">
        <w:rPr>
          <w:lang w:val="en-GB"/>
        </w:rPr>
        <w:t>same as first condition in the Spanish side</w:t>
      </w:r>
      <w:r w:rsidRPr="00E345E9">
        <w:rPr>
          <w:lang w:val="en-GB"/>
        </w:rPr>
        <w:t xml:space="preserve"> </w:t>
      </w:r>
    </w:p>
    <w:p w14:paraId="76430F39" w14:textId="77777777" w:rsidR="00953D75" w:rsidRPr="00E345E9" w:rsidRDefault="00953D75" w:rsidP="00FA7429">
      <w:pPr>
        <w:spacing w:line="312" w:lineRule="auto"/>
        <w:rPr>
          <w:lang w:val="en-GB"/>
        </w:rPr>
      </w:pPr>
      <w:r w:rsidRPr="00E345E9">
        <w:rPr>
          <w:lang w:val="en-GB"/>
        </w:rPr>
        <w:t>2)</w:t>
      </w:r>
      <w:r w:rsidRPr="00E345E9">
        <w:rPr>
          <w:lang w:val="en-GB"/>
        </w:rPr>
        <w:tab/>
        <w:t>if Teréga has not been able to fulfil at least one duly justified request from another shipper for an annual subscription for a Daily Entry or Exit Capacity at the aforementioned Network Interconnection Point.</w:t>
      </w:r>
    </w:p>
    <w:p w14:paraId="4E3FD7FB" w14:textId="3FF15DB8" w:rsidR="00953D75" w:rsidRPr="00E345E9" w:rsidRDefault="00C277D0" w:rsidP="00FA7429">
      <w:pPr>
        <w:spacing w:line="312" w:lineRule="auto"/>
        <w:rPr>
          <w:lang w:val="en-US"/>
        </w:rPr>
      </w:pPr>
      <w:r w:rsidRPr="00E345E9">
        <w:rPr>
          <w:lang w:val="en-US"/>
        </w:rPr>
        <w:t>Regarding VIP Pirineos, the underused capacity in the North to South direction has been progressively reduced during the past two years, while in the South to North direction the tendency seems more irregular.</w:t>
      </w:r>
    </w:p>
    <w:p w14:paraId="24497F11" w14:textId="63ADBEC0" w:rsidR="00503224" w:rsidRPr="00E345E9" w:rsidRDefault="00503224" w:rsidP="00FA7429">
      <w:pPr>
        <w:spacing w:line="312" w:lineRule="auto"/>
        <w:rPr>
          <w:lang w:val="en-US"/>
        </w:rPr>
      </w:pPr>
      <w:r w:rsidRPr="00E345E9">
        <w:rPr>
          <w:lang w:val="en-US"/>
        </w:rPr>
        <w:t>The LT UIOLI mechanism has not been applied due to the different triggering conditions in both countries. Further coordination in the application of this mechanism should be explored in order to keep moving forward in the regulatory harmonization in the Region.</w:t>
      </w:r>
    </w:p>
    <w:p w14:paraId="2ECC368E" w14:textId="6CA8070D" w:rsidR="00953D75" w:rsidRPr="00E345E9" w:rsidRDefault="00953D75" w:rsidP="00953D75">
      <w:pPr>
        <w:pStyle w:val="Ttulo4"/>
        <w:rPr>
          <w:u w:val="none"/>
        </w:rPr>
      </w:pPr>
      <w:r w:rsidRPr="00E345E9">
        <w:rPr>
          <w:u w:val="none"/>
        </w:rPr>
        <w:t xml:space="preserve">VIP </w:t>
      </w:r>
      <w:r w:rsidR="006822C9" w:rsidRPr="00E345E9">
        <w:rPr>
          <w:u w:val="none"/>
        </w:rPr>
        <w:t>Ibérico</w:t>
      </w:r>
    </w:p>
    <w:p w14:paraId="2379744A" w14:textId="671A61D1" w:rsidR="00953D75" w:rsidRPr="00E345E9" w:rsidRDefault="00953D75" w:rsidP="00FA7429">
      <w:pPr>
        <w:spacing w:line="312" w:lineRule="auto"/>
        <w:rPr>
          <w:lang w:val="en-GB"/>
        </w:rPr>
      </w:pPr>
      <w:r w:rsidRPr="00E345E9">
        <w:rPr>
          <w:lang w:val="en-GB"/>
        </w:rPr>
        <w:t xml:space="preserve">At </w:t>
      </w:r>
      <w:r w:rsidR="008F2EB4">
        <w:rPr>
          <w:lang w:val="en-GB"/>
        </w:rPr>
        <w:t>the</w:t>
      </w:r>
      <w:r w:rsidRPr="00E345E9">
        <w:rPr>
          <w:lang w:val="en-GB"/>
        </w:rPr>
        <w:t xml:space="preserve"> Spanish side, the Long-Term UIOLI procedure can be triggered if the same conditions as explained for the VIP Pirineos are fulfilled.</w:t>
      </w:r>
    </w:p>
    <w:p w14:paraId="75350475" w14:textId="29A91D30" w:rsidR="007C03F1" w:rsidRPr="00E345E9" w:rsidRDefault="007C03F1" w:rsidP="007C03F1">
      <w:pPr>
        <w:spacing w:line="312" w:lineRule="auto"/>
        <w:rPr>
          <w:lang w:val="en-GB"/>
        </w:rPr>
      </w:pPr>
      <w:r w:rsidRPr="00E345E9">
        <w:rPr>
          <w:lang w:val="en-GB"/>
        </w:rPr>
        <w:t xml:space="preserve">At the Portuguese side, the Long-Term UOILI wasn´t implemented during </w:t>
      </w:r>
      <w:r w:rsidR="003C15A4">
        <w:rPr>
          <w:lang w:val="en-GB"/>
        </w:rPr>
        <w:t xml:space="preserve">the </w:t>
      </w:r>
      <w:r w:rsidR="008F2EB4">
        <w:rPr>
          <w:lang w:val="en-GB"/>
        </w:rPr>
        <w:t xml:space="preserve">covered </w:t>
      </w:r>
      <w:r w:rsidRPr="00E345E9">
        <w:rPr>
          <w:lang w:val="en-GB"/>
        </w:rPr>
        <w:t>period. However, with the establishment of Commission Regulation (EU) 2017/459 of 16</w:t>
      </w:r>
      <w:r w:rsidRPr="00E345E9">
        <w:rPr>
          <w:vertAlign w:val="superscript"/>
          <w:lang w:val="en-GB"/>
        </w:rPr>
        <w:t>th</w:t>
      </w:r>
      <w:r w:rsidRPr="00E345E9">
        <w:rPr>
          <w:lang w:val="en-GB"/>
        </w:rPr>
        <w:t xml:space="preserve"> March 2017, yearly auction must offer capacity for, at least, the five upcoming years. This long-term capacity first started with gas year 2018</w:t>
      </w:r>
      <w:r w:rsidR="003C15A4">
        <w:rPr>
          <w:lang w:val="en-GB"/>
        </w:rPr>
        <w:t>-</w:t>
      </w:r>
      <w:r w:rsidRPr="00E345E9">
        <w:rPr>
          <w:lang w:val="en-GB"/>
        </w:rPr>
        <w:t>2019 yearly auction on 2</w:t>
      </w:r>
      <w:r w:rsidRPr="00E345E9">
        <w:rPr>
          <w:vertAlign w:val="superscript"/>
          <w:lang w:val="en-GB"/>
        </w:rPr>
        <w:t>nd</w:t>
      </w:r>
      <w:r w:rsidRPr="00E345E9">
        <w:rPr>
          <w:lang w:val="en-GB"/>
        </w:rPr>
        <w:t xml:space="preserve"> July 2018, thus creating conditions for UIOLI mechanism to be applied first for gas year 2020</w:t>
      </w:r>
      <w:r w:rsidR="000D5CD0">
        <w:rPr>
          <w:lang w:val="en-GB"/>
        </w:rPr>
        <w:t>-</w:t>
      </w:r>
      <w:r w:rsidRPr="00E345E9">
        <w:rPr>
          <w:lang w:val="en-GB"/>
        </w:rPr>
        <w:t>2021, in compliance with Commission Regulation (CE) 715/2009 of 13</w:t>
      </w:r>
      <w:r w:rsidRPr="00E345E9">
        <w:rPr>
          <w:vertAlign w:val="superscript"/>
          <w:lang w:val="en-GB"/>
        </w:rPr>
        <w:t>th</w:t>
      </w:r>
      <w:r w:rsidRPr="00E345E9">
        <w:rPr>
          <w:lang w:val="en-GB"/>
        </w:rPr>
        <w:t xml:space="preserve"> July 2009. The procedure between REN and ENAGÁS, that describes the mechanism and its application at VIP IBÉRICO</w:t>
      </w:r>
      <w:r w:rsidR="008F2EB4">
        <w:rPr>
          <w:lang w:val="en-GB"/>
        </w:rPr>
        <w:t>,</w:t>
      </w:r>
      <w:r w:rsidRPr="00E345E9">
        <w:rPr>
          <w:lang w:val="en-GB"/>
        </w:rPr>
        <w:t xml:space="preserve"> was recently approved and can be consulted through the following link:</w:t>
      </w:r>
    </w:p>
    <w:p w14:paraId="0DF8F3B8" w14:textId="77777777" w:rsidR="007C03F1" w:rsidRPr="00E345E9" w:rsidRDefault="00813AEC" w:rsidP="007C03F1">
      <w:pPr>
        <w:spacing w:line="312" w:lineRule="auto"/>
        <w:rPr>
          <w:lang w:val="en-GB"/>
        </w:rPr>
      </w:pPr>
      <w:hyperlink r:id="rId73" w:history="1">
        <w:r w:rsidR="007C03F1" w:rsidRPr="00E345E9">
          <w:rPr>
            <w:rStyle w:val="Hipervnculo"/>
          </w:rPr>
          <w:t>https://www.acer.europa.eu/en/Gas/Regional_%20Intiatives/South_GRI/Documents/LT_UIOLI_VIP_Iberico-Final.pdf</w:t>
        </w:r>
      </w:hyperlink>
    </w:p>
    <w:p w14:paraId="29E373F6" w14:textId="77777777" w:rsidR="005B30F6" w:rsidRPr="00E345E9" w:rsidRDefault="005B30F6" w:rsidP="005B30F6">
      <w:pPr>
        <w:pStyle w:val="Ttulo3"/>
        <w:spacing w:line="360" w:lineRule="auto"/>
        <w:jc w:val="left"/>
        <w:rPr>
          <w:lang w:val="en-US"/>
        </w:rPr>
      </w:pPr>
      <w:r w:rsidRPr="00E345E9">
        <w:rPr>
          <w:lang w:val="en-US"/>
        </w:rPr>
        <w:t>Surrender capacity</w:t>
      </w:r>
    </w:p>
    <w:p w14:paraId="15E45BD1" w14:textId="6F7ACEB0" w:rsidR="005B30F6" w:rsidRPr="00E345E9" w:rsidRDefault="000C7800" w:rsidP="000C7800">
      <w:pPr>
        <w:pStyle w:val="Ttulo4"/>
        <w:spacing w:line="240" w:lineRule="auto"/>
      </w:pPr>
      <w:r w:rsidRPr="00E345E9">
        <w:t>Enagás</w:t>
      </w:r>
    </w:p>
    <w:p w14:paraId="74A32449" w14:textId="2FC68701" w:rsidR="005B30F6" w:rsidRPr="00E345E9" w:rsidRDefault="005B30F6" w:rsidP="000C7800">
      <w:pPr>
        <w:spacing w:line="312" w:lineRule="auto"/>
        <w:rPr>
          <w:lang w:val="en-US"/>
        </w:rPr>
      </w:pPr>
      <w:r w:rsidRPr="00E345E9">
        <w:rPr>
          <w:lang w:val="en-US"/>
        </w:rPr>
        <w:t xml:space="preserve">Although this mechanism has been implemented in </w:t>
      </w:r>
      <w:r w:rsidR="000C7800" w:rsidRPr="00E345E9">
        <w:rPr>
          <w:lang w:val="en-US"/>
        </w:rPr>
        <w:t xml:space="preserve">Enagás </w:t>
      </w:r>
      <w:r w:rsidRPr="00E345E9">
        <w:rPr>
          <w:lang w:val="en-US"/>
        </w:rPr>
        <w:t>since March 2014 (for the assignment of the gas year October 2014-2015), no shippers have requested to surrender their capacity so far.</w:t>
      </w:r>
    </w:p>
    <w:p w14:paraId="31B3E9AD" w14:textId="77777777" w:rsidR="005B30F6" w:rsidRPr="00E345E9" w:rsidRDefault="005B30F6" w:rsidP="000C7800">
      <w:pPr>
        <w:pStyle w:val="Ttulo4"/>
        <w:spacing w:line="240" w:lineRule="auto"/>
      </w:pPr>
      <w:r w:rsidRPr="00E345E9">
        <w:t>Teréga</w:t>
      </w:r>
    </w:p>
    <w:p w14:paraId="5E184DB7" w14:textId="7926E331" w:rsidR="005B30F6" w:rsidRPr="00E345E9" w:rsidRDefault="005B30F6" w:rsidP="000C7800">
      <w:pPr>
        <w:spacing w:line="312" w:lineRule="auto"/>
        <w:rPr>
          <w:lang w:val="en-US"/>
        </w:rPr>
      </w:pPr>
      <w:r w:rsidRPr="00E345E9">
        <w:rPr>
          <w:lang w:val="en-US"/>
        </w:rPr>
        <w:t>Following the application of the CRE</w:t>
      </w:r>
      <w:r w:rsidR="00EE18F3" w:rsidRPr="00E345E9">
        <w:rPr>
          <w:lang w:val="en-US"/>
        </w:rPr>
        <w:t>’s</w:t>
      </w:r>
      <w:r w:rsidRPr="00E345E9">
        <w:rPr>
          <w:lang w:val="en-US"/>
        </w:rPr>
        <w:t xml:space="preserve"> </w:t>
      </w:r>
      <w:r w:rsidR="00EE18F3" w:rsidRPr="00E345E9">
        <w:rPr>
          <w:lang w:val="en-US"/>
        </w:rPr>
        <w:t>D</w:t>
      </w:r>
      <w:r w:rsidRPr="00E345E9">
        <w:rPr>
          <w:lang w:val="en-US"/>
        </w:rPr>
        <w:t xml:space="preserve">eliberation dated </w:t>
      </w:r>
      <w:r w:rsidR="00EE18F3" w:rsidRPr="00E345E9">
        <w:rPr>
          <w:lang w:val="en-US"/>
        </w:rPr>
        <w:t>on</w:t>
      </w:r>
      <w:r w:rsidRPr="00E345E9">
        <w:rPr>
          <w:lang w:val="en-AU"/>
        </w:rPr>
        <w:t xml:space="preserve">27/06/2013, </w:t>
      </w:r>
      <w:r w:rsidR="00EA22D3" w:rsidRPr="00E345E9">
        <w:rPr>
          <w:lang w:val="en-US"/>
        </w:rPr>
        <w:t>Teréga</w:t>
      </w:r>
      <w:r w:rsidRPr="00E345E9">
        <w:rPr>
          <w:lang w:val="en-US"/>
        </w:rPr>
        <w:t xml:space="preserve"> may accept any request to return Firm Capacity of one or several months held by a Shipper. </w:t>
      </w:r>
    </w:p>
    <w:p w14:paraId="656A4456" w14:textId="295B02A1" w:rsidR="005B30F6" w:rsidRPr="00E345E9" w:rsidRDefault="005B30F6" w:rsidP="000C7800">
      <w:pPr>
        <w:spacing w:line="312" w:lineRule="auto"/>
        <w:rPr>
          <w:lang w:val="en-US"/>
        </w:rPr>
      </w:pPr>
      <w:r w:rsidRPr="00E345E9">
        <w:rPr>
          <w:lang w:val="en-US"/>
        </w:rPr>
        <w:t>The request to return Firm Capacity specifies the interconnection point (PITT) in question, the quantity and the start and end dates.</w:t>
      </w:r>
    </w:p>
    <w:p w14:paraId="38CC95CC" w14:textId="77777777" w:rsidR="005B30F6" w:rsidRPr="00E345E9" w:rsidRDefault="005B30F6" w:rsidP="000C7800">
      <w:pPr>
        <w:spacing w:line="312" w:lineRule="auto"/>
        <w:rPr>
          <w:lang w:val="en-US"/>
        </w:rPr>
      </w:pPr>
      <w:r w:rsidRPr="00E345E9">
        <w:rPr>
          <w:lang w:val="en-US"/>
        </w:rPr>
        <w:t>This mechanism has not been required by the market for the concerned period.</w:t>
      </w:r>
    </w:p>
    <w:p w14:paraId="1B9B84EF" w14:textId="77777777" w:rsidR="005B30F6" w:rsidRPr="00E345E9" w:rsidRDefault="005B30F6" w:rsidP="000C7800">
      <w:pPr>
        <w:pStyle w:val="Ttulo4"/>
        <w:spacing w:line="240" w:lineRule="auto"/>
      </w:pPr>
      <w:r w:rsidRPr="00E345E9">
        <w:t>REN</w:t>
      </w:r>
    </w:p>
    <w:p w14:paraId="244C8B07" w14:textId="77777777" w:rsidR="007C03F1" w:rsidRPr="00E345E9" w:rsidRDefault="007C03F1" w:rsidP="007C03F1">
      <w:pPr>
        <w:spacing w:line="312" w:lineRule="auto"/>
        <w:rPr>
          <w:lang w:val="en-US"/>
        </w:rPr>
      </w:pPr>
      <w:r w:rsidRPr="00E345E9">
        <w:rPr>
          <w:lang w:val="en-US"/>
        </w:rPr>
        <w:t xml:space="preserve">Although this mechanism has been implemented by REN since March 2014 (for the assignment of the gas year October 2014-2015), no shippers have requested to surrender their capacity so far. </w:t>
      </w:r>
    </w:p>
    <w:p w14:paraId="2AE45C5E" w14:textId="77777777" w:rsidR="005B30F6" w:rsidRPr="00E345E9" w:rsidRDefault="005B30F6" w:rsidP="005B30F6">
      <w:pPr>
        <w:pStyle w:val="Ttulo3"/>
        <w:spacing w:line="360" w:lineRule="auto"/>
        <w:jc w:val="left"/>
        <w:rPr>
          <w:lang w:val="en-US"/>
        </w:rPr>
      </w:pPr>
      <w:r w:rsidRPr="00E345E9">
        <w:rPr>
          <w:lang w:val="en-US"/>
        </w:rPr>
        <w:t>Oversubscription and Buy-Back</w:t>
      </w:r>
    </w:p>
    <w:p w14:paraId="15B84EA7" w14:textId="77777777" w:rsidR="005B30F6" w:rsidRPr="00E345E9" w:rsidRDefault="005B30F6" w:rsidP="000C7800">
      <w:pPr>
        <w:pStyle w:val="Ttulo4"/>
        <w:spacing w:line="240" w:lineRule="auto"/>
      </w:pPr>
      <w:r w:rsidRPr="00E345E9">
        <w:t>VIP Ibérico</w:t>
      </w:r>
    </w:p>
    <w:p w14:paraId="72AB5219" w14:textId="57D19181" w:rsidR="00AB6B65" w:rsidRPr="00E345E9" w:rsidRDefault="005B30F6" w:rsidP="000C7800">
      <w:pPr>
        <w:spacing w:line="312" w:lineRule="auto"/>
        <w:rPr>
          <w:lang w:val="en-US"/>
        </w:rPr>
      </w:pPr>
      <w:r w:rsidRPr="00E345E9">
        <w:rPr>
          <w:lang w:val="en-US"/>
        </w:rPr>
        <w:t>This mechanism was implemented in April 2017 at VIP Ibérico</w:t>
      </w:r>
      <w:r w:rsidR="0035172D" w:rsidRPr="00E345E9">
        <w:rPr>
          <w:lang w:val="en-US"/>
        </w:rPr>
        <w:t>.</w:t>
      </w:r>
      <w:r w:rsidRPr="00E345E9">
        <w:rPr>
          <w:lang w:val="en-US"/>
        </w:rPr>
        <w:t xml:space="preserve"> </w:t>
      </w:r>
      <w:r w:rsidR="00AB6B65" w:rsidRPr="00E345E9">
        <w:rPr>
          <w:lang w:val="en-US"/>
        </w:rPr>
        <w:t>O</w:t>
      </w:r>
      <w:r w:rsidR="001C3FD0">
        <w:rPr>
          <w:lang w:val="en-US"/>
        </w:rPr>
        <w:t>versubscription</w:t>
      </w:r>
      <w:r w:rsidR="00AB6B65" w:rsidRPr="00E345E9">
        <w:rPr>
          <w:lang w:val="en-US"/>
        </w:rPr>
        <w:t xml:space="preserve"> </w:t>
      </w:r>
      <w:r w:rsidR="0035172D" w:rsidRPr="00E345E9">
        <w:rPr>
          <w:lang w:val="en-US"/>
        </w:rPr>
        <w:t>was</w:t>
      </w:r>
      <w:r w:rsidR="00AB6B65" w:rsidRPr="00E345E9">
        <w:rPr>
          <w:lang w:val="en-US"/>
        </w:rPr>
        <w:t xml:space="preserve"> offered 272 days in the direction from Spain to Portugal and 235 days in the </w:t>
      </w:r>
      <w:hyperlink r:id="rId74" w:history="1">
        <w:r w:rsidR="00AB6B65" w:rsidRPr="00E345E9">
          <w:rPr>
            <w:rStyle w:val="Hipervnculo"/>
            <w:rFonts w:cs="Arial"/>
            <w:color w:val="auto"/>
            <w:u w:val="none"/>
            <w:shd w:val="clear" w:color="auto" w:fill="FFFFFF"/>
            <w:lang w:val="en-US"/>
          </w:rPr>
          <w:t>opposite direction</w:t>
        </w:r>
      </w:hyperlink>
      <w:r w:rsidR="00AB6B65" w:rsidRPr="00E345E9">
        <w:rPr>
          <w:lang w:val="en-US"/>
        </w:rPr>
        <w:t>.</w:t>
      </w:r>
    </w:p>
    <w:p w14:paraId="044C3850" w14:textId="4B2F425C" w:rsidR="007C03F1" w:rsidRPr="00E345E9" w:rsidRDefault="007C03F1" w:rsidP="007C03F1">
      <w:pPr>
        <w:spacing w:line="312" w:lineRule="auto"/>
        <w:rPr>
          <w:lang w:val="en-US"/>
        </w:rPr>
      </w:pPr>
      <w:r w:rsidRPr="00E345E9">
        <w:rPr>
          <w:lang w:val="en-US"/>
        </w:rPr>
        <w:t>OSBB was never been booked in this VIP in the period analysed because, since this implementation, and as stated before in this document, the interconnection</w:t>
      </w:r>
      <w:r w:rsidR="007F6CD3">
        <w:rPr>
          <w:lang w:val="en-US"/>
        </w:rPr>
        <w:t>’s</w:t>
      </w:r>
      <w:r w:rsidRPr="00E345E9">
        <w:rPr>
          <w:lang w:val="en-US"/>
        </w:rPr>
        <w:t xml:space="preserve"> technical capacity has not been fully booked.</w:t>
      </w:r>
    </w:p>
    <w:p w14:paraId="487264E1" w14:textId="77777777" w:rsidR="005B30F6" w:rsidRPr="00E345E9" w:rsidRDefault="005B30F6" w:rsidP="000C7800">
      <w:pPr>
        <w:pStyle w:val="Ttulo4"/>
        <w:spacing w:line="240" w:lineRule="auto"/>
      </w:pPr>
      <w:r w:rsidRPr="00E345E9">
        <w:t>VIP Pirineos</w:t>
      </w:r>
    </w:p>
    <w:p w14:paraId="6794F875" w14:textId="77777777" w:rsidR="005B30F6" w:rsidRPr="00E345E9" w:rsidRDefault="005B30F6" w:rsidP="000C7800">
      <w:pPr>
        <w:spacing w:line="312" w:lineRule="auto"/>
        <w:rPr>
          <w:lang w:val="en-US"/>
        </w:rPr>
      </w:pPr>
      <w:r w:rsidRPr="00E345E9">
        <w:rPr>
          <w:lang w:val="en-US"/>
        </w:rPr>
        <w:t>This mechanism was implemented in November 2017 at VIP Pirineos.</w:t>
      </w:r>
    </w:p>
    <w:p w14:paraId="0B069F4F" w14:textId="1A774932" w:rsidR="00AB6B65" w:rsidRPr="009D593F" w:rsidRDefault="00AB6B65" w:rsidP="000C7800">
      <w:pPr>
        <w:spacing w:line="312" w:lineRule="auto"/>
        <w:rPr>
          <w:lang w:val="en-US"/>
        </w:rPr>
      </w:pPr>
      <w:r w:rsidRPr="00E345E9">
        <w:rPr>
          <w:lang w:val="en-US"/>
        </w:rPr>
        <w:t xml:space="preserve">OS </w:t>
      </w:r>
      <w:r w:rsidR="0035172D" w:rsidRPr="00E345E9">
        <w:rPr>
          <w:lang w:val="en-US"/>
        </w:rPr>
        <w:t>was</w:t>
      </w:r>
      <w:r w:rsidRPr="00E345E9">
        <w:rPr>
          <w:lang w:val="en-US"/>
        </w:rPr>
        <w:t xml:space="preserve"> offered 488 days in the South to North direction and 160 days in the North to South direction.</w:t>
      </w:r>
      <w:r w:rsidR="005B3498">
        <w:rPr>
          <w:lang w:val="en-US"/>
        </w:rPr>
        <w:t xml:space="preserve"> </w:t>
      </w:r>
      <w:r w:rsidR="005B3498" w:rsidRPr="006008B3">
        <w:rPr>
          <w:lang w:val="en-US"/>
        </w:rPr>
        <w:t xml:space="preserve">OS </w:t>
      </w:r>
      <w:r w:rsidR="005B3498">
        <w:rPr>
          <w:lang w:val="en-US"/>
        </w:rPr>
        <w:t>was</w:t>
      </w:r>
      <w:r w:rsidR="005B3498" w:rsidRPr="006008B3">
        <w:rPr>
          <w:lang w:val="en-US"/>
        </w:rPr>
        <w:t xml:space="preserve"> </w:t>
      </w:r>
      <w:r w:rsidR="005B3498">
        <w:rPr>
          <w:lang w:val="en-US"/>
        </w:rPr>
        <w:t>booked only one time</w:t>
      </w:r>
      <w:r w:rsidR="005B3498" w:rsidRPr="006008B3">
        <w:rPr>
          <w:lang w:val="en-US"/>
        </w:rPr>
        <w:t xml:space="preserve"> </w:t>
      </w:r>
      <w:r w:rsidR="005B3498">
        <w:rPr>
          <w:lang w:val="en-US"/>
        </w:rPr>
        <w:t>on</w:t>
      </w:r>
      <w:r w:rsidR="005B3498" w:rsidRPr="006008B3">
        <w:rPr>
          <w:lang w:val="en-US"/>
        </w:rPr>
        <w:t xml:space="preserve"> the studied period, in the</w:t>
      </w:r>
      <w:r w:rsidR="005B3498">
        <w:rPr>
          <w:lang w:val="en-US"/>
        </w:rPr>
        <w:t xml:space="preserve"> S</w:t>
      </w:r>
      <w:r w:rsidR="005B3498" w:rsidRPr="006008B3">
        <w:rPr>
          <w:lang w:val="en-US"/>
        </w:rPr>
        <w:t>outh</w:t>
      </w:r>
      <w:r w:rsidR="005B3498">
        <w:rPr>
          <w:lang w:val="en-US"/>
        </w:rPr>
        <w:t>-N</w:t>
      </w:r>
      <w:r w:rsidR="005B3498" w:rsidRPr="006008B3">
        <w:rPr>
          <w:lang w:val="en-US"/>
        </w:rPr>
        <w:t xml:space="preserve">orth direction. On the 02/03/2018, it led to an additional subscription of 22500 MWh for that day without activation of </w:t>
      </w:r>
      <w:r w:rsidR="005B3498">
        <w:rPr>
          <w:lang w:val="en-US"/>
        </w:rPr>
        <w:t>buy back</w:t>
      </w:r>
      <w:r w:rsidR="005B3498" w:rsidRPr="006008B3">
        <w:rPr>
          <w:lang w:val="en-US"/>
        </w:rPr>
        <w:t xml:space="preserve"> phase</w:t>
      </w:r>
      <w:r w:rsidR="005B3498">
        <w:rPr>
          <w:lang w:val="en-US"/>
        </w:rPr>
        <w:t>.</w:t>
      </w:r>
    </w:p>
    <w:p w14:paraId="04C47BF9" w14:textId="430623F4" w:rsidR="00AB6B65" w:rsidRDefault="00AB6B65">
      <w:pPr>
        <w:spacing w:before="0" w:after="0" w:line="240" w:lineRule="auto"/>
        <w:jc w:val="left"/>
        <w:rPr>
          <w:rFonts w:cs="Arial"/>
          <w:b/>
          <w:bCs/>
          <w:sz w:val="28"/>
          <w:u w:val="single"/>
          <w:lang w:val="en-US"/>
        </w:rPr>
      </w:pPr>
      <w:bookmarkStart w:id="206" w:name="_Toc483986730"/>
      <w:bookmarkStart w:id="207" w:name="_Toc483986817"/>
      <w:bookmarkStart w:id="208" w:name="_Toc483986732"/>
      <w:bookmarkStart w:id="209" w:name="_Toc483986819"/>
      <w:bookmarkStart w:id="210" w:name="_Toc483986733"/>
      <w:bookmarkStart w:id="211" w:name="_Toc483986820"/>
      <w:bookmarkEnd w:id="199"/>
      <w:bookmarkEnd w:id="206"/>
      <w:bookmarkEnd w:id="207"/>
      <w:bookmarkEnd w:id="208"/>
      <w:bookmarkEnd w:id="209"/>
      <w:bookmarkEnd w:id="210"/>
      <w:bookmarkEnd w:id="211"/>
    </w:p>
    <w:p w14:paraId="7E387B4C" w14:textId="77777777" w:rsidR="00AB6B65" w:rsidRPr="0058795C" w:rsidRDefault="00AB6B65" w:rsidP="00AB6B65">
      <w:pPr>
        <w:pStyle w:val="Ttulo1"/>
        <w:spacing w:before="240"/>
        <w:rPr>
          <w:lang w:val="en-GB"/>
        </w:rPr>
      </w:pPr>
      <w:bookmarkStart w:id="212" w:name="_Toc49770602"/>
      <w:r>
        <w:rPr>
          <w:lang w:val="en-GB"/>
        </w:rPr>
        <w:t>Gas prices in the South Region</w:t>
      </w:r>
      <w:bookmarkEnd w:id="212"/>
    </w:p>
    <w:p w14:paraId="4B4EA080" w14:textId="1DC7DE41" w:rsidR="001F4EDA" w:rsidRPr="001F4EDA" w:rsidRDefault="001F4EDA" w:rsidP="00A75A60">
      <w:pPr>
        <w:spacing w:line="312" w:lineRule="auto"/>
        <w:rPr>
          <w:lang w:val="en-US" w:eastAsia="ja-JP"/>
        </w:rPr>
      </w:pPr>
      <w:r w:rsidRPr="001F4EDA">
        <w:rPr>
          <w:lang w:val="en-US" w:eastAsia="ja-JP"/>
        </w:rPr>
        <w:t xml:space="preserve">In this </w:t>
      </w:r>
      <w:r w:rsidR="0055672C" w:rsidRPr="001F4EDA">
        <w:rPr>
          <w:lang w:val="en-US" w:eastAsia="ja-JP"/>
        </w:rPr>
        <w:t>chapter,</w:t>
      </w:r>
      <w:r w:rsidRPr="001F4EDA">
        <w:rPr>
          <w:lang w:val="en-US" w:eastAsia="ja-JP"/>
        </w:rPr>
        <w:t xml:space="preserve"> it will be carried out an analysis </w:t>
      </w:r>
      <w:r w:rsidR="00C71A06">
        <w:rPr>
          <w:lang w:val="en-US" w:eastAsia="ja-JP"/>
        </w:rPr>
        <w:t>on</w:t>
      </w:r>
      <w:r w:rsidR="00C71A06" w:rsidRPr="001F4EDA">
        <w:rPr>
          <w:lang w:val="en-US" w:eastAsia="ja-JP"/>
        </w:rPr>
        <w:t xml:space="preserve"> </w:t>
      </w:r>
      <w:r w:rsidRPr="001F4EDA">
        <w:rPr>
          <w:lang w:val="en-US" w:eastAsia="ja-JP"/>
        </w:rPr>
        <w:t>how the gas prices in the French and Spanish markets affect the usage of the VIP P</w:t>
      </w:r>
      <w:r w:rsidR="0035172D">
        <w:rPr>
          <w:lang w:val="en-US" w:eastAsia="ja-JP"/>
        </w:rPr>
        <w:t>irineos</w:t>
      </w:r>
      <w:r w:rsidRPr="001F4EDA">
        <w:rPr>
          <w:lang w:val="en-US" w:eastAsia="ja-JP"/>
        </w:rPr>
        <w:t>.</w:t>
      </w:r>
    </w:p>
    <w:p w14:paraId="2270348E" w14:textId="77777777" w:rsidR="001F4EDA" w:rsidRPr="001F4EDA" w:rsidRDefault="001F4EDA" w:rsidP="00A75A60">
      <w:pPr>
        <w:spacing w:line="312" w:lineRule="auto"/>
        <w:rPr>
          <w:lang w:val="en-US" w:eastAsia="ja-JP"/>
        </w:rPr>
      </w:pPr>
      <w:r w:rsidRPr="001F4EDA">
        <w:rPr>
          <w:lang w:val="en-US" w:eastAsia="ja-JP"/>
        </w:rPr>
        <w:t>The period under study, from January 1, 2018 until September 30, 2019 includes the main relevant market variables that could affect the IP.</w:t>
      </w:r>
    </w:p>
    <w:p w14:paraId="459CEE32" w14:textId="13E8EEE5" w:rsidR="001F4EDA" w:rsidRPr="001F4EDA" w:rsidRDefault="001F4EDA" w:rsidP="001F4EDA">
      <w:pPr>
        <w:pStyle w:val="Ttulo2"/>
        <w:rPr>
          <w:lang w:val="en-US" w:eastAsia="ja-JP"/>
        </w:rPr>
      </w:pPr>
      <w:bookmarkStart w:id="213" w:name="_Toc49770603"/>
      <w:r w:rsidRPr="001F4EDA">
        <w:rPr>
          <w:lang w:val="en-US"/>
        </w:rPr>
        <w:t>Gas prices overview</w:t>
      </w:r>
      <w:bookmarkEnd w:id="213"/>
    </w:p>
    <w:p w14:paraId="39C1523B" w14:textId="306AE05D" w:rsidR="001F4EDA" w:rsidRDefault="001F4EDA" w:rsidP="00A75A60">
      <w:pPr>
        <w:spacing w:line="312" w:lineRule="auto"/>
        <w:rPr>
          <w:lang w:val="en-US" w:eastAsia="ja-JP"/>
        </w:rPr>
      </w:pPr>
      <w:r w:rsidRPr="001F4EDA">
        <w:rPr>
          <w:lang w:val="en-US" w:eastAsia="ja-JP"/>
        </w:rPr>
        <w:t>In the following graph it is represented the use of the VIP Pirineos in comparison with the spread between Spanish and French gas markets and also, the evolution of the gas prices in both markets and in absolute terms.</w:t>
      </w:r>
    </w:p>
    <w:p w14:paraId="78CC6C1A" w14:textId="620149DD" w:rsidR="005758B8" w:rsidRDefault="005758B8" w:rsidP="00FF5DC6">
      <w:pPr>
        <w:rPr>
          <w:lang w:val="en-US" w:eastAsia="ja-JP"/>
        </w:rPr>
      </w:pPr>
    </w:p>
    <w:p w14:paraId="7D40D863" w14:textId="667B9147" w:rsidR="00AB6B65" w:rsidRPr="00FF5DC6" w:rsidRDefault="00AB6B65" w:rsidP="00A75A60">
      <w:pPr>
        <w:jc w:val="center"/>
        <w:rPr>
          <w:lang w:val="en-US" w:eastAsia="ja-JP"/>
        </w:rPr>
      </w:pPr>
    </w:p>
    <w:p w14:paraId="649F99D9" w14:textId="0218B474" w:rsidR="00603B50" w:rsidRDefault="00603B50" w:rsidP="00B05F14">
      <w:pPr>
        <w:pStyle w:val="Descripcin"/>
        <w:spacing w:before="0" w:line="240" w:lineRule="auto"/>
        <w:jc w:val="center"/>
        <w:rPr>
          <w:sz w:val="16"/>
          <w:lang w:val="en-US"/>
        </w:rPr>
      </w:pPr>
      <w:r>
        <w:rPr>
          <w:noProof/>
          <w:sz w:val="16"/>
          <w:lang w:eastAsia="es-ES"/>
        </w:rPr>
        <w:drawing>
          <wp:inline distT="0" distB="0" distL="0" distR="0" wp14:anchorId="4C304C62" wp14:editId="57307B01">
            <wp:extent cx="5480942" cy="7696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92221" cy="7712037"/>
                    </a:xfrm>
                    <a:prstGeom prst="rect">
                      <a:avLst/>
                    </a:prstGeom>
                    <a:noFill/>
                  </pic:spPr>
                </pic:pic>
              </a:graphicData>
            </a:graphic>
          </wp:inline>
        </w:drawing>
      </w:r>
    </w:p>
    <w:p w14:paraId="67D34B7A" w14:textId="2744B578" w:rsidR="001F4EDA" w:rsidRDefault="001F4EDA" w:rsidP="00B05F14">
      <w:pPr>
        <w:pStyle w:val="Descripcin"/>
        <w:spacing w:before="0" w:line="240" w:lineRule="auto"/>
        <w:jc w:val="center"/>
        <w:rPr>
          <w:sz w:val="16"/>
          <w:lang w:val="en-US"/>
        </w:rPr>
      </w:pPr>
      <w:r w:rsidRPr="00531D5C">
        <w:rPr>
          <w:sz w:val="16"/>
          <w:lang w:val="en-US"/>
        </w:rPr>
        <w:t xml:space="preserve">Figure </w:t>
      </w:r>
      <w:r w:rsidRPr="00F66377">
        <w:rPr>
          <w:sz w:val="16"/>
          <w:lang w:val="en-US"/>
        </w:rPr>
        <w:fldChar w:fldCharType="begin"/>
      </w:r>
      <w:r w:rsidRPr="00531D5C">
        <w:rPr>
          <w:sz w:val="16"/>
          <w:lang w:val="en-US"/>
        </w:rPr>
        <w:instrText xml:space="preserve"> SEQ Figure \* ARABIC </w:instrText>
      </w:r>
      <w:r w:rsidRPr="00F66377">
        <w:rPr>
          <w:sz w:val="16"/>
          <w:lang w:val="en-US"/>
        </w:rPr>
        <w:fldChar w:fldCharType="separate"/>
      </w:r>
      <w:r w:rsidR="00E859C7">
        <w:rPr>
          <w:noProof/>
          <w:sz w:val="16"/>
          <w:lang w:val="en-US"/>
        </w:rPr>
        <w:t>46</w:t>
      </w:r>
      <w:r w:rsidRPr="00F66377">
        <w:rPr>
          <w:sz w:val="16"/>
          <w:lang w:val="en-US"/>
        </w:rPr>
        <w:fldChar w:fldCharType="end"/>
      </w:r>
      <w:r w:rsidRPr="00531D5C">
        <w:rPr>
          <w:sz w:val="16"/>
          <w:lang w:val="en-US"/>
        </w:rPr>
        <w:t xml:space="preserve">: </w:t>
      </w:r>
      <w:r>
        <w:rPr>
          <w:sz w:val="16"/>
          <w:lang w:val="en-US"/>
        </w:rPr>
        <w:t>U</w:t>
      </w:r>
      <w:r w:rsidRPr="001F4EDA">
        <w:rPr>
          <w:sz w:val="16"/>
          <w:lang w:val="en-US"/>
        </w:rPr>
        <w:t>se of the VIP Pirineos</w:t>
      </w:r>
      <w:r>
        <w:rPr>
          <w:sz w:val="16"/>
          <w:lang w:val="en-US"/>
        </w:rPr>
        <w:t xml:space="preserve"> and gas prices </w:t>
      </w:r>
      <w:r w:rsidR="00D414B9">
        <w:rPr>
          <w:sz w:val="16"/>
          <w:lang w:val="en-US"/>
        </w:rPr>
        <w:t>(</w:t>
      </w:r>
      <w:r>
        <w:rPr>
          <w:sz w:val="16"/>
          <w:lang w:val="en-US"/>
        </w:rPr>
        <w:t>01/01/2018 – 3</w:t>
      </w:r>
      <w:r w:rsidR="00D414B9">
        <w:rPr>
          <w:sz w:val="16"/>
          <w:lang w:val="en-US"/>
        </w:rPr>
        <w:t>1</w:t>
      </w:r>
      <w:r>
        <w:rPr>
          <w:sz w:val="16"/>
          <w:lang w:val="en-US"/>
        </w:rPr>
        <w:t>/</w:t>
      </w:r>
      <w:r w:rsidR="00D414B9">
        <w:rPr>
          <w:sz w:val="16"/>
          <w:lang w:val="en-US"/>
        </w:rPr>
        <w:t>10</w:t>
      </w:r>
      <w:r>
        <w:rPr>
          <w:sz w:val="16"/>
          <w:lang w:val="en-US"/>
        </w:rPr>
        <w:t>/2019</w:t>
      </w:r>
      <w:r w:rsidR="00D414B9">
        <w:rPr>
          <w:sz w:val="16"/>
          <w:lang w:val="en-US"/>
        </w:rPr>
        <w:t>)</w:t>
      </w:r>
    </w:p>
    <w:p w14:paraId="668A729A" w14:textId="77777777" w:rsidR="001F4EDA" w:rsidRPr="0058795C" w:rsidRDefault="001F4EDA" w:rsidP="00A75A60">
      <w:pPr>
        <w:spacing w:line="312" w:lineRule="auto"/>
        <w:rPr>
          <w:lang w:val="en-US"/>
        </w:rPr>
      </w:pPr>
      <w:r w:rsidRPr="0058795C">
        <w:rPr>
          <w:lang w:val="en-US"/>
        </w:rPr>
        <w:t xml:space="preserve">When analyzing the graph, 5 different </w:t>
      </w:r>
      <w:r>
        <w:rPr>
          <w:lang w:val="en-US"/>
        </w:rPr>
        <w:t xml:space="preserve">study </w:t>
      </w:r>
      <w:r w:rsidRPr="0058795C">
        <w:rPr>
          <w:lang w:val="en-US"/>
        </w:rPr>
        <w:t xml:space="preserve">periods are clearly identified: </w:t>
      </w:r>
    </w:p>
    <w:p w14:paraId="685B6BA3" w14:textId="6873ECF6" w:rsidR="001F4EDA" w:rsidRPr="001F4EDA" w:rsidRDefault="001F4EDA" w:rsidP="00A75A60">
      <w:pPr>
        <w:pStyle w:val="Prrafodelista"/>
        <w:numPr>
          <w:ilvl w:val="0"/>
          <w:numId w:val="21"/>
        </w:numPr>
        <w:spacing w:line="312" w:lineRule="auto"/>
        <w:rPr>
          <w:lang w:val="en-US"/>
        </w:rPr>
      </w:pPr>
      <w:r w:rsidRPr="001F4EDA">
        <w:rPr>
          <w:lang w:val="en-US"/>
        </w:rPr>
        <w:t>Low bookings despite the attractive spread -</w:t>
      </w:r>
      <w:r w:rsidR="00AD792E">
        <w:rPr>
          <w:lang w:val="en-US"/>
        </w:rPr>
        <w:t>cold spell “</w:t>
      </w:r>
      <w:r w:rsidRPr="001F4EDA">
        <w:rPr>
          <w:lang w:val="en-US"/>
        </w:rPr>
        <w:t>Beast from the East</w:t>
      </w:r>
      <w:r w:rsidR="00AD792E">
        <w:rPr>
          <w:lang w:val="en-US"/>
        </w:rPr>
        <w:t>”</w:t>
      </w:r>
      <w:r w:rsidRPr="001F4EDA">
        <w:rPr>
          <w:lang w:val="en-US"/>
        </w:rPr>
        <w:t>-.</w:t>
      </w:r>
    </w:p>
    <w:p w14:paraId="163D496C" w14:textId="42691CBE" w:rsidR="001F4EDA" w:rsidRPr="001F4EDA" w:rsidRDefault="001F4EDA" w:rsidP="00A75A60">
      <w:pPr>
        <w:pStyle w:val="Prrafodelista"/>
        <w:numPr>
          <w:ilvl w:val="0"/>
          <w:numId w:val="21"/>
        </w:numPr>
        <w:spacing w:line="312" w:lineRule="auto"/>
        <w:rPr>
          <w:lang w:val="en-US"/>
        </w:rPr>
      </w:pPr>
      <w:r w:rsidRPr="001F4EDA">
        <w:rPr>
          <w:lang w:val="en-US"/>
        </w:rPr>
        <w:t>Flows from Spain to France.</w:t>
      </w:r>
    </w:p>
    <w:p w14:paraId="48367BB7" w14:textId="59FA29EB" w:rsidR="001F4EDA" w:rsidRPr="001F4EDA" w:rsidRDefault="001F4EDA" w:rsidP="00A75A60">
      <w:pPr>
        <w:pStyle w:val="Prrafodelista"/>
        <w:numPr>
          <w:ilvl w:val="0"/>
          <w:numId w:val="21"/>
        </w:numPr>
        <w:spacing w:line="312" w:lineRule="auto"/>
        <w:rPr>
          <w:lang w:val="en-US"/>
        </w:rPr>
      </w:pPr>
      <w:r w:rsidRPr="001F4EDA">
        <w:rPr>
          <w:lang w:val="en-US"/>
        </w:rPr>
        <w:t xml:space="preserve">High increase in daily and within-day bookings due to </w:t>
      </w:r>
      <w:r w:rsidR="0035172D">
        <w:rPr>
          <w:lang w:val="en-US"/>
        </w:rPr>
        <w:t xml:space="preserve">prices </w:t>
      </w:r>
      <w:r w:rsidRPr="001F4EDA">
        <w:rPr>
          <w:lang w:val="en-US"/>
        </w:rPr>
        <w:t>spread.</w:t>
      </w:r>
    </w:p>
    <w:p w14:paraId="6D350042" w14:textId="429F3EA4" w:rsidR="001F4EDA" w:rsidRPr="001F4EDA" w:rsidRDefault="001F4EDA" w:rsidP="00A75A60">
      <w:pPr>
        <w:pStyle w:val="Prrafodelista"/>
        <w:numPr>
          <w:ilvl w:val="0"/>
          <w:numId w:val="21"/>
        </w:numPr>
        <w:spacing w:line="312" w:lineRule="auto"/>
        <w:rPr>
          <w:lang w:val="en-US"/>
        </w:rPr>
      </w:pPr>
      <w:r w:rsidRPr="001F4EDA">
        <w:rPr>
          <w:lang w:val="en-US"/>
        </w:rPr>
        <w:t xml:space="preserve">Low use of the LT contracts but daily/within-day bookings due to the </w:t>
      </w:r>
      <w:r w:rsidR="0035172D">
        <w:rPr>
          <w:lang w:val="en-US"/>
        </w:rPr>
        <w:t xml:space="preserve">price </w:t>
      </w:r>
      <w:r w:rsidRPr="001F4EDA">
        <w:rPr>
          <w:lang w:val="en-US"/>
        </w:rPr>
        <w:t xml:space="preserve">spread. </w:t>
      </w:r>
    </w:p>
    <w:p w14:paraId="2557C995" w14:textId="6D270558" w:rsidR="001F4EDA" w:rsidRPr="001F4EDA" w:rsidRDefault="001F4EDA" w:rsidP="00A75A60">
      <w:pPr>
        <w:pStyle w:val="Prrafodelista"/>
        <w:numPr>
          <w:ilvl w:val="0"/>
          <w:numId w:val="21"/>
        </w:numPr>
        <w:spacing w:line="312" w:lineRule="auto"/>
        <w:rPr>
          <w:lang w:val="en-US"/>
        </w:rPr>
      </w:pPr>
      <w:r w:rsidRPr="001F4EDA">
        <w:rPr>
          <w:lang w:val="en-US"/>
        </w:rPr>
        <w:t xml:space="preserve">High daily and within-day bookings despite the LNG </w:t>
      </w:r>
      <w:r w:rsidR="0035172D">
        <w:rPr>
          <w:lang w:val="en-US"/>
        </w:rPr>
        <w:t>o</w:t>
      </w:r>
      <w:r w:rsidRPr="001F4EDA">
        <w:rPr>
          <w:lang w:val="en-US"/>
        </w:rPr>
        <w:t>versupply in Spain.</w:t>
      </w:r>
    </w:p>
    <w:p w14:paraId="33DD184B" w14:textId="77777777" w:rsidR="001F4EDA" w:rsidRDefault="001F4EDA" w:rsidP="00A75A60">
      <w:pPr>
        <w:spacing w:line="312" w:lineRule="auto"/>
        <w:rPr>
          <w:lang w:val="en-US"/>
        </w:rPr>
      </w:pPr>
      <w:r w:rsidRPr="00AE08AA">
        <w:rPr>
          <w:lang w:val="en-US"/>
        </w:rPr>
        <w:t>Next, each period is analyzed in depth.</w:t>
      </w:r>
    </w:p>
    <w:p w14:paraId="43F9D3CE" w14:textId="2564FD48" w:rsidR="001F4EDA" w:rsidRPr="004542FF" w:rsidRDefault="001F4EDA" w:rsidP="004542FF">
      <w:pPr>
        <w:pStyle w:val="Ttulo2"/>
        <w:rPr>
          <w:sz w:val="22"/>
          <w:lang w:val="en-US"/>
        </w:rPr>
      </w:pPr>
      <w:bookmarkStart w:id="214" w:name="_Toc49770604"/>
      <w:r w:rsidRPr="0058795C">
        <w:rPr>
          <w:sz w:val="22"/>
          <w:lang w:val="en-US"/>
        </w:rPr>
        <w:t>Period 1: January - April 2018 –</w:t>
      </w:r>
      <w:r>
        <w:rPr>
          <w:sz w:val="22"/>
          <w:lang w:val="en-US"/>
        </w:rPr>
        <w:t xml:space="preserve"> Low bookings despite the attractive </w:t>
      </w:r>
      <w:r w:rsidR="0035172D">
        <w:rPr>
          <w:sz w:val="22"/>
          <w:lang w:val="en-US"/>
        </w:rPr>
        <w:t xml:space="preserve">price </w:t>
      </w:r>
      <w:r>
        <w:rPr>
          <w:sz w:val="22"/>
          <w:lang w:val="en-US"/>
        </w:rPr>
        <w:t>spread</w:t>
      </w:r>
      <w:r w:rsidRPr="0058795C">
        <w:rPr>
          <w:sz w:val="22"/>
          <w:lang w:val="en-US"/>
        </w:rPr>
        <w:t xml:space="preserve"> </w:t>
      </w:r>
      <w:r w:rsidR="004542FF">
        <w:rPr>
          <w:sz w:val="22"/>
          <w:lang w:val="en-US"/>
        </w:rPr>
        <w:t>–</w:t>
      </w:r>
      <w:r w:rsidRPr="004542FF">
        <w:rPr>
          <w:sz w:val="22"/>
          <w:lang w:val="en-US"/>
        </w:rPr>
        <w:t>“Beast from the East”</w:t>
      </w:r>
      <w:bookmarkEnd w:id="214"/>
    </w:p>
    <w:p w14:paraId="623F6884" w14:textId="5515BC53" w:rsidR="001F4EDA" w:rsidRPr="00AE08AA" w:rsidRDefault="001F4EDA" w:rsidP="00A75A60">
      <w:pPr>
        <w:spacing w:line="312" w:lineRule="auto"/>
        <w:rPr>
          <w:lang w:val="en-US" w:eastAsia="ja-JP"/>
        </w:rPr>
      </w:pPr>
      <w:r w:rsidRPr="00AE08AA">
        <w:rPr>
          <w:lang w:val="en-US"/>
        </w:rPr>
        <w:t xml:space="preserve">Although the </w:t>
      </w:r>
      <w:r>
        <w:rPr>
          <w:lang w:val="en-US"/>
        </w:rPr>
        <w:t xml:space="preserve">price </w:t>
      </w:r>
      <w:r w:rsidRPr="00AE08AA">
        <w:rPr>
          <w:lang w:val="en-US"/>
        </w:rPr>
        <w:t xml:space="preserve">spread between TRS and MIBGAS </w:t>
      </w:r>
      <w:r w:rsidR="0035172D">
        <w:rPr>
          <w:lang w:val="en-US"/>
        </w:rPr>
        <w:t>was</w:t>
      </w:r>
      <w:r w:rsidRPr="00AE08AA">
        <w:rPr>
          <w:lang w:val="en-US"/>
        </w:rPr>
        <w:t xml:space="preserve"> higher than the cost of transport </w:t>
      </w:r>
      <w:r>
        <w:rPr>
          <w:lang w:val="en-US"/>
        </w:rPr>
        <w:t>from France to</w:t>
      </w:r>
      <w:r w:rsidRPr="00AE08AA">
        <w:rPr>
          <w:lang w:val="en-US"/>
        </w:rPr>
        <w:t xml:space="preserve"> Spain, there are hardly any </w:t>
      </w:r>
      <w:r>
        <w:rPr>
          <w:lang w:val="en-US"/>
        </w:rPr>
        <w:t>daily and within-day bookings</w:t>
      </w:r>
      <w:r w:rsidRPr="00AE08AA">
        <w:rPr>
          <w:lang w:val="en-US"/>
        </w:rPr>
        <w:t xml:space="preserve"> due to the low liquidity in MIBGAS</w:t>
      </w:r>
      <w:r w:rsidR="00AD792E">
        <w:rPr>
          <w:lang w:val="en-US"/>
        </w:rPr>
        <w:t xml:space="preserve"> at that time</w:t>
      </w:r>
      <w:r w:rsidRPr="00AE08AA">
        <w:rPr>
          <w:lang w:val="en-US"/>
        </w:rPr>
        <w:t xml:space="preserve">. The start of the </w:t>
      </w:r>
      <w:r w:rsidR="007B51A1" w:rsidRPr="00AE08AA">
        <w:rPr>
          <w:lang w:val="en-US"/>
        </w:rPr>
        <w:t>organized</w:t>
      </w:r>
      <w:r w:rsidRPr="00AE08AA">
        <w:rPr>
          <w:lang w:val="en-US"/>
        </w:rPr>
        <w:t xml:space="preserve"> market t</w:t>
      </w:r>
      <w:r w:rsidR="00AD792E">
        <w:rPr>
          <w:lang w:val="en-US"/>
        </w:rPr>
        <w:t>ook</w:t>
      </w:r>
      <w:r w:rsidRPr="00AE08AA">
        <w:rPr>
          <w:lang w:val="en-US"/>
        </w:rPr>
        <w:t xml:space="preserve"> place in December 2015, but liquidity </w:t>
      </w:r>
      <w:r w:rsidR="00AD792E">
        <w:rPr>
          <w:lang w:val="en-US"/>
        </w:rPr>
        <w:t>did</w:t>
      </w:r>
      <w:r w:rsidR="00AD792E" w:rsidRPr="00AE08AA">
        <w:rPr>
          <w:lang w:val="en-US"/>
        </w:rPr>
        <w:t xml:space="preserve"> </w:t>
      </w:r>
      <w:r w:rsidRPr="00AE08AA">
        <w:rPr>
          <w:lang w:val="en-US"/>
        </w:rPr>
        <w:t xml:space="preserve">not gain strength until Oct 2018. It </w:t>
      </w:r>
      <w:r w:rsidR="00AD792E">
        <w:rPr>
          <w:lang w:val="en-US"/>
        </w:rPr>
        <w:t>was</w:t>
      </w:r>
      <w:r w:rsidRPr="00AE08AA">
        <w:rPr>
          <w:lang w:val="en-US"/>
        </w:rPr>
        <w:t xml:space="preserve"> from then on that traders who previously did not operate in Spain because they did not have contacts to negotiate in OTC, begin to make use of </w:t>
      </w:r>
      <w:r w:rsidRPr="00AE08AA">
        <w:rPr>
          <w:lang w:val="en-US" w:eastAsia="ja-JP"/>
        </w:rPr>
        <w:t xml:space="preserve">MIBGAS and the interconnection to sell or buy gas in Spain depending on the price spread. </w:t>
      </w:r>
    </w:p>
    <w:p w14:paraId="35997243" w14:textId="54F4E1D6" w:rsidR="001F4EDA" w:rsidRPr="00FF5DC6" w:rsidRDefault="001F4EDA" w:rsidP="00A75A60">
      <w:pPr>
        <w:spacing w:line="312" w:lineRule="auto"/>
        <w:rPr>
          <w:lang w:val="en-US" w:eastAsia="ja-JP"/>
        </w:rPr>
      </w:pPr>
      <w:r w:rsidRPr="00FF5DC6">
        <w:rPr>
          <w:lang w:val="en-US" w:eastAsia="ja-JP"/>
        </w:rPr>
        <w:t xml:space="preserve">On the other hand, the arrival of the </w:t>
      </w:r>
      <w:r w:rsidR="00AD792E">
        <w:rPr>
          <w:lang w:val="en-US" w:eastAsia="ja-JP"/>
        </w:rPr>
        <w:t>cold spell</w:t>
      </w:r>
      <w:r w:rsidR="00AD792E" w:rsidRPr="00FF5DC6">
        <w:rPr>
          <w:lang w:val="en-US" w:eastAsia="ja-JP"/>
        </w:rPr>
        <w:t xml:space="preserve"> </w:t>
      </w:r>
      <w:r w:rsidRPr="00FF5DC6">
        <w:rPr>
          <w:lang w:val="en-US" w:eastAsia="ja-JP"/>
        </w:rPr>
        <w:t xml:space="preserve">called “Beast from the East” with very cold temperatures in Europe and at a time when LNG and natural gas </w:t>
      </w:r>
      <w:r w:rsidR="00AD792E">
        <w:rPr>
          <w:lang w:val="en-US" w:eastAsia="ja-JP"/>
        </w:rPr>
        <w:t>E</w:t>
      </w:r>
      <w:r w:rsidRPr="00FF5DC6">
        <w:rPr>
          <w:lang w:val="en-US" w:eastAsia="ja-JP"/>
        </w:rPr>
        <w:t xml:space="preserve">uropean stocks were very low, resulted in dramatically increased of central Europe prices. The price in Spain became lower that in France, so Shippers took advantage of that and booked (in a daily and within-day basis) capacity to flow gas from Spain to France. </w:t>
      </w:r>
    </w:p>
    <w:p w14:paraId="0C77BE09" w14:textId="5188BB50" w:rsidR="001F4EDA" w:rsidRDefault="001F4EDA" w:rsidP="00A75A60">
      <w:pPr>
        <w:jc w:val="center"/>
        <w:rPr>
          <w:lang w:val="en-US" w:eastAsia="ja-JP"/>
        </w:rPr>
      </w:pPr>
    </w:p>
    <w:p w14:paraId="782D2E72" w14:textId="06EC0190" w:rsidR="00297610" w:rsidRDefault="00297610" w:rsidP="00A75A60">
      <w:pPr>
        <w:rPr>
          <w:rFonts w:ascii="Verdana" w:hAnsi="Verdana"/>
          <w:b/>
          <w:sz w:val="16"/>
          <w:lang w:val="en-US"/>
        </w:rPr>
      </w:pPr>
    </w:p>
    <w:p w14:paraId="79EBBB30" w14:textId="2C5228A0" w:rsidR="00603B50" w:rsidRDefault="00603B50" w:rsidP="00A75A60">
      <w:pPr>
        <w:rPr>
          <w:rFonts w:ascii="Verdana" w:hAnsi="Verdana"/>
          <w:b/>
          <w:sz w:val="16"/>
          <w:lang w:val="en-US"/>
        </w:rPr>
      </w:pPr>
      <w:r>
        <w:rPr>
          <w:rFonts w:ascii="Verdana" w:hAnsi="Verdana"/>
          <w:b/>
          <w:noProof/>
          <w:sz w:val="16"/>
          <w:lang w:val="es-ES" w:eastAsia="es-ES"/>
        </w:rPr>
        <w:drawing>
          <wp:inline distT="0" distB="0" distL="0" distR="0" wp14:anchorId="5ECFB2F8" wp14:editId="1F542A1D">
            <wp:extent cx="6057900" cy="2968584"/>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69879" cy="2974454"/>
                    </a:xfrm>
                    <a:prstGeom prst="rect">
                      <a:avLst/>
                    </a:prstGeom>
                    <a:noFill/>
                  </pic:spPr>
                </pic:pic>
              </a:graphicData>
            </a:graphic>
          </wp:inline>
        </w:drawing>
      </w:r>
    </w:p>
    <w:p w14:paraId="7FF251A1" w14:textId="37AD6C75" w:rsidR="001F4EDA" w:rsidRPr="00FF5DC6" w:rsidRDefault="001F4EDA" w:rsidP="00FF5DC6">
      <w:pPr>
        <w:jc w:val="center"/>
        <w:rPr>
          <w:rFonts w:ascii="Verdana" w:hAnsi="Verdana"/>
          <w:b/>
          <w:lang w:val="en-US" w:eastAsia="ja-JP"/>
        </w:rPr>
      </w:pPr>
      <w:r w:rsidRPr="00FF5DC6">
        <w:rPr>
          <w:rFonts w:ascii="Verdana" w:hAnsi="Verdana"/>
          <w:b/>
          <w:sz w:val="16"/>
          <w:lang w:val="en-US"/>
        </w:rPr>
        <w:t xml:space="preserve">Figure </w:t>
      </w:r>
      <w:r w:rsidRPr="00FF5DC6">
        <w:rPr>
          <w:rFonts w:ascii="Verdana" w:hAnsi="Verdana"/>
          <w:b/>
          <w:sz w:val="16"/>
          <w:lang w:val="en-US"/>
        </w:rPr>
        <w:fldChar w:fldCharType="begin"/>
      </w:r>
      <w:r w:rsidRPr="00FF5DC6">
        <w:rPr>
          <w:rFonts w:ascii="Verdana" w:hAnsi="Verdana"/>
          <w:b/>
          <w:sz w:val="16"/>
          <w:lang w:val="en-US"/>
        </w:rPr>
        <w:instrText xml:space="preserve"> SEQ Figure \* ARABIC </w:instrText>
      </w:r>
      <w:r w:rsidRPr="00FF5DC6">
        <w:rPr>
          <w:rFonts w:ascii="Verdana" w:hAnsi="Verdana"/>
          <w:b/>
          <w:sz w:val="16"/>
          <w:lang w:val="en-US"/>
        </w:rPr>
        <w:fldChar w:fldCharType="separate"/>
      </w:r>
      <w:r w:rsidR="00E859C7">
        <w:rPr>
          <w:rFonts w:ascii="Verdana" w:hAnsi="Verdana"/>
          <w:b/>
          <w:noProof/>
          <w:sz w:val="16"/>
          <w:lang w:val="en-US"/>
        </w:rPr>
        <w:t>47</w:t>
      </w:r>
      <w:r w:rsidRPr="00FF5DC6">
        <w:rPr>
          <w:rFonts w:ascii="Verdana" w:hAnsi="Verdana"/>
          <w:b/>
          <w:sz w:val="16"/>
          <w:lang w:val="en-US"/>
        </w:rPr>
        <w:fldChar w:fldCharType="end"/>
      </w:r>
      <w:r w:rsidRPr="00FF5DC6">
        <w:rPr>
          <w:rFonts w:ascii="Verdana" w:hAnsi="Verdana"/>
          <w:b/>
          <w:sz w:val="16"/>
          <w:lang w:val="en-US"/>
        </w:rPr>
        <w:t xml:space="preserve">: Use of </w:t>
      </w:r>
      <w:r w:rsidR="000E1F04" w:rsidRPr="00FF5DC6">
        <w:rPr>
          <w:rFonts w:ascii="Verdana" w:hAnsi="Verdana"/>
          <w:b/>
          <w:sz w:val="16"/>
          <w:lang w:val="en-US"/>
        </w:rPr>
        <w:t xml:space="preserve">the </w:t>
      </w:r>
      <w:r w:rsidRPr="00FF5DC6">
        <w:rPr>
          <w:rFonts w:ascii="Verdana" w:hAnsi="Verdana"/>
          <w:b/>
          <w:sz w:val="16"/>
          <w:lang w:val="en-US"/>
        </w:rPr>
        <w:t xml:space="preserve">VIP Pirineos </w:t>
      </w:r>
      <w:r w:rsidR="00391DAA" w:rsidRPr="00FF5DC6">
        <w:rPr>
          <w:rFonts w:ascii="Verdana" w:hAnsi="Verdana"/>
          <w:b/>
          <w:sz w:val="16"/>
          <w:lang w:val="en-US"/>
        </w:rPr>
        <w:t xml:space="preserve">GWh/d </w:t>
      </w:r>
      <w:r w:rsidR="00B57308" w:rsidRPr="00FF5DC6">
        <w:rPr>
          <w:rFonts w:ascii="Verdana" w:hAnsi="Verdana"/>
          <w:b/>
          <w:sz w:val="16"/>
          <w:lang w:val="en-US"/>
        </w:rPr>
        <w:t>(</w:t>
      </w:r>
      <w:r w:rsidRPr="00FF5DC6">
        <w:rPr>
          <w:rFonts w:ascii="Verdana" w:hAnsi="Verdana"/>
          <w:b/>
          <w:sz w:val="16"/>
          <w:lang w:val="en-US"/>
        </w:rPr>
        <w:t>01/01/2018 – 30/04/201</w:t>
      </w:r>
      <w:r w:rsidR="001754E3" w:rsidRPr="00FF5DC6">
        <w:rPr>
          <w:rFonts w:ascii="Verdana" w:hAnsi="Verdana"/>
          <w:b/>
          <w:sz w:val="16"/>
          <w:lang w:val="en-US"/>
        </w:rPr>
        <w:t>8</w:t>
      </w:r>
      <w:r w:rsidR="00B05F14" w:rsidRPr="00FF5DC6">
        <w:rPr>
          <w:rFonts w:ascii="Verdana" w:hAnsi="Verdana"/>
          <w:b/>
          <w:sz w:val="16"/>
          <w:lang w:val="en-US"/>
        </w:rPr>
        <w:t>)</w:t>
      </w:r>
    </w:p>
    <w:p w14:paraId="5CF56F2D" w14:textId="558AC707" w:rsidR="00167240" w:rsidRDefault="00167240" w:rsidP="00A75A60">
      <w:pPr>
        <w:rPr>
          <w:rFonts w:ascii="Verdana" w:hAnsi="Verdana"/>
          <w:b/>
          <w:sz w:val="16"/>
          <w:lang w:val="en-US"/>
        </w:rPr>
      </w:pPr>
    </w:p>
    <w:p w14:paraId="26A5BDF1" w14:textId="7C3DE640" w:rsidR="00530310" w:rsidRDefault="00530310" w:rsidP="00530310">
      <w:pPr>
        <w:jc w:val="center"/>
        <w:rPr>
          <w:rFonts w:ascii="Verdana" w:hAnsi="Verdana"/>
          <w:b/>
          <w:sz w:val="16"/>
          <w:lang w:val="en-US"/>
        </w:rPr>
      </w:pPr>
      <w:r>
        <w:rPr>
          <w:rFonts w:ascii="Verdana" w:hAnsi="Verdana"/>
          <w:b/>
          <w:noProof/>
          <w:sz w:val="16"/>
          <w:lang w:val="es-ES" w:eastAsia="es-ES"/>
        </w:rPr>
        <w:drawing>
          <wp:inline distT="0" distB="0" distL="0" distR="0" wp14:anchorId="696E3E10" wp14:editId="5CBD605C">
            <wp:extent cx="5836999" cy="27644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8508" cy="2769916"/>
                    </a:xfrm>
                    <a:prstGeom prst="rect">
                      <a:avLst/>
                    </a:prstGeom>
                    <a:noFill/>
                  </pic:spPr>
                </pic:pic>
              </a:graphicData>
            </a:graphic>
          </wp:inline>
        </w:drawing>
      </w:r>
    </w:p>
    <w:p w14:paraId="0AC7A14F" w14:textId="4549B8F5" w:rsidR="00B57308" w:rsidRDefault="00B57308" w:rsidP="00B57308">
      <w:pPr>
        <w:ind w:left="-284"/>
        <w:jc w:val="center"/>
        <w:rPr>
          <w:rFonts w:ascii="Verdana" w:eastAsia="MS Mincho" w:hAnsi="Verdana"/>
          <w:b/>
          <w:bCs/>
          <w:sz w:val="16"/>
          <w:szCs w:val="20"/>
          <w:lang w:val="en-US" w:eastAsia="ja-JP"/>
        </w:rPr>
      </w:pPr>
      <w:r w:rsidRPr="00B57308">
        <w:rPr>
          <w:rFonts w:ascii="Verdana" w:hAnsi="Verdana"/>
          <w:b/>
          <w:sz w:val="16"/>
          <w:lang w:val="en-US"/>
        </w:rPr>
        <w:t xml:space="preserve">Figure </w:t>
      </w:r>
      <w:r w:rsidRPr="00B57308">
        <w:rPr>
          <w:rFonts w:ascii="Verdana" w:hAnsi="Verdana"/>
          <w:b/>
          <w:sz w:val="16"/>
          <w:lang w:val="en-US"/>
        </w:rPr>
        <w:fldChar w:fldCharType="begin"/>
      </w:r>
      <w:r w:rsidRPr="00B57308">
        <w:rPr>
          <w:rFonts w:ascii="Verdana" w:hAnsi="Verdana"/>
          <w:b/>
          <w:sz w:val="16"/>
          <w:lang w:val="en-US"/>
        </w:rPr>
        <w:instrText xml:space="preserve"> SEQ Figure \* ARABIC </w:instrText>
      </w:r>
      <w:r w:rsidRPr="00B57308">
        <w:rPr>
          <w:rFonts w:ascii="Verdana" w:hAnsi="Verdana"/>
          <w:b/>
          <w:sz w:val="16"/>
          <w:lang w:val="en-US"/>
        </w:rPr>
        <w:fldChar w:fldCharType="separate"/>
      </w:r>
      <w:r w:rsidR="00E859C7">
        <w:rPr>
          <w:rFonts w:ascii="Verdana" w:hAnsi="Verdana"/>
          <w:b/>
          <w:noProof/>
          <w:sz w:val="16"/>
          <w:lang w:val="en-US"/>
        </w:rPr>
        <w:t>48</w:t>
      </w:r>
      <w:r w:rsidRPr="00B57308">
        <w:rPr>
          <w:rFonts w:ascii="Verdana" w:hAnsi="Verdana"/>
          <w:b/>
          <w:sz w:val="16"/>
          <w:lang w:val="en-US"/>
        </w:rPr>
        <w:fldChar w:fldCharType="end"/>
      </w:r>
      <w:r w:rsidRPr="00B57308">
        <w:rPr>
          <w:rFonts w:ascii="Verdana" w:eastAsia="MS Mincho" w:hAnsi="Verdana"/>
          <w:b/>
          <w:bCs/>
          <w:sz w:val="16"/>
          <w:szCs w:val="20"/>
          <w:lang w:val="en-US" w:eastAsia="ja-JP"/>
        </w:rPr>
        <w:t xml:space="preserve">: </w:t>
      </w:r>
      <w:r>
        <w:rPr>
          <w:rFonts w:ascii="Verdana" w:eastAsia="MS Mincho" w:hAnsi="Verdana"/>
          <w:b/>
          <w:bCs/>
          <w:sz w:val="16"/>
          <w:szCs w:val="20"/>
          <w:lang w:val="en-US" w:eastAsia="ja-JP"/>
        </w:rPr>
        <w:t xml:space="preserve">Spread </w:t>
      </w:r>
      <w:r w:rsidR="000E1F04">
        <w:rPr>
          <w:rFonts w:ascii="Verdana" w:eastAsia="MS Mincho" w:hAnsi="Verdana"/>
          <w:b/>
          <w:bCs/>
          <w:sz w:val="16"/>
          <w:szCs w:val="20"/>
          <w:lang w:val="en-US" w:eastAsia="ja-JP"/>
        </w:rPr>
        <w:t>between Spain and France</w:t>
      </w:r>
      <w:r w:rsidRPr="00B57308">
        <w:rPr>
          <w:rFonts w:ascii="Verdana" w:eastAsia="MS Mincho" w:hAnsi="Verdana"/>
          <w:b/>
          <w:bCs/>
          <w:sz w:val="16"/>
          <w:szCs w:val="20"/>
          <w:lang w:val="en-US" w:eastAsia="ja-JP"/>
        </w:rPr>
        <w:t xml:space="preserve"> </w:t>
      </w:r>
      <w:r w:rsidR="00405147">
        <w:rPr>
          <w:rFonts w:ascii="Verdana" w:eastAsia="MS Mincho" w:hAnsi="Verdana"/>
          <w:b/>
          <w:bCs/>
          <w:sz w:val="16"/>
          <w:szCs w:val="20"/>
          <w:lang w:val="en-US" w:eastAsia="ja-JP"/>
        </w:rPr>
        <w:t xml:space="preserve">€/MWh </w:t>
      </w:r>
      <w:r>
        <w:rPr>
          <w:rFonts w:ascii="Verdana" w:eastAsia="MS Mincho" w:hAnsi="Verdana"/>
          <w:b/>
          <w:bCs/>
          <w:sz w:val="16"/>
          <w:szCs w:val="20"/>
          <w:lang w:val="en-US" w:eastAsia="ja-JP"/>
        </w:rPr>
        <w:t>(</w:t>
      </w:r>
      <w:r w:rsidRPr="00B57308">
        <w:rPr>
          <w:rFonts w:ascii="Verdana" w:eastAsia="MS Mincho" w:hAnsi="Verdana"/>
          <w:b/>
          <w:bCs/>
          <w:sz w:val="16"/>
          <w:szCs w:val="20"/>
          <w:lang w:val="en-US" w:eastAsia="ja-JP"/>
        </w:rPr>
        <w:t>01/01/2018 – 30/04/2018)</w:t>
      </w:r>
    </w:p>
    <w:p w14:paraId="1EB81FD8" w14:textId="65CB6626" w:rsidR="00B57308" w:rsidRDefault="00B57308" w:rsidP="00B57308">
      <w:pPr>
        <w:ind w:left="-284"/>
        <w:jc w:val="center"/>
        <w:rPr>
          <w:rFonts w:ascii="Verdana" w:eastAsia="MS Mincho" w:hAnsi="Verdana"/>
          <w:b/>
          <w:bCs/>
          <w:sz w:val="16"/>
          <w:szCs w:val="20"/>
          <w:lang w:val="en-US" w:eastAsia="ja-JP"/>
        </w:rPr>
      </w:pPr>
      <w:r>
        <w:rPr>
          <w:rFonts w:ascii="Verdana" w:eastAsia="MS Mincho" w:hAnsi="Verdana"/>
          <w:b/>
          <w:bCs/>
          <w:noProof/>
          <w:sz w:val="16"/>
          <w:szCs w:val="20"/>
          <w:lang w:val="es-ES" w:eastAsia="es-ES"/>
        </w:rPr>
        <w:drawing>
          <wp:inline distT="0" distB="0" distL="0" distR="0" wp14:anchorId="0B25B6BD" wp14:editId="6BCCB187">
            <wp:extent cx="5934974" cy="232092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3561"/>
                    <a:stretch/>
                  </pic:blipFill>
                  <pic:spPr bwMode="auto">
                    <a:xfrm>
                      <a:off x="0" y="0"/>
                      <a:ext cx="5944228" cy="2324544"/>
                    </a:xfrm>
                    <a:prstGeom prst="rect">
                      <a:avLst/>
                    </a:prstGeom>
                    <a:noFill/>
                    <a:ln>
                      <a:noFill/>
                    </a:ln>
                    <a:extLst>
                      <a:ext uri="{53640926-AAD7-44D8-BBD7-CCE9431645EC}">
                        <a14:shadowObscured xmlns:a14="http://schemas.microsoft.com/office/drawing/2010/main"/>
                      </a:ext>
                    </a:extLst>
                  </pic:spPr>
                </pic:pic>
              </a:graphicData>
            </a:graphic>
          </wp:inline>
        </w:drawing>
      </w:r>
    </w:p>
    <w:p w14:paraId="05BA6E9E" w14:textId="0D244C2C" w:rsidR="00B57308" w:rsidRDefault="00B57308" w:rsidP="00B57308">
      <w:pPr>
        <w:ind w:left="-284"/>
        <w:jc w:val="center"/>
        <w:rPr>
          <w:rFonts w:ascii="Verdana" w:eastAsia="MS Mincho" w:hAnsi="Verdana"/>
          <w:b/>
          <w:bCs/>
          <w:sz w:val="16"/>
          <w:szCs w:val="20"/>
          <w:lang w:val="en-US" w:eastAsia="ja-JP"/>
        </w:rPr>
      </w:pPr>
      <w:r w:rsidRPr="00B57308">
        <w:rPr>
          <w:rFonts w:ascii="Verdana" w:hAnsi="Verdana"/>
          <w:b/>
          <w:sz w:val="16"/>
          <w:lang w:val="en-US"/>
        </w:rPr>
        <w:t xml:space="preserve">Figure </w:t>
      </w:r>
      <w:r w:rsidRPr="00B57308">
        <w:rPr>
          <w:rFonts w:ascii="Verdana" w:hAnsi="Verdana"/>
          <w:b/>
          <w:sz w:val="16"/>
          <w:lang w:val="en-US"/>
        </w:rPr>
        <w:fldChar w:fldCharType="begin"/>
      </w:r>
      <w:r w:rsidRPr="00B57308">
        <w:rPr>
          <w:rFonts w:ascii="Verdana" w:hAnsi="Verdana"/>
          <w:b/>
          <w:sz w:val="16"/>
          <w:lang w:val="en-US"/>
        </w:rPr>
        <w:instrText xml:space="preserve"> SEQ Figure \* ARABIC </w:instrText>
      </w:r>
      <w:r w:rsidRPr="00B57308">
        <w:rPr>
          <w:rFonts w:ascii="Verdana" w:hAnsi="Verdana"/>
          <w:b/>
          <w:sz w:val="16"/>
          <w:lang w:val="en-US"/>
        </w:rPr>
        <w:fldChar w:fldCharType="separate"/>
      </w:r>
      <w:r w:rsidR="00E859C7">
        <w:rPr>
          <w:rFonts w:ascii="Verdana" w:hAnsi="Verdana"/>
          <w:b/>
          <w:noProof/>
          <w:sz w:val="16"/>
          <w:lang w:val="en-US"/>
        </w:rPr>
        <w:t>49</w:t>
      </w:r>
      <w:r w:rsidRPr="00B57308">
        <w:rPr>
          <w:rFonts w:ascii="Verdana" w:hAnsi="Verdana"/>
          <w:b/>
          <w:sz w:val="16"/>
          <w:lang w:val="en-US"/>
        </w:rPr>
        <w:fldChar w:fldCharType="end"/>
      </w:r>
      <w:r w:rsidRPr="00B57308">
        <w:rPr>
          <w:rFonts w:ascii="Verdana" w:eastAsia="MS Mincho" w:hAnsi="Verdana"/>
          <w:b/>
          <w:bCs/>
          <w:sz w:val="16"/>
          <w:szCs w:val="20"/>
          <w:lang w:val="en-US" w:eastAsia="ja-JP"/>
        </w:rPr>
        <w:t xml:space="preserve">: </w:t>
      </w:r>
      <w:r>
        <w:rPr>
          <w:rFonts w:ascii="Verdana" w:eastAsia="MS Mincho" w:hAnsi="Verdana"/>
          <w:b/>
          <w:bCs/>
          <w:sz w:val="16"/>
          <w:szCs w:val="20"/>
          <w:lang w:val="en-US" w:eastAsia="ja-JP"/>
        </w:rPr>
        <w:t>Gas prices</w:t>
      </w:r>
      <w:r w:rsidR="00405147">
        <w:rPr>
          <w:rFonts w:ascii="Verdana" w:eastAsia="MS Mincho" w:hAnsi="Verdana"/>
          <w:b/>
          <w:bCs/>
          <w:sz w:val="16"/>
          <w:szCs w:val="20"/>
          <w:lang w:val="en-US" w:eastAsia="ja-JP"/>
        </w:rPr>
        <w:t xml:space="preserve"> €/MWh</w:t>
      </w:r>
      <w:r>
        <w:rPr>
          <w:rFonts w:ascii="Verdana" w:eastAsia="MS Mincho" w:hAnsi="Verdana"/>
          <w:b/>
          <w:bCs/>
          <w:sz w:val="16"/>
          <w:szCs w:val="20"/>
          <w:lang w:val="en-US" w:eastAsia="ja-JP"/>
        </w:rPr>
        <w:t xml:space="preserve"> MIBGAS, TRS, PEG (</w:t>
      </w:r>
      <w:r w:rsidRPr="00B57308">
        <w:rPr>
          <w:rFonts w:ascii="Verdana" w:eastAsia="MS Mincho" w:hAnsi="Verdana"/>
          <w:b/>
          <w:bCs/>
          <w:sz w:val="16"/>
          <w:szCs w:val="20"/>
          <w:lang w:val="en-US" w:eastAsia="ja-JP"/>
        </w:rPr>
        <w:t>01/01/2018 – 30/04/2018)</w:t>
      </w:r>
    </w:p>
    <w:p w14:paraId="114516AC" w14:textId="53151739" w:rsidR="00B57308" w:rsidRDefault="00AD50C3" w:rsidP="00B57308">
      <w:pPr>
        <w:ind w:left="-284"/>
        <w:jc w:val="center"/>
        <w:rPr>
          <w:rFonts w:ascii="Verdana" w:eastAsia="MS Mincho" w:hAnsi="Verdana"/>
          <w:b/>
          <w:bCs/>
          <w:sz w:val="16"/>
          <w:szCs w:val="20"/>
          <w:lang w:val="en-US" w:eastAsia="ja-JP"/>
        </w:rPr>
      </w:pPr>
      <w:r>
        <w:rPr>
          <w:rFonts w:ascii="Verdana" w:eastAsia="MS Mincho" w:hAnsi="Verdana"/>
          <w:b/>
          <w:bCs/>
          <w:noProof/>
          <w:sz w:val="16"/>
          <w:szCs w:val="20"/>
          <w:lang w:val="es-ES" w:eastAsia="es-ES"/>
        </w:rPr>
        <w:drawing>
          <wp:inline distT="0" distB="0" distL="0" distR="0" wp14:anchorId="643CB6D7" wp14:editId="0EA3E429">
            <wp:extent cx="5625388" cy="346885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9">
                      <a:extLst>
                        <a:ext uri="{28A0092B-C50C-407E-A947-70E740481C1C}">
                          <a14:useLocalDpi xmlns:a14="http://schemas.microsoft.com/office/drawing/2010/main" val="0"/>
                        </a:ext>
                      </a:extLst>
                    </a:blip>
                    <a:srcRect r="6066"/>
                    <a:stretch/>
                  </pic:blipFill>
                  <pic:spPr bwMode="auto">
                    <a:xfrm>
                      <a:off x="0" y="0"/>
                      <a:ext cx="5635764" cy="3475249"/>
                    </a:xfrm>
                    <a:prstGeom prst="rect">
                      <a:avLst/>
                    </a:prstGeom>
                    <a:noFill/>
                    <a:ln>
                      <a:noFill/>
                    </a:ln>
                    <a:extLst>
                      <a:ext uri="{53640926-AAD7-44D8-BBD7-CCE9431645EC}">
                        <a14:shadowObscured xmlns:a14="http://schemas.microsoft.com/office/drawing/2010/main"/>
                      </a:ext>
                    </a:extLst>
                  </pic:spPr>
                </pic:pic>
              </a:graphicData>
            </a:graphic>
          </wp:inline>
        </w:drawing>
      </w:r>
    </w:p>
    <w:p w14:paraId="4F367A96" w14:textId="5B4BFC8B" w:rsidR="00AF772A" w:rsidRDefault="00AF772A" w:rsidP="00B57308">
      <w:pPr>
        <w:ind w:left="-284"/>
        <w:jc w:val="center"/>
        <w:rPr>
          <w:rFonts w:ascii="Verdana" w:hAnsi="Verdana"/>
          <w:b/>
          <w:sz w:val="16"/>
          <w:lang w:val="en-US"/>
        </w:rPr>
      </w:pPr>
      <w:r w:rsidRPr="00AF772A">
        <w:rPr>
          <w:rFonts w:ascii="Verdana" w:hAnsi="Verdana"/>
          <w:b/>
          <w:sz w:val="16"/>
          <w:lang w:val="en-US"/>
        </w:rPr>
        <w:t xml:space="preserve">Figure </w:t>
      </w:r>
      <w:r w:rsidRPr="00AF772A">
        <w:rPr>
          <w:rFonts w:ascii="Verdana" w:hAnsi="Verdana"/>
          <w:b/>
          <w:sz w:val="16"/>
          <w:lang w:val="en-US"/>
        </w:rPr>
        <w:fldChar w:fldCharType="begin"/>
      </w:r>
      <w:r w:rsidRPr="00AF772A">
        <w:rPr>
          <w:rFonts w:ascii="Verdana" w:hAnsi="Verdana"/>
          <w:b/>
          <w:sz w:val="16"/>
          <w:lang w:val="en-US"/>
        </w:rPr>
        <w:instrText xml:space="preserve"> SEQ Figure \* ARABIC </w:instrText>
      </w:r>
      <w:r w:rsidRPr="00AF772A">
        <w:rPr>
          <w:rFonts w:ascii="Verdana" w:hAnsi="Verdana"/>
          <w:b/>
          <w:sz w:val="16"/>
          <w:lang w:val="en-US"/>
        </w:rPr>
        <w:fldChar w:fldCharType="separate"/>
      </w:r>
      <w:r w:rsidR="00E859C7">
        <w:rPr>
          <w:rFonts w:ascii="Verdana" w:hAnsi="Verdana"/>
          <w:b/>
          <w:noProof/>
          <w:sz w:val="16"/>
          <w:lang w:val="en-US"/>
        </w:rPr>
        <w:t>50</w:t>
      </w:r>
      <w:r w:rsidRPr="00AF772A">
        <w:rPr>
          <w:rFonts w:ascii="Verdana" w:hAnsi="Verdana"/>
          <w:b/>
          <w:sz w:val="16"/>
          <w:lang w:val="en-US"/>
        </w:rPr>
        <w:fldChar w:fldCharType="end"/>
      </w:r>
      <w:r w:rsidRPr="00AF772A">
        <w:rPr>
          <w:rFonts w:ascii="Verdana" w:hAnsi="Verdana"/>
          <w:b/>
          <w:sz w:val="16"/>
          <w:lang w:val="en-US"/>
        </w:rPr>
        <w:t xml:space="preserve">: UGS stock in France </w:t>
      </w:r>
      <w:r w:rsidR="00405147">
        <w:rPr>
          <w:rFonts w:ascii="Verdana" w:hAnsi="Verdana"/>
          <w:b/>
          <w:sz w:val="16"/>
          <w:lang w:val="en-US"/>
        </w:rPr>
        <w:t xml:space="preserve">TWh </w:t>
      </w:r>
      <w:r w:rsidRPr="00AF772A">
        <w:rPr>
          <w:rFonts w:ascii="Verdana" w:hAnsi="Verdana"/>
          <w:b/>
          <w:sz w:val="16"/>
          <w:lang w:val="en-US"/>
        </w:rPr>
        <w:t>(01/01/2018 – 30/04/2018)</w:t>
      </w:r>
    </w:p>
    <w:p w14:paraId="4782AC08" w14:textId="77777777" w:rsidR="00AF772A" w:rsidRPr="00AF772A" w:rsidRDefault="00AF772A" w:rsidP="00B57308">
      <w:pPr>
        <w:ind w:left="-284"/>
        <w:jc w:val="center"/>
        <w:rPr>
          <w:rFonts w:ascii="Verdana" w:eastAsia="MS Mincho" w:hAnsi="Verdana"/>
          <w:b/>
          <w:bCs/>
          <w:sz w:val="16"/>
          <w:szCs w:val="20"/>
          <w:lang w:val="en-US" w:eastAsia="ja-JP"/>
        </w:rPr>
      </w:pPr>
    </w:p>
    <w:p w14:paraId="5C799B9E" w14:textId="31DF629B" w:rsidR="00AD50C3" w:rsidRDefault="00AD50C3" w:rsidP="00B57308">
      <w:pPr>
        <w:ind w:left="-284"/>
        <w:jc w:val="center"/>
        <w:rPr>
          <w:rFonts w:ascii="Verdana" w:eastAsia="MS Mincho" w:hAnsi="Verdana"/>
          <w:b/>
          <w:bCs/>
          <w:sz w:val="16"/>
          <w:szCs w:val="20"/>
          <w:lang w:val="en-US" w:eastAsia="ja-JP"/>
        </w:rPr>
      </w:pPr>
      <w:r>
        <w:rPr>
          <w:rFonts w:ascii="Verdana" w:eastAsia="MS Mincho" w:hAnsi="Verdana"/>
          <w:b/>
          <w:bCs/>
          <w:noProof/>
          <w:sz w:val="16"/>
          <w:szCs w:val="20"/>
          <w:lang w:val="es-ES" w:eastAsia="es-ES"/>
        </w:rPr>
        <w:drawing>
          <wp:inline distT="0" distB="0" distL="0" distR="0" wp14:anchorId="6DB5D827" wp14:editId="7C7C267F">
            <wp:extent cx="5427879" cy="3517900"/>
            <wp:effectExtent l="0" t="0" r="190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0">
                      <a:extLst>
                        <a:ext uri="{28A0092B-C50C-407E-A947-70E740481C1C}">
                          <a14:useLocalDpi xmlns:a14="http://schemas.microsoft.com/office/drawing/2010/main" val="0"/>
                        </a:ext>
                      </a:extLst>
                    </a:blip>
                    <a:srcRect r="5396"/>
                    <a:stretch/>
                  </pic:blipFill>
                  <pic:spPr bwMode="auto">
                    <a:xfrm>
                      <a:off x="0" y="0"/>
                      <a:ext cx="5435014" cy="3522524"/>
                    </a:xfrm>
                    <a:prstGeom prst="rect">
                      <a:avLst/>
                    </a:prstGeom>
                    <a:noFill/>
                    <a:ln>
                      <a:noFill/>
                    </a:ln>
                    <a:extLst>
                      <a:ext uri="{53640926-AAD7-44D8-BBD7-CCE9431645EC}">
                        <a14:shadowObscured xmlns:a14="http://schemas.microsoft.com/office/drawing/2010/main"/>
                      </a:ext>
                    </a:extLst>
                  </pic:spPr>
                </pic:pic>
              </a:graphicData>
            </a:graphic>
          </wp:inline>
        </w:drawing>
      </w:r>
    </w:p>
    <w:p w14:paraId="27BB3F68" w14:textId="1D9B9D5E" w:rsidR="00405147" w:rsidRDefault="00405147" w:rsidP="00405147">
      <w:pPr>
        <w:ind w:left="-284"/>
        <w:jc w:val="center"/>
        <w:rPr>
          <w:rFonts w:ascii="Verdana" w:hAnsi="Verdana"/>
          <w:b/>
          <w:sz w:val="16"/>
          <w:lang w:val="en-US"/>
        </w:rPr>
      </w:pPr>
      <w:r w:rsidRPr="00AF772A">
        <w:rPr>
          <w:rFonts w:ascii="Verdana" w:hAnsi="Verdana"/>
          <w:b/>
          <w:sz w:val="16"/>
          <w:lang w:val="en-US"/>
        </w:rPr>
        <w:t xml:space="preserve">Figure </w:t>
      </w:r>
      <w:r w:rsidRPr="00AF772A">
        <w:rPr>
          <w:rFonts w:ascii="Verdana" w:hAnsi="Verdana"/>
          <w:b/>
          <w:sz w:val="16"/>
          <w:lang w:val="en-US"/>
        </w:rPr>
        <w:fldChar w:fldCharType="begin"/>
      </w:r>
      <w:r w:rsidRPr="00AF772A">
        <w:rPr>
          <w:rFonts w:ascii="Verdana" w:hAnsi="Verdana"/>
          <w:b/>
          <w:sz w:val="16"/>
          <w:lang w:val="en-US"/>
        </w:rPr>
        <w:instrText xml:space="preserve"> SEQ Figure \* ARABIC </w:instrText>
      </w:r>
      <w:r w:rsidRPr="00AF772A">
        <w:rPr>
          <w:rFonts w:ascii="Verdana" w:hAnsi="Verdana"/>
          <w:b/>
          <w:sz w:val="16"/>
          <w:lang w:val="en-US"/>
        </w:rPr>
        <w:fldChar w:fldCharType="separate"/>
      </w:r>
      <w:r w:rsidR="00E859C7">
        <w:rPr>
          <w:rFonts w:ascii="Verdana" w:hAnsi="Verdana"/>
          <w:b/>
          <w:noProof/>
          <w:sz w:val="16"/>
          <w:lang w:val="en-US"/>
        </w:rPr>
        <w:t>51</w:t>
      </w:r>
      <w:r w:rsidRPr="00AF772A">
        <w:rPr>
          <w:rFonts w:ascii="Verdana" w:hAnsi="Verdana"/>
          <w:b/>
          <w:sz w:val="16"/>
          <w:lang w:val="en-US"/>
        </w:rPr>
        <w:fldChar w:fldCharType="end"/>
      </w:r>
      <w:r w:rsidRPr="00AF772A">
        <w:rPr>
          <w:rFonts w:ascii="Verdana" w:hAnsi="Verdana"/>
          <w:b/>
          <w:sz w:val="16"/>
          <w:lang w:val="en-US"/>
        </w:rPr>
        <w:t xml:space="preserve">: </w:t>
      </w:r>
      <w:r>
        <w:rPr>
          <w:rFonts w:ascii="Verdana" w:hAnsi="Verdana"/>
          <w:b/>
          <w:sz w:val="16"/>
          <w:lang w:val="en-US"/>
        </w:rPr>
        <w:t>LNG</w:t>
      </w:r>
      <w:r w:rsidRPr="00AF772A">
        <w:rPr>
          <w:rFonts w:ascii="Verdana" w:hAnsi="Verdana"/>
          <w:b/>
          <w:sz w:val="16"/>
          <w:lang w:val="en-US"/>
        </w:rPr>
        <w:t xml:space="preserve"> stock in France </w:t>
      </w:r>
      <w:r>
        <w:rPr>
          <w:rFonts w:ascii="Verdana" w:hAnsi="Verdana"/>
          <w:b/>
          <w:sz w:val="16"/>
          <w:lang w:val="en-US"/>
        </w:rPr>
        <w:t>10</w:t>
      </w:r>
      <w:r w:rsidRPr="00405147">
        <w:rPr>
          <w:rFonts w:ascii="Verdana" w:hAnsi="Verdana"/>
          <w:b/>
          <w:sz w:val="16"/>
          <w:vertAlign w:val="superscript"/>
          <w:lang w:val="en-US"/>
        </w:rPr>
        <w:t>3</w:t>
      </w:r>
      <w:r>
        <w:rPr>
          <w:rFonts w:ascii="Verdana" w:hAnsi="Verdana"/>
          <w:b/>
          <w:sz w:val="16"/>
          <w:lang w:val="en-US"/>
        </w:rPr>
        <w:t xml:space="preserve"> m</w:t>
      </w:r>
      <w:r w:rsidRPr="00405147">
        <w:rPr>
          <w:rFonts w:ascii="Verdana" w:hAnsi="Verdana"/>
          <w:b/>
          <w:sz w:val="16"/>
          <w:vertAlign w:val="superscript"/>
          <w:lang w:val="en-US"/>
        </w:rPr>
        <w:t>3</w:t>
      </w:r>
      <w:r>
        <w:rPr>
          <w:rFonts w:ascii="Verdana" w:hAnsi="Verdana"/>
          <w:b/>
          <w:sz w:val="16"/>
          <w:lang w:val="en-US"/>
        </w:rPr>
        <w:t xml:space="preserve"> LNG </w:t>
      </w:r>
      <w:r w:rsidRPr="00AF772A">
        <w:rPr>
          <w:rFonts w:ascii="Verdana" w:hAnsi="Verdana"/>
          <w:b/>
          <w:sz w:val="16"/>
          <w:lang w:val="en-US"/>
        </w:rPr>
        <w:t>(01/01/2018 – 30/04/2018)</w:t>
      </w:r>
    </w:p>
    <w:p w14:paraId="218AB131" w14:textId="77777777" w:rsidR="001F4EDA" w:rsidRPr="00512DE3" w:rsidRDefault="001F4EDA" w:rsidP="001F4EDA">
      <w:pPr>
        <w:pStyle w:val="Ttulo2"/>
        <w:rPr>
          <w:bCs w:val="0"/>
          <w:szCs w:val="22"/>
          <w:lang w:val="en-US"/>
        </w:rPr>
      </w:pPr>
      <w:bookmarkStart w:id="215" w:name="_Toc49770605"/>
      <w:r w:rsidRPr="00325F3F">
        <w:rPr>
          <w:sz w:val="22"/>
          <w:lang w:val="en-US"/>
        </w:rPr>
        <w:t>Period 2: May - October 2018 – Flows from Spain to France</w:t>
      </w:r>
      <w:bookmarkEnd w:id="215"/>
    </w:p>
    <w:p w14:paraId="60BC68FC" w14:textId="3CAE6BD6" w:rsidR="001F4EDA" w:rsidRPr="00C4390F" w:rsidRDefault="001F4EDA" w:rsidP="00A75A60">
      <w:pPr>
        <w:spacing w:line="312" w:lineRule="auto"/>
        <w:rPr>
          <w:rFonts w:eastAsia="Arial" w:cs="Arial"/>
          <w:szCs w:val="22"/>
          <w:lang w:val="en-US"/>
        </w:rPr>
      </w:pPr>
      <w:r w:rsidRPr="00C4390F">
        <w:rPr>
          <w:rFonts w:eastAsia="Arial" w:cs="Arial"/>
          <w:szCs w:val="22"/>
          <w:lang w:val="en-US"/>
        </w:rPr>
        <w:t>After the Beast from the East, France´</w:t>
      </w:r>
      <w:r w:rsidR="001754E3" w:rsidRPr="00C4390F">
        <w:rPr>
          <w:rFonts w:eastAsia="Arial" w:cs="Arial"/>
          <w:szCs w:val="22"/>
          <w:lang w:val="en-US"/>
        </w:rPr>
        <w:t>s stocks</w:t>
      </w:r>
      <w:r w:rsidRPr="00C4390F">
        <w:rPr>
          <w:rFonts w:eastAsia="Arial" w:cs="Arial"/>
          <w:szCs w:val="22"/>
          <w:lang w:val="en-US"/>
        </w:rPr>
        <w:t xml:space="preserve"> of both</w:t>
      </w:r>
      <w:r>
        <w:rPr>
          <w:rFonts w:eastAsia="Arial" w:cs="Arial"/>
          <w:szCs w:val="22"/>
          <w:lang w:val="en-US"/>
        </w:rPr>
        <w:t>,</w:t>
      </w:r>
      <w:r w:rsidRPr="00C4390F">
        <w:rPr>
          <w:rFonts w:eastAsia="Arial" w:cs="Arial"/>
          <w:szCs w:val="22"/>
          <w:lang w:val="en-US"/>
        </w:rPr>
        <w:t xml:space="preserve"> LNG and Natural Gas</w:t>
      </w:r>
      <w:r>
        <w:rPr>
          <w:rFonts w:eastAsia="Arial" w:cs="Arial"/>
          <w:szCs w:val="22"/>
          <w:lang w:val="en-US"/>
        </w:rPr>
        <w:t xml:space="preserve">, </w:t>
      </w:r>
      <w:r w:rsidR="00AD792E">
        <w:rPr>
          <w:rFonts w:eastAsia="Arial" w:cs="Arial"/>
          <w:szCs w:val="22"/>
          <w:lang w:val="en-US"/>
        </w:rPr>
        <w:t xml:space="preserve">were </w:t>
      </w:r>
      <w:r>
        <w:rPr>
          <w:rFonts w:eastAsia="Arial" w:cs="Arial"/>
          <w:szCs w:val="22"/>
          <w:lang w:val="en-US"/>
        </w:rPr>
        <w:t>very low.</w:t>
      </w:r>
      <w:r w:rsidRPr="00C4390F">
        <w:rPr>
          <w:rFonts w:eastAsia="Arial" w:cs="Arial"/>
          <w:szCs w:val="22"/>
          <w:lang w:val="en-US"/>
        </w:rPr>
        <w:t xml:space="preserve"> </w:t>
      </w:r>
      <w:r>
        <w:rPr>
          <w:rFonts w:eastAsia="Arial" w:cs="Arial"/>
          <w:szCs w:val="22"/>
          <w:lang w:val="en-US"/>
        </w:rPr>
        <w:t>Because of it,</w:t>
      </w:r>
      <w:r w:rsidRPr="00C4390F">
        <w:rPr>
          <w:rFonts w:eastAsia="Arial" w:cs="Arial"/>
          <w:szCs w:val="22"/>
          <w:lang w:val="en-US"/>
        </w:rPr>
        <w:t xml:space="preserve"> prices in </w:t>
      </w:r>
      <w:r w:rsidR="001754E3" w:rsidRPr="00C4390F">
        <w:rPr>
          <w:rFonts w:eastAsia="Arial" w:cs="Arial"/>
          <w:szCs w:val="22"/>
          <w:lang w:val="en-US"/>
        </w:rPr>
        <w:t xml:space="preserve">France </w:t>
      </w:r>
      <w:r w:rsidR="00AD792E">
        <w:rPr>
          <w:rFonts w:eastAsia="Arial" w:cs="Arial"/>
          <w:szCs w:val="22"/>
          <w:lang w:val="en-US"/>
        </w:rPr>
        <w:t>rose</w:t>
      </w:r>
      <w:r>
        <w:rPr>
          <w:rFonts w:eastAsia="Arial" w:cs="Arial"/>
          <w:szCs w:val="22"/>
          <w:lang w:val="en-US"/>
        </w:rPr>
        <w:t xml:space="preserve"> sharply</w:t>
      </w:r>
      <w:r w:rsidRPr="00C4390F">
        <w:rPr>
          <w:rFonts w:eastAsia="Arial" w:cs="Arial"/>
          <w:szCs w:val="22"/>
          <w:lang w:val="en-US"/>
        </w:rPr>
        <w:t xml:space="preserve">, becoming even higher than those in </w:t>
      </w:r>
      <w:r w:rsidR="001754E3">
        <w:rPr>
          <w:rFonts w:eastAsia="Arial" w:cs="Arial"/>
          <w:szCs w:val="22"/>
          <w:lang w:val="en-US"/>
        </w:rPr>
        <w:t>Spain</w:t>
      </w:r>
      <w:r w:rsidRPr="00C4390F">
        <w:rPr>
          <w:rFonts w:eastAsia="Arial" w:cs="Arial"/>
          <w:szCs w:val="22"/>
          <w:lang w:val="en-US"/>
        </w:rPr>
        <w:t xml:space="preserve">. </w:t>
      </w:r>
    </w:p>
    <w:p w14:paraId="1F5AB93A" w14:textId="63BAAE23" w:rsidR="000E1F04" w:rsidRDefault="001F4EDA" w:rsidP="00A75A60">
      <w:pPr>
        <w:spacing w:line="312" w:lineRule="auto"/>
        <w:rPr>
          <w:rFonts w:eastAsia="Arial" w:cs="Arial"/>
          <w:szCs w:val="22"/>
          <w:lang w:val="en-US"/>
        </w:rPr>
      </w:pPr>
      <w:r w:rsidRPr="00C4390F">
        <w:rPr>
          <w:rFonts w:eastAsia="Arial" w:cs="Arial"/>
          <w:szCs w:val="22"/>
          <w:lang w:val="en-US"/>
        </w:rPr>
        <w:t xml:space="preserve">Despite </w:t>
      </w:r>
      <w:r>
        <w:rPr>
          <w:rFonts w:eastAsia="Arial" w:cs="Arial"/>
          <w:szCs w:val="22"/>
          <w:lang w:val="en-US"/>
        </w:rPr>
        <w:t xml:space="preserve">a </w:t>
      </w:r>
      <w:r w:rsidRPr="00C4390F">
        <w:rPr>
          <w:rFonts w:eastAsia="Arial" w:cs="Arial"/>
          <w:szCs w:val="22"/>
          <w:lang w:val="en-US"/>
        </w:rPr>
        <w:t xml:space="preserve">decreasing demand in France, </w:t>
      </w:r>
      <w:r>
        <w:rPr>
          <w:rFonts w:eastAsia="Arial" w:cs="Arial"/>
          <w:szCs w:val="22"/>
          <w:lang w:val="en-US"/>
        </w:rPr>
        <w:t xml:space="preserve">there </w:t>
      </w:r>
      <w:r w:rsidR="00AD792E">
        <w:rPr>
          <w:rFonts w:eastAsia="Arial" w:cs="Arial"/>
          <w:szCs w:val="22"/>
          <w:lang w:val="en-US"/>
        </w:rPr>
        <w:t>were</w:t>
      </w:r>
      <w:r>
        <w:rPr>
          <w:rFonts w:eastAsia="Arial" w:cs="Arial"/>
          <w:szCs w:val="22"/>
          <w:lang w:val="en-US"/>
        </w:rPr>
        <w:t xml:space="preserve"> </w:t>
      </w:r>
      <w:r w:rsidRPr="00C4390F">
        <w:rPr>
          <w:rFonts w:eastAsia="Arial" w:cs="Arial"/>
          <w:szCs w:val="22"/>
          <w:lang w:val="en-US"/>
        </w:rPr>
        <w:t xml:space="preserve">flows </w:t>
      </w:r>
      <w:r>
        <w:rPr>
          <w:rFonts w:eastAsia="Arial" w:cs="Arial"/>
          <w:szCs w:val="22"/>
          <w:lang w:val="en-US"/>
        </w:rPr>
        <w:t>from Spain to France</w:t>
      </w:r>
      <w:r w:rsidRPr="00C4390F">
        <w:rPr>
          <w:rFonts w:eastAsia="Arial" w:cs="Arial"/>
          <w:szCs w:val="22"/>
          <w:lang w:val="en-US"/>
        </w:rPr>
        <w:t xml:space="preserve"> (lower prices), which shows that the country </w:t>
      </w:r>
      <w:r w:rsidR="00AD792E">
        <w:rPr>
          <w:rFonts w:eastAsia="Arial" w:cs="Arial"/>
          <w:szCs w:val="22"/>
          <w:lang w:val="en-US"/>
        </w:rPr>
        <w:t>was</w:t>
      </w:r>
      <w:r w:rsidRPr="00C4390F">
        <w:rPr>
          <w:rFonts w:eastAsia="Arial" w:cs="Arial"/>
          <w:szCs w:val="22"/>
          <w:lang w:val="en-US"/>
        </w:rPr>
        <w:t xml:space="preserve"> </w:t>
      </w:r>
      <w:r>
        <w:rPr>
          <w:rFonts w:eastAsia="Arial" w:cs="Arial"/>
          <w:szCs w:val="22"/>
          <w:lang w:val="en-US"/>
        </w:rPr>
        <w:t xml:space="preserve">getting gas to recover </w:t>
      </w:r>
      <w:r w:rsidRPr="00C4390F">
        <w:rPr>
          <w:rFonts w:eastAsia="Arial" w:cs="Arial"/>
          <w:szCs w:val="22"/>
          <w:lang w:val="en-US"/>
        </w:rPr>
        <w:t>the low levels reached in the previous period.</w:t>
      </w:r>
    </w:p>
    <w:p w14:paraId="6373E32C" w14:textId="0BB75839" w:rsidR="001F4EDA" w:rsidRDefault="001F4EDA" w:rsidP="00391DAA">
      <w:pPr>
        <w:ind w:left="-142"/>
        <w:rPr>
          <w:rFonts w:eastAsia="Arial" w:cs="Arial"/>
          <w:szCs w:val="22"/>
          <w:lang w:val="en-US"/>
        </w:rPr>
      </w:pPr>
    </w:p>
    <w:p w14:paraId="548340D5" w14:textId="78CAA5B7" w:rsidR="00734431" w:rsidRDefault="00734431" w:rsidP="001754E3">
      <w:pPr>
        <w:pStyle w:val="Descripcin"/>
        <w:spacing w:before="240" w:line="360" w:lineRule="auto"/>
        <w:jc w:val="center"/>
        <w:rPr>
          <w:sz w:val="16"/>
          <w:lang w:val="en-US"/>
        </w:rPr>
      </w:pPr>
    </w:p>
    <w:p w14:paraId="132689F7" w14:textId="0900A51B" w:rsidR="00167240" w:rsidRDefault="00167240" w:rsidP="001754E3">
      <w:pPr>
        <w:pStyle w:val="Descripcin"/>
        <w:spacing w:before="240" w:line="360" w:lineRule="auto"/>
        <w:jc w:val="center"/>
        <w:rPr>
          <w:sz w:val="16"/>
          <w:lang w:val="en-US"/>
        </w:rPr>
      </w:pPr>
      <w:r>
        <w:rPr>
          <w:noProof/>
          <w:sz w:val="16"/>
          <w:lang w:eastAsia="es-ES"/>
        </w:rPr>
        <w:drawing>
          <wp:inline distT="0" distB="0" distL="0" distR="0" wp14:anchorId="7F8E15EC" wp14:editId="2A6F4040">
            <wp:extent cx="6132830" cy="28651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32830" cy="2865120"/>
                    </a:xfrm>
                    <a:prstGeom prst="rect">
                      <a:avLst/>
                    </a:prstGeom>
                    <a:noFill/>
                  </pic:spPr>
                </pic:pic>
              </a:graphicData>
            </a:graphic>
          </wp:inline>
        </w:drawing>
      </w:r>
    </w:p>
    <w:p w14:paraId="4CF81C80" w14:textId="37A00957" w:rsidR="001754E3" w:rsidRDefault="001754E3" w:rsidP="001754E3">
      <w:pPr>
        <w:pStyle w:val="Descripcin"/>
        <w:spacing w:before="240" w:line="360" w:lineRule="auto"/>
        <w:jc w:val="center"/>
        <w:rPr>
          <w:sz w:val="16"/>
          <w:lang w:val="en-US"/>
        </w:rPr>
      </w:pPr>
      <w:r w:rsidRPr="00531D5C">
        <w:rPr>
          <w:sz w:val="16"/>
          <w:lang w:val="en-US"/>
        </w:rPr>
        <w:t xml:space="preserve">Figure </w:t>
      </w:r>
      <w:r w:rsidRPr="00F66377">
        <w:rPr>
          <w:sz w:val="16"/>
          <w:lang w:val="en-US"/>
        </w:rPr>
        <w:fldChar w:fldCharType="begin"/>
      </w:r>
      <w:r w:rsidRPr="00531D5C">
        <w:rPr>
          <w:sz w:val="16"/>
          <w:lang w:val="en-US"/>
        </w:rPr>
        <w:instrText xml:space="preserve"> SEQ Figure \* ARABIC </w:instrText>
      </w:r>
      <w:r w:rsidRPr="00F66377">
        <w:rPr>
          <w:sz w:val="16"/>
          <w:lang w:val="en-US"/>
        </w:rPr>
        <w:fldChar w:fldCharType="separate"/>
      </w:r>
      <w:r w:rsidR="00E859C7">
        <w:rPr>
          <w:noProof/>
          <w:sz w:val="16"/>
          <w:lang w:val="en-US"/>
        </w:rPr>
        <w:t>52</w:t>
      </w:r>
      <w:r w:rsidRPr="00F66377">
        <w:rPr>
          <w:sz w:val="16"/>
          <w:lang w:val="en-US"/>
        </w:rPr>
        <w:fldChar w:fldCharType="end"/>
      </w:r>
      <w:r w:rsidRPr="00531D5C">
        <w:rPr>
          <w:sz w:val="16"/>
          <w:lang w:val="en-US"/>
        </w:rPr>
        <w:t xml:space="preserve">: </w:t>
      </w:r>
      <w:r>
        <w:rPr>
          <w:sz w:val="16"/>
          <w:lang w:val="en-US"/>
        </w:rPr>
        <w:t>U</w:t>
      </w:r>
      <w:r w:rsidRPr="001F4EDA">
        <w:rPr>
          <w:sz w:val="16"/>
          <w:lang w:val="en-US"/>
        </w:rPr>
        <w:t>se of the VIP Pirineos</w:t>
      </w:r>
      <w:r w:rsidR="00391DAA">
        <w:rPr>
          <w:sz w:val="16"/>
          <w:lang w:val="en-US"/>
        </w:rPr>
        <w:t xml:space="preserve"> GWh/d</w:t>
      </w:r>
      <w:r>
        <w:rPr>
          <w:sz w:val="16"/>
          <w:lang w:val="en-US"/>
        </w:rPr>
        <w:t xml:space="preserve"> (01/05/2018 – 3</w:t>
      </w:r>
      <w:r w:rsidR="00734431">
        <w:rPr>
          <w:sz w:val="16"/>
          <w:lang w:val="en-US"/>
        </w:rPr>
        <w:t>1</w:t>
      </w:r>
      <w:r>
        <w:rPr>
          <w:sz w:val="16"/>
          <w:lang w:val="en-US"/>
        </w:rPr>
        <w:t>/10/2018)</w:t>
      </w:r>
    </w:p>
    <w:p w14:paraId="3FB3C9BE" w14:textId="119326E0" w:rsidR="001754E3" w:rsidRPr="000E1F04" w:rsidRDefault="00530310" w:rsidP="001754E3">
      <w:pPr>
        <w:jc w:val="center"/>
        <w:rPr>
          <w:lang w:val="en-US" w:eastAsia="ja-JP"/>
        </w:rPr>
      </w:pPr>
      <w:r>
        <w:rPr>
          <w:noProof/>
          <w:lang w:val="es-ES" w:eastAsia="es-ES"/>
        </w:rPr>
        <w:drawing>
          <wp:inline distT="0" distB="0" distL="0" distR="0" wp14:anchorId="7B398D1B" wp14:editId="6C8C910D">
            <wp:extent cx="6132830" cy="29018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2813" cy="2925524"/>
                    </a:xfrm>
                    <a:prstGeom prst="rect">
                      <a:avLst/>
                    </a:prstGeom>
                    <a:noFill/>
                  </pic:spPr>
                </pic:pic>
              </a:graphicData>
            </a:graphic>
          </wp:inline>
        </w:drawing>
      </w:r>
    </w:p>
    <w:p w14:paraId="6609461F" w14:textId="5A0A6BD9" w:rsidR="001754E3" w:rsidRDefault="001754E3" w:rsidP="001754E3">
      <w:pPr>
        <w:pStyle w:val="Descripcin"/>
        <w:spacing w:before="240" w:line="360" w:lineRule="auto"/>
        <w:jc w:val="center"/>
        <w:rPr>
          <w:sz w:val="16"/>
          <w:lang w:val="en-US"/>
        </w:rPr>
      </w:pPr>
      <w:r w:rsidRPr="00531D5C">
        <w:rPr>
          <w:sz w:val="16"/>
          <w:lang w:val="en-US"/>
        </w:rPr>
        <w:t xml:space="preserve">Figure </w:t>
      </w:r>
      <w:r w:rsidRPr="00F66377">
        <w:rPr>
          <w:sz w:val="16"/>
          <w:lang w:val="en-US"/>
        </w:rPr>
        <w:fldChar w:fldCharType="begin"/>
      </w:r>
      <w:r w:rsidRPr="00531D5C">
        <w:rPr>
          <w:sz w:val="16"/>
          <w:lang w:val="en-US"/>
        </w:rPr>
        <w:instrText xml:space="preserve"> SEQ Figure \* ARABIC </w:instrText>
      </w:r>
      <w:r w:rsidRPr="00F66377">
        <w:rPr>
          <w:sz w:val="16"/>
          <w:lang w:val="en-US"/>
        </w:rPr>
        <w:fldChar w:fldCharType="separate"/>
      </w:r>
      <w:r w:rsidR="00E859C7">
        <w:rPr>
          <w:noProof/>
          <w:sz w:val="16"/>
          <w:lang w:val="en-US"/>
        </w:rPr>
        <w:t>53</w:t>
      </w:r>
      <w:r w:rsidRPr="00F66377">
        <w:rPr>
          <w:sz w:val="16"/>
          <w:lang w:val="en-US"/>
        </w:rPr>
        <w:fldChar w:fldCharType="end"/>
      </w:r>
      <w:r w:rsidRPr="00531D5C">
        <w:rPr>
          <w:sz w:val="16"/>
          <w:lang w:val="en-US"/>
        </w:rPr>
        <w:t xml:space="preserve">: </w:t>
      </w:r>
      <w:r>
        <w:rPr>
          <w:sz w:val="16"/>
          <w:lang w:val="en-US"/>
        </w:rPr>
        <w:t>Spread between Spain and France</w:t>
      </w:r>
      <w:r w:rsidR="00705918">
        <w:rPr>
          <w:sz w:val="16"/>
          <w:lang w:val="en-US"/>
        </w:rPr>
        <w:t xml:space="preserve"> €/MWh</w:t>
      </w:r>
      <w:r>
        <w:rPr>
          <w:sz w:val="16"/>
          <w:lang w:val="en-US"/>
        </w:rPr>
        <w:t xml:space="preserve"> (01/05/2018 – 31/10/2018)</w:t>
      </w:r>
    </w:p>
    <w:p w14:paraId="345C503E" w14:textId="0759B6BA" w:rsidR="001754E3" w:rsidRPr="001F4EDA" w:rsidRDefault="00AD50C3" w:rsidP="00AD50C3">
      <w:pPr>
        <w:jc w:val="center"/>
        <w:rPr>
          <w:lang w:val="en-US" w:eastAsia="ja-JP"/>
        </w:rPr>
      </w:pPr>
      <w:r>
        <w:rPr>
          <w:noProof/>
          <w:lang w:val="es-ES" w:eastAsia="es-ES"/>
        </w:rPr>
        <w:drawing>
          <wp:inline distT="0" distB="0" distL="0" distR="0" wp14:anchorId="392C575C" wp14:editId="489A1479">
            <wp:extent cx="5203020" cy="3233319"/>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3">
                      <a:extLst>
                        <a:ext uri="{28A0092B-C50C-407E-A947-70E740481C1C}">
                          <a14:useLocalDpi xmlns:a14="http://schemas.microsoft.com/office/drawing/2010/main" val="0"/>
                        </a:ext>
                      </a:extLst>
                    </a:blip>
                    <a:srcRect r="6790"/>
                    <a:stretch/>
                  </pic:blipFill>
                  <pic:spPr bwMode="auto">
                    <a:xfrm>
                      <a:off x="0" y="0"/>
                      <a:ext cx="5215091" cy="3240820"/>
                    </a:xfrm>
                    <a:prstGeom prst="rect">
                      <a:avLst/>
                    </a:prstGeom>
                    <a:noFill/>
                    <a:ln>
                      <a:noFill/>
                    </a:ln>
                    <a:extLst>
                      <a:ext uri="{53640926-AAD7-44D8-BBD7-CCE9431645EC}">
                        <a14:shadowObscured xmlns:a14="http://schemas.microsoft.com/office/drawing/2010/main"/>
                      </a:ext>
                    </a:extLst>
                  </pic:spPr>
                </pic:pic>
              </a:graphicData>
            </a:graphic>
          </wp:inline>
        </w:drawing>
      </w:r>
    </w:p>
    <w:p w14:paraId="0851D643" w14:textId="35B7FE4B" w:rsidR="000E1F04" w:rsidRDefault="000E1F04" w:rsidP="000E1F04">
      <w:pPr>
        <w:ind w:left="-284"/>
        <w:jc w:val="center"/>
        <w:rPr>
          <w:rFonts w:ascii="Verdana" w:hAnsi="Verdana"/>
          <w:b/>
          <w:sz w:val="16"/>
          <w:lang w:val="en-US"/>
        </w:rPr>
      </w:pPr>
      <w:r w:rsidRPr="00AF772A">
        <w:rPr>
          <w:rFonts w:ascii="Verdana" w:hAnsi="Verdana"/>
          <w:b/>
          <w:sz w:val="16"/>
          <w:lang w:val="en-US"/>
        </w:rPr>
        <w:t xml:space="preserve">Figure </w:t>
      </w:r>
      <w:r w:rsidRPr="00AF772A">
        <w:rPr>
          <w:rFonts w:ascii="Verdana" w:hAnsi="Verdana"/>
          <w:b/>
          <w:sz w:val="16"/>
          <w:lang w:val="en-US"/>
        </w:rPr>
        <w:fldChar w:fldCharType="begin"/>
      </w:r>
      <w:r w:rsidRPr="00AF772A">
        <w:rPr>
          <w:rFonts w:ascii="Verdana" w:hAnsi="Verdana"/>
          <w:b/>
          <w:sz w:val="16"/>
          <w:lang w:val="en-US"/>
        </w:rPr>
        <w:instrText xml:space="preserve"> SEQ Figure \* ARABIC </w:instrText>
      </w:r>
      <w:r w:rsidRPr="00AF772A">
        <w:rPr>
          <w:rFonts w:ascii="Verdana" w:hAnsi="Verdana"/>
          <w:b/>
          <w:sz w:val="16"/>
          <w:lang w:val="en-US"/>
        </w:rPr>
        <w:fldChar w:fldCharType="separate"/>
      </w:r>
      <w:r w:rsidR="00E859C7">
        <w:rPr>
          <w:rFonts w:ascii="Verdana" w:hAnsi="Verdana"/>
          <w:b/>
          <w:noProof/>
          <w:sz w:val="16"/>
          <w:lang w:val="en-US"/>
        </w:rPr>
        <w:t>54</w:t>
      </w:r>
      <w:r w:rsidRPr="00AF772A">
        <w:rPr>
          <w:rFonts w:ascii="Verdana" w:hAnsi="Verdana"/>
          <w:b/>
          <w:sz w:val="16"/>
          <w:lang w:val="en-US"/>
        </w:rPr>
        <w:fldChar w:fldCharType="end"/>
      </w:r>
      <w:r w:rsidRPr="00AF772A">
        <w:rPr>
          <w:rFonts w:ascii="Verdana" w:hAnsi="Verdana"/>
          <w:b/>
          <w:sz w:val="16"/>
          <w:lang w:val="en-US"/>
        </w:rPr>
        <w:t xml:space="preserve">: UGS stock in France </w:t>
      </w:r>
      <w:r>
        <w:rPr>
          <w:rFonts w:ascii="Verdana" w:hAnsi="Verdana"/>
          <w:b/>
          <w:sz w:val="16"/>
          <w:lang w:val="en-US"/>
        </w:rPr>
        <w:t xml:space="preserve">TWh </w:t>
      </w:r>
      <w:r w:rsidRPr="00AF772A">
        <w:rPr>
          <w:rFonts w:ascii="Verdana" w:hAnsi="Verdana"/>
          <w:b/>
          <w:sz w:val="16"/>
          <w:lang w:val="en-US"/>
        </w:rPr>
        <w:t>(01/0</w:t>
      </w:r>
      <w:r>
        <w:rPr>
          <w:rFonts w:ascii="Verdana" w:hAnsi="Verdana"/>
          <w:b/>
          <w:sz w:val="16"/>
          <w:lang w:val="en-US"/>
        </w:rPr>
        <w:t>5</w:t>
      </w:r>
      <w:r w:rsidRPr="00AF772A">
        <w:rPr>
          <w:rFonts w:ascii="Verdana" w:hAnsi="Verdana"/>
          <w:b/>
          <w:sz w:val="16"/>
          <w:lang w:val="en-US"/>
        </w:rPr>
        <w:t>/2018 – 3</w:t>
      </w:r>
      <w:r>
        <w:rPr>
          <w:rFonts w:ascii="Verdana" w:hAnsi="Verdana"/>
          <w:b/>
          <w:sz w:val="16"/>
          <w:lang w:val="en-US"/>
        </w:rPr>
        <w:t>1</w:t>
      </w:r>
      <w:r w:rsidRPr="00AF772A">
        <w:rPr>
          <w:rFonts w:ascii="Verdana" w:hAnsi="Verdana"/>
          <w:b/>
          <w:sz w:val="16"/>
          <w:lang w:val="en-US"/>
        </w:rPr>
        <w:t>/</w:t>
      </w:r>
      <w:r>
        <w:rPr>
          <w:rFonts w:ascii="Verdana" w:hAnsi="Verdana"/>
          <w:b/>
          <w:sz w:val="16"/>
          <w:lang w:val="en-US"/>
        </w:rPr>
        <w:t>10</w:t>
      </w:r>
      <w:r w:rsidRPr="00AF772A">
        <w:rPr>
          <w:rFonts w:ascii="Verdana" w:hAnsi="Verdana"/>
          <w:b/>
          <w:sz w:val="16"/>
          <w:lang w:val="en-US"/>
        </w:rPr>
        <w:t>/2018)</w:t>
      </w:r>
    </w:p>
    <w:p w14:paraId="4BE553FD" w14:textId="77777777" w:rsidR="00896BF9" w:rsidRDefault="00AD50C3" w:rsidP="00896BF9">
      <w:pPr>
        <w:jc w:val="center"/>
        <w:rPr>
          <w:rFonts w:ascii="Verdana" w:hAnsi="Verdana"/>
          <w:b/>
          <w:sz w:val="16"/>
          <w:lang w:val="en-US"/>
        </w:rPr>
      </w:pPr>
      <w:r w:rsidRPr="00AD50C3">
        <w:rPr>
          <w:noProof/>
          <w:lang w:val="es-ES" w:eastAsia="es-ES"/>
        </w:rPr>
        <w:drawing>
          <wp:inline distT="0" distB="0" distL="0" distR="0" wp14:anchorId="3A1E2DD9" wp14:editId="3B65CFE5">
            <wp:extent cx="5230368" cy="3312795"/>
            <wp:effectExtent l="0" t="0" r="889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4646" t="13284" r="3066" b="3136"/>
                    <a:stretch/>
                  </pic:blipFill>
                  <pic:spPr bwMode="auto">
                    <a:xfrm>
                      <a:off x="0" y="0"/>
                      <a:ext cx="5232109" cy="3313898"/>
                    </a:xfrm>
                    <a:prstGeom prst="rect">
                      <a:avLst/>
                    </a:prstGeom>
                    <a:noFill/>
                    <a:ln>
                      <a:noFill/>
                    </a:ln>
                    <a:extLst>
                      <a:ext uri="{53640926-AAD7-44D8-BBD7-CCE9431645EC}">
                        <a14:shadowObscured xmlns:a14="http://schemas.microsoft.com/office/drawing/2010/main"/>
                      </a:ext>
                    </a:extLst>
                  </pic:spPr>
                </pic:pic>
              </a:graphicData>
            </a:graphic>
          </wp:inline>
        </w:drawing>
      </w:r>
    </w:p>
    <w:p w14:paraId="1C80E2B7" w14:textId="37D3FBE9" w:rsidR="000E1F04" w:rsidRDefault="000E1F04" w:rsidP="00896BF9">
      <w:pPr>
        <w:jc w:val="center"/>
        <w:rPr>
          <w:rFonts w:ascii="Verdana" w:hAnsi="Verdana"/>
          <w:b/>
          <w:sz w:val="16"/>
          <w:lang w:val="en-US"/>
        </w:rPr>
      </w:pPr>
      <w:r w:rsidRPr="00AF772A">
        <w:rPr>
          <w:rFonts w:ascii="Verdana" w:hAnsi="Verdana"/>
          <w:b/>
          <w:sz w:val="16"/>
          <w:lang w:val="en-US"/>
        </w:rPr>
        <w:t xml:space="preserve">Figure </w:t>
      </w:r>
      <w:r w:rsidRPr="00AF772A">
        <w:rPr>
          <w:rFonts w:ascii="Verdana" w:hAnsi="Verdana"/>
          <w:b/>
          <w:sz w:val="16"/>
          <w:lang w:val="en-US"/>
        </w:rPr>
        <w:fldChar w:fldCharType="begin"/>
      </w:r>
      <w:r w:rsidRPr="00AF772A">
        <w:rPr>
          <w:rFonts w:ascii="Verdana" w:hAnsi="Verdana"/>
          <w:b/>
          <w:sz w:val="16"/>
          <w:lang w:val="en-US"/>
        </w:rPr>
        <w:instrText xml:space="preserve"> SEQ Figure \* ARABIC </w:instrText>
      </w:r>
      <w:r w:rsidRPr="00AF772A">
        <w:rPr>
          <w:rFonts w:ascii="Verdana" w:hAnsi="Verdana"/>
          <w:b/>
          <w:sz w:val="16"/>
          <w:lang w:val="en-US"/>
        </w:rPr>
        <w:fldChar w:fldCharType="separate"/>
      </w:r>
      <w:r w:rsidR="00E859C7">
        <w:rPr>
          <w:rFonts w:ascii="Verdana" w:hAnsi="Verdana"/>
          <w:b/>
          <w:noProof/>
          <w:sz w:val="16"/>
          <w:lang w:val="en-US"/>
        </w:rPr>
        <w:t>55</w:t>
      </w:r>
      <w:r w:rsidRPr="00AF772A">
        <w:rPr>
          <w:rFonts w:ascii="Verdana" w:hAnsi="Verdana"/>
          <w:b/>
          <w:sz w:val="16"/>
          <w:lang w:val="en-US"/>
        </w:rPr>
        <w:fldChar w:fldCharType="end"/>
      </w:r>
      <w:r w:rsidRPr="00AF772A">
        <w:rPr>
          <w:rFonts w:ascii="Verdana" w:hAnsi="Verdana"/>
          <w:b/>
          <w:sz w:val="16"/>
          <w:lang w:val="en-US"/>
        </w:rPr>
        <w:t xml:space="preserve">: </w:t>
      </w:r>
      <w:r>
        <w:rPr>
          <w:rFonts w:ascii="Verdana" w:hAnsi="Verdana"/>
          <w:b/>
          <w:sz w:val="16"/>
          <w:lang w:val="en-US"/>
        </w:rPr>
        <w:t>LNG</w:t>
      </w:r>
      <w:r w:rsidRPr="00AF772A">
        <w:rPr>
          <w:rFonts w:ascii="Verdana" w:hAnsi="Verdana"/>
          <w:b/>
          <w:sz w:val="16"/>
          <w:lang w:val="en-US"/>
        </w:rPr>
        <w:t xml:space="preserve"> stock in France (01/0</w:t>
      </w:r>
      <w:r>
        <w:rPr>
          <w:rFonts w:ascii="Verdana" w:hAnsi="Verdana"/>
          <w:b/>
          <w:sz w:val="16"/>
          <w:lang w:val="en-US"/>
        </w:rPr>
        <w:t>5</w:t>
      </w:r>
      <w:r w:rsidRPr="00AF772A">
        <w:rPr>
          <w:rFonts w:ascii="Verdana" w:hAnsi="Verdana"/>
          <w:b/>
          <w:sz w:val="16"/>
          <w:lang w:val="en-US"/>
        </w:rPr>
        <w:t>/2018 – 3</w:t>
      </w:r>
      <w:r>
        <w:rPr>
          <w:rFonts w:ascii="Verdana" w:hAnsi="Verdana"/>
          <w:b/>
          <w:sz w:val="16"/>
          <w:lang w:val="en-US"/>
        </w:rPr>
        <w:t>1</w:t>
      </w:r>
      <w:r w:rsidRPr="00AF772A">
        <w:rPr>
          <w:rFonts w:ascii="Verdana" w:hAnsi="Verdana"/>
          <w:b/>
          <w:sz w:val="16"/>
          <w:lang w:val="en-US"/>
        </w:rPr>
        <w:t>/</w:t>
      </w:r>
      <w:r>
        <w:rPr>
          <w:rFonts w:ascii="Verdana" w:hAnsi="Verdana"/>
          <w:b/>
          <w:sz w:val="16"/>
          <w:lang w:val="en-US"/>
        </w:rPr>
        <w:t>10</w:t>
      </w:r>
      <w:r w:rsidRPr="00AF772A">
        <w:rPr>
          <w:rFonts w:ascii="Verdana" w:hAnsi="Verdana"/>
          <w:b/>
          <w:sz w:val="16"/>
          <w:lang w:val="en-US"/>
        </w:rPr>
        <w:t>/2018)</w:t>
      </w:r>
    </w:p>
    <w:p w14:paraId="055B24FC" w14:textId="148886E8" w:rsidR="0052694C" w:rsidRPr="009F23FF" w:rsidRDefault="00AB6B65" w:rsidP="0052694C">
      <w:pPr>
        <w:pStyle w:val="Ttulo2"/>
        <w:rPr>
          <w:b w:val="0"/>
          <w:bCs w:val="0"/>
          <w:i/>
          <w:iCs w:val="0"/>
          <w:szCs w:val="22"/>
          <w:lang w:val="en-US"/>
        </w:rPr>
      </w:pPr>
      <w:r>
        <w:rPr>
          <w:lang w:val="en-US"/>
        </w:rPr>
        <w:br w:type="page"/>
      </w:r>
      <w:bookmarkStart w:id="216" w:name="_Toc49770606"/>
      <w:r w:rsidR="0052694C" w:rsidRPr="0052694C">
        <w:rPr>
          <w:sz w:val="22"/>
          <w:lang w:val="en-US"/>
        </w:rPr>
        <w:t>Period 3: November - March 2019 – High increase in daily and within</w:t>
      </w:r>
      <w:r w:rsidR="008E73A3">
        <w:rPr>
          <w:sz w:val="22"/>
          <w:lang w:val="en-US"/>
        </w:rPr>
        <w:t xml:space="preserve">-day bookings due to the </w:t>
      </w:r>
      <w:r w:rsidR="00AD792E">
        <w:rPr>
          <w:sz w:val="22"/>
          <w:lang w:val="en-US"/>
        </w:rPr>
        <w:t xml:space="preserve">price </w:t>
      </w:r>
      <w:r w:rsidR="008E73A3">
        <w:rPr>
          <w:sz w:val="22"/>
          <w:lang w:val="en-US"/>
        </w:rPr>
        <w:t>spread</w:t>
      </w:r>
      <w:bookmarkEnd w:id="216"/>
    </w:p>
    <w:p w14:paraId="14A68F85" w14:textId="60F010A7" w:rsidR="0052694C" w:rsidRDefault="0052694C" w:rsidP="00A75A60">
      <w:pPr>
        <w:spacing w:line="312" w:lineRule="auto"/>
        <w:rPr>
          <w:rFonts w:eastAsia="Arial" w:cs="Arial"/>
          <w:szCs w:val="22"/>
          <w:lang w:val="en-US"/>
        </w:rPr>
      </w:pPr>
      <w:r>
        <w:rPr>
          <w:rFonts w:eastAsia="Arial" w:cs="Arial"/>
          <w:szCs w:val="22"/>
          <w:lang w:val="en-US"/>
        </w:rPr>
        <w:t xml:space="preserve">The Market Integration in France </w:t>
      </w:r>
      <w:r w:rsidRPr="009F23FF">
        <w:rPr>
          <w:rFonts w:eastAsia="Arial" w:cs="Arial"/>
          <w:szCs w:val="22"/>
          <w:lang w:val="en-US"/>
        </w:rPr>
        <w:t>boost</w:t>
      </w:r>
      <w:r w:rsidR="00AD792E">
        <w:rPr>
          <w:rFonts w:eastAsia="Arial" w:cs="Arial"/>
          <w:szCs w:val="22"/>
          <w:lang w:val="en-US"/>
        </w:rPr>
        <w:t>ed</w:t>
      </w:r>
      <w:r>
        <w:rPr>
          <w:rFonts w:eastAsia="Arial" w:cs="Arial"/>
          <w:szCs w:val="22"/>
          <w:lang w:val="en-US"/>
        </w:rPr>
        <w:t xml:space="preserve"> the</w:t>
      </w:r>
      <w:r w:rsidRPr="009F23FF">
        <w:rPr>
          <w:rFonts w:eastAsia="Arial" w:cs="Arial"/>
          <w:szCs w:val="22"/>
          <w:lang w:val="en-US"/>
        </w:rPr>
        <w:t xml:space="preserve"> liquidity of its market</w:t>
      </w:r>
      <w:r>
        <w:rPr>
          <w:rFonts w:eastAsia="Arial" w:cs="Arial"/>
          <w:szCs w:val="22"/>
          <w:lang w:val="en-US"/>
        </w:rPr>
        <w:t xml:space="preserve">, and lowered prices in the French </w:t>
      </w:r>
      <w:r w:rsidR="00AD792E">
        <w:rPr>
          <w:rFonts w:eastAsia="Arial" w:cs="Arial"/>
          <w:szCs w:val="22"/>
          <w:lang w:val="en-US"/>
        </w:rPr>
        <w:t xml:space="preserve">market. It, combined with other factors, also </w:t>
      </w:r>
      <w:r w:rsidR="00656229">
        <w:rPr>
          <w:rFonts w:eastAsia="Arial" w:cs="Arial"/>
          <w:szCs w:val="22"/>
          <w:lang w:val="en-US"/>
        </w:rPr>
        <w:t>contributed to low prices in</w:t>
      </w:r>
      <w:r w:rsidR="00AD792E">
        <w:rPr>
          <w:rFonts w:eastAsia="Arial" w:cs="Arial"/>
          <w:szCs w:val="22"/>
          <w:lang w:val="en-US"/>
        </w:rPr>
        <w:t xml:space="preserve"> </w:t>
      </w:r>
      <w:r>
        <w:rPr>
          <w:rFonts w:eastAsia="Arial" w:cs="Arial"/>
          <w:szCs w:val="22"/>
          <w:lang w:val="en-US"/>
        </w:rPr>
        <w:t>the Spanish market. However, the prices drop was greater in France than in Spain, resulting in a wider price spread between the two markets. In fact, b</w:t>
      </w:r>
      <w:r w:rsidRPr="0032728F">
        <w:rPr>
          <w:rFonts w:eastAsia="Arial" w:cs="Arial"/>
          <w:szCs w:val="22"/>
          <w:lang w:val="en-US"/>
        </w:rPr>
        <w:t>efore</w:t>
      </w:r>
      <w:r>
        <w:rPr>
          <w:rFonts w:eastAsia="Arial" w:cs="Arial"/>
          <w:szCs w:val="22"/>
          <w:lang w:val="en-US"/>
        </w:rPr>
        <w:t xml:space="preserve"> the French market integration, the price spread was higher that the transport costs from France to Spain, only in </w:t>
      </w:r>
      <w:r w:rsidRPr="0032728F">
        <w:rPr>
          <w:rFonts w:eastAsia="Arial" w:cs="Arial"/>
          <w:szCs w:val="22"/>
          <w:lang w:val="en-US"/>
        </w:rPr>
        <w:t>7</w:t>
      </w:r>
      <w:r w:rsidR="004542FF">
        <w:rPr>
          <w:rFonts w:eastAsia="Arial" w:cs="Arial"/>
          <w:szCs w:val="22"/>
          <w:lang w:val="en-US"/>
        </w:rPr>
        <w:t>.</w:t>
      </w:r>
      <w:r w:rsidRPr="0032728F">
        <w:rPr>
          <w:rFonts w:eastAsia="Arial" w:cs="Arial"/>
          <w:szCs w:val="22"/>
          <w:lang w:val="en-US"/>
        </w:rPr>
        <w:t>5% of the days</w:t>
      </w:r>
      <w:r>
        <w:rPr>
          <w:rFonts w:eastAsia="Arial" w:cs="Arial"/>
          <w:szCs w:val="22"/>
          <w:lang w:val="en-US"/>
        </w:rPr>
        <w:t>.</w:t>
      </w:r>
      <w:r w:rsidRPr="0032728F">
        <w:rPr>
          <w:rFonts w:eastAsia="Arial" w:cs="Arial"/>
          <w:szCs w:val="22"/>
          <w:lang w:val="en-US"/>
        </w:rPr>
        <w:t xml:space="preserve"> However, after the </w:t>
      </w:r>
      <w:r>
        <w:rPr>
          <w:rFonts w:eastAsia="Arial" w:cs="Arial"/>
          <w:szCs w:val="22"/>
          <w:lang w:val="en-US"/>
        </w:rPr>
        <w:t xml:space="preserve">market merger, this percentage rises to 44%. </w:t>
      </w:r>
    </w:p>
    <w:tbl>
      <w:tblPr>
        <w:tblW w:w="6975" w:type="dxa"/>
        <w:jc w:val="center"/>
        <w:tblCellMar>
          <w:left w:w="0" w:type="dxa"/>
          <w:right w:w="0" w:type="dxa"/>
        </w:tblCellMar>
        <w:tblLook w:val="0600" w:firstRow="0" w:lastRow="0" w:firstColumn="0" w:lastColumn="0" w:noHBand="1" w:noVBand="1"/>
      </w:tblPr>
      <w:tblGrid>
        <w:gridCol w:w="5710"/>
        <w:gridCol w:w="1265"/>
      </w:tblGrid>
      <w:tr w:rsidR="0052694C" w:rsidRPr="0094734F" w14:paraId="7DDF6EE1" w14:textId="77777777" w:rsidTr="00660E51">
        <w:trPr>
          <w:trHeight w:val="429"/>
          <w:jc w:val="center"/>
        </w:trPr>
        <w:tc>
          <w:tcPr>
            <w:tcW w:w="5710" w:type="dxa"/>
            <w:tcBorders>
              <w:top w:val="nil"/>
              <w:left w:val="nil"/>
              <w:bottom w:val="dotted" w:sz="6" w:space="0" w:color="63666A"/>
              <w:right w:val="dotted" w:sz="6" w:space="0" w:color="63666A"/>
            </w:tcBorders>
            <w:shd w:val="clear" w:color="auto" w:fill="auto"/>
            <w:tcMar>
              <w:top w:w="15" w:type="dxa"/>
              <w:left w:w="15" w:type="dxa"/>
              <w:bottom w:w="0" w:type="dxa"/>
              <w:right w:w="15" w:type="dxa"/>
            </w:tcMar>
            <w:vAlign w:val="bottom"/>
            <w:hideMark/>
          </w:tcPr>
          <w:p w14:paraId="54DCAF17" w14:textId="77777777" w:rsidR="0052694C" w:rsidRPr="0094734F" w:rsidRDefault="0052694C" w:rsidP="00660E51">
            <w:pPr>
              <w:jc w:val="center"/>
              <w:rPr>
                <w:rFonts w:eastAsia="Arial" w:cs="Arial"/>
                <w:sz w:val="20"/>
                <w:szCs w:val="22"/>
                <w:lang w:val="en-US"/>
              </w:rPr>
            </w:pPr>
            <w:r w:rsidRPr="0094734F">
              <w:rPr>
                <w:rFonts w:eastAsia="Arial" w:cs="Arial"/>
                <w:sz w:val="20"/>
                <w:szCs w:val="22"/>
                <w:lang w:val="en-US"/>
              </w:rPr>
              <w:t>Spread TRS-M</w:t>
            </w:r>
            <w:r>
              <w:rPr>
                <w:rFonts w:eastAsia="Arial" w:cs="Arial"/>
                <w:sz w:val="20"/>
                <w:szCs w:val="22"/>
                <w:lang w:val="en-US"/>
              </w:rPr>
              <w:t>IBGAS</w:t>
            </w:r>
            <w:r w:rsidRPr="0094734F">
              <w:rPr>
                <w:rFonts w:eastAsia="Arial" w:cs="Arial"/>
                <w:sz w:val="20"/>
                <w:szCs w:val="22"/>
                <w:lang w:val="en-US"/>
              </w:rPr>
              <w:t xml:space="preserve"> before the market merger</w:t>
            </w:r>
          </w:p>
        </w:tc>
        <w:tc>
          <w:tcPr>
            <w:tcW w:w="1265" w:type="dxa"/>
            <w:tcBorders>
              <w:top w:val="nil"/>
              <w:left w:val="dotted" w:sz="6" w:space="0" w:color="63666A"/>
              <w:bottom w:val="dotted" w:sz="6" w:space="0" w:color="63666A"/>
              <w:right w:val="nil"/>
            </w:tcBorders>
            <w:shd w:val="clear" w:color="auto" w:fill="auto"/>
            <w:tcMar>
              <w:top w:w="15" w:type="dxa"/>
              <w:left w:w="15" w:type="dxa"/>
              <w:bottom w:w="0" w:type="dxa"/>
              <w:right w:w="15" w:type="dxa"/>
            </w:tcMar>
            <w:vAlign w:val="bottom"/>
            <w:hideMark/>
          </w:tcPr>
          <w:p w14:paraId="3135F407" w14:textId="68E9ABE9" w:rsidR="0052694C" w:rsidRPr="0094734F" w:rsidRDefault="0052694C" w:rsidP="004542FF">
            <w:pPr>
              <w:jc w:val="center"/>
              <w:rPr>
                <w:rFonts w:eastAsia="Arial" w:cs="Arial"/>
                <w:sz w:val="20"/>
                <w:szCs w:val="22"/>
                <w:lang w:val="es-ES"/>
              </w:rPr>
            </w:pPr>
            <w:r w:rsidRPr="0094734F">
              <w:rPr>
                <w:rFonts w:eastAsia="Arial" w:cs="Arial"/>
                <w:sz w:val="20"/>
                <w:szCs w:val="22"/>
                <w:lang w:val="es-ES"/>
              </w:rPr>
              <w:t>0</w:t>
            </w:r>
            <w:r w:rsidR="004542FF">
              <w:rPr>
                <w:rFonts w:eastAsia="Arial" w:cs="Arial"/>
                <w:sz w:val="20"/>
                <w:szCs w:val="22"/>
                <w:lang w:val="es-ES"/>
              </w:rPr>
              <w:t>.</w:t>
            </w:r>
            <w:r w:rsidRPr="0094734F">
              <w:rPr>
                <w:rFonts w:eastAsia="Arial" w:cs="Arial"/>
                <w:sz w:val="20"/>
                <w:szCs w:val="22"/>
                <w:lang w:val="es-ES"/>
              </w:rPr>
              <w:t>52</w:t>
            </w:r>
          </w:p>
        </w:tc>
      </w:tr>
      <w:tr w:rsidR="0052694C" w:rsidRPr="0094734F" w14:paraId="5C09650B" w14:textId="77777777" w:rsidTr="00660E51">
        <w:trPr>
          <w:trHeight w:val="429"/>
          <w:jc w:val="center"/>
        </w:trPr>
        <w:tc>
          <w:tcPr>
            <w:tcW w:w="5710" w:type="dxa"/>
            <w:tcBorders>
              <w:top w:val="dotted" w:sz="6" w:space="0" w:color="63666A"/>
              <w:left w:val="nil"/>
              <w:bottom w:val="dotted" w:sz="6" w:space="0" w:color="63666A"/>
              <w:right w:val="dotted" w:sz="6" w:space="0" w:color="63666A"/>
            </w:tcBorders>
            <w:shd w:val="clear" w:color="auto" w:fill="auto"/>
            <w:tcMar>
              <w:top w:w="15" w:type="dxa"/>
              <w:left w:w="15" w:type="dxa"/>
              <w:bottom w:w="0" w:type="dxa"/>
              <w:right w:w="15" w:type="dxa"/>
            </w:tcMar>
            <w:vAlign w:val="bottom"/>
            <w:hideMark/>
          </w:tcPr>
          <w:p w14:paraId="7FADB2BC" w14:textId="77777777" w:rsidR="0052694C" w:rsidRPr="0094734F" w:rsidRDefault="0052694C" w:rsidP="00660E51">
            <w:pPr>
              <w:jc w:val="center"/>
              <w:rPr>
                <w:rFonts w:eastAsia="Arial" w:cs="Arial"/>
                <w:sz w:val="20"/>
                <w:szCs w:val="22"/>
                <w:lang w:val="en-US"/>
              </w:rPr>
            </w:pPr>
            <w:r w:rsidRPr="0094734F">
              <w:rPr>
                <w:rFonts w:eastAsia="Arial" w:cs="Arial"/>
                <w:sz w:val="20"/>
                <w:szCs w:val="22"/>
                <w:lang w:val="en-US"/>
              </w:rPr>
              <w:t>Spread PEG-M</w:t>
            </w:r>
            <w:r>
              <w:rPr>
                <w:rFonts w:eastAsia="Arial" w:cs="Arial"/>
                <w:sz w:val="20"/>
                <w:szCs w:val="22"/>
                <w:lang w:val="en-US"/>
              </w:rPr>
              <w:t>IBGAS</w:t>
            </w:r>
            <w:r w:rsidRPr="0094734F">
              <w:rPr>
                <w:rFonts w:eastAsia="Arial" w:cs="Arial"/>
                <w:sz w:val="20"/>
                <w:szCs w:val="22"/>
                <w:lang w:val="en-US"/>
              </w:rPr>
              <w:t xml:space="preserve"> before the market merger</w:t>
            </w:r>
          </w:p>
        </w:tc>
        <w:tc>
          <w:tcPr>
            <w:tcW w:w="1265" w:type="dxa"/>
            <w:tcBorders>
              <w:top w:val="dotted" w:sz="6" w:space="0" w:color="63666A"/>
              <w:left w:val="dotted" w:sz="6" w:space="0" w:color="63666A"/>
              <w:bottom w:val="dotted" w:sz="6" w:space="0" w:color="63666A"/>
              <w:right w:val="nil"/>
            </w:tcBorders>
            <w:shd w:val="clear" w:color="auto" w:fill="auto"/>
            <w:tcMar>
              <w:top w:w="15" w:type="dxa"/>
              <w:left w:w="15" w:type="dxa"/>
              <w:bottom w:w="0" w:type="dxa"/>
              <w:right w:w="15" w:type="dxa"/>
            </w:tcMar>
            <w:vAlign w:val="bottom"/>
            <w:hideMark/>
          </w:tcPr>
          <w:p w14:paraId="45AEC005" w14:textId="0F47042C" w:rsidR="0052694C" w:rsidRPr="0094734F" w:rsidRDefault="0052694C" w:rsidP="004542FF">
            <w:pPr>
              <w:jc w:val="center"/>
              <w:rPr>
                <w:rFonts w:eastAsia="Arial" w:cs="Arial"/>
                <w:sz w:val="20"/>
                <w:szCs w:val="22"/>
                <w:lang w:val="es-ES"/>
              </w:rPr>
            </w:pPr>
            <w:r w:rsidRPr="0094734F">
              <w:rPr>
                <w:rFonts w:eastAsia="Arial" w:cs="Arial"/>
                <w:sz w:val="20"/>
                <w:szCs w:val="22"/>
                <w:lang w:val="es-ES"/>
              </w:rPr>
              <w:t>1</w:t>
            </w:r>
            <w:r w:rsidR="004542FF">
              <w:rPr>
                <w:rFonts w:eastAsia="Arial" w:cs="Arial"/>
                <w:sz w:val="20"/>
                <w:szCs w:val="22"/>
                <w:lang w:val="es-ES"/>
              </w:rPr>
              <w:t>.</w:t>
            </w:r>
            <w:r w:rsidRPr="0094734F">
              <w:rPr>
                <w:rFonts w:eastAsia="Arial" w:cs="Arial"/>
                <w:sz w:val="20"/>
                <w:szCs w:val="22"/>
                <w:lang w:val="es-ES"/>
              </w:rPr>
              <w:t>57</w:t>
            </w:r>
          </w:p>
        </w:tc>
      </w:tr>
      <w:tr w:rsidR="0052694C" w:rsidRPr="0094734F" w14:paraId="2B2EDAC7" w14:textId="77777777" w:rsidTr="00660E51">
        <w:trPr>
          <w:trHeight w:val="290"/>
          <w:jc w:val="center"/>
        </w:trPr>
        <w:tc>
          <w:tcPr>
            <w:tcW w:w="5710" w:type="dxa"/>
            <w:tcBorders>
              <w:top w:val="dotted" w:sz="6" w:space="0" w:color="63666A"/>
              <w:left w:val="nil"/>
              <w:bottom w:val="nil"/>
              <w:right w:val="dotted" w:sz="6" w:space="0" w:color="63666A"/>
            </w:tcBorders>
            <w:shd w:val="clear" w:color="auto" w:fill="auto"/>
            <w:tcMar>
              <w:top w:w="15" w:type="dxa"/>
              <w:left w:w="15" w:type="dxa"/>
              <w:bottom w:w="0" w:type="dxa"/>
              <w:right w:w="15" w:type="dxa"/>
            </w:tcMar>
            <w:vAlign w:val="bottom"/>
            <w:hideMark/>
          </w:tcPr>
          <w:p w14:paraId="6F76400B" w14:textId="77777777" w:rsidR="0052694C" w:rsidRPr="0094734F" w:rsidRDefault="0052694C" w:rsidP="00660E51">
            <w:pPr>
              <w:jc w:val="center"/>
              <w:rPr>
                <w:rFonts w:eastAsia="Arial" w:cs="Arial"/>
                <w:sz w:val="20"/>
                <w:szCs w:val="22"/>
                <w:lang w:val="en-US"/>
              </w:rPr>
            </w:pPr>
            <w:r w:rsidRPr="0094734F">
              <w:rPr>
                <w:rFonts w:eastAsia="Arial" w:cs="Arial"/>
                <w:sz w:val="20"/>
                <w:szCs w:val="22"/>
                <w:lang w:val="en-US"/>
              </w:rPr>
              <w:t>Spread TRF-M</w:t>
            </w:r>
            <w:r>
              <w:rPr>
                <w:rFonts w:eastAsia="Arial" w:cs="Arial"/>
                <w:sz w:val="20"/>
                <w:szCs w:val="22"/>
                <w:lang w:val="en-US"/>
              </w:rPr>
              <w:t>IBGAS</w:t>
            </w:r>
            <w:r w:rsidRPr="0094734F">
              <w:rPr>
                <w:rFonts w:eastAsia="Arial" w:cs="Arial"/>
                <w:sz w:val="20"/>
                <w:szCs w:val="22"/>
                <w:lang w:val="en-US"/>
              </w:rPr>
              <w:t xml:space="preserve"> </w:t>
            </w:r>
            <w:r>
              <w:rPr>
                <w:rFonts w:eastAsia="Arial" w:cs="Arial"/>
                <w:sz w:val="20"/>
                <w:szCs w:val="22"/>
                <w:lang w:val="en-US"/>
              </w:rPr>
              <w:t>after</w:t>
            </w:r>
            <w:r w:rsidRPr="0094734F">
              <w:rPr>
                <w:rFonts w:eastAsia="Arial" w:cs="Arial"/>
                <w:sz w:val="20"/>
                <w:szCs w:val="22"/>
                <w:lang w:val="en-US"/>
              </w:rPr>
              <w:t xml:space="preserve"> the market merger</w:t>
            </w:r>
          </w:p>
        </w:tc>
        <w:tc>
          <w:tcPr>
            <w:tcW w:w="1265" w:type="dxa"/>
            <w:tcBorders>
              <w:top w:val="dotted" w:sz="6" w:space="0" w:color="63666A"/>
              <w:left w:val="dotted" w:sz="6" w:space="0" w:color="63666A"/>
              <w:bottom w:val="nil"/>
              <w:right w:val="nil"/>
            </w:tcBorders>
            <w:shd w:val="clear" w:color="auto" w:fill="auto"/>
            <w:tcMar>
              <w:top w:w="15" w:type="dxa"/>
              <w:left w:w="15" w:type="dxa"/>
              <w:bottom w:w="0" w:type="dxa"/>
              <w:right w:w="15" w:type="dxa"/>
            </w:tcMar>
            <w:vAlign w:val="bottom"/>
            <w:hideMark/>
          </w:tcPr>
          <w:p w14:paraId="2683D92A" w14:textId="3809F741" w:rsidR="0052694C" w:rsidRPr="0094734F" w:rsidRDefault="0052694C" w:rsidP="004542FF">
            <w:pPr>
              <w:jc w:val="center"/>
              <w:rPr>
                <w:rFonts w:eastAsia="Arial" w:cs="Arial"/>
                <w:sz w:val="20"/>
                <w:szCs w:val="22"/>
                <w:lang w:val="es-ES"/>
              </w:rPr>
            </w:pPr>
            <w:r w:rsidRPr="0094734F">
              <w:rPr>
                <w:rFonts w:eastAsia="Arial" w:cs="Arial"/>
                <w:sz w:val="20"/>
                <w:szCs w:val="22"/>
                <w:lang w:val="es-ES"/>
              </w:rPr>
              <w:t>2</w:t>
            </w:r>
            <w:r w:rsidR="004542FF">
              <w:rPr>
                <w:rFonts w:eastAsia="Arial" w:cs="Arial"/>
                <w:sz w:val="20"/>
                <w:szCs w:val="22"/>
                <w:lang w:val="es-ES"/>
              </w:rPr>
              <w:t>.</w:t>
            </w:r>
            <w:r w:rsidRPr="0094734F">
              <w:rPr>
                <w:rFonts w:eastAsia="Arial" w:cs="Arial"/>
                <w:sz w:val="20"/>
                <w:szCs w:val="22"/>
                <w:lang w:val="es-ES"/>
              </w:rPr>
              <w:t>24</w:t>
            </w:r>
          </w:p>
        </w:tc>
      </w:tr>
    </w:tbl>
    <w:p w14:paraId="3F8BD8D0" w14:textId="6101AACB" w:rsidR="0052694C" w:rsidRDefault="0052694C" w:rsidP="00A75A60">
      <w:pPr>
        <w:spacing w:line="312" w:lineRule="auto"/>
        <w:rPr>
          <w:rFonts w:eastAsia="Arial" w:cs="Arial"/>
          <w:szCs w:val="22"/>
          <w:lang w:val="en-US"/>
        </w:rPr>
      </w:pPr>
      <w:r>
        <w:rPr>
          <w:rFonts w:eastAsia="Arial" w:cs="Arial"/>
          <w:szCs w:val="22"/>
          <w:lang w:val="en-US"/>
        </w:rPr>
        <w:t>Most of the time, t</w:t>
      </w:r>
      <w:r w:rsidRPr="00931F11">
        <w:rPr>
          <w:rFonts w:eastAsia="Arial" w:cs="Arial"/>
          <w:szCs w:val="22"/>
          <w:lang w:val="en-US"/>
        </w:rPr>
        <w:t>he price of the Spanish market follow</w:t>
      </w:r>
      <w:r w:rsidR="00656229">
        <w:rPr>
          <w:rFonts w:eastAsia="Arial" w:cs="Arial"/>
          <w:szCs w:val="22"/>
          <w:lang w:val="en-US"/>
        </w:rPr>
        <w:t>ed</w:t>
      </w:r>
      <w:r w:rsidRPr="00931F11">
        <w:rPr>
          <w:rFonts w:eastAsia="Arial" w:cs="Arial"/>
          <w:szCs w:val="22"/>
          <w:lang w:val="en-US"/>
        </w:rPr>
        <w:t xml:space="preserve"> the movements of the </w:t>
      </w:r>
      <w:r>
        <w:rPr>
          <w:rFonts w:eastAsia="Arial" w:cs="Arial"/>
          <w:szCs w:val="22"/>
          <w:lang w:val="en-US"/>
        </w:rPr>
        <w:t>French market</w:t>
      </w:r>
      <w:r w:rsidRPr="00931F11">
        <w:rPr>
          <w:rFonts w:eastAsia="Arial" w:cs="Arial"/>
          <w:szCs w:val="22"/>
          <w:lang w:val="en-US"/>
        </w:rPr>
        <w:t xml:space="preserve"> and in many occasions</w:t>
      </w:r>
      <w:r>
        <w:rPr>
          <w:rFonts w:eastAsia="Arial" w:cs="Arial"/>
          <w:szCs w:val="22"/>
          <w:lang w:val="en-US"/>
        </w:rPr>
        <w:t>, the spread</w:t>
      </w:r>
      <w:r w:rsidRPr="00931F11">
        <w:rPr>
          <w:rFonts w:eastAsia="Arial" w:cs="Arial"/>
          <w:szCs w:val="22"/>
          <w:lang w:val="en-US"/>
        </w:rPr>
        <w:t xml:space="preserve"> </w:t>
      </w:r>
      <w:r w:rsidR="00656229">
        <w:rPr>
          <w:rFonts w:eastAsia="Arial" w:cs="Arial"/>
          <w:szCs w:val="22"/>
          <w:lang w:val="en-US"/>
        </w:rPr>
        <w:t>was</w:t>
      </w:r>
      <w:r w:rsidRPr="00931F11">
        <w:rPr>
          <w:rFonts w:eastAsia="Arial" w:cs="Arial"/>
          <w:szCs w:val="22"/>
          <w:lang w:val="en-US"/>
        </w:rPr>
        <w:t xml:space="preserve"> above the transport costs</w:t>
      </w:r>
      <w:r>
        <w:rPr>
          <w:rFonts w:eastAsia="Arial" w:cs="Arial"/>
          <w:szCs w:val="22"/>
          <w:lang w:val="en-US"/>
        </w:rPr>
        <w:t>. For the above reasons, it can be concluded that the French price has a strong influence over the Spanish price.</w:t>
      </w:r>
      <w:r w:rsidRPr="00931F11">
        <w:rPr>
          <w:rFonts w:eastAsia="Arial" w:cs="Arial"/>
          <w:szCs w:val="22"/>
          <w:lang w:val="en-US"/>
        </w:rPr>
        <w:t xml:space="preserve"> </w:t>
      </w:r>
    </w:p>
    <w:p w14:paraId="50D653FC" w14:textId="77777777" w:rsidR="00AB6B65" w:rsidRDefault="00AB6B65">
      <w:pPr>
        <w:spacing w:before="0" w:after="0" w:line="240" w:lineRule="auto"/>
        <w:jc w:val="left"/>
        <w:rPr>
          <w:rFonts w:cs="Arial"/>
          <w:b/>
          <w:bCs/>
          <w:sz w:val="28"/>
          <w:u w:val="single"/>
          <w:lang w:val="en-US"/>
        </w:rPr>
      </w:pPr>
    </w:p>
    <w:p w14:paraId="73097934" w14:textId="180205CA" w:rsidR="0052694C" w:rsidRDefault="0052694C">
      <w:pPr>
        <w:spacing w:before="0" w:after="0" w:line="240" w:lineRule="auto"/>
        <w:jc w:val="left"/>
        <w:rPr>
          <w:rFonts w:cs="Arial"/>
          <w:b/>
          <w:bCs/>
          <w:sz w:val="28"/>
          <w:u w:val="single"/>
          <w:lang w:val="en-US"/>
        </w:rPr>
      </w:pPr>
    </w:p>
    <w:p w14:paraId="248740B6" w14:textId="523C8D90" w:rsidR="004B6DA7" w:rsidRDefault="004B6DA7" w:rsidP="00F72A8D">
      <w:pPr>
        <w:jc w:val="center"/>
        <w:rPr>
          <w:rFonts w:ascii="Verdana" w:hAnsi="Verdana"/>
          <w:b/>
          <w:sz w:val="16"/>
          <w:lang w:val="en-US"/>
        </w:rPr>
      </w:pPr>
      <w:r>
        <w:rPr>
          <w:rFonts w:ascii="Verdana" w:hAnsi="Verdana"/>
          <w:b/>
          <w:noProof/>
          <w:sz w:val="16"/>
          <w:lang w:val="es-ES" w:eastAsia="es-ES"/>
        </w:rPr>
        <w:drawing>
          <wp:inline distT="0" distB="0" distL="0" distR="0" wp14:anchorId="32AE0FC2" wp14:editId="0A1817C8">
            <wp:extent cx="5582093" cy="515755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87029" cy="5162113"/>
                    </a:xfrm>
                    <a:prstGeom prst="rect">
                      <a:avLst/>
                    </a:prstGeom>
                    <a:noFill/>
                  </pic:spPr>
                </pic:pic>
              </a:graphicData>
            </a:graphic>
          </wp:inline>
        </w:drawing>
      </w:r>
    </w:p>
    <w:p w14:paraId="3AA84684" w14:textId="77777777" w:rsidR="00F72A8D" w:rsidRDefault="00D414B9" w:rsidP="00F72A8D">
      <w:pPr>
        <w:jc w:val="center"/>
        <w:rPr>
          <w:rFonts w:ascii="Verdana" w:hAnsi="Verdana"/>
          <w:b/>
          <w:sz w:val="16"/>
          <w:lang w:val="en-US"/>
        </w:rPr>
      </w:pPr>
      <w:r w:rsidRPr="00AF772A">
        <w:rPr>
          <w:rFonts w:ascii="Verdana" w:hAnsi="Verdana"/>
          <w:b/>
          <w:sz w:val="16"/>
          <w:lang w:val="en-US"/>
        </w:rPr>
        <w:t xml:space="preserve">Figure </w:t>
      </w:r>
      <w:r w:rsidRPr="00AF772A">
        <w:rPr>
          <w:rFonts w:ascii="Verdana" w:hAnsi="Verdana"/>
          <w:b/>
          <w:sz w:val="16"/>
          <w:lang w:val="en-US"/>
        </w:rPr>
        <w:fldChar w:fldCharType="begin"/>
      </w:r>
      <w:r w:rsidRPr="00AF772A">
        <w:rPr>
          <w:rFonts w:ascii="Verdana" w:hAnsi="Verdana"/>
          <w:b/>
          <w:sz w:val="16"/>
          <w:lang w:val="en-US"/>
        </w:rPr>
        <w:instrText xml:space="preserve"> SEQ Figure \* ARABIC </w:instrText>
      </w:r>
      <w:r w:rsidRPr="00AF772A">
        <w:rPr>
          <w:rFonts w:ascii="Verdana" w:hAnsi="Verdana"/>
          <w:b/>
          <w:sz w:val="16"/>
          <w:lang w:val="en-US"/>
        </w:rPr>
        <w:fldChar w:fldCharType="separate"/>
      </w:r>
      <w:r w:rsidR="00E859C7">
        <w:rPr>
          <w:rFonts w:ascii="Verdana" w:hAnsi="Verdana"/>
          <w:b/>
          <w:noProof/>
          <w:sz w:val="16"/>
          <w:lang w:val="en-US"/>
        </w:rPr>
        <w:t>56</w:t>
      </w:r>
      <w:r w:rsidRPr="00AF772A">
        <w:rPr>
          <w:rFonts w:ascii="Verdana" w:hAnsi="Verdana"/>
          <w:b/>
          <w:sz w:val="16"/>
          <w:lang w:val="en-US"/>
        </w:rPr>
        <w:fldChar w:fldCharType="end"/>
      </w:r>
      <w:r w:rsidRPr="00AF772A">
        <w:rPr>
          <w:rFonts w:ascii="Verdana" w:hAnsi="Verdana"/>
          <w:b/>
          <w:sz w:val="16"/>
          <w:lang w:val="en-US"/>
        </w:rPr>
        <w:t xml:space="preserve">: </w:t>
      </w:r>
      <w:r>
        <w:rPr>
          <w:rFonts w:ascii="Verdana" w:hAnsi="Verdana"/>
          <w:b/>
          <w:sz w:val="16"/>
          <w:lang w:val="en-US"/>
        </w:rPr>
        <w:t>Gas prices ES-FR</w:t>
      </w:r>
      <w:r w:rsidRPr="00AF772A">
        <w:rPr>
          <w:rFonts w:ascii="Verdana" w:hAnsi="Verdana"/>
          <w:b/>
          <w:sz w:val="16"/>
          <w:lang w:val="en-US"/>
        </w:rPr>
        <w:t xml:space="preserve"> (</w:t>
      </w:r>
      <w:r w:rsidRPr="00D414B9">
        <w:rPr>
          <w:rFonts w:ascii="Verdana" w:hAnsi="Verdana"/>
          <w:b/>
          <w:sz w:val="16"/>
          <w:lang w:val="en-US"/>
        </w:rPr>
        <w:t>01/01/2018 – 31/10/2019</w:t>
      </w:r>
      <w:r w:rsidRPr="00AF772A">
        <w:rPr>
          <w:rFonts w:ascii="Verdana" w:hAnsi="Verdana"/>
          <w:b/>
          <w:sz w:val="16"/>
          <w:lang w:val="en-US"/>
        </w:rPr>
        <w:t>)</w:t>
      </w:r>
    </w:p>
    <w:p w14:paraId="03B861D1" w14:textId="53630E6A" w:rsidR="00D414B9" w:rsidRDefault="00F72A8D" w:rsidP="00A75A60">
      <w:pPr>
        <w:spacing w:line="312" w:lineRule="auto"/>
        <w:rPr>
          <w:rFonts w:cs="Arial"/>
          <w:b/>
          <w:bCs/>
          <w:sz w:val="28"/>
          <w:u w:val="single"/>
          <w:lang w:val="en-US"/>
        </w:rPr>
      </w:pPr>
      <w:r>
        <w:rPr>
          <w:rFonts w:eastAsia="Arial" w:cs="Arial"/>
          <w:szCs w:val="22"/>
          <w:lang w:val="en-US"/>
        </w:rPr>
        <w:t xml:space="preserve">By this </w:t>
      </w:r>
      <w:r w:rsidR="00C6301F">
        <w:rPr>
          <w:rFonts w:eastAsia="Arial" w:cs="Arial"/>
          <w:szCs w:val="22"/>
          <w:lang w:val="en-US"/>
        </w:rPr>
        <w:t>period</w:t>
      </w:r>
      <w:r>
        <w:rPr>
          <w:rFonts w:eastAsia="Arial" w:cs="Arial"/>
          <w:szCs w:val="22"/>
          <w:lang w:val="en-US"/>
        </w:rPr>
        <w:t>, the liquidity of MIBGAS already reached higher values. Such is the case that traders who didn´t previously operate in Spain, beg</w:t>
      </w:r>
      <w:r w:rsidR="00C6301F">
        <w:rPr>
          <w:rFonts w:eastAsia="Arial" w:cs="Arial"/>
          <w:szCs w:val="22"/>
          <w:lang w:val="en-US"/>
        </w:rPr>
        <w:t>a</w:t>
      </w:r>
      <w:r>
        <w:rPr>
          <w:rFonts w:eastAsia="Arial" w:cs="Arial"/>
          <w:szCs w:val="22"/>
          <w:lang w:val="en-US"/>
        </w:rPr>
        <w:t xml:space="preserve">n to make use of the </w:t>
      </w:r>
      <w:r w:rsidR="00C6301F">
        <w:rPr>
          <w:rFonts w:eastAsia="Arial" w:cs="Arial"/>
          <w:szCs w:val="22"/>
          <w:lang w:val="en-US"/>
        </w:rPr>
        <w:t>V</w:t>
      </w:r>
      <w:r>
        <w:rPr>
          <w:rFonts w:eastAsia="Arial" w:cs="Arial"/>
          <w:szCs w:val="22"/>
          <w:lang w:val="en-US"/>
        </w:rPr>
        <w:t>IP taking advantage of the price spread</w:t>
      </w:r>
      <w:r w:rsidR="00C6301F">
        <w:rPr>
          <w:rFonts w:eastAsia="Arial" w:cs="Arial"/>
          <w:szCs w:val="22"/>
          <w:lang w:val="en-US"/>
        </w:rPr>
        <w:t>,</w:t>
      </w:r>
      <w:r>
        <w:rPr>
          <w:rFonts w:eastAsia="Arial" w:cs="Arial"/>
          <w:szCs w:val="22"/>
          <w:lang w:val="en-US"/>
        </w:rPr>
        <w:t xml:space="preserve"> not only to cover the demand but for trading operations. Both, capacity booking and its usage reach very high values (83% of nomination).</w:t>
      </w:r>
    </w:p>
    <w:p w14:paraId="1D4EE405" w14:textId="1A2CE4A2" w:rsidR="0052694C" w:rsidRDefault="0052694C" w:rsidP="007E582C">
      <w:pPr>
        <w:keepNext/>
        <w:spacing w:before="0" w:after="0" w:line="240" w:lineRule="auto"/>
        <w:ind w:left="-284"/>
        <w:jc w:val="left"/>
        <w:rPr>
          <w:lang w:val="en-US"/>
        </w:rPr>
      </w:pPr>
      <w:bookmarkStart w:id="217" w:name="_Ref27493713"/>
      <w:r>
        <w:rPr>
          <w:lang w:val="en-US"/>
        </w:rPr>
        <w:br w:type="page"/>
      </w:r>
    </w:p>
    <w:p w14:paraId="077E9564" w14:textId="4CFD7466" w:rsidR="00734431" w:rsidRDefault="00734431" w:rsidP="004819F6">
      <w:pPr>
        <w:pStyle w:val="Descripcin"/>
        <w:spacing w:before="240" w:line="360" w:lineRule="auto"/>
        <w:ind w:left="-142"/>
        <w:jc w:val="center"/>
        <w:rPr>
          <w:sz w:val="16"/>
          <w:lang w:val="en-US"/>
        </w:rPr>
      </w:pPr>
    </w:p>
    <w:p w14:paraId="1144646E" w14:textId="7680ABCB" w:rsidR="00167240" w:rsidRDefault="00167240" w:rsidP="0041610A">
      <w:pPr>
        <w:pStyle w:val="Descripcin"/>
        <w:spacing w:before="240" w:line="360" w:lineRule="auto"/>
        <w:jc w:val="center"/>
        <w:rPr>
          <w:sz w:val="16"/>
          <w:lang w:val="en-US"/>
        </w:rPr>
      </w:pPr>
      <w:r w:rsidRPr="00167240">
        <w:rPr>
          <w:noProof/>
          <w:sz w:val="16"/>
          <w:lang w:eastAsia="es-ES"/>
        </w:rPr>
        <w:drawing>
          <wp:inline distT="0" distB="0" distL="0" distR="0" wp14:anchorId="414B8734" wp14:editId="23DAB21B">
            <wp:extent cx="6238875" cy="2905125"/>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C697705" w14:textId="74887271" w:rsidR="0041610A" w:rsidRDefault="0041610A" w:rsidP="0041610A">
      <w:pPr>
        <w:pStyle w:val="Descripcin"/>
        <w:spacing w:before="240" w:line="360" w:lineRule="auto"/>
        <w:jc w:val="center"/>
        <w:rPr>
          <w:sz w:val="16"/>
          <w:lang w:val="en-US"/>
        </w:rPr>
      </w:pPr>
      <w:r w:rsidRPr="00531D5C">
        <w:rPr>
          <w:sz w:val="16"/>
          <w:lang w:val="en-US"/>
        </w:rPr>
        <w:t xml:space="preserve">Figure </w:t>
      </w:r>
      <w:r w:rsidRPr="00F66377">
        <w:rPr>
          <w:sz w:val="16"/>
          <w:lang w:val="en-US"/>
        </w:rPr>
        <w:fldChar w:fldCharType="begin"/>
      </w:r>
      <w:r w:rsidRPr="00531D5C">
        <w:rPr>
          <w:sz w:val="16"/>
          <w:lang w:val="en-US"/>
        </w:rPr>
        <w:instrText xml:space="preserve"> SEQ Figure \* ARABIC </w:instrText>
      </w:r>
      <w:r w:rsidRPr="00F66377">
        <w:rPr>
          <w:sz w:val="16"/>
          <w:lang w:val="en-US"/>
        </w:rPr>
        <w:fldChar w:fldCharType="separate"/>
      </w:r>
      <w:r w:rsidR="00E859C7">
        <w:rPr>
          <w:noProof/>
          <w:sz w:val="16"/>
          <w:lang w:val="en-US"/>
        </w:rPr>
        <w:t>57</w:t>
      </w:r>
      <w:r w:rsidRPr="00F66377">
        <w:rPr>
          <w:sz w:val="16"/>
          <w:lang w:val="en-US"/>
        </w:rPr>
        <w:fldChar w:fldCharType="end"/>
      </w:r>
      <w:r w:rsidRPr="00531D5C">
        <w:rPr>
          <w:sz w:val="16"/>
          <w:lang w:val="en-US"/>
        </w:rPr>
        <w:t xml:space="preserve">: </w:t>
      </w:r>
      <w:r>
        <w:rPr>
          <w:sz w:val="16"/>
          <w:lang w:val="en-US"/>
        </w:rPr>
        <w:t>U</w:t>
      </w:r>
      <w:r w:rsidRPr="001F4EDA">
        <w:rPr>
          <w:sz w:val="16"/>
          <w:lang w:val="en-US"/>
        </w:rPr>
        <w:t>se of the VIP Pirineos</w:t>
      </w:r>
      <w:r>
        <w:rPr>
          <w:sz w:val="16"/>
          <w:lang w:val="en-US"/>
        </w:rPr>
        <w:t xml:space="preserve"> GWh/d (01/11/2018 – 31/03/2019)</w:t>
      </w:r>
    </w:p>
    <w:p w14:paraId="67A59848" w14:textId="4EAB717A" w:rsidR="00530310" w:rsidRDefault="00530310" w:rsidP="00F45BB1">
      <w:pPr>
        <w:pStyle w:val="Descripcin"/>
        <w:spacing w:before="240" w:line="360" w:lineRule="auto"/>
        <w:jc w:val="center"/>
        <w:rPr>
          <w:sz w:val="16"/>
          <w:lang w:val="en-US"/>
        </w:rPr>
      </w:pPr>
      <w:r>
        <w:rPr>
          <w:noProof/>
          <w:sz w:val="16"/>
          <w:lang w:eastAsia="es-ES"/>
        </w:rPr>
        <w:drawing>
          <wp:inline distT="0" distB="0" distL="0" distR="0" wp14:anchorId="235F56C9" wp14:editId="5CCD5763">
            <wp:extent cx="6238875" cy="29547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38875" cy="2954798"/>
                    </a:xfrm>
                    <a:prstGeom prst="rect">
                      <a:avLst/>
                    </a:prstGeom>
                    <a:noFill/>
                  </pic:spPr>
                </pic:pic>
              </a:graphicData>
            </a:graphic>
          </wp:inline>
        </w:drawing>
      </w:r>
    </w:p>
    <w:p w14:paraId="08119BC4" w14:textId="039C287B" w:rsidR="00F45BB1" w:rsidRDefault="00F45BB1" w:rsidP="00F45BB1">
      <w:pPr>
        <w:pStyle w:val="Descripcin"/>
        <w:spacing w:before="240" w:line="360" w:lineRule="auto"/>
        <w:jc w:val="center"/>
        <w:rPr>
          <w:sz w:val="16"/>
          <w:lang w:val="en-US"/>
        </w:rPr>
      </w:pPr>
      <w:r w:rsidRPr="00531D5C">
        <w:rPr>
          <w:sz w:val="16"/>
          <w:lang w:val="en-US"/>
        </w:rPr>
        <w:t xml:space="preserve">Figure </w:t>
      </w:r>
      <w:r w:rsidRPr="00F66377">
        <w:rPr>
          <w:sz w:val="16"/>
          <w:lang w:val="en-US"/>
        </w:rPr>
        <w:fldChar w:fldCharType="begin"/>
      </w:r>
      <w:r w:rsidRPr="00531D5C">
        <w:rPr>
          <w:sz w:val="16"/>
          <w:lang w:val="en-US"/>
        </w:rPr>
        <w:instrText xml:space="preserve"> SEQ Figure \* ARABIC </w:instrText>
      </w:r>
      <w:r w:rsidRPr="00F66377">
        <w:rPr>
          <w:sz w:val="16"/>
          <w:lang w:val="en-US"/>
        </w:rPr>
        <w:fldChar w:fldCharType="separate"/>
      </w:r>
      <w:r w:rsidR="00E859C7">
        <w:rPr>
          <w:noProof/>
          <w:sz w:val="16"/>
          <w:lang w:val="en-US"/>
        </w:rPr>
        <w:t>58</w:t>
      </w:r>
      <w:r w:rsidRPr="00F66377">
        <w:rPr>
          <w:sz w:val="16"/>
          <w:lang w:val="en-US"/>
        </w:rPr>
        <w:fldChar w:fldCharType="end"/>
      </w:r>
      <w:r w:rsidRPr="00531D5C">
        <w:rPr>
          <w:sz w:val="16"/>
          <w:lang w:val="en-US"/>
        </w:rPr>
        <w:t xml:space="preserve">: </w:t>
      </w:r>
      <w:r>
        <w:rPr>
          <w:sz w:val="16"/>
          <w:lang w:val="en-US"/>
        </w:rPr>
        <w:t>Spread between Spain and France €/MWh (01/11/2018 – 31/03/2019)</w:t>
      </w:r>
    </w:p>
    <w:p w14:paraId="1F0E70FF" w14:textId="77D7AA0F" w:rsidR="00F45BB1" w:rsidRDefault="00197BC5" w:rsidP="00147E92">
      <w:pPr>
        <w:keepNext/>
        <w:spacing w:before="0" w:after="0" w:line="240" w:lineRule="auto"/>
        <w:ind w:left="-142"/>
        <w:jc w:val="left"/>
        <w:rPr>
          <w:rFonts w:cs="Arial"/>
          <w:b/>
          <w:bCs/>
          <w:sz w:val="28"/>
          <w:u w:val="single"/>
          <w:lang w:val="en-US"/>
        </w:rPr>
      </w:pPr>
      <w:r w:rsidRPr="00197BC5">
        <w:rPr>
          <w:rFonts w:cs="Arial"/>
          <w:bCs/>
          <w:noProof/>
          <w:sz w:val="28"/>
          <w:lang w:val="es-ES" w:eastAsia="es-ES"/>
        </w:rPr>
        <w:drawing>
          <wp:inline distT="0" distB="0" distL="0" distR="0" wp14:anchorId="418CF96F" wp14:editId="6063B826">
            <wp:extent cx="5829300" cy="22809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3616"/>
                    <a:stretch/>
                  </pic:blipFill>
                  <pic:spPr bwMode="auto">
                    <a:xfrm>
                      <a:off x="0" y="0"/>
                      <a:ext cx="5856630" cy="2291614"/>
                    </a:xfrm>
                    <a:prstGeom prst="rect">
                      <a:avLst/>
                    </a:prstGeom>
                    <a:noFill/>
                    <a:ln>
                      <a:noFill/>
                    </a:ln>
                    <a:extLst>
                      <a:ext uri="{53640926-AAD7-44D8-BBD7-CCE9431645EC}">
                        <a14:shadowObscured xmlns:a14="http://schemas.microsoft.com/office/drawing/2010/main"/>
                      </a:ext>
                    </a:extLst>
                  </pic:spPr>
                </pic:pic>
              </a:graphicData>
            </a:graphic>
          </wp:inline>
        </w:drawing>
      </w:r>
    </w:p>
    <w:p w14:paraId="23B17B36" w14:textId="1C4A9BB8" w:rsidR="00197BC5" w:rsidRDefault="00197BC5" w:rsidP="00197BC5">
      <w:pPr>
        <w:ind w:left="-284"/>
        <w:jc w:val="center"/>
        <w:rPr>
          <w:rFonts w:ascii="Verdana" w:eastAsia="MS Mincho" w:hAnsi="Verdana"/>
          <w:b/>
          <w:bCs/>
          <w:sz w:val="16"/>
          <w:szCs w:val="20"/>
          <w:lang w:val="en-US" w:eastAsia="ja-JP"/>
        </w:rPr>
      </w:pPr>
      <w:r w:rsidRPr="00B57308">
        <w:rPr>
          <w:rFonts w:ascii="Verdana" w:hAnsi="Verdana"/>
          <w:b/>
          <w:sz w:val="16"/>
          <w:lang w:val="en-US"/>
        </w:rPr>
        <w:t xml:space="preserve">Figure </w:t>
      </w:r>
      <w:r w:rsidRPr="00B57308">
        <w:rPr>
          <w:rFonts w:ascii="Verdana" w:hAnsi="Verdana"/>
          <w:b/>
          <w:sz w:val="16"/>
          <w:lang w:val="en-US"/>
        </w:rPr>
        <w:fldChar w:fldCharType="begin"/>
      </w:r>
      <w:r w:rsidRPr="00B57308">
        <w:rPr>
          <w:rFonts w:ascii="Verdana" w:hAnsi="Verdana"/>
          <w:b/>
          <w:sz w:val="16"/>
          <w:lang w:val="en-US"/>
        </w:rPr>
        <w:instrText xml:space="preserve"> SEQ Figure \* ARABIC </w:instrText>
      </w:r>
      <w:r w:rsidRPr="00B57308">
        <w:rPr>
          <w:rFonts w:ascii="Verdana" w:hAnsi="Verdana"/>
          <w:b/>
          <w:sz w:val="16"/>
          <w:lang w:val="en-US"/>
        </w:rPr>
        <w:fldChar w:fldCharType="separate"/>
      </w:r>
      <w:r w:rsidR="00E859C7">
        <w:rPr>
          <w:rFonts w:ascii="Verdana" w:hAnsi="Verdana"/>
          <w:b/>
          <w:noProof/>
          <w:sz w:val="16"/>
          <w:lang w:val="en-US"/>
        </w:rPr>
        <w:t>59</w:t>
      </w:r>
      <w:r w:rsidRPr="00B57308">
        <w:rPr>
          <w:rFonts w:ascii="Verdana" w:hAnsi="Verdana"/>
          <w:b/>
          <w:sz w:val="16"/>
          <w:lang w:val="en-US"/>
        </w:rPr>
        <w:fldChar w:fldCharType="end"/>
      </w:r>
      <w:r w:rsidRPr="00B57308">
        <w:rPr>
          <w:rFonts w:ascii="Verdana" w:eastAsia="MS Mincho" w:hAnsi="Verdana"/>
          <w:b/>
          <w:bCs/>
          <w:sz w:val="16"/>
          <w:szCs w:val="20"/>
          <w:lang w:val="en-US" w:eastAsia="ja-JP"/>
        </w:rPr>
        <w:t xml:space="preserve">: </w:t>
      </w:r>
      <w:r>
        <w:rPr>
          <w:rFonts w:ascii="Verdana" w:eastAsia="MS Mincho" w:hAnsi="Verdana"/>
          <w:b/>
          <w:bCs/>
          <w:sz w:val="16"/>
          <w:szCs w:val="20"/>
          <w:lang w:val="en-US" w:eastAsia="ja-JP"/>
        </w:rPr>
        <w:t>Gas prices €/MWh MIBGAS, TRS, PEG (</w:t>
      </w:r>
      <w:r w:rsidRPr="00B57308">
        <w:rPr>
          <w:rFonts w:ascii="Verdana" w:eastAsia="MS Mincho" w:hAnsi="Verdana"/>
          <w:b/>
          <w:bCs/>
          <w:sz w:val="16"/>
          <w:szCs w:val="20"/>
          <w:lang w:val="en-US" w:eastAsia="ja-JP"/>
        </w:rPr>
        <w:t>01/</w:t>
      </w:r>
      <w:r>
        <w:rPr>
          <w:rFonts w:ascii="Verdana" w:eastAsia="MS Mincho" w:hAnsi="Verdana"/>
          <w:b/>
          <w:bCs/>
          <w:sz w:val="16"/>
          <w:szCs w:val="20"/>
          <w:lang w:val="en-US" w:eastAsia="ja-JP"/>
        </w:rPr>
        <w:t>1</w:t>
      </w:r>
      <w:r w:rsidRPr="00B57308">
        <w:rPr>
          <w:rFonts w:ascii="Verdana" w:eastAsia="MS Mincho" w:hAnsi="Verdana"/>
          <w:b/>
          <w:bCs/>
          <w:sz w:val="16"/>
          <w:szCs w:val="20"/>
          <w:lang w:val="en-US" w:eastAsia="ja-JP"/>
        </w:rPr>
        <w:t>1/2018 – 3</w:t>
      </w:r>
      <w:r>
        <w:rPr>
          <w:rFonts w:ascii="Verdana" w:eastAsia="MS Mincho" w:hAnsi="Verdana"/>
          <w:b/>
          <w:bCs/>
          <w:sz w:val="16"/>
          <w:szCs w:val="20"/>
          <w:lang w:val="en-US" w:eastAsia="ja-JP"/>
        </w:rPr>
        <w:t>1</w:t>
      </w:r>
      <w:r w:rsidRPr="00B57308">
        <w:rPr>
          <w:rFonts w:ascii="Verdana" w:eastAsia="MS Mincho" w:hAnsi="Verdana"/>
          <w:b/>
          <w:bCs/>
          <w:sz w:val="16"/>
          <w:szCs w:val="20"/>
          <w:lang w:val="en-US" w:eastAsia="ja-JP"/>
        </w:rPr>
        <w:t>/0</w:t>
      </w:r>
      <w:r>
        <w:rPr>
          <w:rFonts w:ascii="Verdana" w:eastAsia="MS Mincho" w:hAnsi="Verdana"/>
          <w:b/>
          <w:bCs/>
          <w:sz w:val="16"/>
          <w:szCs w:val="20"/>
          <w:lang w:val="en-US" w:eastAsia="ja-JP"/>
        </w:rPr>
        <w:t>3</w:t>
      </w:r>
      <w:r w:rsidRPr="00B57308">
        <w:rPr>
          <w:rFonts w:ascii="Verdana" w:eastAsia="MS Mincho" w:hAnsi="Verdana"/>
          <w:b/>
          <w:bCs/>
          <w:sz w:val="16"/>
          <w:szCs w:val="20"/>
          <w:lang w:val="en-US" w:eastAsia="ja-JP"/>
        </w:rPr>
        <w:t>/201</w:t>
      </w:r>
      <w:r>
        <w:rPr>
          <w:rFonts w:ascii="Verdana" w:eastAsia="MS Mincho" w:hAnsi="Verdana"/>
          <w:b/>
          <w:bCs/>
          <w:sz w:val="16"/>
          <w:szCs w:val="20"/>
          <w:lang w:val="en-US" w:eastAsia="ja-JP"/>
        </w:rPr>
        <w:t>9</w:t>
      </w:r>
      <w:r w:rsidRPr="00B57308">
        <w:rPr>
          <w:rFonts w:ascii="Verdana" w:eastAsia="MS Mincho" w:hAnsi="Verdana"/>
          <w:b/>
          <w:bCs/>
          <w:sz w:val="16"/>
          <w:szCs w:val="20"/>
          <w:lang w:val="en-US" w:eastAsia="ja-JP"/>
        </w:rPr>
        <w:t>)</w:t>
      </w:r>
    </w:p>
    <w:p w14:paraId="6C9C76F9" w14:textId="4D9BC1B7" w:rsidR="00197BC5" w:rsidRDefault="00944D25" w:rsidP="00147E92">
      <w:pPr>
        <w:keepNext/>
        <w:spacing w:before="0" w:after="0" w:line="240" w:lineRule="auto"/>
        <w:ind w:left="-142"/>
        <w:jc w:val="left"/>
        <w:rPr>
          <w:rFonts w:cs="Arial"/>
          <w:b/>
          <w:bCs/>
          <w:sz w:val="28"/>
          <w:u w:val="single"/>
          <w:lang w:val="en-US"/>
        </w:rPr>
      </w:pPr>
      <w:r>
        <w:rPr>
          <w:noProof/>
          <w:lang w:val="es-ES" w:eastAsia="es-ES"/>
        </w:rPr>
        <w:drawing>
          <wp:inline distT="0" distB="0" distL="0" distR="0" wp14:anchorId="3149194C" wp14:editId="7BECCA8B">
            <wp:extent cx="5959474" cy="2143687"/>
            <wp:effectExtent l="0" t="0" r="3175" b="9525"/>
            <wp:docPr id="76282317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59474" cy="2143687"/>
                    </a:xfrm>
                    <a:prstGeom prst="rect">
                      <a:avLst/>
                    </a:prstGeom>
                  </pic:spPr>
                </pic:pic>
              </a:graphicData>
            </a:graphic>
          </wp:inline>
        </w:drawing>
      </w:r>
    </w:p>
    <w:p w14:paraId="32EB39C8" w14:textId="7CEA23F9" w:rsidR="00147E92" w:rsidRDefault="00147E92" w:rsidP="00147E92">
      <w:pPr>
        <w:ind w:left="-284"/>
        <w:jc w:val="center"/>
        <w:rPr>
          <w:rFonts w:ascii="Verdana" w:eastAsia="MS Mincho" w:hAnsi="Verdana"/>
          <w:b/>
          <w:bCs/>
          <w:sz w:val="16"/>
          <w:szCs w:val="20"/>
          <w:lang w:val="en-US" w:eastAsia="ja-JP"/>
        </w:rPr>
      </w:pPr>
      <w:r w:rsidRPr="00B57308">
        <w:rPr>
          <w:rFonts w:ascii="Verdana" w:hAnsi="Verdana"/>
          <w:b/>
          <w:sz w:val="16"/>
          <w:lang w:val="en-US"/>
        </w:rPr>
        <w:t xml:space="preserve">Figure </w:t>
      </w:r>
      <w:r w:rsidRPr="00B57308">
        <w:rPr>
          <w:rFonts w:ascii="Verdana" w:hAnsi="Verdana"/>
          <w:b/>
          <w:sz w:val="16"/>
          <w:lang w:val="en-US"/>
        </w:rPr>
        <w:fldChar w:fldCharType="begin"/>
      </w:r>
      <w:r w:rsidRPr="00B57308">
        <w:rPr>
          <w:rFonts w:ascii="Verdana" w:hAnsi="Verdana"/>
          <w:b/>
          <w:sz w:val="16"/>
          <w:lang w:val="en-US"/>
        </w:rPr>
        <w:instrText xml:space="preserve"> SEQ Figure \* ARABIC </w:instrText>
      </w:r>
      <w:r w:rsidRPr="00B57308">
        <w:rPr>
          <w:rFonts w:ascii="Verdana" w:hAnsi="Verdana"/>
          <w:b/>
          <w:sz w:val="16"/>
          <w:lang w:val="en-US"/>
        </w:rPr>
        <w:fldChar w:fldCharType="separate"/>
      </w:r>
      <w:r w:rsidR="00E859C7">
        <w:rPr>
          <w:rFonts w:ascii="Verdana" w:hAnsi="Verdana"/>
          <w:b/>
          <w:noProof/>
          <w:sz w:val="16"/>
          <w:lang w:val="en-US"/>
        </w:rPr>
        <w:t>60</w:t>
      </w:r>
      <w:r w:rsidRPr="00B57308">
        <w:rPr>
          <w:rFonts w:ascii="Verdana" w:hAnsi="Verdana"/>
          <w:b/>
          <w:sz w:val="16"/>
          <w:lang w:val="en-US"/>
        </w:rPr>
        <w:fldChar w:fldCharType="end"/>
      </w:r>
      <w:r w:rsidRPr="00B57308">
        <w:rPr>
          <w:rFonts w:ascii="Verdana" w:eastAsia="MS Mincho" w:hAnsi="Verdana"/>
          <w:b/>
          <w:bCs/>
          <w:sz w:val="16"/>
          <w:szCs w:val="20"/>
          <w:lang w:val="en-US" w:eastAsia="ja-JP"/>
        </w:rPr>
        <w:t xml:space="preserve">: </w:t>
      </w:r>
      <w:r>
        <w:rPr>
          <w:rFonts w:ascii="Verdana" w:eastAsia="MS Mincho" w:hAnsi="Verdana"/>
          <w:b/>
          <w:bCs/>
          <w:sz w:val="16"/>
          <w:szCs w:val="20"/>
          <w:lang w:val="en-US" w:eastAsia="ja-JP"/>
        </w:rPr>
        <w:t>Spanish gas demand (</w:t>
      </w:r>
      <w:r w:rsidRPr="00B57308">
        <w:rPr>
          <w:rFonts w:ascii="Verdana" w:eastAsia="MS Mincho" w:hAnsi="Verdana"/>
          <w:b/>
          <w:bCs/>
          <w:sz w:val="16"/>
          <w:szCs w:val="20"/>
          <w:lang w:val="en-US" w:eastAsia="ja-JP"/>
        </w:rPr>
        <w:t>01/</w:t>
      </w:r>
      <w:r>
        <w:rPr>
          <w:rFonts w:ascii="Verdana" w:eastAsia="MS Mincho" w:hAnsi="Verdana"/>
          <w:b/>
          <w:bCs/>
          <w:sz w:val="16"/>
          <w:szCs w:val="20"/>
          <w:lang w:val="en-US" w:eastAsia="ja-JP"/>
        </w:rPr>
        <w:t>1</w:t>
      </w:r>
      <w:r w:rsidRPr="00B57308">
        <w:rPr>
          <w:rFonts w:ascii="Verdana" w:eastAsia="MS Mincho" w:hAnsi="Verdana"/>
          <w:b/>
          <w:bCs/>
          <w:sz w:val="16"/>
          <w:szCs w:val="20"/>
          <w:lang w:val="en-US" w:eastAsia="ja-JP"/>
        </w:rPr>
        <w:t>1/2018 – 3</w:t>
      </w:r>
      <w:r>
        <w:rPr>
          <w:rFonts w:ascii="Verdana" w:eastAsia="MS Mincho" w:hAnsi="Verdana"/>
          <w:b/>
          <w:bCs/>
          <w:sz w:val="16"/>
          <w:szCs w:val="20"/>
          <w:lang w:val="en-US" w:eastAsia="ja-JP"/>
        </w:rPr>
        <w:t>1</w:t>
      </w:r>
      <w:r w:rsidRPr="00B57308">
        <w:rPr>
          <w:rFonts w:ascii="Verdana" w:eastAsia="MS Mincho" w:hAnsi="Verdana"/>
          <w:b/>
          <w:bCs/>
          <w:sz w:val="16"/>
          <w:szCs w:val="20"/>
          <w:lang w:val="en-US" w:eastAsia="ja-JP"/>
        </w:rPr>
        <w:t>/0</w:t>
      </w:r>
      <w:r>
        <w:rPr>
          <w:rFonts w:ascii="Verdana" w:eastAsia="MS Mincho" w:hAnsi="Verdana"/>
          <w:b/>
          <w:bCs/>
          <w:sz w:val="16"/>
          <w:szCs w:val="20"/>
          <w:lang w:val="en-US" w:eastAsia="ja-JP"/>
        </w:rPr>
        <w:t>3</w:t>
      </w:r>
      <w:r w:rsidRPr="00B57308">
        <w:rPr>
          <w:rFonts w:ascii="Verdana" w:eastAsia="MS Mincho" w:hAnsi="Verdana"/>
          <w:b/>
          <w:bCs/>
          <w:sz w:val="16"/>
          <w:szCs w:val="20"/>
          <w:lang w:val="en-US" w:eastAsia="ja-JP"/>
        </w:rPr>
        <w:t>/201</w:t>
      </w:r>
      <w:r>
        <w:rPr>
          <w:rFonts w:ascii="Verdana" w:eastAsia="MS Mincho" w:hAnsi="Verdana"/>
          <w:b/>
          <w:bCs/>
          <w:sz w:val="16"/>
          <w:szCs w:val="20"/>
          <w:lang w:val="en-US" w:eastAsia="ja-JP"/>
        </w:rPr>
        <w:t>9</w:t>
      </w:r>
      <w:r w:rsidRPr="00B57308">
        <w:rPr>
          <w:rFonts w:ascii="Verdana" w:eastAsia="MS Mincho" w:hAnsi="Verdana"/>
          <w:b/>
          <w:bCs/>
          <w:sz w:val="16"/>
          <w:szCs w:val="20"/>
          <w:lang w:val="en-US" w:eastAsia="ja-JP"/>
        </w:rPr>
        <w:t>)</w:t>
      </w:r>
    </w:p>
    <w:p w14:paraId="671CC4D7" w14:textId="1682F60A" w:rsidR="008E73A3" w:rsidRPr="008E73A3" w:rsidRDefault="008E73A3" w:rsidP="008E73A3">
      <w:pPr>
        <w:pStyle w:val="Ttulo2"/>
        <w:rPr>
          <w:sz w:val="22"/>
          <w:lang w:val="en-US"/>
        </w:rPr>
      </w:pPr>
      <w:bookmarkStart w:id="218" w:name="_Toc49770607"/>
      <w:r w:rsidRPr="008E73A3">
        <w:rPr>
          <w:sz w:val="22"/>
          <w:lang w:val="en-US"/>
        </w:rPr>
        <w:t>Period 4: April – May 2019 Low use of the LT contracts but daily/within-</w:t>
      </w:r>
      <w:r w:rsidR="001A72D0">
        <w:rPr>
          <w:sz w:val="22"/>
          <w:lang w:val="en-US"/>
        </w:rPr>
        <w:t xml:space="preserve">day bookings due to the </w:t>
      </w:r>
      <w:r w:rsidR="00C6301F">
        <w:rPr>
          <w:sz w:val="22"/>
          <w:lang w:val="en-US"/>
        </w:rPr>
        <w:t xml:space="preserve">price </w:t>
      </w:r>
      <w:r w:rsidR="001A72D0">
        <w:rPr>
          <w:sz w:val="22"/>
          <w:lang w:val="en-US"/>
        </w:rPr>
        <w:t>spread</w:t>
      </w:r>
      <w:bookmarkEnd w:id="218"/>
    </w:p>
    <w:p w14:paraId="02748CB4" w14:textId="097CC6A2" w:rsidR="008E73A3" w:rsidRDefault="008E73A3" w:rsidP="00A75A60">
      <w:pPr>
        <w:spacing w:line="312" w:lineRule="auto"/>
        <w:rPr>
          <w:lang w:val="en-US"/>
        </w:rPr>
      </w:pPr>
      <w:r>
        <w:rPr>
          <w:lang w:val="en-US"/>
        </w:rPr>
        <w:t>A</w:t>
      </w:r>
      <w:r w:rsidRPr="006460EF">
        <w:rPr>
          <w:lang w:val="en-US"/>
        </w:rPr>
        <w:t>s usual</w:t>
      </w:r>
      <w:r>
        <w:rPr>
          <w:lang w:val="en-US"/>
        </w:rPr>
        <w:t xml:space="preserve"> during summer periods</w:t>
      </w:r>
      <w:r w:rsidRPr="006460EF">
        <w:rPr>
          <w:lang w:val="en-US"/>
        </w:rPr>
        <w:t xml:space="preserve">, </w:t>
      </w:r>
      <w:r>
        <w:rPr>
          <w:lang w:val="en-US"/>
        </w:rPr>
        <w:t xml:space="preserve">a </w:t>
      </w:r>
      <w:r w:rsidRPr="006460EF">
        <w:rPr>
          <w:lang w:val="en-US"/>
        </w:rPr>
        <w:t xml:space="preserve">decrease in the use of the </w:t>
      </w:r>
      <w:r>
        <w:rPr>
          <w:lang w:val="en-US"/>
        </w:rPr>
        <w:t xml:space="preserve">long-term booked capacity is appreciated in this period. However, when the spread </w:t>
      </w:r>
      <w:r w:rsidR="00C6301F">
        <w:rPr>
          <w:lang w:val="en-US"/>
        </w:rPr>
        <w:t>was</w:t>
      </w:r>
      <w:r>
        <w:rPr>
          <w:lang w:val="en-US"/>
        </w:rPr>
        <w:t xml:space="preserve"> attractive enough, shippers book</w:t>
      </w:r>
      <w:r w:rsidR="00C6301F">
        <w:rPr>
          <w:lang w:val="en-US"/>
        </w:rPr>
        <w:t>ed</w:t>
      </w:r>
      <w:r>
        <w:rPr>
          <w:lang w:val="en-US"/>
        </w:rPr>
        <w:t xml:space="preserve"> capacity in a daily and within-day basis.</w:t>
      </w:r>
    </w:p>
    <w:p w14:paraId="67F6094A" w14:textId="12DCD9F2" w:rsidR="008E73A3" w:rsidRDefault="008E73A3" w:rsidP="00A65683">
      <w:pPr>
        <w:keepNext/>
        <w:ind w:left="-284"/>
        <w:rPr>
          <w:lang w:val="en-US"/>
        </w:rPr>
      </w:pPr>
    </w:p>
    <w:p w14:paraId="69B25E9C" w14:textId="75A0C0E1" w:rsidR="00357663" w:rsidRDefault="00357663" w:rsidP="00A65683">
      <w:pPr>
        <w:pStyle w:val="Descripcin"/>
        <w:spacing w:before="240" w:line="360" w:lineRule="auto"/>
        <w:jc w:val="center"/>
        <w:rPr>
          <w:sz w:val="16"/>
          <w:lang w:val="en-US"/>
        </w:rPr>
      </w:pPr>
    </w:p>
    <w:p w14:paraId="17EF6C5C" w14:textId="2AC26631" w:rsidR="00167240" w:rsidRDefault="00167240" w:rsidP="00A65683">
      <w:pPr>
        <w:pStyle w:val="Descripcin"/>
        <w:spacing w:before="240" w:line="360" w:lineRule="auto"/>
        <w:jc w:val="center"/>
        <w:rPr>
          <w:sz w:val="16"/>
          <w:lang w:val="en-US"/>
        </w:rPr>
      </w:pPr>
      <w:r>
        <w:rPr>
          <w:noProof/>
          <w:sz w:val="16"/>
          <w:lang w:eastAsia="es-ES"/>
        </w:rPr>
        <w:drawing>
          <wp:inline distT="0" distB="0" distL="0" distR="0" wp14:anchorId="6D8F2BE8" wp14:editId="28879D0D">
            <wp:extent cx="6114123" cy="2590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9937" cy="2597501"/>
                    </a:xfrm>
                    <a:prstGeom prst="rect">
                      <a:avLst/>
                    </a:prstGeom>
                    <a:noFill/>
                  </pic:spPr>
                </pic:pic>
              </a:graphicData>
            </a:graphic>
          </wp:inline>
        </w:drawing>
      </w:r>
    </w:p>
    <w:p w14:paraId="3132E826" w14:textId="0A63E290" w:rsidR="00A65683" w:rsidRDefault="00A65683" w:rsidP="00A65683">
      <w:pPr>
        <w:pStyle w:val="Descripcin"/>
        <w:spacing w:before="240" w:line="360" w:lineRule="auto"/>
        <w:jc w:val="center"/>
        <w:rPr>
          <w:sz w:val="16"/>
          <w:lang w:val="en-US"/>
        </w:rPr>
      </w:pPr>
      <w:r w:rsidRPr="00531D5C">
        <w:rPr>
          <w:sz w:val="16"/>
          <w:lang w:val="en-US"/>
        </w:rPr>
        <w:t xml:space="preserve">Figure </w:t>
      </w:r>
      <w:r w:rsidRPr="00F66377">
        <w:rPr>
          <w:sz w:val="16"/>
          <w:lang w:val="en-US"/>
        </w:rPr>
        <w:fldChar w:fldCharType="begin"/>
      </w:r>
      <w:r w:rsidRPr="00531D5C">
        <w:rPr>
          <w:sz w:val="16"/>
          <w:lang w:val="en-US"/>
        </w:rPr>
        <w:instrText xml:space="preserve"> SEQ Figure \* ARABIC </w:instrText>
      </w:r>
      <w:r w:rsidRPr="00F66377">
        <w:rPr>
          <w:sz w:val="16"/>
          <w:lang w:val="en-US"/>
        </w:rPr>
        <w:fldChar w:fldCharType="separate"/>
      </w:r>
      <w:r w:rsidR="00E859C7">
        <w:rPr>
          <w:noProof/>
          <w:sz w:val="16"/>
          <w:lang w:val="en-US"/>
        </w:rPr>
        <w:t>61</w:t>
      </w:r>
      <w:r w:rsidRPr="00F66377">
        <w:rPr>
          <w:sz w:val="16"/>
          <w:lang w:val="en-US"/>
        </w:rPr>
        <w:fldChar w:fldCharType="end"/>
      </w:r>
      <w:r w:rsidRPr="00531D5C">
        <w:rPr>
          <w:sz w:val="16"/>
          <w:lang w:val="en-US"/>
        </w:rPr>
        <w:t xml:space="preserve">: </w:t>
      </w:r>
      <w:r>
        <w:rPr>
          <w:sz w:val="16"/>
          <w:lang w:val="en-US"/>
        </w:rPr>
        <w:t>U</w:t>
      </w:r>
      <w:r w:rsidRPr="001F4EDA">
        <w:rPr>
          <w:sz w:val="16"/>
          <w:lang w:val="en-US"/>
        </w:rPr>
        <w:t>se of the VIP Pirineos</w:t>
      </w:r>
      <w:r>
        <w:rPr>
          <w:sz w:val="16"/>
          <w:lang w:val="en-US"/>
        </w:rPr>
        <w:t xml:space="preserve"> GWh/d (01/04/2019 – 31/05/2019)</w:t>
      </w:r>
    </w:p>
    <w:p w14:paraId="314E94E8" w14:textId="2663ECAB" w:rsidR="00530310" w:rsidRDefault="00530310" w:rsidP="00A75A60">
      <w:pPr>
        <w:keepNext/>
        <w:jc w:val="center"/>
        <w:rPr>
          <w:sz w:val="16"/>
          <w:lang w:val="en-US"/>
        </w:rPr>
      </w:pPr>
      <w:r>
        <w:rPr>
          <w:noProof/>
          <w:sz w:val="16"/>
          <w:lang w:val="es-ES" w:eastAsia="es-ES"/>
        </w:rPr>
        <w:drawing>
          <wp:inline distT="0" distB="0" distL="0" distR="0" wp14:anchorId="3107A51C" wp14:editId="3F97CF54">
            <wp:extent cx="6251945" cy="296098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66399" cy="2967833"/>
                    </a:xfrm>
                    <a:prstGeom prst="rect">
                      <a:avLst/>
                    </a:prstGeom>
                    <a:noFill/>
                  </pic:spPr>
                </pic:pic>
              </a:graphicData>
            </a:graphic>
          </wp:inline>
        </w:drawing>
      </w:r>
    </w:p>
    <w:p w14:paraId="54929DA5" w14:textId="2E7D48B2" w:rsidR="009C3CE9" w:rsidRDefault="009C3CE9" w:rsidP="009C3CE9">
      <w:pPr>
        <w:pStyle w:val="Descripcin"/>
        <w:spacing w:before="240" w:line="360" w:lineRule="auto"/>
        <w:jc w:val="center"/>
        <w:rPr>
          <w:sz w:val="16"/>
          <w:lang w:val="en-US"/>
        </w:rPr>
      </w:pPr>
      <w:r w:rsidRPr="00531D5C">
        <w:rPr>
          <w:sz w:val="16"/>
          <w:lang w:val="en-US"/>
        </w:rPr>
        <w:t xml:space="preserve">Figure </w:t>
      </w:r>
      <w:r w:rsidRPr="00F66377">
        <w:rPr>
          <w:sz w:val="16"/>
          <w:lang w:val="en-US"/>
        </w:rPr>
        <w:fldChar w:fldCharType="begin"/>
      </w:r>
      <w:r w:rsidRPr="00531D5C">
        <w:rPr>
          <w:sz w:val="16"/>
          <w:lang w:val="en-US"/>
        </w:rPr>
        <w:instrText xml:space="preserve"> SEQ Figure \* ARABIC </w:instrText>
      </w:r>
      <w:r w:rsidRPr="00F66377">
        <w:rPr>
          <w:sz w:val="16"/>
          <w:lang w:val="en-US"/>
        </w:rPr>
        <w:fldChar w:fldCharType="separate"/>
      </w:r>
      <w:r w:rsidR="00E859C7">
        <w:rPr>
          <w:noProof/>
          <w:sz w:val="16"/>
          <w:lang w:val="en-US"/>
        </w:rPr>
        <w:t>62</w:t>
      </w:r>
      <w:r w:rsidRPr="00F66377">
        <w:rPr>
          <w:sz w:val="16"/>
          <w:lang w:val="en-US"/>
        </w:rPr>
        <w:fldChar w:fldCharType="end"/>
      </w:r>
      <w:r w:rsidRPr="00531D5C">
        <w:rPr>
          <w:sz w:val="16"/>
          <w:lang w:val="en-US"/>
        </w:rPr>
        <w:t xml:space="preserve">: </w:t>
      </w:r>
      <w:r>
        <w:rPr>
          <w:sz w:val="16"/>
          <w:lang w:val="en-US"/>
        </w:rPr>
        <w:t>Spread between Spain and France €/MWh (01/04/2019 – 31/05/2019)</w:t>
      </w:r>
    </w:p>
    <w:p w14:paraId="3D7302F0" w14:textId="01BFB370" w:rsidR="00147E92" w:rsidRDefault="00C808D5" w:rsidP="00147E92">
      <w:pPr>
        <w:keepNext/>
        <w:spacing w:before="0" w:after="0" w:line="240" w:lineRule="auto"/>
        <w:ind w:left="-142"/>
        <w:jc w:val="left"/>
        <w:rPr>
          <w:rFonts w:cs="Arial"/>
          <w:b/>
          <w:bCs/>
          <w:sz w:val="28"/>
          <w:u w:val="single"/>
          <w:lang w:val="en-US"/>
        </w:rPr>
      </w:pPr>
      <w:r w:rsidRPr="00C808D5">
        <w:rPr>
          <w:rFonts w:cs="Arial"/>
          <w:bCs/>
          <w:noProof/>
          <w:sz w:val="28"/>
          <w:lang w:val="es-ES" w:eastAsia="es-ES"/>
        </w:rPr>
        <w:drawing>
          <wp:inline distT="0" distB="0" distL="0" distR="0" wp14:anchorId="3E3167F0" wp14:editId="719A1DD4">
            <wp:extent cx="5755447" cy="283954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2">
                      <a:extLst>
                        <a:ext uri="{28A0092B-C50C-407E-A947-70E740481C1C}">
                          <a14:useLocalDpi xmlns:a14="http://schemas.microsoft.com/office/drawing/2010/main" val="0"/>
                        </a:ext>
                      </a:extLst>
                    </a:blip>
                    <a:srcRect r="4673"/>
                    <a:stretch/>
                  </pic:blipFill>
                  <pic:spPr bwMode="auto">
                    <a:xfrm>
                      <a:off x="0" y="0"/>
                      <a:ext cx="5771979" cy="2847701"/>
                    </a:xfrm>
                    <a:prstGeom prst="rect">
                      <a:avLst/>
                    </a:prstGeom>
                    <a:noFill/>
                    <a:ln>
                      <a:noFill/>
                    </a:ln>
                    <a:extLst>
                      <a:ext uri="{53640926-AAD7-44D8-BBD7-CCE9431645EC}">
                        <a14:shadowObscured xmlns:a14="http://schemas.microsoft.com/office/drawing/2010/main"/>
                      </a:ext>
                    </a:extLst>
                  </pic:spPr>
                </pic:pic>
              </a:graphicData>
            </a:graphic>
          </wp:inline>
        </w:drawing>
      </w:r>
    </w:p>
    <w:p w14:paraId="5816527D" w14:textId="23198A3F" w:rsidR="001A72D0" w:rsidRDefault="00147E92" w:rsidP="001A72D0">
      <w:pPr>
        <w:jc w:val="center"/>
        <w:rPr>
          <w:lang w:val="en-US"/>
        </w:rPr>
      </w:pPr>
      <w:r w:rsidRPr="32FA752E">
        <w:rPr>
          <w:rFonts w:ascii="Verdana" w:hAnsi="Verdana"/>
          <w:b/>
          <w:bCs/>
          <w:sz w:val="16"/>
          <w:szCs w:val="16"/>
          <w:lang w:val="en-US"/>
        </w:rPr>
        <w:t xml:space="preserve">Figure </w:t>
      </w:r>
      <w:r w:rsidRPr="32FA752E">
        <w:rPr>
          <w:rFonts w:ascii="Verdana" w:hAnsi="Verdana"/>
          <w:b/>
          <w:bCs/>
          <w:sz w:val="16"/>
          <w:szCs w:val="16"/>
          <w:lang w:val="en-US"/>
        </w:rPr>
        <w:fldChar w:fldCharType="begin"/>
      </w:r>
      <w:r w:rsidRPr="32FA752E">
        <w:rPr>
          <w:rFonts w:ascii="Verdana" w:hAnsi="Verdana"/>
          <w:b/>
          <w:bCs/>
          <w:sz w:val="16"/>
          <w:szCs w:val="16"/>
          <w:lang w:val="en-US"/>
        </w:rPr>
        <w:instrText xml:space="preserve"> SEQ Figure \* ARABIC </w:instrText>
      </w:r>
      <w:r w:rsidRPr="32FA752E">
        <w:rPr>
          <w:rFonts w:ascii="Verdana" w:hAnsi="Verdana"/>
          <w:b/>
          <w:bCs/>
          <w:sz w:val="16"/>
          <w:szCs w:val="16"/>
          <w:lang w:val="en-US"/>
        </w:rPr>
        <w:fldChar w:fldCharType="separate"/>
      </w:r>
      <w:r w:rsidR="00E859C7">
        <w:rPr>
          <w:rFonts w:ascii="Verdana" w:hAnsi="Verdana"/>
          <w:b/>
          <w:bCs/>
          <w:noProof/>
          <w:sz w:val="16"/>
          <w:szCs w:val="16"/>
          <w:lang w:val="en-US"/>
        </w:rPr>
        <w:t>63</w:t>
      </w:r>
      <w:r w:rsidRPr="32FA752E">
        <w:rPr>
          <w:rFonts w:ascii="Verdana" w:hAnsi="Verdana"/>
          <w:b/>
          <w:bCs/>
          <w:sz w:val="16"/>
          <w:szCs w:val="16"/>
          <w:lang w:val="en-US"/>
        </w:rPr>
        <w:fldChar w:fldCharType="end"/>
      </w:r>
      <w:r w:rsidRPr="32FA752E">
        <w:rPr>
          <w:rFonts w:ascii="Verdana" w:hAnsi="Verdana"/>
          <w:b/>
          <w:bCs/>
          <w:sz w:val="16"/>
          <w:szCs w:val="16"/>
          <w:lang w:val="en-US"/>
        </w:rPr>
        <w:t xml:space="preserve">: </w:t>
      </w:r>
      <w:r w:rsidR="00C808D5" w:rsidRPr="32FA752E">
        <w:rPr>
          <w:rFonts w:ascii="Verdana" w:hAnsi="Verdana"/>
          <w:b/>
          <w:bCs/>
          <w:sz w:val="16"/>
          <w:szCs w:val="16"/>
          <w:lang w:val="en-US"/>
        </w:rPr>
        <w:t>Spanish natural gas demand</w:t>
      </w:r>
      <w:r w:rsidRPr="32FA752E">
        <w:rPr>
          <w:rFonts w:ascii="Verdana" w:hAnsi="Verdana"/>
          <w:b/>
          <w:bCs/>
          <w:sz w:val="16"/>
          <w:szCs w:val="16"/>
          <w:lang w:val="en-US"/>
        </w:rPr>
        <w:t xml:space="preserve"> (01/</w:t>
      </w:r>
      <w:r w:rsidR="00C808D5" w:rsidRPr="32FA752E">
        <w:rPr>
          <w:rFonts w:ascii="Verdana" w:hAnsi="Verdana"/>
          <w:b/>
          <w:bCs/>
          <w:sz w:val="16"/>
          <w:szCs w:val="16"/>
          <w:lang w:val="en-US"/>
        </w:rPr>
        <w:t>04</w:t>
      </w:r>
      <w:r w:rsidRPr="32FA752E">
        <w:rPr>
          <w:rFonts w:ascii="Verdana" w:hAnsi="Verdana"/>
          <w:b/>
          <w:bCs/>
          <w:sz w:val="16"/>
          <w:szCs w:val="16"/>
          <w:lang w:val="en-US"/>
        </w:rPr>
        <w:t>/201</w:t>
      </w:r>
      <w:r w:rsidR="00C808D5" w:rsidRPr="32FA752E">
        <w:rPr>
          <w:rFonts w:ascii="Verdana" w:hAnsi="Verdana"/>
          <w:b/>
          <w:bCs/>
          <w:sz w:val="16"/>
          <w:szCs w:val="16"/>
          <w:lang w:val="en-US"/>
        </w:rPr>
        <w:t>8</w:t>
      </w:r>
      <w:r w:rsidRPr="32FA752E">
        <w:rPr>
          <w:rFonts w:ascii="Verdana" w:hAnsi="Verdana"/>
          <w:b/>
          <w:bCs/>
          <w:sz w:val="16"/>
          <w:szCs w:val="16"/>
          <w:lang w:val="en-US"/>
        </w:rPr>
        <w:t xml:space="preserve"> – 31/0</w:t>
      </w:r>
      <w:r w:rsidR="00C808D5" w:rsidRPr="32FA752E">
        <w:rPr>
          <w:rFonts w:ascii="Verdana" w:hAnsi="Verdana"/>
          <w:b/>
          <w:bCs/>
          <w:sz w:val="16"/>
          <w:szCs w:val="16"/>
          <w:lang w:val="en-US"/>
        </w:rPr>
        <w:t>5</w:t>
      </w:r>
      <w:r w:rsidRPr="32FA752E">
        <w:rPr>
          <w:rFonts w:ascii="Verdana" w:hAnsi="Verdana"/>
          <w:b/>
          <w:bCs/>
          <w:sz w:val="16"/>
          <w:szCs w:val="16"/>
          <w:lang w:val="en-US"/>
        </w:rPr>
        <w:t>/2019)</w:t>
      </w:r>
      <w:r w:rsidR="001A72D0">
        <w:rPr>
          <w:noProof/>
          <w:lang w:val="es-ES" w:eastAsia="es-ES"/>
        </w:rPr>
        <w:drawing>
          <wp:inline distT="0" distB="0" distL="0" distR="0" wp14:anchorId="075039DC" wp14:editId="11B34CE4">
            <wp:extent cx="5677231" cy="2464331"/>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3783"/>
                    <a:stretch/>
                  </pic:blipFill>
                  <pic:spPr bwMode="auto">
                    <a:xfrm>
                      <a:off x="0" y="0"/>
                      <a:ext cx="5696694" cy="2472779"/>
                    </a:xfrm>
                    <a:prstGeom prst="rect">
                      <a:avLst/>
                    </a:prstGeom>
                    <a:noFill/>
                    <a:ln>
                      <a:noFill/>
                    </a:ln>
                    <a:extLst>
                      <a:ext uri="{53640926-AAD7-44D8-BBD7-CCE9431645EC}">
                        <a14:shadowObscured xmlns:a14="http://schemas.microsoft.com/office/drawing/2010/main"/>
                      </a:ext>
                    </a:extLst>
                  </pic:spPr>
                </pic:pic>
              </a:graphicData>
            </a:graphic>
          </wp:inline>
        </w:drawing>
      </w:r>
    </w:p>
    <w:p w14:paraId="79DD337A" w14:textId="29698266" w:rsidR="001A72D0" w:rsidRDefault="001A72D0" w:rsidP="001A72D0">
      <w:pPr>
        <w:jc w:val="center"/>
        <w:rPr>
          <w:rFonts w:ascii="Verdana" w:hAnsi="Verdana"/>
          <w:b/>
          <w:sz w:val="16"/>
          <w:lang w:val="en-US"/>
        </w:rPr>
      </w:pPr>
      <w:r w:rsidRPr="00AF772A">
        <w:rPr>
          <w:rFonts w:ascii="Verdana" w:hAnsi="Verdana"/>
          <w:b/>
          <w:sz w:val="16"/>
          <w:lang w:val="en-US"/>
        </w:rPr>
        <w:t xml:space="preserve">Figure </w:t>
      </w:r>
      <w:r w:rsidRPr="00AF772A">
        <w:rPr>
          <w:rFonts w:ascii="Verdana" w:hAnsi="Verdana"/>
          <w:b/>
          <w:sz w:val="16"/>
          <w:lang w:val="en-US"/>
        </w:rPr>
        <w:fldChar w:fldCharType="begin"/>
      </w:r>
      <w:r w:rsidRPr="00AF772A">
        <w:rPr>
          <w:rFonts w:ascii="Verdana" w:hAnsi="Verdana"/>
          <w:b/>
          <w:sz w:val="16"/>
          <w:lang w:val="en-US"/>
        </w:rPr>
        <w:instrText xml:space="preserve"> SEQ Figure \* ARABIC </w:instrText>
      </w:r>
      <w:r w:rsidRPr="00AF772A">
        <w:rPr>
          <w:rFonts w:ascii="Verdana" w:hAnsi="Verdana"/>
          <w:b/>
          <w:sz w:val="16"/>
          <w:lang w:val="en-US"/>
        </w:rPr>
        <w:fldChar w:fldCharType="separate"/>
      </w:r>
      <w:r w:rsidR="00E859C7">
        <w:rPr>
          <w:rFonts w:ascii="Verdana" w:hAnsi="Verdana"/>
          <w:b/>
          <w:noProof/>
          <w:sz w:val="16"/>
          <w:lang w:val="en-US"/>
        </w:rPr>
        <w:t>64</w:t>
      </w:r>
      <w:r w:rsidRPr="00AF772A">
        <w:rPr>
          <w:rFonts w:ascii="Verdana" w:hAnsi="Verdana"/>
          <w:b/>
          <w:sz w:val="16"/>
          <w:lang w:val="en-US"/>
        </w:rPr>
        <w:fldChar w:fldCharType="end"/>
      </w:r>
      <w:r w:rsidRPr="00AF772A">
        <w:rPr>
          <w:rFonts w:ascii="Verdana" w:hAnsi="Verdana"/>
          <w:b/>
          <w:sz w:val="16"/>
          <w:lang w:val="en-US"/>
        </w:rPr>
        <w:t xml:space="preserve">: </w:t>
      </w:r>
      <w:r>
        <w:rPr>
          <w:rFonts w:ascii="Verdana" w:hAnsi="Verdana"/>
          <w:b/>
          <w:sz w:val="16"/>
          <w:lang w:val="en-US"/>
        </w:rPr>
        <w:t xml:space="preserve">Spanish LNG stock </w:t>
      </w:r>
      <w:r w:rsidRPr="00AF772A">
        <w:rPr>
          <w:rFonts w:ascii="Verdana" w:hAnsi="Verdana"/>
          <w:b/>
          <w:sz w:val="16"/>
          <w:lang w:val="en-US"/>
        </w:rPr>
        <w:t>(01/</w:t>
      </w:r>
      <w:r>
        <w:rPr>
          <w:rFonts w:ascii="Verdana" w:hAnsi="Verdana"/>
          <w:b/>
          <w:sz w:val="16"/>
          <w:lang w:val="en-US"/>
        </w:rPr>
        <w:t>01</w:t>
      </w:r>
      <w:r w:rsidRPr="00AF772A">
        <w:rPr>
          <w:rFonts w:ascii="Verdana" w:hAnsi="Verdana"/>
          <w:b/>
          <w:sz w:val="16"/>
          <w:lang w:val="en-US"/>
        </w:rPr>
        <w:t>/201</w:t>
      </w:r>
      <w:r>
        <w:rPr>
          <w:rFonts w:ascii="Verdana" w:hAnsi="Verdana"/>
          <w:b/>
          <w:sz w:val="16"/>
          <w:lang w:val="en-US"/>
        </w:rPr>
        <w:t>9</w:t>
      </w:r>
      <w:r w:rsidRPr="00AF772A">
        <w:rPr>
          <w:rFonts w:ascii="Verdana" w:hAnsi="Verdana"/>
          <w:b/>
          <w:sz w:val="16"/>
          <w:lang w:val="en-US"/>
        </w:rPr>
        <w:t xml:space="preserve"> – 3</w:t>
      </w:r>
      <w:r>
        <w:rPr>
          <w:rFonts w:ascii="Verdana" w:hAnsi="Verdana"/>
          <w:b/>
          <w:sz w:val="16"/>
          <w:lang w:val="en-US"/>
        </w:rPr>
        <w:t>1</w:t>
      </w:r>
      <w:r w:rsidRPr="00AF772A">
        <w:rPr>
          <w:rFonts w:ascii="Verdana" w:hAnsi="Verdana"/>
          <w:b/>
          <w:sz w:val="16"/>
          <w:lang w:val="en-US"/>
        </w:rPr>
        <w:t>/</w:t>
      </w:r>
      <w:r>
        <w:rPr>
          <w:rFonts w:ascii="Verdana" w:hAnsi="Verdana"/>
          <w:b/>
          <w:sz w:val="16"/>
          <w:lang w:val="en-US"/>
        </w:rPr>
        <w:t>05</w:t>
      </w:r>
      <w:r w:rsidRPr="00AF772A">
        <w:rPr>
          <w:rFonts w:ascii="Verdana" w:hAnsi="Verdana"/>
          <w:b/>
          <w:sz w:val="16"/>
          <w:lang w:val="en-US"/>
        </w:rPr>
        <w:t>/201</w:t>
      </w:r>
      <w:r>
        <w:rPr>
          <w:rFonts w:ascii="Verdana" w:hAnsi="Verdana"/>
          <w:b/>
          <w:sz w:val="16"/>
          <w:lang w:val="en-US"/>
        </w:rPr>
        <w:t>9</w:t>
      </w:r>
      <w:r w:rsidRPr="00AF772A">
        <w:rPr>
          <w:rFonts w:ascii="Verdana" w:hAnsi="Verdana"/>
          <w:b/>
          <w:sz w:val="16"/>
          <w:lang w:val="en-US"/>
        </w:rPr>
        <w:t>)</w:t>
      </w:r>
    </w:p>
    <w:p w14:paraId="10DEB58C" w14:textId="3BC7DFE2" w:rsidR="001A72D0" w:rsidRPr="001A72D0" w:rsidRDefault="001A72D0" w:rsidP="001A72D0">
      <w:pPr>
        <w:pStyle w:val="Ttulo2"/>
        <w:rPr>
          <w:lang w:val="en-GB"/>
        </w:rPr>
      </w:pPr>
      <w:bookmarkStart w:id="219" w:name="_Toc49770608"/>
      <w:r w:rsidRPr="001A72D0">
        <w:rPr>
          <w:lang w:val="en-GB"/>
        </w:rPr>
        <w:t>Period 5: June – September 2019 -</w:t>
      </w:r>
      <w:r w:rsidR="009F5063">
        <w:rPr>
          <w:lang w:val="en-GB"/>
        </w:rPr>
        <w:t xml:space="preserve"> </w:t>
      </w:r>
      <w:r w:rsidRPr="001A72D0">
        <w:rPr>
          <w:lang w:val="en-GB"/>
        </w:rPr>
        <w:t xml:space="preserve">High daily and within-day bookings despite the LNG </w:t>
      </w:r>
      <w:r w:rsidR="00C6301F">
        <w:rPr>
          <w:lang w:val="en-GB"/>
        </w:rPr>
        <w:t>o</w:t>
      </w:r>
      <w:r w:rsidRPr="001A72D0">
        <w:rPr>
          <w:lang w:val="en-GB"/>
        </w:rPr>
        <w:t>versupply in Spain</w:t>
      </w:r>
      <w:bookmarkEnd w:id="219"/>
    </w:p>
    <w:p w14:paraId="4AE76D16" w14:textId="3D16C748" w:rsidR="001A72D0" w:rsidRPr="001A72D0" w:rsidRDefault="001A72D0" w:rsidP="00A75A60">
      <w:pPr>
        <w:spacing w:line="312" w:lineRule="auto"/>
        <w:rPr>
          <w:rFonts w:cs="Arial"/>
          <w:color w:val="000000"/>
          <w:lang w:val="en-GB"/>
        </w:rPr>
      </w:pPr>
      <w:r w:rsidRPr="001A72D0">
        <w:rPr>
          <w:rFonts w:cs="Arial"/>
          <w:color w:val="000000"/>
          <w:lang w:val="en-GB"/>
        </w:rPr>
        <w:t xml:space="preserve">One of the most important events of this period </w:t>
      </w:r>
      <w:r w:rsidR="00C6301F">
        <w:rPr>
          <w:rFonts w:cs="Arial"/>
          <w:color w:val="000000"/>
          <w:lang w:val="en-GB"/>
        </w:rPr>
        <w:t>was</w:t>
      </w:r>
      <w:r w:rsidRPr="001A72D0">
        <w:rPr>
          <w:rFonts w:cs="Arial"/>
          <w:color w:val="000000"/>
          <w:lang w:val="en-GB"/>
        </w:rPr>
        <w:t xml:space="preserve"> the unexpected increase in the gas demand for power generation in Spain. Despite of this, and the LNG oversupply in Spain, many shippers prefer</w:t>
      </w:r>
      <w:r w:rsidR="00C6301F">
        <w:rPr>
          <w:rFonts w:cs="Arial"/>
          <w:color w:val="000000"/>
          <w:lang w:val="en-GB"/>
        </w:rPr>
        <w:t>ed</w:t>
      </w:r>
      <w:r w:rsidRPr="001A72D0">
        <w:rPr>
          <w:rFonts w:cs="Arial"/>
          <w:color w:val="000000"/>
          <w:lang w:val="en-GB"/>
        </w:rPr>
        <w:t xml:space="preserve"> to keep the</w:t>
      </w:r>
      <w:r w:rsidR="00C6301F">
        <w:rPr>
          <w:rFonts w:cs="Arial"/>
          <w:color w:val="000000"/>
          <w:lang w:val="en-GB"/>
        </w:rPr>
        <w:t>ir</w:t>
      </w:r>
      <w:r w:rsidRPr="001A72D0">
        <w:rPr>
          <w:rFonts w:cs="Arial"/>
          <w:color w:val="000000"/>
          <w:lang w:val="en-GB"/>
        </w:rPr>
        <w:t xml:space="preserve"> LNG in tank waiting for attractive prices spread between summer and winter (Contango effect). As a result, MIBGAS liquidity during this period </w:t>
      </w:r>
      <w:r w:rsidR="00C6301F">
        <w:rPr>
          <w:rFonts w:cs="Arial"/>
          <w:color w:val="000000"/>
          <w:lang w:val="en-GB"/>
        </w:rPr>
        <w:t>was</w:t>
      </w:r>
      <w:r w:rsidRPr="001A72D0">
        <w:rPr>
          <w:rFonts w:cs="Arial"/>
          <w:color w:val="000000"/>
          <w:lang w:val="en-GB"/>
        </w:rPr>
        <w:t xml:space="preserve"> low and the prices </w:t>
      </w:r>
      <w:r w:rsidR="00C6301F">
        <w:rPr>
          <w:rFonts w:cs="Arial"/>
          <w:color w:val="000000"/>
          <w:lang w:val="en-GB"/>
        </w:rPr>
        <w:t>were</w:t>
      </w:r>
      <w:r w:rsidRPr="001A72D0">
        <w:rPr>
          <w:rFonts w:cs="Arial"/>
          <w:color w:val="000000"/>
          <w:lang w:val="en-GB"/>
        </w:rPr>
        <w:t xml:space="preserve"> relatively high. </w:t>
      </w:r>
    </w:p>
    <w:p w14:paraId="00449838" w14:textId="3050957C" w:rsidR="00147E92" w:rsidRDefault="001A72D0" w:rsidP="00A75A60">
      <w:pPr>
        <w:spacing w:line="312" w:lineRule="auto"/>
        <w:rPr>
          <w:rFonts w:cs="Arial"/>
          <w:b/>
          <w:bCs/>
          <w:sz w:val="28"/>
          <w:u w:val="single"/>
          <w:lang w:val="en-US"/>
        </w:rPr>
      </w:pPr>
      <w:r w:rsidRPr="001A72D0">
        <w:rPr>
          <w:rFonts w:cs="Arial"/>
          <w:color w:val="000000"/>
          <w:lang w:val="en-GB"/>
        </w:rPr>
        <w:t>Shippers t</w:t>
      </w:r>
      <w:r w:rsidR="00C6301F">
        <w:rPr>
          <w:rFonts w:cs="Arial"/>
          <w:color w:val="000000"/>
          <w:lang w:val="en-GB"/>
        </w:rPr>
        <w:t>ook</w:t>
      </w:r>
      <w:r w:rsidRPr="001A72D0">
        <w:rPr>
          <w:rFonts w:cs="Arial"/>
          <w:color w:val="000000"/>
          <w:lang w:val="en-GB"/>
        </w:rPr>
        <w:t xml:space="preserve"> advantage of this situation and the consequent price spread to flow gas from France to Spain (an important number of daily and within-day contracts were signed by this period).</w:t>
      </w:r>
    </w:p>
    <w:p w14:paraId="33146AAE" w14:textId="26D6C357" w:rsidR="00167240" w:rsidRDefault="00167240" w:rsidP="00314831">
      <w:pPr>
        <w:pStyle w:val="Descripcin"/>
        <w:spacing w:before="240" w:line="360" w:lineRule="auto"/>
        <w:jc w:val="center"/>
        <w:rPr>
          <w:sz w:val="16"/>
          <w:lang w:val="en-US"/>
        </w:rPr>
      </w:pPr>
      <w:r>
        <w:rPr>
          <w:noProof/>
          <w:sz w:val="16"/>
          <w:lang w:eastAsia="es-ES"/>
        </w:rPr>
        <w:drawing>
          <wp:inline distT="0" distB="0" distL="0" distR="0" wp14:anchorId="00992F32" wp14:editId="665C4585">
            <wp:extent cx="6104571" cy="2739418"/>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4273" cy="2748259"/>
                    </a:xfrm>
                    <a:prstGeom prst="rect">
                      <a:avLst/>
                    </a:prstGeom>
                    <a:noFill/>
                  </pic:spPr>
                </pic:pic>
              </a:graphicData>
            </a:graphic>
          </wp:inline>
        </w:drawing>
      </w:r>
    </w:p>
    <w:p w14:paraId="5FCD1308" w14:textId="0A9D4F65" w:rsidR="00314831" w:rsidRDefault="00314831" w:rsidP="00314831">
      <w:pPr>
        <w:pStyle w:val="Descripcin"/>
        <w:spacing w:before="240" w:line="360" w:lineRule="auto"/>
        <w:jc w:val="center"/>
        <w:rPr>
          <w:sz w:val="16"/>
          <w:lang w:val="en-US"/>
        </w:rPr>
      </w:pPr>
      <w:r w:rsidRPr="00531D5C">
        <w:rPr>
          <w:sz w:val="16"/>
          <w:lang w:val="en-US"/>
        </w:rPr>
        <w:t xml:space="preserve">Figure </w:t>
      </w:r>
      <w:r w:rsidRPr="00F66377">
        <w:rPr>
          <w:sz w:val="16"/>
          <w:lang w:val="en-US"/>
        </w:rPr>
        <w:fldChar w:fldCharType="begin"/>
      </w:r>
      <w:r w:rsidRPr="00531D5C">
        <w:rPr>
          <w:sz w:val="16"/>
          <w:lang w:val="en-US"/>
        </w:rPr>
        <w:instrText xml:space="preserve"> SEQ Figure \* ARABIC </w:instrText>
      </w:r>
      <w:r w:rsidRPr="00F66377">
        <w:rPr>
          <w:sz w:val="16"/>
          <w:lang w:val="en-US"/>
        </w:rPr>
        <w:fldChar w:fldCharType="separate"/>
      </w:r>
      <w:r w:rsidR="00E859C7">
        <w:rPr>
          <w:noProof/>
          <w:sz w:val="16"/>
          <w:lang w:val="en-US"/>
        </w:rPr>
        <w:t>65</w:t>
      </w:r>
      <w:r w:rsidRPr="00F66377">
        <w:rPr>
          <w:sz w:val="16"/>
          <w:lang w:val="en-US"/>
        </w:rPr>
        <w:fldChar w:fldCharType="end"/>
      </w:r>
      <w:r w:rsidRPr="00531D5C">
        <w:rPr>
          <w:sz w:val="16"/>
          <w:lang w:val="en-US"/>
        </w:rPr>
        <w:t xml:space="preserve">: </w:t>
      </w:r>
      <w:r>
        <w:rPr>
          <w:sz w:val="16"/>
          <w:lang w:val="en-US"/>
        </w:rPr>
        <w:t>U</w:t>
      </w:r>
      <w:r w:rsidRPr="001F4EDA">
        <w:rPr>
          <w:sz w:val="16"/>
          <w:lang w:val="en-US"/>
        </w:rPr>
        <w:t>se of the VIP Pirineos</w:t>
      </w:r>
      <w:r>
        <w:rPr>
          <w:sz w:val="16"/>
          <w:lang w:val="en-US"/>
        </w:rPr>
        <w:t xml:space="preserve"> GWh/d (01/06/2019 – 30/09/2019)</w:t>
      </w:r>
    </w:p>
    <w:p w14:paraId="25D962C3" w14:textId="010CEB94" w:rsidR="001A72D0" w:rsidRDefault="00530310" w:rsidP="004819F6">
      <w:pPr>
        <w:spacing w:before="0" w:after="0" w:line="240" w:lineRule="auto"/>
        <w:jc w:val="left"/>
        <w:rPr>
          <w:rFonts w:cs="Arial"/>
          <w:b/>
          <w:bCs/>
          <w:sz w:val="28"/>
          <w:u w:val="single"/>
          <w:lang w:val="en-US"/>
        </w:rPr>
      </w:pPr>
      <w:r w:rsidRPr="00A75A60">
        <w:rPr>
          <w:rFonts w:cs="Arial"/>
          <w:b/>
          <w:bCs/>
          <w:noProof/>
          <w:sz w:val="28"/>
          <w:lang w:val="es-ES" w:eastAsia="es-ES"/>
        </w:rPr>
        <w:drawing>
          <wp:inline distT="0" distB="0" distL="0" distR="0" wp14:anchorId="0746B07A" wp14:editId="31BAE46B">
            <wp:extent cx="6134986" cy="269772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63297" cy="2710176"/>
                    </a:xfrm>
                    <a:prstGeom prst="rect">
                      <a:avLst/>
                    </a:prstGeom>
                    <a:noFill/>
                  </pic:spPr>
                </pic:pic>
              </a:graphicData>
            </a:graphic>
          </wp:inline>
        </w:drawing>
      </w:r>
    </w:p>
    <w:p w14:paraId="43F8EA93" w14:textId="5F56F245" w:rsidR="004542FF" w:rsidRDefault="004542FF" w:rsidP="004542FF">
      <w:pPr>
        <w:pStyle w:val="Descripcin"/>
        <w:spacing w:before="240" w:line="360" w:lineRule="auto"/>
        <w:jc w:val="center"/>
        <w:rPr>
          <w:sz w:val="16"/>
          <w:lang w:val="en-US"/>
        </w:rPr>
      </w:pPr>
      <w:r w:rsidRPr="00531D5C">
        <w:rPr>
          <w:sz w:val="16"/>
          <w:lang w:val="en-US"/>
        </w:rPr>
        <w:t xml:space="preserve">Figure </w:t>
      </w:r>
      <w:r w:rsidRPr="00F66377">
        <w:rPr>
          <w:sz w:val="16"/>
          <w:lang w:val="en-US"/>
        </w:rPr>
        <w:fldChar w:fldCharType="begin"/>
      </w:r>
      <w:r w:rsidRPr="00531D5C">
        <w:rPr>
          <w:sz w:val="16"/>
          <w:lang w:val="en-US"/>
        </w:rPr>
        <w:instrText xml:space="preserve"> SEQ Figure \* ARABIC </w:instrText>
      </w:r>
      <w:r w:rsidRPr="00F66377">
        <w:rPr>
          <w:sz w:val="16"/>
          <w:lang w:val="en-US"/>
        </w:rPr>
        <w:fldChar w:fldCharType="separate"/>
      </w:r>
      <w:r w:rsidR="00E859C7">
        <w:rPr>
          <w:noProof/>
          <w:sz w:val="16"/>
          <w:lang w:val="en-US"/>
        </w:rPr>
        <w:t>66</w:t>
      </w:r>
      <w:r w:rsidRPr="00F66377">
        <w:rPr>
          <w:sz w:val="16"/>
          <w:lang w:val="en-US"/>
        </w:rPr>
        <w:fldChar w:fldCharType="end"/>
      </w:r>
      <w:r w:rsidRPr="00531D5C">
        <w:rPr>
          <w:sz w:val="16"/>
          <w:lang w:val="en-US"/>
        </w:rPr>
        <w:t xml:space="preserve">: </w:t>
      </w:r>
      <w:r>
        <w:rPr>
          <w:sz w:val="16"/>
          <w:lang w:val="en-US"/>
        </w:rPr>
        <w:t>Spread between Spain and France €/MWh (01/06/2019 – 30/09/2019)</w:t>
      </w:r>
    </w:p>
    <w:p w14:paraId="1070ABED" w14:textId="77777777" w:rsidR="004542FF" w:rsidRDefault="004542FF" w:rsidP="00F45BB1">
      <w:pPr>
        <w:spacing w:before="0" w:after="0" w:line="240" w:lineRule="auto"/>
        <w:ind w:left="-142"/>
        <w:jc w:val="left"/>
        <w:rPr>
          <w:rFonts w:cs="Arial"/>
          <w:b/>
          <w:bCs/>
          <w:sz w:val="28"/>
          <w:u w:val="single"/>
          <w:lang w:val="en-US"/>
        </w:rPr>
      </w:pPr>
    </w:p>
    <w:p w14:paraId="1FAE9E72" w14:textId="081EB677" w:rsidR="001A72D0" w:rsidRDefault="004542FF" w:rsidP="00F45BB1">
      <w:pPr>
        <w:spacing w:before="0" w:after="0" w:line="240" w:lineRule="auto"/>
        <w:ind w:left="-142"/>
        <w:jc w:val="left"/>
        <w:rPr>
          <w:rFonts w:cs="Arial"/>
          <w:b/>
          <w:bCs/>
          <w:sz w:val="28"/>
          <w:u w:val="single"/>
          <w:lang w:val="en-US"/>
        </w:rPr>
      </w:pPr>
      <w:r w:rsidRPr="004542FF">
        <w:rPr>
          <w:rFonts w:cs="Arial"/>
          <w:bCs/>
          <w:noProof/>
          <w:sz w:val="28"/>
          <w:lang w:val="es-ES" w:eastAsia="es-ES"/>
        </w:rPr>
        <w:drawing>
          <wp:inline distT="0" distB="0" distL="0" distR="0" wp14:anchorId="0297EF2F" wp14:editId="56B561A9">
            <wp:extent cx="5844209" cy="2488565"/>
            <wp:effectExtent l="0" t="0" r="4445"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1917"/>
                    <a:stretch/>
                  </pic:blipFill>
                  <pic:spPr bwMode="auto">
                    <a:xfrm>
                      <a:off x="0" y="0"/>
                      <a:ext cx="5866902" cy="2498228"/>
                    </a:xfrm>
                    <a:prstGeom prst="rect">
                      <a:avLst/>
                    </a:prstGeom>
                    <a:noFill/>
                    <a:ln>
                      <a:noFill/>
                    </a:ln>
                    <a:extLst>
                      <a:ext uri="{53640926-AAD7-44D8-BBD7-CCE9431645EC}">
                        <a14:shadowObscured xmlns:a14="http://schemas.microsoft.com/office/drawing/2010/main"/>
                      </a:ext>
                    </a:extLst>
                  </pic:spPr>
                </pic:pic>
              </a:graphicData>
            </a:graphic>
          </wp:inline>
        </w:drawing>
      </w:r>
    </w:p>
    <w:p w14:paraId="00DD3DC4" w14:textId="787354BE" w:rsidR="004542FF" w:rsidRDefault="004542FF" w:rsidP="004542FF">
      <w:pPr>
        <w:jc w:val="center"/>
        <w:rPr>
          <w:rFonts w:ascii="Verdana" w:hAnsi="Verdana"/>
          <w:b/>
          <w:sz w:val="16"/>
          <w:lang w:val="en-US"/>
        </w:rPr>
      </w:pPr>
      <w:r w:rsidRPr="00AF772A">
        <w:rPr>
          <w:rFonts w:ascii="Verdana" w:hAnsi="Verdana"/>
          <w:b/>
          <w:sz w:val="16"/>
          <w:lang w:val="en-US"/>
        </w:rPr>
        <w:t xml:space="preserve">Figure </w:t>
      </w:r>
      <w:r w:rsidRPr="00AF772A">
        <w:rPr>
          <w:rFonts w:ascii="Verdana" w:hAnsi="Verdana"/>
          <w:b/>
          <w:sz w:val="16"/>
          <w:lang w:val="en-US"/>
        </w:rPr>
        <w:fldChar w:fldCharType="begin"/>
      </w:r>
      <w:r w:rsidRPr="00AF772A">
        <w:rPr>
          <w:rFonts w:ascii="Verdana" w:hAnsi="Verdana"/>
          <w:b/>
          <w:sz w:val="16"/>
          <w:lang w:val="en-US"/>
        </w:rPr>
        <w:instrText xml:space="preserve"> SEQ Figure \* ARABIC </w:instrText>
      </w:r>
      <w:r w:rsidRPr="00AF772A">
        <w:rPr>
          <w:rFonts w:ascii="Verdana" w:hAnsi="Verdana"/>
          <w:b/>
          <w:sz w:val="16"/>
          <w:lang w:val="en-US"/>
        </w:rPr>
        <w:fldChar w:fldCharType="separate"/>
      </w:r>
      <w:r w:rsidR="00E859C7">
        <w:rPr>
          <w:rFonts w:ascii="Verdana" w:hAnsi="Verdana"/>
          <w:b/>
          <w:noProof/>
          <w:sz w:val="16"/>
          <w:lang w:val="en-US"/>
        </w:rPr>
        <w:t>67</w:t>
      </w:r>
      <w:r w:rsidRPr="00AF772A">
        <w:rPr>
          <w:rFonts w:ascii="Verdana" w:hAnsi="Verdana"/>
          <w:b/>
          <w:sz w:val="16"/>
          <w:lang w:val="en-US"/>
        </w:rPr>
        <w:fldChar w:fldCharType="end"/>
      </w:r>
      <w:r w:rsidRPr="00AF772A">
        <w:rPr>
          <w:rFonts w:ascii="Verdana" w:hAnsi="Verdana"/>
          <w:b/>
          <w:sz w:val="16"/>
          <w:lang w:val="en-US"/>
        </w:rPr>
        <w:t xml:space="preserve">: </w:t>
      </w:r>
      <w:r>
        <w:rPr>
          <w:rFonts w:ascii="Verdana" w:hAnsi="Verdana"/>
          <w:b/>
          <w:sz w:val="16"/>
          <w:lang w:val="en-US"/>
        </w:rPr>
        <w:t xml:space="preserve">Spanish LNG stock </w:t>
      </w:r>
      <w:r w:rsidRPr="00AF772A">
        <w:rPr>
          <w:rFonts w:ascii="Verdana" w:hAnsi="Verdana"/>
          <w:b/>
          <w:sz w:val="16"/>
          <w:lang w:val="en-US"/>
        </w:rPr>
        <w:t>(01/</w:t>
      </w:r>
      <w:r>
        <w:rPr>
          <w:rFonts w:ascii="Verdana" w:hAnsi="Verdana"/>
          <w:b/>
          <w:sz w:val="16"/>
          <w:lang w:val="en-US"/>
        </w:rPr>
        <w:t>06</w:t>
      </w:r>
      <w:r w:rsidRPr="00AF772A">
        <w:rPr>
          <w:rFonts w:ascii="Verdana" w:hAnsi="Verdana"/>
          <w:b/>
          <w:sz w:val="16"/>
          <w:lang w:val="en-US"/>
        </w:rPr>
        <w:t>/201</w:t>
      </w:r>
      <w:r>
        <w:rPr>
          <w:rFonts w:ascii="Verdana" w:hAnsi="Verdana"/>
          <w:b/>
          <w:sz w:val="16"/>
          <w:lang w:val="en-US"/>
        </w:rPr>
        <w:t>9</w:t>
      </w:r>
      <w:r w:rsidRPr="00AF772A">
        <w:rPr>
          <w:rFonts w:ascii="Verdana" w:hAnsi="Verdana"/>
          <w:b/>
          <w:sz w:val="16"/>
          <w:lang w:val="en-US"/>
        </w:rPr>
        <w:t xml:space="preserve"> – 3</w:t>
      </w:r>
      <w:r>
        <w:rPr>
          <w:rFonts w:ascii="Verdana" w:hAnsi="Verdana"/>
          <w:b/>
          <w:sz w:val="16"/>
          <w:lang w:val="en-US"/>
        </w:rPr>
        <w:t>0</w:t>
      </w:r>
      <w:r w:rsidRPr="00AF772A">
        <w:rPr>
          <w:rFonts w:ascii="Verdana" w:hAnsi="Verdana"/>
          <w:b/>
          <w:sz w:val="16"/>
          <w:lang w:val="en-US"/>
        </w:rPr>
        <w:t>/</w:t>
      </w:r>
      <w:r>
        <w:rPr>
          <w:rFonts w:ascii="Verdana" w:hAnsi="Verdana"/>
          <w:b/>
          <w:sz w:val="16"/>
          <w:lang w:val="en-US"/>
        </w:rPr>
        <w:t>09</w:t>
      </w:r>
      <w:r w:rsidRPr="00AF772A">
        <w:rPr>
          <w:rFonts w:ascii="Verdana" w:hAnsi="Verdana"/>
          <w:b/>
          <w:sz w:val="16"/>
          <w:lang w:val="en-US"/>
        </w:rPr>
        <w:t>/201</w:t>
      </w:r>
      <w:r>
        <w:rPr>
          <w:rFonts w:ascii="Verdana" w:hAnsi="Verdana"/>
          <w:b/>
          <w:sz w:val="16"/>
          <w:lang w:val="en-US"/>
        </w:rPr>
        <w:t>9</w:t>
      </w:r>
      <w:r w:rsidRPr="00AF772A">
        <w:rPr>
          <w:rFonts w:ascii="Verdana" w:hAnsi="Verdana"/>
          <w:b/>
          <w:sz w:val="16"/>
          <w:lang w:val="en-US"/>
        </w:rPr>
        <w:t>)</w:t>
      </w:r>
    </w:p>
    <w:p w14:paraId="00743CC8" w14:textId="77777777" w:rsidR="004542FF" w:rsidRDefault="004542FF" w:rsidP="00F45BB1">
      <w:pPr>
        <w:spacing w:before="0" w:after="0" w:line="240" w:lineRule="auto"/>
        <w:ind w:left="-142"/>
        <w:jc w:val="left"/>
        <w:rPr>
          <w:rFonts w:cs="Arial"/>
          <w:b/>
          <w:bCs/>
          <w:sz w:val="28"/>
          <w:u w:val="single"/>
          <w:lang w:val="en-US"/>
        </w:rPr>
      </w:pPr>
    </w:p>
    <w:p w14:paraId="09013975" w14:textId="77777777" w:rsidR="001A72D0" w:rsidRDefault="001A72D0" w:rsidP="00F45BB1">
      <w:pPr>
        <w:spacing w:before="0" w:after="0" w:line="240" w:lineRule="auto"/>
        <w:ind w:left="-142"/>
        <w:jc w:val="left"/>
        <w:rPr>
          <w:rFonts w:cs="Arial"/>
          <w:b/>
          <w:bCs/>
          <w:sz w:val="28"/>
          <w:u w:val="single"/>
          <w:lang w:val="en-US"/>
        </w:rPr>
      </w:pPr>
    </w:p>
    <w:p w14:paraId="041512C0" w14:textId="77777777" w:rsidR="004542FF" w:rsidRDefault="004542FF">
      <w:pPr>
        <w:spacing w:before="0" w:after="0" w:line="240" w:lineRule="auto"/>
        <w:jc w:val="left"/>
        <w:rPr>
          <w:rFonts w:cs="Arial"/>
          <w:b/>
          <w:bCs/>
          <w:sz w:val="28"/>
          <w:u w:val="single"/>
          <w:lang w:val="en-US"/>
        </w:rPr>
      </w:pPr>
      <w:r>
        <w:rPr>
          <w:lang w:val="en-US"/>
        </w:rPr>
        <w:br w:type="page"/>
      </w:r>
    </w:p>
    <w:p w14:paraId="0E753938" w14:textId="053873B4" w:rsidR="00FC1E31" w:rsidRDefault="00FC1E31" w:rsidP="00825E1D">
      <w:pPr>
        <w:pStyle w:val="Ttulo1"/>
        <w:spacing w:before="240"/>
        <w:rPr>
          <w:lang w:val="en-GB"/>
        </w:rPr>
      </w:pPr>
      <w:bookmarkStart w:id="220" w:name="_Toc49770609"/>
      <w:r w:rsidRPr="00E44404">
        <w:rPr>
          <w:lang w:val="en-US"/>
        </w:rPr>
        <w:t>Conclusions</w:t>
      </w:r>
      <w:bookmarkEnd w:id="220"/>
      <w:r w:rsidRPr="00E44404">
        <w:rPr>
          <w:lang w:val="en-US"/>
        </w:rPr>
        <w:t xml:space="preserve"> </w:t>
      </w:r>
      <w:bookmarkEnd w:id="217"/>
    </w:p>
    <w:p w14:paraId="13267DD4" w14:textId="77777777" w:rsidR="000E4EC8" w:rsidRPr="000E4EC8" w:rsidRDefault="000E4EC8" w:rsidP="00C0497A">
      <w:pPr>
        <w:spacing w:line="312" w:lineRule="auto"/>
        <w:rPr>
          <w:rFonts w:cs="Arial"/>
          <w:color w:val="000000"/>
          <w:lang w:val="en-GB"/>
        </w:rPr>
      </w:pPr>
      <w:r w:rsidRPr="000E4EC8">
        <w:rPr>
          <w:rFonts w:cs="Arial"/>
          <w:color w:val="000000"/>
          <w:lang w:val="en-GB"/>
        </w:rPr>
        <w:t>In the Region of the South Gas Regional Initiative (France, Spain and Portugal), the gas flow direction from North to South prevails over the South North direction in terms of net physical flow, as well as the direction from Spain to Portugal.</w:t>
      </w:r>
    </w:p>
    <w:p w14:paraId="46B5D80D" w14:textId="77777777" w:rsidR="000E4EC8" w:rsidRPr="000E4EC8" w:rsidRDefault="000E4EC8" w:rsidP="00C0497A">
      <w:pPr>
        <w:spacing w:line="312" w:lineRule="auto"/>
        <w:rPr>
          <w:rFonts w:cs="Arial"/>
          <w:color w:val="000000"/>
          <w:lang w:val="en-GB"/>
        </w:rPr>
      </w:pPr>
      <w:r w:rsidRPr="000E4EC8">
        <w:rPr>
          <w:rFonts w:cs="Arial"/>
          <w:color w:val="000000"/>
          <w:lang w:val="en-GB"/>
        </w:rPr>
        <w:t>The capacity offered to the market at each interconnection is calculated by adjacent TSOs with a common methodology based on CAM NC.</w:t>
      </w:r>
    </w:p>
    <w:p w14:paraId="2707FD27" w14:textId="1B4CC8B6" w:rsidR="00075A7F" w:rsidRPr="005269D3" w:rsidRDefault="000E4EC8" w:rsidP="00A75A60">
      <w:pPr>
        <w:spacing w:line="312" w:lineRule="auto"/>
        <w:rPr>
          <w:rFonts w:cs="Arial"/>
          <w:color w:val="000000"/>
          <w:lang w:val="en-GB"/>
        </w:rPr>
      </w:pPr>
      <w:r w:rsidRPr="000E4EC8">
        <w:rPr>
          <w:rFonts w:cs="Arial"/>
          <w:color w:val="000000"/>
          <w:lang w:val="en-GB"/>
        </w:rPr>
        <w:t>At both points</w:t>
      </w:r>
      <w:r w:rsidR="0054238F">
        <w:rPr>
          <w:rFonts w:cs="Arial"/>
          <w:color w:val="000000"/>
          <w:lang w:val="en-GB"/>
        </w:rPr>
        <w:t>,</w:t>
      </w:r>
      <w:r w:rsidRPr="000E4EC8">
        <w:rPr>
          <w:rFonts w:cs="Arial"/>
          <w:color w:val="000000"/>
          <w:lang w:val="en-GB"/>
        </w:rPr>
        <w:t xml:space="preserve"> VIP Pirineos and VIP Ibérico, the unbundled capacity booked with LT contracts, subscribed before the implementation of the CAM NC, represents the largest part of the booked capacity at each point and direction</w:t>
      </w:r>
      <w:r w:rsidR="00F95F40">
        <w:rPr>
          <w:rFonts w:cs="Arial"/>
          <w:color w:val="000000"/>
        </w:rPr>
        <w:t>,</w:t>
      </w:r>
      <w:r w:rsidR="00F95F40">
        <w:rPr>
          <w:rFonts w:cs="Arial"/>
          <w:color w:val="000000"/>
          <w:lang w:val="en-GB"/>
        </w:rPr>
        <w:t xml:space="preserve"> except for the Portugal to Spain flow direction at VIP Ibérico</w:t>
      </w:r>
      <w:r w:rsidRPr="000E4EC8">
        <w:rPr>
          <w:rFonts w:cs="Arial"/>
          <w:color w:val="000000"/>
          <w:lang w:val="en-GB"/>
        </w:rPr>
        <w:t>. Consequently, the remaining capacity offered and booked in a bundled way on PRISMA is minor. This state of fact will continue till 2023</w:t>
      </w:r>
      <w:r w:rsidR="00F95F40">
        <w:rPr>
          <w:rFonts w:cs="Arial"/>
          <w:color w:val="000000"/>
          <w:lang w:val="en-GB"/>
        </w:rPr>
        <w:t xml:space="preserve"> for VIP Pirine</w:t>
      </w:r>
      <w:r w:rsidR="00320ADF">
        <w:rPr>
          <w:rFonts w:cs="Arial"/>
          <w:color w:val="000000"/>
          <w:lang w:val="en-GB"/>
        </w:rPr>
        <w:t>o</w:t>
      </w:r>
      <w:r w:rsidR="00F95F40">
        <w:rPr>
          <w:rFonts w:cs="Arial"/>
          <w:color w:val="000000"/>
          <w:lang w:val="en-GB"/>
        </w:rPr>
        <w:t>s and until end of 2020 at VIP Ibérico</w:t>
      </w:r>
      <w:r w:rsidR="0054238F">
        <w:rPr>
          <w:rFonts w:cs="Arial"/>
          <w:color w:val="000000"/>
          <w:lang w:val="en-GB"/>
        </w:rPr>
        <w:t>,</w:t>
      </w:r>
      <w:r w:rsidRPr="000E4EC8">
        <w:rPr>
          <w:rFonts w:cs="Arial"/>
          <w:color w:val="000000"/>
          <w:lang w:val="en-GB"/>
        </w:rPr>
        <w:t xml:space="preserve"> where the first LT contracts will end.</w:t>
      </w:r>
    </w:p>
    <w:p w14:paraId="788784AD" w14:textId="77777777" w:rsidR="004C2D18" w:rsidRPr="00C0497A" w:rsidRDefault="004C2D18" w:rsidP="00C0497A">
      <w:pPr>
        <w:pStyle w:val="Ttulo2"/>
        <w:rPr>
          <w:lang w:val="en-GB"/>
        </w:rPr>
      </w:pPr>
      <w:bookmarkStart w:id="221" w:name="_Toc49770610"/>
      <w:r w:rsidRPr="00C0497A">
        <w:rPr>
          <w:lang w:val="en-GB"/>
        </w:rPr>
        <w:t>VIP P</w:t>
      </w:r>
      <w:r w:rsidR="00E60CF3" w:rsidRPr="00C0497A">
        <w:rPr>
          <w:lang w:val="en-GB"/>
        </w:rPr>
        <w:t>irineos</w:t>
      </w:r>
      <w:bookmarkEnd w:id="221"/>
    </w:p>
    <w:p w14:paraId="2EA9B741" w14:textId="4185883C" w:rsidR="00953AEB" w:rsidRDefault="00953AEB" w:rsidP="00320ADF">
      <w:pPr>
        <w:spacing w:line="312" w:lineRule="auto"/>
        <w:rPr>
          <w:rFonts w:cs="Arial"/>
          <w:color w:val="000000"/>
          <w:lang w:val="en-GB"/>
        </w:rPr>
      </w:pPr>
      <w:r>
        <w:rPr>
          <w:rFonts w:cs="Arial"/>
          <w:color w:val="000000"/>
          <w:lang w:val="en-GB"/>
        </w:rPr>
        <w:t>New market conditions changed the booking and usage behaviour.</w:t>
      </w:r>
    </w:p>
    <w:p w14:paraId="3FE7F83A" w14:textId="7DDF31F4" w:rsidR="00953AEB" w:rsidRDefault="00953AEB" w:rsidP="00320ADF">
      <w:pPr>
        <w:pStyle w:val="Prrafodelista"/>
        <w:numPr>
          <w:ilvl w:val="0"/>
          <w:numId w:val="20"/>
        </w:numPr>
        <w:spacing w:line="312" w:lineRule="auto"/>
        <w:contextualSpacing w:val="0"/>
        <w:rPr>
          <w:rFonts w:cs="Arial"/>
          <w:color w:val="000000"/>
          <w:lang w:val="en-GB"/>
        </w:rPr>
      </w:pPr>
      <w:r>
        <w:rPr>
          <w:rFonts w:cs="Arial"/>
          <w:color w:val="000000"/>
          <w:lang w:val="en-GB"/>
        </w:rPr>
        <w:t xml:space="preserve">The creation of the Trading Region France induced, since 01/11/2018, a single gas price in France. The price spread takes </w:t>
      </w:r>
      <w:r w:rsidR="007935D4">
        <w:rPr>
          <w:rFonts w:cs="Arial"/>
          <w:color w:val="000000"/>
          <w:lang w:val="en-GB"/>
        </w:rPr>
        <w:t xml:space="preserve">now </w:t>
      </w:r>
      <w:r>
        <w:rPr>
          <w:rFonts w:cs="Arial"/>
          <w:color w:val="000000"/>
          <w:lang w:val="en-GB"/>
        </w:rPr>
        <w:t>place at the VIP Pirineos instead of occurring at the north south link which disappeared;</w:t>
      </w:r>
    </w:p>
    <w:p w14:paraId="7DC2358F" w14:textId="77777777" w:rsidR="007935D4" w:rsidRDefault="007935D4" w:rsidP="00320ADF">
      <w:pPr>
        <w:pStyle w:val="Prrafodelista"/>
        <w:numPr>
          <w:ilvl w:val="0"/>
          <w:numId w:val="20"/>
        </w:numPr>
        <w:spacing w:line="312" w:lineRule="auto"/>
        <w:contextualSpacing w:val="0"/>
        <w:rPr>
          <w:rFonts w:cs="Arial"/>
          <w:color w:val="000000"/>
          <w:lang w:val="en-GB"/>
        </w:rPr>
      </w:pPr>
      <w:r>
        <w:rPr>
          <w:rFonts w:cs="Arial"/>
          <w:color w:val="000000"/>
          <w:lang w:val="en-GB"/>
        </w:rPr>
        <w:t>The PEG price decreased below 8 €/MWh with a decreasing trend under the effect of:</w:t>
      </w:r>
    </w:p>
    <w:p w14:paraId="23CEF24A" w14:textId="685C4E87" w:rsidR="007935D4" w:rsidRDefault="007935D4" w:rsidP="00320ADF">
      <w:pPr>
        <w:pStyle w:val="Prrafodelista"/>
        <w:numPr>
          <w:ilvl w:val="1"/>
          <w:numId w:val="20"/>
        </w:numPr>
        <w:spacing w:line="312" w:lineRule="auto"/>
        <w:contextualSpacing w:val="0"/>
        <w:rPr>
          <w:rFonts w:cs="Arial"/>
          <w:color w:val="000000"/>
          <w:lang w:val="en-GB"/>
        </w:rPr>
      </w:pPr>
      <w:r>
        <w:rPr>
          <w:rFonts w:cs="Arial"/>
          <w:color w:val="000000"/>
          <w:lang w:val="en-GB"/>
        </w:rPr>
        <w:t>Mainly : t</w:t>
      </w:r>
      <w:r w:rsidR="00953AEB" w:rsidRPr="00E345E9">
        <w:rPr>
          <w:rFonts w:cs="Arial"/>
          <w:color w:val="000000"/>
          <w:lang w:val="en-GB"/>
        </w:rPr>
        <w:t>he abundance of LNG delivered to the European markets</w:t>
      </w:r>
      <w:r w:rsidRPr="007935D4">
        <w:rPr>
          <w:rFonts w:cs="Arial"/>
          <w:color w:val="000000"/>
          <w:lang w:val="en-GB"/>
        </w:rPr>
        <w:t xml:space="preserve"> at low price</w:t>
      </w:r>
      <w:r w:rsidR="00953AEB" w:rsidRPr="00E345E9">
        <w:rPr>
          <w:rFonts w:cs="Arial"/>
          <w:color w:val="000000"/>
          <w:lang w:val="en-GB"/>
        </w:rPr>
        <w:t>;</w:t>
      </w:r>
    </w:p>
    <w:p w14:paraId="55E1BD81" w14:textId="6FB49E17" w:rsidR="00953AEB" w:rsidRPr="007935D4" w:rsidRDefault="007935D4" w:rsidP="00320ADF">
      <w:pPr>
        <w:pStyle w:val="Prrafodelista"/>
        <w:numPr>
          <w:ilvl w:val="1"/>
          <w:numId w:val="20"/>
        </w:numPr>
        <w:spacing w:line="312" w:lineRule="auto"/>
        <w:contextualSpacing w:val="0"/>
        <w:rPr>
          <w:rFonts w:cs="Arial"/>
          <w:color w:val="000000"/>
          <w:lang w:val="en-GB"/>
        </w:rPr>
      </w:pPr>
      <w:r>
        <w:rPr>
          <w:rFonts w:cs="Arial"/>
          <w:color w:val="000000"/>
          <w:lang w:val="en-GB"/>
        </w:rPr>
        <w:t>At a lower scale : t</w:t>
      </w:r>
      <w:r w:rsidR="00953AEB" w:rsidRPr="007935D4">
        <w:rPr>
          <w:rFonts w:cs="Arial"/>
          <w:color w:val="000000"/>
          <w:lang w:val="en-GB"/>
        </w:rPr>
        <w:t xml:space="preserve">he French storage regulation increased </w:t>
      </w:r>
      <w:r w:rsidRPr="007935D4">
        <w:rPr>
          <w:rFonts w:cs="Arial"/>
          <w:color w:val="000000"/>
          <w:lang w:val="en-GB"/>
        </w:rPr>
        <w:t xml:space="preserve">the </w:t>
      </w:r>
      <w:r w:rsidR="00953AEB" w:rsidRPr="007935D4">
        <w:rPr>
          <w:rFonts w:cs="Arial"/>
          <w:color w:val="000000"/>
          <w:lang w:val="en-GB"/>
        </w:rPr>
        <w:t>number of market players o</w:t>
      </w:r>
      <w:r w:rsidRPr="007935D4">
        <w:rPr>
          <w:rFonts w:cs="Arial"/>
          <w:color w:val="000000"/>
          <w:lang w:val="en-GB"/>
        </w:rPr>
        <w:t>n the PEG</w:t>
      </w:r>
      <w:r>
        <w:rPr>
          <w:rFonts w:cs="Arial"/>
          <w:color w:val="000000"/>
          <w:lang w:val="en-GB"/>
        </w:rPr>
        <w:t xml:space="preserve"> which helped in increasing the HUB liquidity;</w:t>
      </w:r>
    </w:p>
    <w:p w14:paraId="412AAB14" w14:textId="12224A40" w:rsidR="00953AEB" w:rsidRDefault="007935D4" w:rsidP="00320ADF">
      <w:pPr>
        <w:spacing w:line="312" w:lineRule="auto"/>
        <w:rPr>
          <w:rFonts w:cs="Arial"/>
          <w:color w:val="000000"/>
          <w:lang w:val="en-GB"/>
        </w:rPr>
      </w:pPr>
      <w:r>
        <w:rPr>
          <w:rFonts w:cs="Arial"/>
          <w:color w:val="000000"/>
          <w:lang w:val="en-GB"/>
        </w:rPr>
        <w:t xml:space="preserve">Such price signals have influence on gas routes as observed on analysis shown in this report. Transit quantities can be boosted or reversed, </w:t>
      </w:r>
      <w:r w:rsidR="00953AEB" w:rsidRPr="00E345E9">
        <w:rPr>
          <w:rFonts w:cs="Arial"/>
          <w:color w:val="000000"/>
          <w:lang w:val="en-GB"/>
        </w:rPr>
        <w:t>punctual</w:t>
      </w:r>
      <w:r>
        <w:rPr>
          <w:rFonts w:cs="Arial"/>
          <w:color w:val="000000"/>
          <w:lang w:val="en-GB"/>
        </w:rPr>
        <w:t>ly or over</w:t>
      </w:r>
      <w:r w:rsidR="00953AEB" w:rsidRPr="00E345E9">
        <w:rPr>
          <w:rFonts w:cs="Arial"/>
          <w:color w:val="000000"/>
          <w:lang w:val="en-GB"/>
        </w:rPr>
        <w:t xml:space="preserve"> long period;</w:t>
      </w:r>
    </w:p>
    <w:p w14:paraId="5F99A0DB" w14:textId="23BCE2B4" w:rsidR="007935D4" w:rsidRDefault="007935D4" w:rsidP="00320ADF">
      <w:pPr>
        <w:spacing w:line="312" w:lineRule="auto"/>
        <w:jc w:val="left"/>
        <w:rPr>
          <w:rFonts w:cs="Arial"/>
          <w:color w:val="000000"/>
          <w:lang w:val="en-GB"/>
        </w:rPr>
      </w:pPr>
      <w:r>
        <w:rPr>
          <w:rFonts w:cs="Arial"/>
          <w:color w:val="000000"/>
          <w:lang w:val="en-GB"/>
        </w:rPr>
        <w:br w:type="page"/>
      </w:r>
    </w:p>
    <w:p w14:paraId="71AA878F" w14:textId="77777777" w:rsidR="004C2D18" w:rsidRPr="00C0497A" w:rsidRDefault="004C2D18" w:rsidP="00C0497A">
      <w:pPr>
        <w:pStyle w:val="Ttulo2"/>
        <w:rPr>
          <w:lang w:val="en-GB"/>
        </w:rPr>
      </w:pPr>
      <w:bookmarkStart w:id="222" w:name="_Toc49770611"/>
      <w:r w:rsidRPr="00C0497A">
        <w:rPr>
          <w:lang w:val="en-GB"/>
        </w:rPr>
        <w:t>VIP I</w:t>
      </w:r>
      <w:r w:rsidR="00A71F78" w:rsidRPr="00C0497A">
        <w:rPr>
          <w:lang w:val="en-GB"/>
        </w:rPr>
        <w:t>bérico</w:t>
      </w:r>
      <w:bookmarkEnd w:id="222"/>
    </w:p>
    <w:p w14:paraId="361F6093" w14:textId="0437CD04" w:rsidR="00B97110" w:rsidRPr="00AB6B65" w:rsidRDefault="004C2D18" w:rsidP="00A75A60">
      <w:pPr>
        <w:spacing w:line="312" w:lineRule="auto"/>
        <w:rPr>
          <w:rFonts w:cs="Arial"/>
          <w:color w:val="000000"/>
          <w:lang w:val="en-GB"/>
        </w:rPr>
      </w:pPr>
      <w:r w:rsidRPr="000E4EC8">
        <w:rPr>
          <w:rFonts w:cs="Arial"/>
          <w:color w:val="000000"/>
          <w:lang w:val="en-GB"/>
        </w:rPr>
        <w:t xml:space="preserve">The direction Spain to Portugal prevails over Portugal to Spain direction. </w:t>
      </w:r>
      <w:r w:rsidR="001C3FD0">
        <w:rPr>
          <w:rFonts w:cs="Arial"/>
          <w:color w:val="000000"/>
          <w:lang w:val="en-GB"/>
        </w:rPr>
        <w:t>A</w:t>
      </w:r>
      <w:r w:rsidRPr="000E4EC8">
        <w:rPr>
          <w:rFonts w:cs="Arial"/>
          <w:color w:val="000000"/>
          <w:lang w:val="en-GB"/>
        </w:rPr>
        <w:t xml:space="preserve"> seasonal booking and use during the summer months </w:t>
      </w:r>
      <w:r w:rsidR="0001256F">
        <w:rPr>
          <w:rFonts w:cs="Arial"/>
          <w:color w:val="000000"/>
          <w:lang w:val="en-GB"/>
        </w:rPr>
        <w:t>in the</w:t>
      </w:r>
      <w:r w:rsidR="0001256F" w:rsidRPr="000E4EC8">
        <w:rPr>
          <w:rFonts w:cs="Arial"/>
          <w:color w:val="000000"/>
          <w:lang w:val="en-GB"/>
        </w:rPr>
        <w:t xml:space="preserve"> </w:t>
      </w:r>
      <w:r w:rsidRPr="000E4EC8">
        <w:rPr>
          <w:rFonts w:cs="Arial"/>
          <w:color w:val="000000"/>
          <w:lang w:val="en-GB"/>
        </w:rPr>
        <w:t>Spain to Portugal direction</w:t>
      </w:r>
      <w:r w:rsidR="00CB55A4" w:rsidRPr="000E4EC8">
        <w:rPr>
          <w:rFonts w:cs="Arial"/>
          <w:color w:val="000000"/>
          <w:lang w:val="en-GB"/>
        </w:rPr>
        <w:t xml:space="preserve"> </w:t>
      </w:r>
      <w:r w:rsidR="001C3FD0" w:rsidRPr="000E4EC8">
        <w:rPr>
          <w:rFonts w:cs="Arial"/>
          <w:color w:val="000000"/>
          <w:lang w:val="en-GB"/>
        </w:rPr>
        <w:t xml:space="preserve">is observed </w:t>
      </w:r>
      <w:r w:rsidR="00CB55A4" w:rsidRPr="000E4EC8">
        <w:rPr>
          <w:rFonts w:cs="Arial"/>
          <w:color w:val="000000"/>
          <w:lang w:val="en-GB"/>
        </w:rPr>
        <w:t xml:space="preserve">that is less </w:t>
      </w:r>
      <w:r w:rsidR="006217C9" w:rsidRPr="000E4EC8">
        <w:rPr>
          <w:rFonts w:cs="Arial"/>
          <w:color w:val="000000"/>
          <w:lang w:val="en-GB"/>
        </w:rPr>
        <w:t>evident</w:t>
      </w:r>
      <w:r w:rsidR="00CB55A4" w:rsidRPr="000E4EC8">
        <w:rPr>
          <w:rFonts w:cs="Arial"/>
          <w:color w:val="000000"/>
          <w:lang w:val="en-GB"/>
        </w:rPr>
        <w:t xml:space="preserve"> during the studied period </w:t>
      </w:r>
      <w:r w:rsidR="001C3FD0">
        <w:rPr>
          <w:rFonts w:cs="Arial"/>
          <w:color w:val="000000"/>
          <w:lang w:val="en-GB"/>
        </w:rPr>
        <w:t xml:space="preserve">in </w:t>
      </w:r>
      <w:r w:rsidR="00CB55A4" w:rsidRPr="000E4EC8">
        <w:rPr>
          <w:rFonts w:cs="Arial"/>
          <w:color w:val="000000"/>
          <w:lang w:val="en-GB"/>
        </w:rPr>
        <w:t>respect to the previous exercise</w:t>
      </w:r>
      <w:r w:rsidR="009A6463">
        <w:rPr>
          <w:rFonts w:cs="Arial"/>
          <w:color w:val="000000"/>
          <w:lang w:val="en-GB"/>
        </w:rPr>
        <w:t>s</w:t>
      </w:r>
      <w:r w:rsidRPr="000E4EC8">
        <w:rPr>
          <w:rFonts w:cs="Arial"/>
          <w:color w:val="000000"/>
          <w:lang w:val="en-GB"/>
        </w:rPr>
        <w:t xml:space="preserve">. </w:t>
      </w:r>
      <w:r w:rsidR="00933E65" w:rsidRPr="000E4EC8">
        <w:rPr>
          <w:rFonts w:cs="Arial"/>
          <w:color w:val="000000"/>
          <w:lang w:val="en-GB"/>
        </w:rPr>
        <w:t>In this direction, b</w:t>
      </w:r>
      <w:r w:rsidRPr="000E4EC8">
        <w:rPr>
          <w:rFonts w:cs="Arial"/>
          <w:color w:val="000000"/>
          <w:lang w:val="en-GB"/>
        </w:rPr>
        <w:t xml:space="preserve">ooked capacity is practically fully used, </w:t>
      </w:r>
      <w:r w:rsidR="00933E65" w:rsidRPr="000E4EC8">
        <w:rPr>
          <w:rFonts w:cs="Arial"/>
          <w:color w:val="000000"/>
          <w:lang w:val="en-GB"/>
        </w:rPr>
        <w:t xml:space="preserve">and </w:t>
      </w:r>
      <w:r w:rsidRPr="000E4EC8">
        <w:rPr>
          <w:rFonts w:cs="Arial"/>
          <w:color w:val="000000"/>
          <w:lang w:val="en-GB"/>
        </w:rPr>
        <w:t>every type of product is utilized</w:t>
      </w:r>
      <w:r w:rsidR="0001256F">
        <w:rPr>
          <w:rFonts w:cs="Arial"/>
          <w:color w:val="000000"/>
          <w:lang w:val="en-GB"/>
        </w:rPr>
        <w:t>,</w:t>
      </w:r>
      <w:r w:rsidR="006217C9" w:rsidRPr="000E4EC8">
        <w:rPr>
          <w:rFonts w:cs="Arial"/>
          <w:color w:val="000000"/>
          <w:lang w:val="en-GB"/>
        </w:rPr>
        <w:t xml:space="preserve"> except for the period January to June 2019, when the flow reverted due to the price advantages of accessing the Spanish gas market from the Portuguese LNG plant instead of the Spanish LNG </w:t>
      </w:r>
      <w:r w:rsidR="006217C9" w:rsidRPr="00AB6B65">
        <w:rPr>
          <w:rFonts w:cs="Arial"/>
          <w:color w:val="000000"/>
          <w:lang w:val="en-GB"/>
        </w:rPr>
        <w:t>plants</w:t>
      </w:r>
      <w:r w:rsidRPr="00AB6B65">
        <w:rPr>
          <w:rFonts w:cs="Arial"/>
          <w:color w:val="000000"/>
          <w:lang w:val="en-GB"/>
        </w:rPr>
        <w:t>.</w:t>
      </w:r>
      <w:r w:rsidR="00BB4EB3" w:rsidRPr="00AB6B65">
        <w:rPr>
          <w:rFonts w:cs="Arial"/>
          <w:color w:val="000000"/>
          <w:lang w:val="en-GB"/>
        </w:rPr>
        <w:t xml:space="preserve"> </w:t>
      </w:r>
    </w:p>
    <w:p w14:paraId="5583E7E4" w14:textId="641F4213" w:rsidR="00CC1F77" w:rsidRPr="00AB6B65" w:rsidRDefault="00CC1F77" w:rsidP="00A75A60">
      <w:pPr>
        <w:spacing w:line="312" w:lineRule="auto"/>
        <w:rPr>
          <w:rFonts w:cs="Arial"/>
          <w:color w:val="000000"/>
          <w:lang w:val="en-GB"/>
        </w:rPr>
      </w:pPr>
      <w:r w:rsidRPr="00AB6B65">
        <w:rPr>
          <w:rFonts w:cs="Arial"/>
          <w:color w:val="000000"/>
          <w:lang w:val="en-GB"/>
        </w:rPr>
        <w:t xml:space="preserve">In the direction Portugal to Spain, we can observe a change </w:t>
      </w:r>
      <w:r w:rsidR="0001256F">
        <w:rPr>
          <w:rFonts w:cs="Arial"/>
          <w:color w:val="000000"/>
          <w:lang w:val="en-GB"/>
        </w:rPr>
        <w:t xml:space="preserve">in shipper’s </w:t>
      </w:r>
      <w:r w:rsidRPr="00AB6B65">
        <w:rPr>
          <w:rFonts w:cs="Arial"/>
          <w:color w:val="000000"/>
          <w:lang w:val="en-GB"/>
        </w:rPr>
        <w:t xml:space="preserve">behaviour during 2019, </w:t>
      </w:r>
      <w:r w:rsidR="009A6463">
        <w:rPr>
          <w:rFonts w:cs="Arial"/>
          <w:color w:val="000000"/>
          <w:lang w:val="en-GB"/>
        </w:rPr>
        <w:t>as explained here</w:t>
      </w:r>
      <w:r w:rsidR="001C3FD0">
        <w:rPr>
          <w:rFonts w:cs="Arial"/>
          <w:color w:val="000000"/>
          <w:lang w:val="en-GB"/>
        </w:rPr>
        <w:t xml:space="preserve"> </w:t>
      </w:r>
      <w:r w:rsidR="009A6463">
        <w:rPr>
          <w:rFonts w:cs="Arial"/>
          <w:color w:val="000000"/>
          <w:lang w:val="en-GB"/>
        </w:rPr>
        <w:t xml:space="preserve">above, </w:t>
      </w:r>
      <w:r w:rsidRPr="00AB6B65">
        <w:rPr>
          <w:rFonts w:cs="Arial"/>
          <w:color w:val="000000"/>
          <w:lang w:val="en-GB"/>
        </w:rPr>
        <w:t xml:space="preserve">where the bookings </w:t>
      </w:r>
      <w:r w:rsidR="0001256F">
        <w:rPr>
          <w:rFonts w:cs="Arial"/>
          <w:color w:val="000000"/>
          <w:lang w:val="en-GB"/>
        </w:rPr>
        <w:t>reached</w:t>
      </w:r>
      <w:r w:rsidRPr="00AB6B65">
        <w:rPr>
          <w:rFonts w:cs="Arial"/>
          <w:color w:val="000000"/>
          <w:lang w:val="en-GB"/>
        </w:rPr>
        <w:t xml:space="preserve"> levels close to the 63% of the technical capacity.</w:t>
      </w:r>
    </w:p>
    <w:p w14:paraId="5F15B8E5" w14:textId="6D07D7D9" w:rsidR="00D42ECB" w:rsidRPr="00C0497A" w:rsidRDefault="000E4EC8" w:rsidP="00C0497A">
      <w:pPr>
        <w:pStyle w:val="Ttulo2"/>
        <w:rPr>
          <w:lang w:val="en-GB"/>
        </w:rPr>
      </w:pPr>
      <w:bookmarkStart w:id="223" w:name="_Toc49770612"/>
      <w:r w:rsidRPr="00C0497A">
        <w:rPr>
          <w:lang w:val="en-GB"/>
        </w:rPr>
        <w:t>North-South link</w:t>
      </w:r>
      <w:bookmarkEnd w:id="223"/>
    </w:p>
    <w:p w14:paraId="2A6F940B" w14:textId="05F79257" w:rsidR="00BF14A3" w:rsidRDefault="00264C9A" w:rsidP="00A75A60">
      <w:pPr>
        <w:spacing w:line="312" w:lineRule="auto"/>
        <w:rPr>
          <w:rFonts w:cs="Arial"/>
          <w:color w:val="000000"/>
          <w:lang w:val="en-GB"/>
        </w:rPr>
      </w:pPr>
      <w:r w:rsidRPr="00AB6B65">
        <w:rPr>
          <w:lang w:val="en-US"/>
        </w:rPr>
        <w:t>The North-South link was physically</w:t>
      </w:r>
      <w:r>
        <w:rPr>
          <w:lang w:val="en-US"/>
        </w:rPr>
        <w:t xml:space="preserve"> </w:t>
      </w:r>
      <w:r w:rsidRPr="00AB6B65">
        <w:rPr>
          <w:lang w:val="en-US"/>
        </w:rPr>
        <w:t>congested.</w:t>
      </w:r>
      <w:r w:rsidR="00C33836" w:rsidRPr="00AB6B65">
        <w:rPr>
          <w:lang w:val="en-US"/>
        </w:rPr>
        <w:t xml:space="preserve"> Merger of zones as from 1</w:t>
      </w:r>
      <w:r w:rsidR="00C33836" w:rsidRPr="00AB6B65">
        <w:rPr>
          <w:vertAlign w:val="superscript"/>
          <w:lang w:val="en-US"/>
        </w:rPr>
        <w:t>st</w:t>
      </w:r>
      <w:r w:rsidR="00AB6B65">
        <w:rPr>
          <w:lang w:val="en-US"/>
        </w:rPr>
        <w:t xml:space="preserve"> </w:t>
      </w:r>
      <w:r w:rsidR="00C33836" w:rsidRPr="00AB6B65">
        <w:rPr>
          <w:lang w:val="en-US"/>
        </w:rPr>
        <w:t>November 2018 has solved the physical congestion issue, thus allowing the removal of the North-South link</w:t>
      </w:r>
      <w:r w:rsidR="003104C9" w:rsidRPr="00AB6B65">
        <w:rPr>
          <w:lang w:val="en-US"/>
        </w:rPr>
        <w:t>.</w:t>
      </w:r>
      <w:r w:rsidR="003104C9" w:rsidRPr="00AB6B65">
        <w:rPr>
          <w:rFonts w:cs="Arial"/>
          <w:lang w:val="en-GB"/>
        </w:rPr>
        <w:t xml:space="preserve"> </w:t>
      </w:r>
      <w:r w:rsidR="00BF14A3" w:rsidRPr="00AB6B65">
        <w:rPr>
          <w:rFonts w:cs="Arial"/>
          <w:lang w:val="en-GB"/>
        </w:rPr>
        <w:t xml:space="preserve">Market coupling offer was increased on a daily basis </w:t>
      </w:r>
      <w:r w:rsidR="00BF14A3">
        <w:rPr>
          <w:rFonts w:cs="Arial"/>
          <w:color w:val="000000"/>
          <w:lang w:val="en-GB"/>
        </w:rPr>
        <w:t>according to available daily capacities in order to anticipate the removal of this link.</w:t>
      </w:r>
    </w:p>
    <w:p w14:paraId="4A30E5BB" w14:textId="75A5C6BB" w:rsidR="003104C9" w:rsidRPr="005269D3" w:rsidRDefault="003104C9" w:rsidP="00A75A60">
      <w:pPr>
        <w:spacing w:line="312" w:lineRule="auto"/>
        <w:rPr>
          <w:rFonts w:cs="Arial"/>
          <w:color w:val="000000"/>
          <w:lang w:val="en-GB"/>
        </w:rPr>
      </w:pPr>
      <w:r>
        <w:rPr>
          <w:rFonts w:cs="Arial"/>
          <w:color w:val="000000"/>
          <w:lang w:val="en-GB"/>
        </w:rPr>
        <w:t xml:space="preserve">Since the North-South link does not exist anymore, no further </w:t>
      </w:r>
      <w:r w:rsidR="00DE4CCC">
        <w:rPr>
          <w:rFonts w:cs="Arial"/>
          <w:color w:val="000000"/>
          <w:lang w:val="en-GB"/>
        </w:rPr>
        <w:t xml:space="preserve">observations need </w:t>
      </w:r>
      <w:r w:rsidR="00C33836">
        <w:rPr>
          <w:rFonts w:cs="Arial"/>
          <w:color w:val="000000"/>
          <w:lang w:val="en-GB"/>
        </w:rPr>
        <w:t xml:space="preserve">to </w:t>
      </w:r>
      <w:r w:rsidR="00DE4CCC">
        <w:rPr>
          <w:rFonts w:cs="Arial"/>
          <w:color w:val="000000"/>
          <w:lang w:val="en-GB"/>
        </w:rPr>
        <w:t>be made.</w:t>
      </w:r>
    </w:p>
    <w:p w14:paraId="7A4E8588" w14:textId="3165AF2A" w:rsidR="005079F6" w:rsidRDefault="005079F6">
      <w:pPr>
        <w:spacing w:before="0" w:after="0" w:line="240" w:lineRule="auto"/>
        <w:jc w:val="left"/>
        <w:rPr>
          <w:color w:val="000000"/>
          <w:sz w:val="24"/>
          <w:highlight w:val="cyan"/>
          <w:lang w:val="en-US"/>
        </w:rPr>
      </w:pPr>
      <w:bookmarkStart w:id="224" w:name="_Toc493607956"/>
      <w:bookmarkStart w:id="225" w:name="_Toc493608007"/>
      <w:bookmarkStart w:id="226" w:name="_Toc493608041"/>
      <w:bookmarkStart w:id="227" w:name="_Toc493608074"/>
      <w:bookmarkStart w:id="228" w:name="_Toc493608334"/>
      <w:bookmarkStart w:id="229" w:name="_Toc493608368"/>
      <w:bookmarkEnd w:id="180"/>
      <w:bookmarkEnd w:id="181"/>
      <w:bookmarkEnd w:id="182"/>
      <w:bookmarkEnd w:id="183"/>
      <w:bookmarkEnd w:id="224"/>
      <w:bookmarkEnd w:id="225"/>
      <w:bookmarkEnd w:id="226"/>
      <w:bookmarkEnd w:id="227"/>
      <w:bookmarkEnd w:id="228"/>
      <w:bookmarkEnd w:id="229"/>
      <w:r>
        <w:rPr>
          <w:color w:val="000000"/>
          <w:sz w:val="24"/>
          <w:highlight w:val="cyan"/>
          <w:lang w:val="en-US"/>
        </w:rPr>
        <w:br w:type="page"/>
      </w:r>
    </w:p>
    <w:p w14:paraId="76B77F79" w14:textId="77777777" w:rsidR="00C66ECD" w:rsidRDefault="00D17CB9" w:rsidP="00D17CB9">
      <w:pPr>
        <w:rPr>
          <w:lang w:val="en-US" w:eastAsia="ja-JP"/>
        </w:rPr>
      </w:pPr>
      <w:r>
        <w:rPr>
          <w:lang w:val="en-US" w:eastAsia="ja-JP"/>
        </w:rPr>
        <w:t xml:space="preserve">RECOMMENDATIONS </w:t>
      </w:r>
    </w:p>
    <w:p w14:paraId="59A5B291" w14:textId="78A236C5" w:rsidR="00D17CB9" w:rsidRDefault="00D17CB9" w:rsidP="00D17CB9">
      <w:pPr>
        <w:rPr>
          <w:lang w:val="en-US" w:eastAsia="ja-JP"/>
        </w:rPr>
      </w:pPr>
      <w:r>
        <w:rPr>
          <w:lang w:val="en-US" w:eastAsia="ja-JP"/>
        </w:rPr>
        <w:t>By TEREGA</w:t>
      </w:r>
    </w:p>
    <w:p w14:paraId="44C03F6A" w14:textId="77777777" w:rsidR="00D17CB9" w:rsidRDefault="00D17CB9" w:rsidP="00D17CB9">
      <w:pPr>
        <w:rPr>
          <w:lang w:val="en-US" w:eastAsia="ja-JP"/>
        </w:rPr>
      </w:pPr>
      <w:r>
        <w:rPr>
          <w:lang w:val="en-US" w:eastAsia="ja-JP"/>
        </w:rPr>
        <w:t>Adapting rules of regulation to the changes observed on the transmission activity matters.</w:t>
      </w:r>
    </w:p>
    <w:p w14:paraId="1E4D9E13" w14:textId="77777777" w:rsidR="00D17CB9" w:rsidRPr="008757F9" w:rsidRDefault="00D17CB9" w:rsidP="00D17CB9">
      <w:pPr>
        <w:rPr>
          <w:i/>
          <w:lang w:val="en-US" w:eastAsia="ja-JP"/>
        </w:rPr>
      </w:pPr>
      <w:r>
        <w:rPr>
          <w:lang w:val="en-US" w:eastAsia="ja-JP"/>
        </w:rPr>
        <w:t>A</w:t>
      </w:r>
      <w:r w:rsidRPr="007935D4">
        <w:rPr>
          <w:lang w:val="en-US" w:eastAsia="ja-JP"/>
        </w:rPr>
        <w:t xml:space="preserve">n IP can be declared “congested” with both a small premium (1 round with Small Price Step) and a </w:t>
      </w:r>
      <w:r>
        <w:rPr>
          <w:lang w:val="en-US" w:eastAsia="ja-JP"/>
        </w:rPr>
        <w:t xml:space="preserve">very </w:t>
      </w:r>
      <w:r w:rsidRPr="007935D4">
        <w:rPr>
          <w:lang w:val="en-US" w:eastAsia="ja-JP"/>
        </w:rPr>
        <w:t xml:space="preserve">low quantity sold as observed at the Yearly auction Exit Pirineos in July 2019. </w:t>
      </w:r>
      <w:r>
        <w:rPr>
          <w:lang w:val="en-US" w:eastAsia="ja-JP"/>
        </w:rPr>
        <w:t>(</w:t>
      </w:r>
      <w:r w:rsidRPr="008757F9">
        <w:rPr>
          <w:i/>
          <w:lang w:val="en-US" w:eastAsia="ja-JP"/>
        </w:rPr>
        <w:t xml:space="preserve">Note: same sequence occurred at </w:t>
      </w:r>
      <w:r>
        <w:rPr>
          <w:i/>
          <w:lang w:val="en-US" w:eastAsia="ja-JP"/>
        </w:rPr>
        <w:t>the yearly auction in July 2020)</w:t>
      </w:r>
    </w:p>
    <w:p w14:paraId="22B60D34" w14:textId="77777777" w:rsidR="00D17CB9" w:rsidRDefault="00D17CB9" w:rsidP="00D17CB9">
      <w:pPr>
        <w:rPr>
          <w:lang w:val="en-US" w:eastAsia="ja-JP"/>
        </w:rPr>
      </w:pPr>
      <w:r w:rsidRPr="007935D4">
        <w:rPr>
          <w:lang w:val="en-US" w:eastAsia="ja-JP"/>
        </w:rPr>
        <w:t>This status impacts directly TSO incomes as it changes the level of Tariff thru “coefficients of congestion”. The situation observed at the last Yearly auction (July 2019</w:t>
      </w:r>
      <w:r>
        <w:rPr>
          <w:lang w:val="en-US" w:eastAsia="ja-JP"/>
        </w:rPr>
        <w:t xml:space="preserve"> and 2020</w:t>
      </w:r>
      <w:r w:rsidRPr="007935D4">
        <w:rPr>
          <w:lang w:val="en-US" w:eastAsia="ja-JP"/>
        </w:rPr>
        <w:t>) demonstrates that the rules should be changed to match the reality of facts.</w:t>
      </w:r>
      <w:r>
        <w:rPr>
          <w:lang w:val="en-US" w:eastAsia="ja-JP"/>
        </w:rPr>
        <w:t xml:space="preserve"> (cf PRISMA auctions </w:t>
      </w:r>
      <w:r w:rsidRPr="004F6FB2">
        <w:rPr>
          <w:lang w:val="en-US" w:eastAsia="ja-JP"/>
        </w:rPr>
        <w:t>ID 30412363</w:t>
      </w:r>
      <w:r>
        <w:rPr>
          <w:lang w:val="en-US" w:eastAsia="ja-JP"/>
        </w:rPr>
        <w:t xml:space="preserve"> and </w:t>
      </w:r>
      <w:r w:rsidRPr="004F6FB2">
        <w:rPr>
          <w:lang w:val="en-US" w:eastAsia="ja-JP"/>
        </w:rPr>
        <w:t>ID 25753333</w:t>
      </w:r>
      <w:r>
        <w:rPr>
          <w:lang w:val="en-US" w:eastAsia="ja-JP"/>
        </w:rPr>
        <w:t>).</w:t>
      </w:r>
    </w:p>
    <w:p w14:paraId="3D25569D" w14:textId="77777777" w:rsidR="00D17CB9" w:rsidRDefault="00D17CB9" w:rsidP="00D17CB9">
      <w:pPr>
        <w:rPr>
          <w:lang w:val="en-US" w:eastAsia="ja-JP"/>
        </w:rPr>
      </w:pPr>
      <w:r w:rsidRPr="007935D4">
        <w:rPr>
          <w:lang w:val="en-US" w:eastAsia="ja-JP"/>
        </w:rPr>
        <w:t xml:space="preserve">As </w:t>
      </w:r>
      <w:r>
        <w:rPr>
          <w:lang w:val="en-US" w:eastAsia="ja-JP"/>
        </w:rPr>
        <w:t>a relevant change proposed</w:t>
      </w:r>
      <w:r w:rsidRPr="007935D4">
        <w:rPr>
          <w:lang w:val="en-US" w:eastAsia="ja-JP"/>
        </w:rPr>
        <w:t>, apply</w:t>
      </w:r>
      <w:r>
        <w:rPr>
          <w:lang w:val="en-US" w:eastAsia="ja-JP"/>
        </w:rPr>
        <w:t>ing</w:t>
      </w:r>
      <w:r w:rsidRPr="007935D4">
        <w:rPr>
          <w:lang w:val="en-US" w:eastAsia="ja-JP"/>
        </w:rPr>
        <w:t xml:space="preserve"> a coefficient of congestion on tariffs only when a significant amount of </w:t>
      </w:r>
      <w:r>
        <w:rPr>
          <w:lang w:val="en-US" w:eastAsia="ja-JP"/>
        </w:rPr>
        <w:t>the capacity is proposed and effectively marketed t</w:t>
      </w:r>
      <w:r w:rsidRPr="007935D4">
        <w:rPr>
          <w:lang w:val="en-US" w:eastAsia="ja-JP"/>
        </w:rPr>
        <w:t>hru yearly auctions</w:t>
      </w:r>
      <w:r>
        <w:rPr>
          <w:lang w:val="en-US" w:eastAsia="ja-JP"/>
        </w:rPr>
        <w:t>.</w:t>
      </w:r>
    </w:p>
    <w:p w14:paraId="5C788CE4" w14:textId="77777777" w:rsidR="00D17CB9" w:rsidRDefault="00D17CB9" w:rsidP="00D17CB9">
      <w:pPr>
        <w:rPr>
          <w:lang w:val="en-US" w:eastAsia="ja-JP"/>
        </w:rPr>
      </w:pPr>
      <w:r>
        <w:rPr>
          <w:lang w:val="en-US" w:eastAsia="ja-JP"/>
        </w:rPr>
        <w:t>This approach brings consistency to the rules, and is applicable in a short period of time</w:t>
      </w:r>
      <w:r w:rsidRPr="007935D4">
        <w:rPr>
          <w:lang w:val="en-US" w:eastAsia="ja-JP"/>
        </w:rPr>
        <w:t>.</w:t>
      </w:r>
    </w:p>
    <w:p w14:paraId="17C1E816" w14:textId="77777777" w:rsidR="00D17CB9" w:rsidRDefault="00D17CB9" w:rsidP="00D17CB9">
      <w:pPr>
        <w:rPr>
          <w:lang w:val="en-US" w:eastAsia="ja-JP"/>
        </w:rPr>
      </w:pPr>
      <w:r>
        <w:rPr>
          <w:lang w:val="en-US" w:eastAsia="ja-JP"/>
        </w:rPr>
        <w:t>Example:</w:t>
      </w:r>
      <w:r w:rsidRPr="007935D4">
        <w:rPr>
          <w:lang w:val="en-US" w:eastAsia="ja-JP"/>
        </w:rPr>
        <w:t xml:space="preserve"> In the mentioned case, 0,8%</w:t>
      </w:r>
      <w:r>
        <w:rPr>
          <w:lang w:val="en-US" w:eastAsia="ja-JP"/>
        </w:rPr>
        <w:t xml:space="preserve"> (1980 MWh/day)</w:t>
      </w:r>
      <w:r w:rsidRPr="007935D4">
        <w:rPr>
          <w:lang w:val="en-US" w:eastAsia="ja-JP"/>
        </w:rPr>
        <w:t xml:space="preserve"> of the total technical capacity </w:t>
      </w:r>
      <w:r>
        <w:rPr>
          <w:lang w:val="en-US" w:eastAsia="ja-JP"/>
        </w:rPr>
        <w:t>was marketable thru the concerned yearly product and 0,024 MWh/day was marketed with a premium</w:t>
      </w:r>
      <w:r w:rsidRPr="007935D4">
        <w:rPr>
          <w:lang w:val="en-US" w:eastAsia="ja-JP"/>
        </w:rPr>
        <w:t>. This is not representative</w:t>
      </w:r>
      <w:r>
        <w:rPr>
          <w:lang w:val="en-US" w:eastAsia="ja-JP"/>
        </w:rPr>
        <w:t xml:space="preserve"> of a “congested” status.</w:t>
      </w:r>
    </w:p>
    <w:p w14:paraId="04F164FE" w14:textId="77777777" w:rsidR="00D17CB9" w:rsidRDefault="00D17CB9" w:rsidP="00D17CB9">
      <w:pPr>
        <w:rPr>
          <w:lang w:val="en-US" w:eastAsia="ja-JP"/>
        </w:rPr>
      </w:pPr>
      <w:r w:rsidRPr="00E345E9">
        <w:rPr>
          <w:u w:val="single"/>
          <w:lang w:val="en-US" w:eastAsia="ja-JP"/>
        </w:rPr>
        <w:t>Proposal:</w:t>
      </w:r>
      <w:r>
        <w:rPr>
          <w:lang w:val="en-US" w:eastAsia="ja-JP"/>
        </w:rPr>
        <w:t xml:space="preserve"> consider a threshold of 98% of marketed capacity to stamp a status of congestion. </w:t>
      </w:r>
    </w:p>
    <w:p w14:paraId="3BBC2550" w14:textId="77777777" w:rsidR="00D17CB9" w:rsidRDefault="00D17CB9" w:rsidP="00D17CB9">
      <w:pPr>
        <w:rPr>
          <w:lang w:val="en-US" w:eastAsia="ja-JP"/>
        </w:rPr>
      </w:pPr>
      <w:r>
        <w:rPr>
          <w:lang w:val="en-US" w:eastAsia="ja-JP"/>
        </w:rPr>
        <w:t>If 0,98 x 1980 MWh/day = 1940 MWh/day are marketed, then the status of congested is given.</w:t>
      </w:r>
    </w:p>
    <w:p w14:paraId="3FBE29DE" w14:textId="3BF03B04" w:rsidR="00D17CB9" w:rsidRDefault="00D17CB9">
      <w:pPr>
        <w:spacing w:before="0" w:after="0" w:line="240" w:lineRule="auto"/>
        <w:jc w:val="left"/>
        <w:rPr>
          <w:color w:val="000000"/>
          <w:sz w:val="24"/>
          <w:highlight w:val="cyan"/>
          <w:lang w:val="en-US"/>
        </w:rPr>
      </w:pPr>
      <w:r>
        <w:rPr>
          <w:color w:val="000000"/>
          <w:sz w:val="24"/>
          <w:highlight w:val="cyan"/>
          <w:lang w:val="en-US"/>
        </w:rPr>
        <w:br w:type="page"/>
      </w:r>
    </w:p>
    <w:p w14:paraId="57C64662" w14:textId="68A68C3A" w:rsidR="005079F6" w:rsidRPr="00332CF2" w:rsidRDefault="005079F6" w:rsidP="00C0497A">
      <w:pPr>
        <w:pStyle w:val="Ttulo1"/>
        <w:spacing w:before="240"/>
        <w:rPr>
          <w:lang w:val="en-US"/>
        </w:rPr>
      </w:pPr>
      <w:bookmarkStart w:id="230" w:name="_Toc49770613"/>
      <w:r w:rsidRPr="00332CF2">
        <w:rPr>
          <w:lang w:val="en-US"/>
        </w:rPr>
        <w:t>Annex</w:t>
      </w:r>
      <w:r w:rsidR="00332CF2" w:rsidRPr="00332CF2">
        <w:rPr>
          <w:lang w:val="en-US"/>
        </w:rPr>
        <w:t xml:space="preserve">: </w:t>
      </w:r>
      <w:r w:rsidRPr="00332CF2">
        <w:rPr>
          <w:lang w:val="en-US"/>
        </w:rPr>
        <w:t>Nomination/renominations procedures</w:t>
      </w:r>
      <w:bookmarkEnd w:id="230"/>
      <w:r w:rsidRPr="00332CF2">
        <w:rPr>
          <w:lang w:val="en-US"/>
        </w:rPr>
        <w:t xml:space="preserve"> </w:t>
      </w:r>
    </w:p>
    <w:p w14:paraId="6C86F737" w14:textId="77777777" w:rsidR="005079F6" w:rsidRPr="00BC43D6" w:rsidRDefault="005079F6" w:rsidP="00C0497A">
      <w:pPr>
        <w:spacing w:line="312" w:lineRule="auto"/>
        <w:rPr>
          <w:rFonts w:cs="Arial"/>
          <w:color w:val="000000" w:themeColor="text1"/>
          <w:szCs w:val="22"/>
          <w:lang w:val="en-GB"/>
        </w:rPr>
      </w:pPr>
      <w:r>
        <w:rPr>
          <w:rFonts w:cs="Arial"/>
          <w:color w:val="000000" w:themeColor="text1"/>
          <w:szCs w:val="22"/>
          <w:lang w:val="en-GB"/>
        </w:rPr>
        <w:t>N</w:t>
      </w:r>
      <w:r w:rsidRPr="00BC43D6">
        <w:rPr>
          <w:rFonts w:cs="Arial"/>
          <w:color w:val="000000" w:themeColor="text1"/>
          <w:szCs w:val="22"/>
          <w:lang w:val="en-GB"/>
        </w:rPr>
        <w:t xml:space="preserve">omination and re-nomination procedures </w:t>
      </w:r>
      <w:r>
        <w:rPr>
          <w:rFonts w:cs="Arial"/>
          <w:color w:val="000000" w:themeColor="text1"/>
          <w:szCs w:val="22"/>
          <w:lang w:val="en-GB"/>
        </w:rPr>
        <w:t>are</w:t>
      </w:r>
      <w:r w:rsidRPr="00BC43D6">
        <w:rPr>
          <w:rFonts w:cs="Arial"/>
          <w:color w:val="000000" w:themeColor="text1"/>
          <w:szCs w:val="22"/>
          <w:lang w:val="en-GB"/>
        </w:rPr>
        <w:t xml:space="preserve"> regulated by Chapter IV of </w:t>
      </w:r>
      <w:hyperlink r:id="rId97" w:history="1">
        <w:r w:rsidRPr="00BC43D6">
          <w:rPr>
            <w:rStyle w:val="Hipervnculo"/>
            <w:rFonts w:cs="Arial"/>
            <w:i/>
            <w:szCs w:val="22"/>
            <w:lang w:val="en-GB"/>
          </w:rPr>
          <w:t>Commission Regulation (EU) No 312/2014, of 26 March 2014, establishing a Network Code on Gas Balancing of Transmission Networks</w:t>
        </w:r>
      </w:hyperlink>
      <w:r w:rsidRPr="00BC43D6">
        <w:rPr>
          <w:rFonts w:cs="Arial"/>
          <w:color w:val="000000" w:themeColor="text1"/>
          <w:szCs w:val="22"/>
          <w:lang w:val="en-GB"/>
        </w:rPr>
        <w:t xml:space="preserve"> (BAL NC) and BRS Nominations.</w:t>
      </w:r>
    </w:p>
    <w:p w14:paraId="10C6DC1D" w14:textId="7214A3BA" w:rsidR="005079F6" w:rsidRPr="00026691" w:rsidRDefault="005079F6" w:rsidP="00332CF2">
      <w:pPr>
        <w:pStyle w:val="Prrafodelista"/>
        <w:numPr>
          <w:ilvl w:val="1"/>
          <w:numId w:val="8"/>
        </w:numPr>
        <w:spacing w:line="312" w:lineRule="auto"/>
        <w:contextualSpacing w:val="0"/>
        <w:rPr>
          <w:rFonts w:cs="Arial"/>
          <w:color w:val="000000" w:themeColor="text1"/>
          <w:szCs w:val="22"/>
          <w:lang w:val="en-GB"/>
        </w:rPr>
      </w:pPr>
      <w:r w:rsidRPr="00026691">
        <w:rPr>
          <w:rFonts w:cs="Arial"/>
          <w:color w:val="000000" w:themeColor="text1"/>
          <w:szCs w:val="22"/>
          <w:lang w:val="en-GB"/>
        </w:rPr>
        <w:t xml:space="preserve">Nominations are allowed </w:t>
      </w:r>
      <w:r w:rsidR="004E2F8B">
        <w:rPr>
          <w:rFonts w:cs="Arial"/>
          <w:color w:val="000000" w:themeColor="text1"/>
          <w:szCs w:val="22"/>
          <w:lang w:val="en-GB"/>
        </w:rPr>
        <w:t>until</w:t>
      </w:r>
      <w:r w:rsidR="004E2F8B" w:rsidRPr="00026691">
        <w:rPr>
          <w:rFonts w:cs="Arial"/>
          <w:color w:val="000000" w:themeColor="text1"/>
          <w:szCs w:val="22"/>
          <w:lang w:val="en-GB"/>
        </w:rPr>
        <w:t xml:space="preserve"> </w:t>
      </w:r>
      <w:r w:rsidR="004E2F8B">
        <w:rPr>
          <w:rFonts w:cs="Arial"/>
          <w:color w:val="000000" w:themeColor="text1"/>
          <w:szCs w:val="22"/>
          <w:lang w:val="en-GB"/>
        </w:rPr>
        <w:t xml:space="preserve">13:00 h PT / </w:t>
      </w:r>
      <w:r w:rsidRPr="00026691">
        <w:rPr>
          <w:rFonts w:cs="Arial"/>
          <w:color w:val="000000" w:themeColor="text1"/>
          <w:szCs w:val="22"/>
          <w:lang w:val="en-GB"/>
        </w:rPr>
        <w:t>14:00 h</w:t>
      </w:r>
      <w:r w:rsidR="004E2F8B">
        <w:rPr>
          <w:rFonts w:cs="Arial"/>
          <w:color w:val="000000" w:themeColor="text1"/>
          <w:szCs w:val="22"/>
          <w:lang w:val="en-GB"/>
        </w:rPr>
        <w:t xml:space="preserve"> CET</w:t>
      </w:r>
      <w:r w:rsidRPr="00026691">
        <w:rPr>
          <w:rFonts w:cs="Arial"/>
          <w:color w:val="000000" w:themeColor="text1"/>
          <w:szCs w:val="22"/>
          <w:lang w:val="en-GB"/>
        </w:rPr>
        <w:t xml:space="preserve"> of D-1. </w:t>
      </w:r>
      <w:r w:rsidRPr="006957FF">
        <w:rPr>
          <w:rFonts w:eastAsia="Calibri" w:cs="Arial"/>
          <w:szCs w:val="22"/>
          <w:lang w:val="en-GB" w:eastAsia="en-US"/>
        </w:rPr>
        <w:t xml:space="preserve">Any notification received </w:t>
      </w:r>
      <w:r w:rsidR="004E2F8B" w:rsidRPr="006957FF">
        <w:rPr>
          <w:rFonts w:eastAsia="Calibri" w:cs="Arial"/>
          <w:szCs w:val="22"/>
          <w:lang w:val="en-GB" w:eastAsia="en-US"/>
        </w:rPr>
        <w:t xml:space="preserve">after </w:t>
      </w:r>
      <w:r w:rsidRPr="006957FF">
        <w:rPr>
          <w:rFonts w:eastAsia="Calibri" w:cs="Arial"/>
          <w:szCs w:val="22"/>
          <w:lang w:val="en-GB" w:eastAsia="en-US"/>
        </w:rPr>
        <w:t>by the TSO shall be considered as a revised notification.</w:t>
      </w:r>
    </w:p>
    <w:p w14:paraId="37F70400" w14:textId="7215CB64" w:rsidR="005079F6" w:rsidRPr="006C1826" w:rsidRDefault="005079F6" w:rsidP="00332CF2">
      <w:pPr>
        <w:pStyle w:val="Prrafodelista"/>
        <w:numPr>
          <w:ilvl w:val="1"/>
          <w:numId w:val="8"/>
        </w:numPr>
        <w:spacing w:line="312" w:lineRule="auto"/>
        <w:ind w:left="1434" w:hanging="357"/>
        <w:contextualSpacing w:val="0"/>
        <w:rPr>
          <w:lang w:val="en-GB"/>
        </w:rPr>
      </w:pPr>
      <w:r w:rsidRPr="00026691">
        <w:rPr>
          <w:rFonts w:cs="Arial"/>
          <w:color w:val="000000" w:themeColor="text1"/>
          <w:szCs w:val="22"/>
          <w:lang w:val="en-GB"/>
        </w:rPr>
        <w:t xml:space="preserve">Re-nomination period starts immediately after the </w:t>
      </w:r>
      <w:r w:rsidR="004E2F8B">
        <w:rPr>
          <w:rFonts w:cs="Arial"/>
          <w:color w:val="000000" w:themeColor="text1"/>
          <w:szCs w:val="22"/>
          <w:lang w:val="en-GB"/>
        </w:rPr>
        <w:t xml:space="preserve">nomination </w:t>
      </w:r>
      <w:r w:rsidRPr="00026691">
        <w:rPr>
          <w:rFonts w:cs="Arial"/>
          <w:color w:val="000000" w:themeColor="text1"/>
          <w:szCs w:val="22"/>
          <w:lang w:val="en-GB"/>
        </w:rPr>
        <w:t>confirmation deadline and ends no later than 3 hours before the end of gas day D.</w:t>
      </w:r>
    </w:p>
    <w:p w14:paraId="1A614812" w14:textId="57E51A7F" w:rsidR="005079F6" w:rsidRPr="006C1826" w:rsidRDefault="005079F6" w:rsidP="00332CF2">
      <w:pPr>
        <w:spacing w:line="312" w:lineRule="auto"/>
        <w:rPr>
          <w:lang w:val="en-GB"/>
        </w:rPr>
      </w:pPr>
      <w:r w:rsidRPr="006C1826">
        <w:rPr>
          <w:lang w:val="en-GB"/>
        </w:rPr>
        <w:t xml:space="preserve">These </w:t>
      </w:r>
      <w:r w:rsidRPr="00143E0A">
        <w:rPr>
          <w:lang w:val="en-GB"/>
        </w:rPr>
        <w:t>procedures are performed automatically by TSO</w:t>
      </w:r>
      <w:r w:rsidR="0001256F">
        <w:rPr>
          <w:lang w:val="en-GB"/>
        </w:rPr>
        <w:t>’</w:t>
      </w:r>
      <w:r w:rsidRPr="00143E0A">
        <w:rPr>
          <w:lang w:val="en-GB"/>
        </w:rPr>
        <w:t>s systems</w:t>
      </w:r>
      <w:r w:rsidRPr="006C1826">
        <w:rPr>
          <w:lang w:val="en-GB"/>
        </w:rPr>
        <w:t>.</w:t>
      </w:r>
    </w:p>
    <w:p w14:paraId="2116ACBD" w14:textId="77777777" w:rsidR="005079F6" w:rsidRDefault="005079F6" w:rsidP="00332CF2">
      <w:pPr>
        <w:spacing w:line="312" w:lineRule="auto"/>
        <w:rPr>
          <w:rFonts w:eastAsia="Calibri" w:cs="Arial"/>
          <w:szCs w:val="22"/>
          <w:lang w:val="en-GB" w:eastAsia="en-US"/>
        </w:rPr>
      </w:pPr>
      <w:r>
        <w:rPr>
          <w:rFonts w:eastAsia="Calibri" w:cs="Arial"/>
          <w:szCs w:val="22"/>
          <w:lang w:val="en-GB" w:eastAsia="en-US"/>
        </w:rPr>
        <w:t>Nominations</w:t>
      </w:r>
      <w:r w:rsidRPr="006C1826">
        <w:rPr>
          <w:rFonts w:eastAsia="Calibri" w:cs="Arial"/>
          <w:szCs w:val="22"/>
          <w:lang w:val="en-GB" w:eastAsia="en-US"/>
        </w:rPr>
        <w:t xml:space="preserve"> for the </w:t>
      </w:r>
      <w:r>
        <w:rPr>
          <w:rFonts w:eastAsia="Calibri" w:cs="Arial"/>
          <w:szCs w:val="22"/>
          <w:lang w:val="en-GB" w:eastAsia="en-US"/>
        </w:rPr>
        <w:t>entry</w:t>
      </w:r>
      <w:r w:rsidRPr="006957FF">
        <w:rPr>
          <w:rFonts w:eastAsia="Calibri" w:cs="Arial"/>
          <w:szCs w:val="22"/>
          <w:lang w:val="en-GB" w:eastAsia="en-US"/>
        </w:rPr>
        <w:t xml:space="preserve"> and </w:t>
      </w:r>
      <w:r>
        <w:rPr>
          <w:rFonts w:eastAsia="Calibri" w:cs="Arial"/>
          <w:szCs w:val="22"/>
          <w:lang w:val="en-GB" w:eastAsia="en-US"/>
        </w:rPr>
        <w:t>exit</w:t>
      </w:r>
      <w:r w:rsidRPr="006957FF">
        <w:rPr>
          <w:rFonts w:eastAsia="Calibri" w:cs="Arial"/>
          <w:szCs w:val="22"/>
          <w:lang w:val="en-GB" w:eastAsia="en-US"/>
        </w:rPr>
        <w:t xml:space="preserve"> of </w:t>
      </w:r>
      <w:r>
        <w:rPr>
          <w:rFonts w:eastAsia="Calibri" w:cs="Arial"/>
          <w:szCs w:val="22"/>
          <w:lang w:val="en-GB" w:eastAsia="en-US"/>
        </w:rPr>
        <w:t xml:space="preserve">both interconnection points </w:t>
      </w:r>
      <w:r w:rsidRPr="006957FF">
        <w:rPr>
          <w:rFonts w:eastAsia="Calibri" w:cs="Arial"/>
          <w:szCs w:val="22"/>
          <w:lang w:val="en-GB" w:eastAsia="en-US"/>
        </w:rPr>
        <w:t>can be sent in accordance with the rules put in place for single</w:t>
      </w:r>
      <w:r>
        <w:rPr>
          <w:rFonts w:eastAsia="Calibri" w:cs="Arial"/>
          <w:szCs w:val="22"/>
          <w:lang w:val="en-GB" w:eastAsia="en-US"/>
        </w:rPr>
        <w:t>-sided nomination</w:t>
      </w:r>
      <w:r w:rsidRPr="006957FF">
        <w:rPr>
          <w:rFonts w:eastAsia="Calibri" w:cs="Arial"/>
          <w:szCs w:val="22"/>
          <w:lang w:val="en-GB" w:eastAsia="en-US"/>
        </w:rPr>
        <w:t xml:space="preserve">. </w:t>
      </w:r>
      <w:r>
        <w:rPr>
          <w:rFonts w:eastAsia="Calibri" w:cs="Arial"/>
          <w:szCs w:val="22"/>
          <w:lang w:val="en-GB" w:eastAsia="en-US"/>
        </w:rPr>
        <w:t>For this purpose, the role of initiator is assigned to Teréga at the VIP Pirineos and to REN at the VIP Ibérico.</w:t>
      </w:r>
    </w:p>
    <w:p w14:paraId="7DED8C19" w14:textId="77777777" w:rsidR="005079F6" w:rsidRDefault="005079F6" w:rsidP="00332CF2">
      <w:pPr>
        <w:spacing w:line="312" w:lineRule="auto"/>
        <w:rPr>
          <w:rFonts w:eastAsia="Calibri" w:cs="Arial"/>
          <w:szCs w:val="22"/>
          <w:lang w:val="en-GB" w:eastAsia="en-US"/>
        </w:rPr>
      </w:pPr>
      <w:r>
        <w:rPr>
          <w:rFonts w:eastAsia="Calibri" w:cs="Arial"/>
          <w:szCs w:val="22"/>
          <w:lang w:val="en-GB" w:eastAsia="en-US"/>
        </w:rPr>
        <w:t>The matching procedure consists on the following steps:</w:t>
      </w:r>
    </w:p>
    <w:p w14:paraId="1D249930" w14:textId="77777777" w:rsidR="005079F6" w:rsidRDefault="005079F6" w:rsidP="00332CF2">
      <w:pPr>
        <w:pStyle w:val="Prrafodelista"/>
        <w:numPr>
          <w:ilvl w:val="0"/>
          <w:numId w:val="11"/>
        </w:numPr>
        <w:spacing w:line="312" w:lineRule="auto"/>
        <w:contextualSpacing w:val="0"/>
        <w:rPr>
          <w:rFonts w:eastAsia="Calibri" w:cs="Arial"/>
          <w:szCs w:val="22"/>
          <w:lang w:val="en-GB" w:eastAsia="en-US"/>
        </w:rPr>
      </w:pPr>
      <w:r>
        <w:rPr>
          <w:rFonts w:eastAsia="Calibri" w:cs="Arial"/>
          <w:szCs w:val="22"/>
          <w:lang w:val="en-GB" w:eastAsia="en-US"/>
        </w:rPr>
        <w:t>Step 1: Teréga/REN will forward to ENAGAS GTS all received and not rejected single-sided nominations.</w:t>
      </w:r>
    </w:p>
    <w:p w14:paraId="201594E4" w14:textId="77777777" w:rsidR="005079F6" w:rsidRPr="0030106D" w:rsidRDefault="005079F6" w:rsidP="00332CF2">
      <w:pPr>
        <w:pStyle w:val="Prrafodelista"/>
        <w:numPr>
          <w:ilvl w:val="0"/>
          <w:numId w:val="11"/>
        </w:numPr>
        <w:spacing w:line="312" w:lineRule="auto"/>
        <w:contextualSpacing w:val="0"/>
        <w:rPr>
          <w:rFonts w:eastAsia="Calibri" w:cs="Arial"/>
          <w:szCs w:val="22"/>
          <w:lang w:val="en-GB" w:eastAsia="en-US"/>
        </w:rPr>
      </w:pPr>
      <w:r>
        <w:rPr>
          <w:rFonts w:eastAsia="Calibri" w:cs="Arial"/>
          <w:szCs w:val="22"/>
          <w:lang w:val="en-GB" w:eastAsia="en-US"/>
        </w:rPr>
        <w:t xml:space="preserve">Step 2: </w:t>
      </w:r>
      <w:r>
        <w:rPr>
          <w:lang w:val="en-AU"/>
        </w:rPr>
        <w:t>T</w:t>
      </w:r>
      <w:r>
        <w:rPr>
          <w:rFonts w:eastAsia="Calibri" w:cs="Arial"/>
          <w:szCs w:val="22"/>
          <w:lang w:val="en-GB" w:eastAsia="en-US"/>
        </w:rPr>
        <w:t>eréga</w:t>
      </w:r>
      <w:r w:rsidRPr="00684FC7">
        <w:rPr>
          <w:lang w:val="en-AU"/>
        </w:rPr>
        <w:t>/REN and ENAGAS GTS will calculate for each received (re-)</w:t>
      </w:r>
      <w:r>
        <w:rPr>
          <w:lang w:val="en-AU"/>
        </w:rPr>
        <w:t>n</w:t>
      </w:r>
      <w:r w:rsidRPr="00684FC7">
        <w:rPr>
          <w:lang w:val="en-AU"/>
        </w:rPr>
        <w:t>omination the Processed Quantities, in order to determine if the (re-)</w:t>
      </w:r>
      <w:r>
        <w:rPr>
          <w:lang w:val="en-AU"/>
        </w:rPr>
        <w:t>n</w:t>
      </w:r>
      <w:r w:rsidRPr="00684FC7">
        <w:rPr>
          <w:lang w:val="en-AU"/>
        </w:rPr>
        <w:t xml:space="preserve">ominated </w:t>
      </w:r>
      <w:r>
        <w:rPr>
          <w:lang w:val="en-AU"/>
        </w:rPr>
        <w:t>q</w:t>
      </w:r>
      <w:r w:rsidRPr="00684FC7">
        <w:rPr>
          <w:lang w:val="en-AU"/>
        </w:rPr>
        <w:t xml:space="preserve">uantity by the Shipper can be totally or only partially accepted. </w:t>
      </w:r>
    </w:p>
    <w:p w14:paraId="76FDA91F" w14:textId="77777777" w:rsidR="005079F6" w:rsidRPr="00684FC7" w:rsidRDefault="005079F6" w:rsidP="00332CF2">
      <w:pPr>
        <w:pStyle w:val="Prrafodelista"/>
        <w:spacing w:line="312" w:lineRule="auto"/>
        <w:contextualSpacing w:val="0"/>
        <w:rPr>
          <w:lang w:val="en-AU"/>
        </w:rPr>
      </w:pPr>
      <w:r w:rsidRPr="00684FC7">
        <w:rPr>
          <w:lang w:val="en-AU"/>
        </w:rPr>
        <w:t>For each (re-)</w:t>
      </w:r>
      <w:r>
        <w:rPr>
          <w:lang w:val="en-AU"/>
        </w:rPr>
        <w:t>n</w:t>
      </w:r>
      <w:r w:rsidRPr="00684FC7">
        <w:rPr>
          <w:lang w:val="en-AU"/>
        </w:rPr>
        <w:t xml:space="preserve">omination </w:t>
      </w:r>
      <w:r>
        <w:rPr>
          <w:lang w:val="en-AU"/>
        </w:rPr>
        <w:t>c</w:t>
      </w:r>
      <w:r w:rsidRPr="00684FC7">
        <w:rPr>
          <w:lang w:val="en-AU"/>
        </w:rPr>
        <w:t xml:space="preserve">ycle, only the last applicable (re-)nomination (including nominations generated with default rule) that was sent before the Shipper deadline will be taken into account. </w:t>
      </w:r>
    </w:p>
    <w:p w14:paraId="7C4DF03C" w14:textId="77777777" w:rsidR="005079F6" w:rsidRPr="00684FC7" w:rsidRDefault="005079F6" w:rsidP="00332CF2">
      <w:pPr>
        <w:pStyle w:val="Prrafodelista"/>
        <w:spacing w:line="312" w:lineRule="auto"/>
        <w:contextualSpacing w:val="0"/>
        <w:rPr>
          <w:lang w:val="en-AU"/>
        </w:rPr>
      </w:pPr>
      <w:r w:rsidRPr="00684FC7">
        <w:rPr>
          <w:lang w:val="en-AU"/>
        </w:rPr>
        <w:t>In the event that there were constraints in any of the upstream or downstream VIP</w:t>
      </w:r>
      <w:r>
        <w:rPr>
          <w:lang w:val="en-AU"/>
        </w:rPr>
        <w:t xml:space="preserve"> Pirineos</w:t>
      </w:r>
      <w:r w:rsidRPr="00684FC7">
        <w:rPr>
          <w:lang w:val="en-AU"/>
        </w:rPr>
        <w:t>/VIP</w:t>
      </w:r>
      <w:r>
        <w:rPr>
          <w:lang w:val="en-AU"/>
        </w:rPr>
        <w:t xml:space="preserve"> Ibérico</w:t>
      </w:r>
      <w:r w:rsidRPr="00684FC7">
        <w:rPr>
          <w:lang w:val="en-AU"/>
        </w:rPr>
        <w:t xml:space="preserve"> systems, the affected Party will communicate their Shippers a notification considering the limitations arisen not later than forty-five (45) minutes after the Shippers’ (re-)</w:t>
      </w:r>
      <w:r>
        <w:rPr>
          <w:lang w:val="en-AU"/>
        </w:rPr>
        <w:t>n</w:t>
      </w:r>
      <w:r w:rsidRPr="00684FC7">
        <w:rPr>
          <w:lang w:val="en-AU"/>
        </w:rPr>
        <w:t xml:space="preserve">omination </w:t>
      </w:r>
      <w:r>
        <w:rPr>
          <w:lang w:val="en-AU"/>
        </w:rPr>
        <w:t>c</w:t>
      </w:r>
      <w:r w:rsidRPr="00684FC7">
        <w:rPr>
          <w:lang w:val="en-AU"/>
        </w:rPr>
        <w:t>ycle. This Party will also proceed to calculate the Processed Quantities as described in Exceptional Event Situation.</w:t>
      </w:r>
    </w:p>
    <w:p w14:paraId="5506363E" w14:textId="77777777" w:rsidR="005079F6" w:rsidRPr="0030106D" w:rsidRDefault="005079F6" w:rsidP="00332CF2">
      <w:pPr>
        <w:pStyle w:val="Prrafodelista"/>
        <w:numPr>
          <w:ilvl w:val="0"/>
          <w:numId w:val="11"/>
        </w:numPr>
        <w:spacing w:line="312" w:lineRule="auto"/>
        <w:contextualSpacing w:val="0"/>
        <w:rPr>
          <w:rFonts w:eastAsia="Calibri" w:cs="Arial"/>
          <w:szCs w:val="22"/>
          <w:lang w:val="en-GB" w:eastAsia="en-US"/>
        </w:rPr>
      </w:pPr>
      <w:r w:rsidRPr="00684FC7">
        <w:rPr>
          <w:lang w:val="en-AU"/>
        </w:rPr>
        <w:t xml:space="preserve">Step 3: </w:t>
      </w:r>
      <w:r>
        <w:rPr>
          <w:lang w:val="en-AU"/>
        </w:rPr>
        <w:t>Teréga</w:t>
      </w:r>
      <w:r w:rsidRPr="00684FC7">
        <w:rPr>
          <w:lang w:val="en-AU"/>
        </w:rPr>
        <w:t xml:space="preserve">/REN will send ENAGAS GTS the Processed Quantities based on the </w:t>
      </w:r>
      <w:r>
        <w:rPr>
          <w:lang w:val="en-AU"/>
        </w:rPr>
        <w:t>n</w:t>
      </w:r>
      <w:r w:rsidRPr="00684FC7">
        <w:rPr>
          <w:lang w:val="en-AU"/>
        </w:rPr>
        <w:t xml:space="preserve">ominated </w:t>
      </w:r>
      <w:r>
        <w:rPr>
          <w:lang w:val="en-AU"/>
        </w:rPr>
        <w:t>q</w:t>
      </w:r>
      <w:r w:rsidRPr="00684FC7">
        <w:rPr>
          <w:lang w:val="en-AU"/>
        </w:rPr>
        <w:t xml:space="preserve">uantities. </w:t>
      </w:r>
    </w:p>
    <w:p w14:paraId="6A5BB985" w14:textId="77777777" w:rsidR="005079F6" w:rsidRPr="0030106D" w:rsidRDefault="005079F6" w:rsidP="00332CF2">
      <w:pPr>
        <w:pStyle w:val="Prrafodelista"/>
        <w:numPr>
          <w:ilvl w:val="0"/>
          <w:numId w:val="11"/>
        </w:numPr>
        <w:spacing w:line="312" w:lineRule="auto"/>
        <w:contextualSpacing w:val="0"/>
        <w:rPr>
          <w:rFonts w:eastAsia="Calibri" w:cs="Arial"/>
          <w:szCs w:val="22"/>
          <w:lang w:val="en-GB" w:eastAsia="en-US"/>
        </w:rPr>
      </w:pPr>
      <w:r w:rsidRPr="00684FC7">
        <w:rPr>
          <w:lang w:val="en-AU"/>
        </w:rPr>
        <w:t xml:space="preserve">Step 4: ENAGAS GTS shall perform the “Matching Process’’ by using the criteria of the </w:t>
      </w:r>
      <w:r>
        <w:rPr>
          <w:lang w:val="en-AU"/>
        </w:rPr>
        <w:t>l</w:t>
      </w:r>
      <w:r w:rsidRPr="00684FC7">
        <w:rPr>
          <w:lang w:val="en-AU"/>
        </w:rPr>
        <w:t xml:space="preserve">esser </w:t>
      </w:r>
      <w:r>
        <w:rPr>
          <w:lang w:val="en-AU"/>
        </w:rPr>
        <w:t>r</w:t>
      </w:r>
      <w:r w:rsidRPr="00684FC7">
        <w:rPr>
          <w:lang w:val="en-AU"/>
        </w:rPr>
        <w:t xml:space="preserve">ule. </w:t>
      </w:r>
    </w:p>
    <w:p w14:paraId="5BE90AB7" w14:textId="77777777" w:rsidR="005079F6" w:rsidRPr="00367EE1" w:rsidRDefault="005079F6" w:rsidP="00332CF2">
      <w:pPr>
        <w:pStyle w:val="Prrafodelista"/>
        <w:numPr>
          <w:ilvl w:val="0"/>
          <w:numId w:val="11"/>
        </w:numPr>
        <w:spacing w:line="312" w:lineRule="auto"/>
        <w:contextualSpacing w:val="0"/>
        <w:rPr>
          <w:rFonts w:eastAsia="Calibri" w:cs="Arial"/>
          <w:szCs w:val="22"/>
          <w:lang w:val="en-GB" w:eastAsia="en-US"/>
        </w:rPr>
      </w:pPr>
      <w:r w:rsidRPr="00684FC7">
        <w:rPr>
          <w:lang w:val="en-AU"/>
        </w:rPr>
        <w:t xml:space="preserve">Step 5: ENAGAS GTS will send the </w:t>
      </w:r>
      <w:r>
        <w:rPr>
          <w:lang w:val="en-AU"/>
        </w:rPr>
        <w:t>m</w:t>
      </w:r>
      <w:r w:rsidRPr="00684FC7">
        <w:rPr>
          <w:lang w:val="en-AU"/>
        </w:rPr>
        <w:t xml:space="preserve">atching </w:t>
      </w:r>
      <w:r>
        <w:rPr>
          <w:lang w:val="en-AU"/>
        </w:rPr>
        <w:t>r</w:t>
      </w:r>
      <w:r w:rsidRPr="00684FC7">
        <w:rPr>
          <w:lang w:val="en-AU"/>
        </w:rPr>
        <w:t xml:space="preserve">esult to </w:t>
      </w:r>
      <w:r>
        <w:rPr>
          <w:lang w:val="en-AU"/>
        </w:rPr>
        <w:t>Teréga</w:t>
      </w:r>
      <w:r w:rsidRPr="00684FC7">
        <w:rPr>
          <w:lang w:val="en-AU"/>
        </w:rPr>
        <w:t>/REN.</w:t>
      </w:r>
    </w:p>
    <w:p w14:paraId="234AB77E" w14:textId="0D207E4F" w:rsidR="005079F6" w:rsidRDefault="005079F6" w:rsidP="00332CF2">
      <w:pPr>
        <w:spacing w:line="312" w:lineRule="auto"/>
        <w:rPr>
          <w:rFonts w:eastAsia="Calibri" w:cs="Arial"/>
          <w:szCs w:val="22"/>
          <w:lang w:val="en-GB" w:eastAsia="en-US"/>
        </w:rPr>
      </w:pPr>
      <w:r>
        <w:rPr>
          <w:rFonts w:eastAsia="Calibri" w:cs="Arial"/>
          <w:szCs w:val="22"/>
          <w:lang w:val="en-GB" w:eastAsia="en-US"/>
        </w:rPr>
        <w:t>More i</w:t>
      </w:r>
      <w:r w:rsidRPr="00EA4577">
        <w:rPr>
          <w:rFonts w:eastAsia="Calibri" w:cs="Arial"/>
          <w:szCs w:val="22"/>
          <w:lang w:val="en-GB" w:eastAsia="en-US"/>
        </w:rPr>
        <w:t xml:space="preserve">nformation about nomination, re-nomination and matching procedures </w:t>
      </w:r>
      <w:r>
        <w:rPr>
          <w:rFonts w:eastAsia="Calibri" w:cs="Arial"/>
          <w:szCs w:val="22"/>
          <w:lang w:val="en-GB" w:eastAsia="en-US"/>
        </w:rPr>
        <w:t>is</w:t>
      </w:r>
      <w:r w:rsidRPr="00EA4577">
        <w:rPr>
          <w:rFonts w:eastAsia="Calibri" w:cs="Arial"/>
          <w:szCs w:val="22"/>
          <w:lang w:val="en-GB" w:eastAsia="en-US"/>
        </w:rPr>
        <w:t xml:space="preserve"> included in the Interconnection Agreement published on</w:t>
      </w:r>
      <w:r>
        <w:rPr>
          <w:rFonts w:eastAsia="Calibri" w:cs="Arial"/>
          <w:szCs w:val="22"/>
          <w:lang w:val="en-GB" w:eastAsia="en-US"/>
        </w:rPr>
        <w:t xml:space="preserve"> Enagas</w:t>
      </w:r>
      <w:r w:rsidR="00332CF2">
        <w:rPr>
          <w:rStyle w:val="Refdenotaalpie"/>
          <w:rFonts w:eastAsia="Calibri" w:cs="Arial"/>
          <w:szCs w:val="22"/>
          <w:lang w:val="en-GB" w:eastAsia="en-US"/>
        </w:rPr>
        <w:footnoteReference w:id="8"/>
      </w:r>
      <w:r w:rsidR="00332CF2">
        <w:rPr>
          <w:rFonts w:eastAsia="Calibri" w:cs="Arial"/>
          <w:szCs w:val="22"/>
          <w:lang w:val="en-GB" w:eastAsia="en-US"/>
        </w:rPr>
        <w:t xml:space="preserve"> </w:t>
      </w:r>
      <w:r>
        <w:rPr>
          <w:rFonts w:eastAsia="Calibri" w:cs="Arial"/>
          <w:szCs w:val="22"/>
          <w:lang w:val="en-GB" w:eastAsia="en-US"/>
        </w:rPr>
        <w:t>site</w:t>
      </w:r>
      <w:r w:rsidR="00332CF2">
        <w:rPr>
          <w:rFonts w:eastAsia="Calibri" w:cs="Arial"/>
          <w:szCs w:val="22"/>
          <w:lang w:val="en-GB" w:eastAsia="en-US"/>
        </w:rPr>
        <w:t xml:space="preserve"> and REN</w:t>
      </w:r>
      <w:r w:rsidR="00332CF2">
        <w:rPr>
          <w:rStyle w:val="Refdenotaalpie"/>
          <w:rFonts w:eastAsia="Calibri" w:cs="Arial"/>
          <w:szCs w:val="22"/>
          <w:lang w:val="en-GB" w:eastAsia="en-US"/>
        </w:rPr>
        <w:footnoteReference w:id="9"/>
      </w:r>
      <w:r w:rsidR="00332CF2">
        <w:rPr>
          <w:rFonts w:eastAsia="Calibri" w:cs="Arial"/>
          <w:szCs w:val="22"/>
          <w:lang w:val="en-GB" w:eastAsia="en-US"/>
        </w:rPr>
        <w:t xml:space="preserve"> site</w:t>
      </w:r>
      <w:r w:rsidR="00761785">
        <w:rPr>
          <w:rFonts w:eastAsia="Calibri" w:cs="Arial"/>
          <w:szCs w:val="22"/>
          <w:lang w:val="en-GB" w:eastAsia="en-US"/>
        </w:rPr>
        <w:t>.</w:t>
      </w:r>
    </w:p>
    <w:p w14:paraId="46756D60" w14:textId="6BF73B5C" w:rsidR="004F6FB2" w:rsidRDefault="004F6FB2">
      <w:pPr>
        <w:spacing w:before="0" w:after="0" w:line="240" w:lineRule="auto"/>
        <w:jc w:val="left"/>
        <w:rPr>
          <w:lang w:val="en-US" w:eastAsia="ja-JP"/>
        </w:rPr>
      </w:pPr>
    </w:p>
    <w:sectPr w:rsidR="004F6FB2" w:rsidSect="00EB4CBB">
      <w:headerReference w:type="default" r:id="rId98"/>
      <w:footerReference w:type="default" r:id="rId99"/>
      <w:pgSz w:w="11906" w:h="16838"/>
      <w:pgMar w:top="1871" w:right="155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67D82" w14:textId="77777777" w:rsidR="00A4791B" w:rsidRDefault="00A4791B">
      <w:r>
        <w:separator/>
      </w:r>
    </w:p>
  </w:endnote>
  <w:endnote w:type="continuationSeparator" w:id="0">
    <w:p w14:paraId="2CACD2AA" w14:textId="77777777" w:rsidR="00A4791B" w:rsidRDefault="00A4791B">
      <w:r>
        <w:continuationSeparator/>
      </w:r>
    </w:p>
  </w:endnote>
  <w:endnote w:type="continuationNotice" w:id="1">
    <w:p w14:paraId="0064D089" w14:textId="77777777" w:rsidR="00A4791B" w:rsidRDefault="00A479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Roman">
    <w:altName w:val="Lucida Sans Unicode"/>
    <w:charset w:val="00"/>
    <w:family w:val="swiss"/>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etroMedium LT Two">
    <w:charset w:val="00"/>
    <w:family w:val="auto"/>
    <w:pitch w:val="variable"/>
    <w:sig w:usb0="80000027"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EUAlbertina">
    <w:altName w:val="Calibr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50" w:type="dxa"/>
      <w:jc w:val="center"/>
      <w:tblBorders>
        <w:top w:val="single" w:sz="8" w:space="0" w:color="004E55"/>
      </w:tblBorders>
      <w:tblLook w:val="00A0" w:firstRow="1" w:lastRow="0" w:firstColumn="1" w:lastColumn="0" w:noHBand="0" w:noVBand="0"/>
    </w:tblPr>
    <w:tblGrid>
      <w:gridCol w:w="8098"/>
      <w:gridCol w:w="852"/>
    </w:tblGrid>
    <w:tr w:rsidR="00A91FE8" w14:paraId="0A4690E7" w14:textId="77777777" w:rsidTr="00D832A3">
      <w:trPr>
        <w:trHeight w:val="345"/>
        <w:jc w:val="center"/>
      </w:trPr>
      <w:tc>
        <w:tcPr>
          <w:tcW w:w="8098" w:type="dxa"/>
          <w:vAlign w:val="bottom"/>
        </w:tcPr>
        <w:p w14:paraId="4EFC00E5" w14:textId="73C39FD6" w:rsidR="00A91FE8" w:rsidRDefault="00A91FE8" w:rsidP="00E60027">
          <w:pPr>
            <w:pStyle w:val="Piedepgina"/>
            <w:rPr>
              <w:rStyle w:val="Nmerodepgina"/>
              <w:rFonts w:cs="Arial"/>
              <w:color w:val="004E55"/>
              <w:sz w:val="20"/>
              <w:szCs w:val="20"/>
              <w:lang w:val="en-GB"/>
            </w:rPr>
          </w:pPr>
          <w:r>
            <w:rPr>
              <w:rStyle w:val="Nmerodepgina"/>
              <w:rFonts w:cs="Arial"/>
              <w:color w:val="004E55"/>
              <w:sz w:val="20"/>
              <w:szCs w:val="20"/>
              <w:lang w:val="en-GB"/>
            </w:rPr>
            <w:t>August 2020</w:t>
          </w:r>
        </w:p>
      </w:tc>
      <w:tc>
        <w:tcPr>
          <w:tcW w:w="852" w:type="dxa"/>
          <w:vAlign w:val="bottom"/>
        </w:tcPr>
        <w:p w14:paraId="34BB2350" w14:textId="122EDF4B" w:rsidR="00A91FE8" w:rsidRDefault="00A91FE8" w:rsidP="001A253B">
          <w:pPr>
            <w:pStyle w:val="Piedepgina"/>
            <w:jc w:val="right"/>
            <w:rPr>
              <w:rStyle w:val="Nmerodepgina"/>
              <w:color w:val="004E55"/>
              <w:sz w:val="20"/>
              <w:szCs w:val="20"/>
            </w:rPr>
          </w:pPr>
          <w:r>
            <w:rPr>
              <w:rStyle w:val="Nmerodepgina"/>
              <w:rFonts w:cs="Arial"/>
              <w:color w:val="004E55"/>
              <w:sz w:val="20"/>
              <w:szCs w:val="20"/>
            </w:rPr>
            <w:fldChar w:fldCharType="begin"/>
          </w:r>
          <w:r>
            <w:rPr>
              <w:rStyle w:val="Nmerodepgina"/>
              <w:rFonts w:cs="Arial"/>
              <w:color w:val="004E55"/>
              <w:sz w:val="20"/>
              <w:szCs w:val="20"/>
            </w:rPr>
            <w:instrText xml:space="preserve"> PAGE </w:instrText>
          </w:r>
          <w:r>
            <w:rPr>
              <w:rStyle w:val="Nmerodepgina"/>
              <w:rFonts w:cs="Arial"/>
              <w:color w:val="004E55"/>
              <w:sz w:val="20"/>
              <w:szCs w:val="20"/>
            </w:rPr>
            <w:fldChar w:fldCharType="separate"/>
          </w:r>
          <w:r w:rsidR="00813AEC">
            <w:rPr>
              <w:rStyle w:val="Nmerodepgina"/>
              <w:rFonts w:cs="Arial"/>
              <w:noProof/>
              <w:color w:val="004E55"/>
              <w:sz w:val="20"/>
              <w:szCs w:val="20"/>
            </w:rPr>
            <w:t>21</w:t>
          </w:r>
          <w:r>
            <w:rPr>
              <w:rStyle w:val="Nmerodepgina"/>
              <w:rFonts w:cs="Arial"/>
              <w:color w:val="004E55"/>
              <w:sz w:val="20"/>
              <w:szCs w:val="20"/>
            </w:rPr>
            <w:fldChar w:fldCharType="end"/>
          </w:r>
        </w:p>
      </w:tc>
    </w:tr>
  </w:tbl>
  <w:p w14:paraId="5031A36B" w14:textId="4D2FDE30" w:rsidR="00A91FE8" w:rsidRPr="006C1826" w:rsidRDefault="00A91FE8" w:rsidP="006C1826">
    <w:pPr>
      <w:pStyle w:val="Piedepgina"/>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8E94A" w14:textId="77777777" w:rsidR="00A4791B" w:rsidRDefault="00A4791B">
      <w:r>
        <w:separator/>
      </w:r>
    </w:p>
  </w:footnote>
  <w:footnote w:type="continuationSeparator" w:id="0">
    <w:p w14:paraId="177F2C83" w14:textId="77777777" w:rsidR="00A4791B" w:rsidRDefault="00A4791B">
      <w:r>
        <w:continuationSeparator/>
      </w:r>
    </w:p>
  </w:footnote>
  <w:footnote w:type="continuationNotice" w:id="1">
    <w:p w14:paraId="6EC73391" w14:textId="77777777" w:rsidR="00A4791B" w:rsidRDefault="00A4791B">
      <w:pPr>
        <w:spacing w:before="0" w:after="0" w:line="240" w:lineRule="auto"/>
      </w:pPr>
    </w:p>
  </w:footnote>
  <w:footnote w:id="2">
    <w:p w14:paraId="01A87F96" w14:textId="77777777" w:rsidR="00A91FE8" w:rsidRPr="00FB1D42" w:rsidRDefault="00A91FE8" w:rsidP="001F74A6">
      <w:pPr>
        <w:pStyle w:val="Textonotapie"/>
        <w:spacing w:before="0" w:line="240" w:lineRule="auto"/>
        <w:ind w:left="284" w:hanging="284"/>
        <w:rPr>
          <w:rFonts w:cs="Arial"/>
          <w:sz w:val="16"/>
          <w:szCs w:val="16"/>
          <w:lang w:val="en-US"/>
        </w:rPr>
      </w:pPr>
      <w:r w:rsidRPr="001F74A6">
        <w:rPr>
          <w:rStyle w:val="Refdenotaalpie"/>
          <w:rFonts w:cs="Arial"/>
          <w:color w:val="000000" w:themeColor="text1"/>
          <w:sz w:val="16"/>
          <w:szCs w:val="16"/>
        </w:rPr>
        <w:footnoteRef/>
      </w:r>
      <w:r w:rsidRPr="00E44404">
        <w:rPr>
          <w:rFonts w:cs="Arial"/>
          <w:color w:val="000000" w:themeColor="text1"/>
          <w:sz w:val="16"/>
          <w:szCs w:val="16"/>
          <w:lang w:val="en-US"/>
        </w:rPr>
        <w:t xml:space="preserve"> </w:t>
      </w:r>
      <w:r w:rsidRPr="00E44404">
        <w:rPr>
          <w:rFonts w:cs="Arial"/>
          <w:color w:val="000000" w:themeColor="text1"/>
          <w:sz w:val="16"/>
          <w:szCs w:val="16"/>
          <w:lang w:val="en-US"/>
        </w:rPr>
        <w:tab/>
        <w:t xml:space="preserve">Note that Regulation 984/2013 was repealed by </w:t>
      </w:r>
      <w:hyperlink r:id="rId1" w:history="1">
        <w:r w:rsidRPr="00FB1D42">
          <w:rPr>
            <w:rStyle w:val="Hipervnculo"/>
            <w:rFonts w:cs="Arial"/>
            <w:sz w:val="16"/>
            <w:szCs w:val="16"/>
            <w:bdr w:val="none" w:sz="0" w:space="0" w:color="auto" w:frame="1"/>
            <w:shd w:val="clear" w:color="auto" w:fill="FFFFFF"/>
            <w:lang w:val="en-US"/>
          </w:rPr>
          <w:t>Commission Regulation (EU) 2017/459 of 16 March 2017</w:t>
        </w:r>
      </w:hyperlink>
      <w:r w:rsidRPr="00FB1D42">
        <w:rPr>
          <w:rStyle w:val="Textoennegrita"/>
          <w:rFonts w:cs="Arial"/>
          <w:b w:val="0"/>
          <w:color w:val="000000" w:themeColor="text1"/>
          <w:sz w:val="16"/>
          <w:szCs w:val="16"/>
          <w:bdr w:val="none" w:sz="0" w:space="0" w:color="auto" w:frame="1"/>
          <w:shd w:val="clear" w:color="auto" w:fill="FFFFFF"/>
          <w:lang w:val="en-US"/>
        </w:rPr>
        <w:t xml:space="preserve"> </w:t>
      </w:r>
    </w:p>
  </w:footnote>
  <w:footnote w:id="3">
    <w:p w14:paraId="38335670" w14:textId="77777777" w:rsidR="00A91FE8" w:rsidRPr="00307E9C" w:rsidRDefault="00A91FE8" w:rsidP="001F74A6">
      <w:pPr>
        <w:pStyle w:val="Textonotapie"/>
        <w:spacing w:before="0" w:line="240" w:lineRule="auto"/>
        <w:ind w:left="284" w:hanging="284"/>
        <w:rPr>
          <w:lang w:val="en-US"/>
        </w:rPr>
      </w:pPr>
      <w:r w:rsidRPr="001F74A6">
        <w:rPr>
          <w:rStyle w:val="Refdenotaalpie"/>
          <w:sz w:val="16"/>
          <w:szCs w:val="16"/>
        </w:rPr>
        <w:footnoteRef/>
      </w:r>
      <w:r w:rsidRPr="00307E9C">
        <w:rPr>
          <w:sz w:val="16"/>
          <w:szCs w:val="16"/>
          <w:lang w:val="en-US"/>
        </w:rPr>
        <w:t xml:space="preserve"> </w:t>
      </w:r>
      <w:r w:rsidRPr="00307E9C">
        <w:rPr>
          <w:sz w:val="16"/>
          <w:szCs w:val="16"/>
          <w:lang w:val="en-US"/>
        </w:rPr>
        <w:tab/>
      </w:r>
      <w:hyperlink r:id="rId2" w:history="1">
        <w:r w:rsidRPr="001F74A6">
          <w:rPr>
            <w:rStyle w:val="Hipervnculo"/>
            <w:sz w:val="16"/>
            <w:szCs w:val="16"/>
            <w:lang w:val="en-US"/>
          </w:rPr>
          <w:t>Commission Decision of 24 August 2012 on amending Annex I to Regulation (EC) No 715/2009</w:t>
        </w:r>
      </w:hyperlink>
    </w:p>
  </w:footnote>
  <w:footnote w:id="4">
    <w:p w14:paraId="27FF0C2F" w14:textId="01C6EE0C" w:rsidR="00A91FE8" w:rsidRPr="0011493F" w:rsidRDefault="00A91FE8" w:rsidP="008334C4">
      <w:pPr>
        <w:pStyle w:val="Textonotapie"/>
        <w:spacing w:before="0" w:after="60" w:line="240" w:lineRule="auto"/>
        <w:rPr>
          <w:sz w:val="18"/>
          <w:szCs w:val="18"/>
          <w:lang w:val="en-US"/>
        </w:rPr>
      </w:pPr>
      <w:r w:rsidRPr="0011493F">
        <w:rPr>
          <w:rStyle w:val="Refdenotaalpie"/>
          <w:sz w:val="18"/>
          <w:szCs w:val="18"/>
        </w:rPr>
        <w:footnoteRef/>
      </w:r>
      <w:r w:rsidRPr="0011493F">
        <w:rPr>
          <w:sz w:val="18"/>
          <w:szCs w:val="18"/>
        </w:rPr>
        <w:t xml:space="preserve"> </w:t>
      </w:r>
      <w:r w:rsidRPr="0011493F">
        <w:rPr>
          <w:rStyle w:val="Hipervnculo"/>
          <w:sz w:val="18"/>
          <w:szCs w:val="18"/>
          <w:lang w:val="en-US"/>
        </w:rPr>
        <w:t>https://www2.terega.fr/en/what-we-can-offer/transport/capacity-trading/capacity-calculation.html</w:t>
      </w:r>
    </w:p>
  </w:footnote>
  <w:footnote w:id="5">
    <w:p w14:paraId="10307519" w14:textId="30321369" w:rsidR="00A91FE8" w:rsidRPr="0011493F" w:rsidRDefault="00A91FE8" w:rsidP="008334C4">
      <w:pPr>
        <w:pStyle w:val="Textonotapie"/>
        <w:spacing w:before="0" w:after="60" w:line="240" w:lineRule="auto"/>
        <w:rPr>
          <w:lang w:val="en-US"/>
        </w:rPr>
      </w:pPr>
      <w:r w:rsidRPr="0011493F">
        <w:rPr>
          <w:rStyle w:val="Refdenotaalpie"/>
          <w:sz w:val="18"/>
          <w:szCs w:val="18"/>
        </w:rPr>
        <w:footnoteRef/>
      </w:r>
      <w:r w:rsidRPr="0011493F">
        <w:rPr>
          <w:sz w:val="18"/>
          <w:szCs w:val="18"/>
        </w:rPr>
        <w:t xml:space="preserve"> </w:t>
      </w:r>
      <w:hyperlink r:id="rId3" w:history="1">
        <w:r w:rsidRPr="00E345E9">
          <w:rPr>
            <w:rStyle w:val="Hipervnculo"/>
            <w:sz w:val="18"/>
            <w:szCs w:val="18"/>
            <w:lang w:val="en-US"/>
          </w:rPr>
          <w:t>http://www.enagas.es/stfls/ENAGAS/Gesti%C3%B3n%20T%C3%A9cnica%20del%20Sistema/Pdf%204.pdf</w:t>
        </w:r>
      </w:hyperlink>
    </w:p>
  </w:footnote>
  <w:footnote w:id="6">
    <w:p w14:paraId="2503413E" w14:textId="6BA4D879" w:rsidR="00A91FE8" w:rsidRPr="0011493F" w:rsidRDefault="00A91FE8" w:rsidP="0011493F">
      <w:pPr>
        <w:spacing w:before="120" w:after="0" w:line="240" w:lineRule="auto"/>
        <w:rPr>
          <w:sz w:val="18"/>
          <w:lang w:val="en-US"/>
        </w:rPr>
      </w:pPr>
      <w:r w:rsidRPr="0011493F">
        <w:rPr>
          <w:rStyle w:val="Refdenotaalpie"/>
          <w:sz w:val="18"/>
        </w:rPr>
        <w:footnoteRef/>
      </w:r>
      <w:r w:rsidRPr="0011493F">
        <w:rPr>
          <w:sz w:val="18"/>
        </w:rPr>
        <w:t xml:space="preserve"> </w:t>
      </w:r>
      <w:hyperlink r:id="rId4" w:history="1">
        <w:r w:rsidRPr="0011493F">
          <w:rPr>
            <w:rStyle w:val="Hipervnculo"/>
            <w:rFonts w:cs="Arial"/>
            <w:sz w:val="18"/>
            <w:szCs w:val="22"/>
            <w:lang w:val="en-GB"/>
          </w:rPr>
          <w:t>https://www.ign.ren.pt/web/guest/gestao-tecnica</w:t>
        </w:r>
      </w:hyperlink>
    </w:p>
  </w:footnote>
  <w:footnote w:id="7">
    <w:p w14:paraId="1F68F17F" w14:textId="20F1FEE4" w:rsidR="00A91FE8" w:rsidRPr="0011493F" w:rsidRDefault="00A91FE8" w:rsidP="000673CD">
      <w:pPr>
        <w:spacing w:before="120" w:after="0" w:line="240" w:lineRule="auto"/>
        <w:rPr>
          <w:lang w:val="en-US"/>
        </w:rPr>
      </w:pPr>
      <w:r w:rsidRPr="0011493F">
        <w:rPr>
          <w:rStyle w:val="Refdenotaalpie"/>
          <w:sz w:val="18"/>
        </w:rPr>
        <w:footnoteRef/>
      </w:r>
      <w:r w:rsidRPr="0011493F">
        <w:rPr>
          <w:sz w:val="18"/>
        </w:rPr>
        <w:t xml:space="preserve"> </w:t>
      </w:r>
      <w:hyperlink r:id="rId5" w:history="1">
        <w:r w:rsidRPr="0011493F">
          <w:rPr>
            <w:rStyle w:val="Hipervnculo"/>
            <w:rFonts w:cs="Arial"/>
            <w:sz w:val="18"/>
            <w:szCs w:val="22"/>
            <w:lang w:val="en-GB"/>
          </w:rPr>
          <w:t>http://www.enagas.es/stfls/ENAGAS/Gesti%C3%B3n%20T%C3%A9cnica%20del%20Sistema/Pdf%203.pdf</w:t>
        </w:r>
      </w:hyperlink>
    </w:p>
  </w:footnote>
  <w:footnote w:id="8">
    <w:p w14:paraId="586E8BDD" w14:textId="77777777" w:rsidR="00A91FE8" w:rsidRPr="00332CF2" w:rsidRDefault="00A91FE8" w:rsidP="008334C4">
      <w:pPr>
        <w:spacing w:before="0" w:after="60" w:line="240" w:lineRule="auto"/>
        <w:rPr>
          <w:rFonts w:eastAsia="Calibri" w:cs="Arial"/>
          <w:sz w:val="18"/>
          <w:szCs w:val="18"/>
          <w:lang w:val="en-GB" w:eastAsia="en-US"/>
        </w:rPr>
      </w:pPr>
      <w:r w:rsidRPr="00332CF2">
        <w:rPr>
          <w:rStyle w:val="Refdenotaalpie"/>
          <w:sz w:val="18"/>
          <w:szCs w:val="18"/>
        </w:rPr>
        <w:footnoteRef/>
      </w:r>
      <w:r w:rsidRPr="00332CF2">
        <w:rPr>
          <w:sz w:val="18"/>
          <w:szCs w:val="18"/>
        </w:rPr>
        <w:t xml:space="preserve"> </w:t>
      </w:r>
      <w:hyperlink r:id="rId6" w:history="1">
        <w:r w:rsidRPr="00332CF2">
          <w:rPr>
            <w:rStyle w:val="Hipervnculo"/>
            <w:rFonts w:eastAsia="Calibri" w:cs="Arial"/>
            <w:sz w:val="18"/>
            <w:szCs w:val="18"/>
            <w:lang w:val="en-GB" w:eastAsia="en-US"/>
          </w:rPr>
          <w:t>http://enagas.es/stfls/ENAGAS/Gesti%C3%B3n%20T%C3%A9cnica%20del%20Sistema/Documentos/Consulta%20p%C3%BAblica%20Interconnection%20agreement%20Enagas%20REN.pdf</w:t>
        </w:r>
      </w:hyperlink>
    </w:p>
    <w:p w14:paraId="43E11E40" w14:textId="430E99F9" w:rsidR="00A91FE8" w:rsidRPr="007F34D4" w:rsidRDefault="00813AEC" w:rsidP="008334C4">
      <w:pPr>
        <w:spacing w:before="0" w:after="60" w:line="240" w:lineRule="auto"/>
        <w:rPr>
          <w:sz w:val="18"/>
          <w:szCs w:val="18"/>
          <w:lang w:val="en-GB"/>
        </w:rPr>
      </w:pPr>
      <w:hyperlink r:id="rId7" w:history="1">
        <w:r w:rsidR="00A91FE8" w:rsidRPr="00332CF2">
          <w:rPr>
            <w:rStyle w:val="Hipervnculo"/>
            <w:rFonts w:eastAsia="Calibri" w:cs="Arial"/>
            <w:sz w:val="18"/>
            <w:szCs w:val="18"/>
            <w:lang w:val="en-GB" w:eastAsia="en-US"/>
          </w:rPr>
          <w:t>http://enagas.es/stfls/ENAGAS/Gesti%C3%B3n%20T%C3%A9cnica%20del%20Sistema/Documentos/Consulta%20p%C3%BAblica%20Interconnection%20agreement%20TIGF-ENAGAS.pdf</w:t>
        </w:r>
      </w:hyperlink>
    </w:p>
  </w:footnote>
  <w:footnote w:id="9">
    <w:p w14:paraId="77F1DF0E" w14:textId="5EF963DB" w:rsidR="00A91FE8" w:rsidRPr="007F34D4" w:rsidRDefault="00A91FE8" w:rsidP="008334C4">
      <w:pPr>
        <w:pStyle w:val="Textonotapie"/>
        <w:spacing w:before="0" w:after="60" w:line="240" w:lineRule="auto"/>
        <w:rPr>
          <w:lang w:val="en-GB"/>
        </w:rPr>
      </w:pPr>
      <w:r w:rsidRPr="00332CF2">
        <w:rPr>
          <w:rStyle w:val="Refdenotaalpie"/>
          <w:sz w:val="18"/>
          <w:szCs w:val="18"/>
        </w:rPr>
        <w:footnoteRef/>
      </w:r>
      <w:r w:rsidRPr="00332CF2">
        <w:rPr>
          <w:sz w:val="18"/>
          <w:szCs w:val="18"/>
        </w:rPr>
        <w:t xml:space="preserve"> </w:t>
      </w:r>
      <w:hyperlink r:id="rId8" w:history="1">
        <w:r w:rsidRPr="007F34D4">
          <w:rPr>
            <w:rStyle w:val="Hipervnculo"/>
            <w:rFonts w:eastAsia="Calibri" w:cs="Arial"/>
            <w:sz w:val="18"/>
            <w:szCs w:val="18"/>
            <w:lang w:val="en-GB" w:eastAsia="en-US"/>
          </w:rPr>
          <w:t>https://www.ign.ren.pt/web/guest/interconnection-agreement-vip-iberico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Borders>
        <w:bottom w:val="single" w:sz="4" w:space="0" w:color="004E55"/>
      </w:tblBorders>
      <w:tblLayout w:type="fixed"/>
      <w:tblCellMar>
        <w:left w:w="28" w:type="dxa"/>
      </w:tblCellMar>
      <w:tblLook w:val="01E0" w:firstRow="1" w:lastRow="1" w:firstColumn="1" w:lastColumn="1" w:noHBand="0" w:noVBand="0"/>
    </w:tblPr>
    <w:tblGrid>
      <w:gridCol w:w="848"/>
      <w:gridCol w:w="1818"/>
      <w:gridCol w:w="2835"/>
      <w:gridCol w:w="1351"/>
      <w:gridCol w:w="2079"/>
    </w:tblGrid>
    <w:tr w:rsidR="00A91FE8" w14:paraId="642BE4B9" w14:textId="77777777" w:rsidTr="3937DAF4">
      <w:trPr>
        <w:trHeight w:val="899"/>
      </w:trPr>
      <w:tc>
        <w:tcPr>
          <w:tcW w:w="848" w:type="dxa"/>
          <w:tcBorders>
            <w:bottom w:val="single" w:sz="4" w:space="0" w:color="004E55"/>
          </w:tcBorders>
          <w:vAlign w:val="center"/>
        </w:tcPr>
        <w:p w14:paraId="3E2C5DBC" w14:textId="77777777" w:rsidR="00A91FE8" w:rsidRDefault="00A91FE8" w:rsidP="00C03133">
          <w:pPr>
            <w:pStyle w:val="Encabezado"/>
            <w:tabs>
              <w:tab w:val="clear" w:pos="4536"/>
              <w:tab w:val="clear" w:pos="9072"/>
              <w:tab w:val="right" w:pos="14827"/>
            </w:tabs>
            <w:jc w:val="center"/>
            <w:rPr>
              <w:rFonts w:cs="Arial"/>
              <w:sz w:val="18"/>
              <w:szCs w:val="18"/>
              <w:lang w:val="en-GB"/>
            </w:rPr>
          </w:pPr>
          <w:r w:rsidRPr="00DA4A42">
            <w:rPr>
              <w:rFonts w:cs="Arial"/>
              <w:sz w:val="18"/>
              <w:szCs w:val="18"/>
              <w:lang w:val="en-GB"/>
            </w:rPr>
            <w:object w:dxaOrig="6466" w:dyaOrig="5039" w14:anchorId="4887C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8.5pt" o:allowoverlap="f">
                <v:imagedata r:id="rId1" o:title=""/>
              </v:shape>
              <o:OLEObject Type="Embed" ProgID="MSPhotoEd.3" ShapeID="_x0000_i1025" DrawAspect="Content" ObjectID="_1661689056" r:id="rId2"/>
            </w:object>
          </w:r>
        </w:p>
      </w:tc>
      <w:tc>
        <w:tcPr>
          <w:tcW w:w="1818" w:type="dxa"/>
          <w:tcBorders>
            <w:bottom w:val="single" w:sz="4" w:space="0" w:color="004E55"/>
          </w:tcBorders>
          <w:vAlign w:val="center"/>
        </w:tcPr>
        <w:p w14:paraId="4714CC97" w14:textId="77777777" w:rsidR="00A91FE8" w:rsidRPr="00614C31" w:rsidRDefault="00A91FE8" w:rsidP="00C03133">
          <w:pPr>
            <w:pStyle w:val="Encabezado"/>
            <w:tabs>
              <w:tab w:val="clear" w:pos="4536"/>
              <w:tab w:val="clear" w:pos="9072"/>
            </w:tabs>
            <w:jc w:val="center"/>
            <w:rPr>
              <w:rFonts w:cs="Arial"/>
              <w:bCs/>
              <w:color w:val="264D74"/>
              <w:sz w:val="16"/>
              <w:szCs w:val="16"/>
              <w:lang w:val="en-GB"/>
            </w:rPr>
          </w:pPr>
          <w:r>
            <w:rPr>
              <w:noProof/>
              <w:lang w:val="es-ES" w:eastAsia="es-ES"/>
            </w:rPr>
            <w:drawing>
              <wp:inline distT="0" distB="0" distL="0" distR="0" wp14:anchorId="1ADF6C32" wp14:editId="3C447879">
                <wp:extent cx="680474" cy="447675"/>
                <wp:effectExtent l="0" t="0" r="0" b="0"/>
                <wp:docPr id="16037488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
                          <a:extLst>
                            <a:ext uri="{28A0092B-C50C-407E-A947-70E740481C1C}">
                              <a14:useLocalDpi xmlns:a14="http://schemas.microsoft.com/office/drawing/2010/main" val="0"/>
                            </a:ext>
                          </a:extLst>
                        </a:blip>
                        <a:stretch>
                          <a:fillRect/>
                        </a:stretch>
                      </pic:blipFill>
                      <pic:spPr>
                        <a:xfrm>
                          <a:off x="0" y="0"/>
                          <a:ext cx="680474" cy="447675"/>
                        </a:xfrm>
                        <a:prstGeom prst="rect">
                          <a:avLst/>
                        </a:prstGeom>
                      </pic:spPr>
                    </pic:pic>
                  </a:graphicData>
                </a:graphic>
              </wp:inline>
            </w:drawing>
          </w:r>
        </w:p>
      </w:tc>
      <w:tc>
        <w:tcPr>
          <w:tcW w:w="2835" w:type="dxa"/>
          <w:tcBorders>
            <w:bottom w:val="single" w:sz="4" w:space="0" w:color="004E55"/>
          </w:tcBorders>
          <w:vAlign w:val="center"/>
        </w:tcPr>
        <w:p w14:paraId="03F987CA" w14:textId="77777777" w:rsidR="00A91FE8" w:rsidRPr="00A53AE6" w:rsidRDefault="00A91FE8" w:rsidP="00C03133">
          <w:pPr>
            <w:pStyle w:val="Encabezado"/>
            <w:tabs>
              <w:tab w:val="clear" w:pos="4536"/>
              <w:tab w:val="clear" w:pos="9072"/>
            </w:tabs>
            <w:jc w:val="center"/>
            <w:rPr>
              <w:rFonts w:cs="Arial"/>
              <w:bCs/>
              <w:color w:val="264D74"/>
              <w:sz w:val="16"/>
              <w:szCs w:val="16"/>
              <w:lang w:val="en-GB"/>
            </w:rPr>
          </w:pPr>
          <w:r>
            <w:rPr>
              <w:rFonts w:cs="Arial"/>
              <w:bCs/>
              <w:color w:val="264D74"/>
              <w:sz w:val="16"/>
              <w:szCs w:val="16"/>
              <w:lang w:val="en-GB"/>
            </w:rPr>
            <w:t>WP 1: Use of interconnections</w:t>
          </w:r>
        </w:p>
      </w:tc>
      <w:tc>
        <w:tcPr>
          <w:tcW w:w="1351" w:type="dxa"/>
          <w:tcBorders>
            <w:bottom w:val="single" w:sz="4" w:space="0" w:color="004E55"/>
          </w:tcBorders>
          <w:vAlign w:val="center"/>
        </w:tcPr>
        <w:p w14:paraId="16DAF613" w14:textId="77777777" w:rsidR="00A91FE8" w:rsidRDefault="00A91FE8" w:rsidP="00C03133">
          <w:pPr>
            <w:pStyle w:val="Encabezado"/>
            <w:jc w:val="center"/>
            <w:rPr>
              <w:rFonts w:cs="Arial"/>
              <w:sz w:val="18"/>
              <w:szCs w:val="18"/>
              <w:lang w:val="en-GB"/>
            </w:rPr>
          </w:pPr>
          <w:r w:rsidRPr="00C03133">
            <w:rPr>
              <w:rFonts w:cs="Arial"/>
              <w:noProof/>
              <w:sz w:val="18"/>
              <w:szCs w:val="18"/>
              <w:lang w:val="es-ES" w:eastAsia="es-ES"/>
            </w:rPr>
            <w:drawing>
              <wp:inline distT="0" distB="0" distL="0" distR="0" wp14:anchorId="12BD892C" wp14:editId="0C4422D2">
                <wp:extent cx="771525" cy="248827"/>
                <wp:effectExtent l="0" t="0" r="0" b="0"/>
                <wp:docPr id="19" name="Picture 11" desc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R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71525" cy="248827"/>
                        </a:xfrm>
                        <a:prstGeom prst="rect">
                          <a:avLst/>
                        </a:prstGeom>
                        <a:noFill/>
                        <a:ln>
                          <a:noFill/>
                        </a:ln>
                      </pic:spPr>
                    </pic:pic>
                  </a:graphicData>
                </a:graphic>
              </wp:inline>
            </w:drawing>
          </w:r>
        </w:p>
      </w:tc>
      <w:tc>
        <w:tcPr>
          <w:tcW w:w="2079" w:type="dxa"/>
          <w:tcBorders>
            <w:bottom w:val="single" w:sz="4" w:space="0" w:color="004E55"/>
          </w:tcBorders>
          <w:vAlign w:val="center"/>
        </w:tcPr>
        <w:p w14:paraId="691EF863" w14:textId="66637E6F" w:rsidR="00A91FE8" w:rsidRDefault="00A91FE8" w:rsidP="00C03133">
          <w:pPr>
            <w:pStyle w:val="Encabezado"/>
            <w:jc w:val="center"/>
            <w:rPr>
              <w:rFonts w:cs="Arial"/>
              <w:noProof/>
              <w:sz w:val="18"/>
              <w:szCs w:val="18"/>
              <w:lang w:val="en-US" w:eastAsia="en-US"/>
            </w:rPr>
          </w:pPr>
          <w:r>
            <w:rPr>
              <w:noProof/>
              <w:lang w:val="es-ES" w:eastAsia="es-ES"/>
            </w:rPr>
            <w:drawing>
              <wp:inline distT="0" distB="0" distL="0" distR="0" wp14:anchorId="5D699E57" wp14:editId="70061E4E">
                <wp:extent cx="1295003" cy="247650"/>
                <wp:effectExtent l="0" t="0" r="635" b="0"/>
                <wp:docPr id="190622773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5">
                          <a:extLst>
                            <a:ext uri="{28A0092B-C50C-407E-A947-70E740481C1C}">
                              <a14:useLocalDpi xmlns:a14="http://schemas.microsoft.com/office/drawing/2010/main" val="0"/>
                            </a:ext>
                          </a:extLst>
                        </a:blip>
                        <a:stretch>
                          <a:fillRect/>
                        </a:stretch>
                      </pic:blipFill>
                      <pic:spPr>
                        <a:xfrm>
                          <a:off x="0" y="0"/>
                          <a:ext cx="1295003" cy="247650"/>
                        </a:xfrm>
                        <a:prstGeom prst="rect">
                          <a:avLst/>
                        </a:prstGeom>
                      </pic:spPr>
                    </pic:pic>
                  </a:graphicData>
                </a:graphic>
              </wp:inline>
            </w:drawing>
          </w:r>
        </w:p>
      </w:tc>
    </w:tr>
  </w:tbl>
  <w:p w14:paraId="02F28998" w14:textId="20DB6882" w:rsidR="00A91FE8" w:rsidRPr="006C1826" w:rsidRDefault="00A91FE8" w:rsidP="006C1826">
    <w:pPr>
      <w:pStyle w:val="Encabezado"/>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D24B5"/>
    <w:multiLevelType w:val="hybridMultilevel"/>
    <w:tmpl w:val="D13A3BBC"/>
    <w:lvl w:ilvl="0" w:tplc="0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0C51DD"/>
    <w:multiLevelType w:val="hybridMultilevel"/>
    <w:tmpl w:val="E18C491A"/>
    <w:lvl w:ilvl="0" w:tplc="0C0A000F">
      <w:start w:val="1"/>
      <w:numFmt w:val="decimal"/>
      <w:lvlText w:val="%1."/>
      <w:lvlJc w:val="left"/>
      <w:pPr>
        <w:ind w:left="720" w:hanging="360"/>
      </w:pPr>
    </w:lvl>
    <w:lvl w:ilvl="1" w:tplc="7676064A">
      <w:numFmt w:val="bullet"/>
      <w:lvlText w:val="•"/>
      <w:lvlJc w:val="left"/>
      <w:pPr>
        <w:ind w:left="1785" w:hanging="705"/>
      </w:pPr>
      <w:rPr>
        <w:rFonts w:ascii="Arial" w:eastAsia="Times New Roman" w:hAnsi="Arial" w:cs="Arial" w:hint="default"/>
      </w:rPr>
    </w:lvl>
    <w:lvl w:ilvl="2" w:tplc="F74A6412">
      <w:numFmt w:val="bullet"/>
      <w:lvlText w:val="-"/>
      <w:lvlJc w:val="left"/>
      <w:pPr>
        <w:ind w:left="2340" w:hanging="360"/>
      </w:pPr>
      <w:rPr>
        <w:rFonts w:ascii="Arial" w:eastAsia="Times New Roman" w:hAnsi="Arial"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892660"/>
    <w:multiLevelType w:val="hybridMultilevel"/>
    <w:tmpl w:val="F376A0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4E1028"/>
    <w:multiLevelType w:val="hybridMultilevel"/>
    <w:tmpl w:val="D13A3BBC"/>
    <w:lvl w:ilvl="0" w:tplc="0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8F33674"/>
    <w:multiLevelType w:val="hybridMultilevel"/>
    <w:tmpl w:val="82661712"/>
    <w:lvl w:ilvl="0" w:tplc="4AE24D4A">
      <w:start w:val="1"/>
      <w:numFmt w:val="bullet"/>
      <w:pStyle w:val="Retrait"/>
      <w:lvlText w:val=""/>
      <w:lvlJc w:val="left"/>
      <w:pPr>
        <w:tabs>
          <w:tab w:val="num" w:pos="-680"/>
        </w:tabs>
        <w:ind w:left="-680" w:hanging="360"/>
      </w:pPr>
      <w:rPr>
        <w:rFonts w:ascii="Symbol" w:hAnsi="Symbol" w:hint="default"/>
      </w:rPr>
    </w:lvl>
    <w:lvl w:ilvl="1" w:tplc="040C0003" w:tentative="1">
      <w:start w:val="1"/>
      <w:numFmt w:val="bullet"/>
      <w:lvlText w:val="o"/>
      <w:lvlJc w:val="left"/>
      <w:pPr>
        <w:tabs>
          <w:tab w:val="num" w:pos="40"/>
        </w:tabs>
        <w:ind w:left="40" w:hanging="360"/>
      </w:pPr>
      <w:rPr>
        <w:rFonts w:ascii="Courier New" w:hAnsi="Courier New" w:hint="default"/>
      </w:rPr>
    </w:lvl>
    <w:lvl w:ilvl="2" w:tplc="040C0005" w:tentative="1">
      <w:start w:val="1"/>
      <w:numFmt w:val="bullet"/>
      <w:lvlText w:val=""/>
      <w:lvlJc w:val="left"/>
      <w:pPr>
        <w:tabs>
          <w:tab w:val="num" w:pos="760"/>
        </w:tabs>
        <w:ind w:left="760" w:hanging="360"/>
      </w:pPr>
      <w:rPr>
        <w:rFonts w:ascii="Wingdings" w:hAnsi="Wingdings" w:hint="default"/>
      </w:rPr>
    </w:lvl>
    <w:lvl w:ilvl="3" w:tplc="040C0001" w:tentative="1">
      <w:start w:val="1"/>
      <w:numFmt w:val="bullet"/>
      <w:lvlText w:val=""/>
      <w:lvlJc w:val="left"/>
      <w:pPr>
        <w:tabs>
          <w:tab w:val="num" w:pos="1480"/>
        </w:tabs>
        <w:ind w:left="1480" w:hanging="360"/>
      </w:pPr>
      <w:rPr>
        <w:rFonts w:ascii="Symbol" w:hAnsi="Symbol" w:hint="default"/>
      </w:rPr>
    </w:lvl>
    <w:lvl w:ilvl="4" w:tplc="040C0003" w:tentative="1">
      <w:start w:val="1"/>
      <w:numFmt w:val="bullet"/>
      <w:lvlText w:val="o"/>
      <w:lvlJc w:val="left"/>
      <w:pPr>
        <w:tabs>
          <w:tab w:val="num" w:pos="2200"/>
        </w:tabs>
        <w:ind w:left="2200" w:hanging="360"/>
      </w:pPr>
      <w:rPr>
        <w:rFonts w:ascii="Courier New" w:hAnsi="Courier New" w:hint="default"/>
      </w:rPr>
    </w:lvl>
    <w:lvl w:ilvl="5" w:tplc="040C0005" w:tentative="1">
      <w:start w:val="1"/>
      <w:numFmt w:val="bullet"/>
      <w:lvlText w:val=""/>
      <w:lvlJc w:val="left"/>
      <w:pPr>
        <w:tabs>
          <w:tab w:val="num" w:pos="2920"/>
        </w:tabs>
        <w:ind w:left="2920" w:hanging="360"/>
      </w:pPr>
      <w:rPr>
        <w:rFonts w:ascii="Wingdings" w:hAnsi="Wingdings" w:hint="default"/>
      </w:rPr>
    </w:lvl>
    <w:lvl w:ilvl="6" w:tplc="040C0001" w:tentative="1">
      <w:start w:val="1"/>
      <w:numFmt w:val="bullet"/>
      <w:lvlText w:val=""/>
      <w:lvlJc w:val="left"/>
      <w:pPr>
        <w:tabs>
          <w:tab w:val="num" w:pos="3640"/>
        </w:tabs>
        <w:ind w:left="3640" w:hanging="360"/>
      </w:pPr>
      <w:rPr>
        <w:rFonts w:ascii="Symbol" w:hAnsi="Symbol" w:hint="default"/>
      </w:rPr>
    </w:lvl>
    <w:lvl w:ilvl="7" w:tplc="040C0003" w:tentative="1">
      <w:start w:val="1"/>
      <w:numFmt w:val="bullet"/>
      <w:lvlText w:val="o"/>
      <w:lvlJc w:val="left"/>
      <w:pPr>
        <w:tabs>
          <w:tab w:val="num" w:pos="4360"/>
        </w:tabs>
        <w:ind w:left="4360" w:hanging="360"/>
      </w:pPr>
      <w:rPr>
        <w:rFonts w:ascii="Courier New" w:hAnsi="Courier New" w:hint="default"/>
      </w:rPr>
    </w:lvl>
    <w:lvl w:ilvl="8" w:tplc="040C0005" w:tentative="1">
      <w:start w:val="1"/>
      <w:numFmt w:val="bullet"/>
      <w:lvlText w:val=""/>
      <w:lvlJc w:val="left"/>
      <w:pPr>
        <w:tabs>
          <w:tab w:val="num" w:pos="5080"/>
        </w:tabs>
        <w:ind w:left="5080" w:hanging="360"/>
      </w:pPr>
      <w:rPr>
        <w:rFonts w:ascii="Wingdings" w:hAnsi="Wingdings" w:hint="default"/>
      </w:rPr>
    </w:lvl>
  </w:abstractNum>
  <w:abstractNum w:abstractNumId="5" w15:restartNumberingAfterBreak="0">
    <w:nsid w:val="32692DF7"/>
    <w:multiLevelType w:val="hybridMultilevel"/>
    <w:tmpl w:val="A44A2B54"/>
    <w:lvl w:ilvl="0" w:tplc="0409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BE4534"/>
    <w:multiLevelType w:val="hybridMultilevel"/>
    <w:tmpl w:val="5100D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4490E00"/>
    <w:multiLevelType w:val="hybridMultilevel"/>
    <w:tmpl w:val="D592CB54"/>
    <w:lvl w:ilvl="0" w:tplc="6ED8D5E6">
      <w:start w:val="1"/>
      <w:numFmt w:val="upperRoman"/>
      <w:pStyle w:val="EstiloEstiloTextoindependienteVerdana10ptNegritaSubrayado"/>
      <w:lvlText w:val="%1."/>
      <w:lvlJc w:val="left"/>
      <w:pPr>
        <w:tabs>
          <w:tab w:val="num" w:pos="720"/>
        </w:tabs>
        <w:ind w:left="720" w:hanging="360"/>
      </w:pPr>
      <w:rPr>
        <w:rFonts w:hint="default"/>
      </w:rPr>
    </w:lvl>
    <w:lvl w:ilvl="1" w:tplc="EE34F59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4B66265"/>
    <w:multiLevelType w:val="hybridMultilevel"/>
    <w:tmpl w:val="C09CC184"/>
    <w:lvl w:ilvl="0" w:tplc="900C9B6A">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9" w15:restartNumberingAfterBreak="0">
    <w:nsid w:val="405A0CCE"/>
    <w:multiLevelType w:val="hybridMultilevel"/>
    <w:tmpl w:val="B6427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11A36A6"/>
    <w:multiLevelType w:val="hybridMultilevel"/>
    <w:tmpl w:val="90628F8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F029D9"/>
    <w:multiLevelType w:val="hybridMultilevel"/>
    <w:tmpl w:val="69CE623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81F1D39"/>
    <w:multiLevelType w:val="hybridMultilevel"/>
    <w:tmpl w:val="FE767D00"/>
    <w:lvl w:ilvl="0" w:tplc="FAF08352">
      <w:start w:val="1"/>
      <w:numFmt w:val="decimal"/>
      <w:pStyle w:val="EstiloTtulo1Arial14ptSubrayad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662597"/>
    <w:multiLevelType w:val="singleLevel"/>
    <w:tmpl w:val="01DC9E00"/>
    <w:lvl w:ilvl="0">
      <w:start w:val="1"/>
      <w:numFmt w:val="lowerLetter"/>
      <w:pStyle w:val="bulletalinea"/>
      <w:lvlText w:val="%1)"/>
      <w:lvlJc w:val="left"/>
      <w:pPr>
        <w:ind w:left="360" w:hanging="360"/>
      </w:pPr>
      <w:rPr>
        <w:rFonts w:hint="default"/>
      </w:rPr>
    </w:lvl>
  </w:abstractNum>
  <w:abstractNum w:abstractNumId="14" w15:restartNumberingAfterBreak="0">
    <w:nsid w:val="4FE36E1A"/>
    <w:multiLevelType w:val="hybridMultilevel"/>
    <w:tmpl w:val="70F253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51556A61"/>
    <w:multiLevelType w:val="hybridMultilevel"/>
    <w:tmpl w:val="A9A82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FB68CB"/>
    <w:multiLevelType w:val="multilevel"/>
    <w:tmpl w:val="EDF2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2C28AA"/>
    <w:multiLevelType w:val="hybridMultilevel"/>
    <w:tmpl w:val="B2A043EA"/>
    <w:lvl w:ilvl="0" w:tplc="33C8E18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5B4370FA"/>
    <w:multiLevelType w:val="multilevel"/>
    <w:tmpl w:val="1C28A4CE"/>
    <w:lvl w:ilvl="0">
      <w:start w:val="1"/>
      <w:numFmt w:val="decimal"/>
      <w:pStyle w:val="Ttulo1"/>
      <w:lvlText w:val="%1"/>
      <w:lvlJc w:val="left"/>
      <w:pPr>
        <w:tabs>
          <w:tab w:val="num" w:pos="432"/>
        </w:tabs>
        <w:ind w:left="432" w:hanging="432"/>
      </w:pPr>
      <w:rPr>
        <w:rFonts w:hint="default"/>
        <w:color w:val="auto"/>
      </w:rPr>
    </w:lvl>
    <w:lvl w:ilvl="1">
      <w:start w:val="1"/>
      <w:numFmt w:val="decimal"/>
      <w:pStyle w:val="Ttulo2"/>
      <w:lvlText w:val="%1.%2"/>
      <w:lvlJc w:val="left"/>
      <w:pPr>
        <w:tabs>
          <w:tab w:val="num" w:pos="576"/>
        </w:tabs>
        <w:ind w:left="576" w:hanging="576"/>
      </w:pPr>
      <w:rPr>
        <w:rFonts w:hint="default"/>
        <w:b/>
        <w:i w:val="0"/>
        <w:sz w:val="26"/>
        <w:szCs w:val="26"/>
      </w:rPr>
    </w:lvl>
    <w:lvl w:ilvl="2">
      <w:start w:val="1"/>
      <w:numFmt w:val="decimal"/>
      <w:pStyle w:val="Ttulo3"/>
      <w:lvlText w:val="%1.%2.%3"/>
      <w:lvlJc w:val="left"/>
      <w:pPr>
        <w:tabs>
          <w:tab w:val="num" w:pos="720"/>
        </w:tabs>
        <w:ind w:left="720" w:hanging="720"/>
      </w:pPr>
      <w:rPr>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tabs>
          <w:tab w:val="num" w:pos="864"/>
        </w:tabs>
        <w:ind w:left="864" w:hanging="864"/>
      </w:pPr>
      <w:rPr>
        <w:rFonts w:hint="default"/>
        <w:b/>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9" w15:restartNumberingAfterBreak="0">
    <w:nsid w:val="5C5E5441"/>
    <w:multiLevelType w:val="hybridMultilevel"/>
    <w:tmpl w:val="0CCE9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2617368"/>
    <w:multiLevelType w:val="multilevel"/>
    <w:tmpl w:val="F0F81FA8"/>
    <w:lvl w:ilvl="0">
      <w:start w:val="1"/>
      <w:numFmt w:val="decimal"/>
      <w:lvlText w:val="%1"/>
      <w:lvlJc w:val="left"/>
      <w:pPr>
        <w:tabs>
          <w:tab w:val="num" w:pos="432"/>
        </w:tabs>
        <w:ind w:left="432" w:hanging="432"/>
      </w:pPr>
    </w:lvl>
    <w:lvl w:ilvl="1">
      <w:start w:val="1"/>
      <w:numFmt w:val="decimal"/>
      <w:pStyle w:val="EstiloTtulo2Arial13ptAntes12ptoDespus12pto"/>
      <w:lvlText w:val="%1.%2"/>
      <w:lvlJc w:val="left"/>
      <w:pPr>
        <w:tabs>
          <w:tab w:val="num" w:pos="816"/>
        </w:tabs>
        <w:ind w:left="816" w:hanging="816"/>
      </w:pPr>
      <w:rPr>
        <w:rFonts w:ascii="Arial" w:hAnsi="Arial" w:cs="Arial" w:hint="default"/>
        <w:b/>
        <w:i w:val="0"/>
        <w:sz w:val="26"/>
        <w:szCs w:val="26"/>
      </w:rPr>
    </w:lvl>
    <w:lvl w:ilvl="2">
      <w:start w:val="1"/>
      <w:numFmt w:val="decimal"/>
      <w:pStyle w:val="EstiloTtulo312ptCursivaDespus12pto"/>
      <w:lvlText w:val="%1.%2.%3"/>
      <w:lvlJc w:val="left"/>
      <w:pPr>
        <w:tabs>
          <w:tab w:val="num" w:pos="1080"/>
        </w:tabs>
        <w:ind w:left="720" w:hanging="720"/>
      </w:pPr>
      <w:rPr>
        <w:rFonts w:hint="default"/>
        <w:b/>
        <w:i/>
        <w:sz w:val="24"/>
        <w:szCs w:val="24"/>
        <w:lang w:val="en-GB"/>
      </w:rPr>
    </w:lvl>
    <w:lvl w:ilvl="3">
      <w:start w:val="1"/>
      <w:numFmt w:val="decimal"/>
      <w:lvlText w:val="%1.%2.%3.%4"/>
      <w:lvlJc w:val="left"/>
      <w:pPr>
        <w:tabs>
          <w:tab w:val="num" w:pos="864"/>
        </w:tabs>
        <w:ind w:left="864" w:hanging="864"/>
      </w:pPr>
      <w:rPr>
        <w:rFonts w:ascii="Arial" w:hAnsi="Arial" w:cs="Arial" w:hint="default"/>
        <w:sz w:val="22"/>
        <w:szCs w:val="22"/>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3A56C12"/>
    <w:multiLevelType w:val="hybridMultilevel"/>
    <w:tmpl w:val="5552B74C"/>
    <w:lvl w:ilvl="0" w:tplc="307431AA">
      <w:start w:val="1"/>
      <w:numFmt w:val="decimal"/>
      <w:pStyle w:val="Estilo1"/>
      <w:lvlText w:val="1.1.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E463537"/>
    <w:multiLevelType w:val="hybridMultilevel"/>
    <w:tmpl w:val="D6E466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EEC18F8"/>
    <w:multiLevelType w:val="hybridMultilevel"/>
    <w:tmpl w:val="273C7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4A55F6"/>
    <w:multiLevelType w:val="hybridMultilevel"/>
    <w:tmpl w:val="135AD7E6"/>
    <w:lvl w:ilvl="0" w:tplc="040A0011">
      <w:start w:val="1"/>
      <w:numFmt w:val="decimal"/>
      <w:lvlText w:val="%1)"/>
      <w:lvlJc w:val="left"/>
      <w:pPr>
        <w:ind w:left="962" w:hanging="360"/>
      </w:pPr>
    </w:lvl>
    <w:lvl w:ilvl="1" w:tplc="040A0019" w:tentative="1">
      <w:start w:val="1"/>
      <w:numFmt w:val="lowerLetter"/>
      <w:lvlText w:val="%2."/>
      <w:lvlJc w:val="left"/>
      <w:pPr>
        <w:ind w:left="1682" w:hanging="360"/>
      </w:pPr>
    </w:lvl>
    <w:lvl w:ilvl="2" w:tplc="040A001B" w:tentative="1">
      <w:start w:val="1"/>
      <w:numFmt w:val="lowerRoman"/>
      <w:lvlText w:val="%3."/>
      <w:lvlJc w:val="right"/>
      <w:pPr>
        <w:ind w:left="2402" w:hanging="180"/>
      </w:pPr>
    </w:lvl>
    <w:lvl w:ilvl="3" w:tplc="040A000F" w:tentative="1">
      <w:start w:val="1"/>
      <w:numFmt w:val="decimal"/>
      <w:lvlText w:val="%4."/>
      <w:lvlJc w:val="left"/>
      <w:pPr>
        <w:ind w:left="3122" w:hanging="360"/>
      </w:pPr>
    </w:lvl>
    <w:lvl w:ilvl="4" w:tplc="040A0019" w:tentative="1">
      <w:start w:val="1"/>
      <w:numFmt w:val="lowerLetter"/>
      <w:lvlText w:val="%5."/>
      <w:lvlJc w:val="left"/>
      <w:pPr>
        <w:ind w:left="3842" w:hanging="360"/>
      </w:pPr>
    </w:lvl>
    <w:lvl w:ilvl="5" w:tplc="040A001B" w:tentative="1">
      <w:start w:val="1"/>
      <w:numFmt w:val="lowerRoman"/>
      <w:lvlText w:val="%6."/>
      <w:lvlJc w:val="right"/>
      <w:pPr>
        <w:ind w:left="4562" w:hanging="180"/>
      </w:pPr>
    </w:lvl>
    <w:lvl w:ilvl="6" w:tplc="040A000F" w:tentative="1">
      <w:start w:val="1"/>
      <w:numFmt w:val="decimal"/>
      <w:lvlText w:val="%7."/>
      <w:lvlJc w:val="left"/>
      <w:pPr>
        <w:ind w:left="5282" w:hanging="360"/>
      </w:pPr>
    </w:lvl>
    <w:lvl w:ilvl="7" w:tplc="040A0019" w:tentative="1">
      <w:start w:val="1"/>
      <w:numFmt w:val="lowerLetter"/>
      <w:lvlText w:val="%8."/>
      <w:lvlJc w:val="left"/>
      <w:pPr>
        <w:ind w:left="6002" w:hanging="360"/>
      </w:pPr>
    </w:lvl>
    <w:lvl w:ilvl="8" w:tplc="040A001B" w:tentative="1">
      <w:start w:val="1"/>
      <w:numFmt w:val="lowerRoman"/>
      <w:lvlText w:val="%9."/>
      <w:lvlJc w:val="right"/>
      <w:pPr>
        <w:ind w:left="6722" w:hanging="180"/>
      </w:pPr>
    </w:lvl>
  </w:abstractNum>
  <w:num w:numId="1">
    <w:abstractNumId w:val="18"/>
  </w:num>
  <w:num w:numId="2">
    <w:abstractNumId w:val="4"/>
  </w:num>
  <w:num w:numId="3">
    <w:abstractNumId w:val="20"/>
  </w:num>
  <w:num w:numId="4">
    <w:abstractNumId w:val="7"/>
  </w:num>
  <w:num w:numId="5">
    <w:abstractNumId w:val="13"/>
  </w:num>
  <w:num w:numId="6">
    <w:abstractNumId w:val="21"/>
  </w:num>
  <w:num w:numId="7">
    <w:abstractNumId w:val="12"/>
  </w:num>
  <w:num w:numId="8">
    <w:abstractNumId w:val="22"/>
  </w:num>
  <w:num w:numId="9">
    <w:abstractNumId w:val="5"/>
  </w:num>
  <w:num w:numId="10">
    <w:abstractNumId w:val="11"/>
  </w:num>
  <w:num w:numId="11">
    <w:abstractNumId w:val="10"/>
  </w:num>
  <w:num w:numId="12">
    <w:abstractNumId w:val="1"/>
  </w:num>
  <w:num w:numId="13">
    <w:abstractNumId w:val="6"/>
  </w:num>
  <w:num w:numId="14">
    <w:abstractNumId w:val="9"/>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9"/>
  </w:num>
  <w:num w:numId="18">
    <w:abstractNumId w:val="14"/>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7"/>
  </w:num>
  <w:num w:numId="22">
    <w:abstractNumId w:val="15"/>
  </w:num>
  <w:num w:numId="23">
    <w:abstractNumId w:val="23"/>
  </w:num>
  <w:num w:numId="24">
    <w:abstractNumId w:val="24"/>
  </w:num>
  <w:num w:numId="25">
    <w:abstractNumId w:val="0"/>
  </w:num>
  <w:num w:numId="26">
    <w:abstractNumId w:val="16"/>
  </w:num>
  <w:num w:numId="27">
    <w:abstractNumId w:val="18"/>
  </w:num>
  <w:num w:numId="28">
    <w:abstractNumId w:val="18"/>
  </w:num>
  <w:num w:numId="29">
    <w:abstractNumId w:val="18"/>
  </w:num>
  <w:num w:numId="30">
    <w:abstractNumId w:val="18"/>
  </w:num>
  <w:num w:numId="31">
    <w:abstractNumId w:val="1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revisionView w:inkAnnotations="0"/>
  <w:defaultTabStop w:val="708"/>
  <w:hyphenationZone w:val="425"/>
  <w:drawingGridHorizontalSpacing w:val="120"/>
  <w:displayHorizontalDrawingGridEvery w:val="2"/>
  <w:noPunctuationKerning/>
  <w:characterSpacingControl w:val="doNotCompress"/>
  <w:hdrShapeDefaults>
    <o:shapedefaults v:ext="edit" spidmax="614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FD1"/>
    <w:rsid w:val="00000099"/>
    <w:rsid w:val="00000D17"/>
    <w:rsid w:val="00001C6D"/>
    <w:rsid w:val="00002448"/>
    <w:rsid w:val="00004280"/>
    <w:rsid w:val="00004C04"/>
    <w:rsid w:val="00004DE7"/>
    <w:rsid w:val="00006545"/>
    <w:rsid w:val="00007196"/>
    <w:rsid w:val="000078E9"/>
    <w:rsid w:val="00007F3D"/>
    <w:rsid w:val="00007F51"/>
    <w:rsid w:val="000102D6"/>
    <w:rsid w:val="0001074F"/>
    <w:rsid w:val="00010EA7"/>
    <w:rsid w:val="000119A0"/>
    <w:rsid w:val="0001256F"/>
    <w:rsid w:val="0001353B"/>
    <w:rsid w:val="000144E8"/>
    <w:rsid w:val="00014570"/>
    <w:rsid w:val="00015277"/>
    <w:rsid w:val="000163BE"/>
    <w:rsid w:val="00016E6D"/>
    <w:rsid w:val="000210D6"/>
    <w:rsid w:val="00021821"/>
    <w:rsid w:val="00022088"/>
    <w:rsid w:val="00022D6E"/>
    <w:rsid w:val="00023678"/>
    <w:rsid w:val="000236E1"/>
    <w:rsid w:val="000246CD"/>
    <w:rsid w:val="00025D22"/>
    <w:rsid w:val="00026492"/>
    <w:rsid w:val="00026691"/>
    <w:rsid w:val="00026F02"/>
    <w:rsid w:val="00027760"/>
    <w:rsid w:val="0002797F"/>
    <w:rsid w:val="00027C66"/>
    <w:rsid w:val="00027EFD"/>
    <w:rsid w:val="0003044C"/>
    <w:rsid w:val="00030A8B"/>
    <w:rsid w:val="00030B6C"/>
    <w:rsid w:val="00030CE8"/>
    <w:rsid w:val="00031C59"/>
    <w:rsid w:val="00032789"/>
    <w:rsid w:val="000341DC"/>
    <w:rsid w:val="00034324"/>
    <w:rsid w:val="00034A71"/>
    <w:rsid w:val="0003527F"/>
    <w:rsid w:val="00035B21"/>
    <w:rsid w:val="00036974"/>
    <w:rsid w:val="00037AAA"/>
    <w:rsid w:val="000424DF"/>
    <w:rsid w:val="00043B74"/>
    <w:rsid w:val="00044D9D"/>
    <w:rsid w:val="000455BC"/>
    <w:rsid w:val="00045AF4"/>
    <w:rsid w:val="00046E44"/>
    <w:rsid w:val="00047EF5"/>
    <w:rsid w:val="00047FA1"/>
    <w:rsid w:val="00050C26"/>
    <w:rsid w:val="00052DD2"/>
    <w:rsid w:val="000555EC"/>
    <w:rsid w:val="000556B4"/>
    <w:rsid w:val="00055723"/>
    <w:rsid w:val="00060097"/>
    <w:rsid w:val="0006108A"/>
    <w:rsid w:val="00061146"/>
    <w:rsid w:val="00061317"/>
    <w:rsid w:val="000615D9"/>
    <w:rsid w:val="00061771"/>
    <w:rsid w:val="00061D3D"/>
    <w:rsid w:val="000621D4"/>
    <w:rsid w:val="00064C76"/>
    <w:rsid w:val="00064F0B"/>
    <w:rsid w:val="000653E7"/>
    <w:rsid w:val="000673CD"/>
    <w:rsid w:val="00070D5A"/>
    <w:rsid w:val="000714B4"/>
    <w:rsid w:val="0007161F"/>
    <w:rsid w:val="00072800"/>
    <w:rsid w:val="0007315C"/>
    <w:rsid w:val="00075A7F"/>
    <w:rsid w:val="00075CB5"/>
    <w:rsid w:val="00076B3C"/>
    <w:rsid w:val="00077067"/>
    <w:rsid w:val="000772BF"/>
    <w:rsid w:val="00077E28"/>
    <w:rsid w:val="00080AAF"/>
    <w:rsid w:val="00082D34"/>
    <w:rsid w:val="00082EBA"/>
    <w:rsid w:val="0008322A"/>
    <w:rsid w:val="0008682B"/>
    <w:rsid w:val="00087C0D"/>
    <w:rsid w:val="00087DC9"/>
    <w:rsid w:val="00087DE0"/>
    <w:rsid w:val="0009150A"/>
    <w:rsid w:val="00091B40"/>
    <w:rsid w:val="00091BF3"/>
    <w:rsid w:val="00092035"/>
    <w:rsid w:val="00092479"/>
    <w:rsid w:val="00094F8C"/>
    <w:rsid w:val="00097D90"/>
    <w:rsid w:val="000A08D0"/>
    <w:rsid w:val="000A2679"/>
    <w:rsid w:val="000A3E96"/>
    <w:rsid w:val="000A4C32"/>
    <w:rsid w:val="000A58BD"/>
    <w:rsid w:val="000A5C3C"/>
    <w:rsid w:val="000A6AB8"/>
    <w:rsid w:val="000A7E76"/>
    <w:rsid w:val="000B1567"/>
    <w:rsid w:val="000B17C4"/>
    <w:rsid w:val="000B284E"/>
    <w:rsid w:val="000B35B2"/>
    <w:rsid w:val="000B379E"/>
    <w:rsid w:val="000B5821"/>
    <w:rsid w:val="000B798F"/>
    <w:rsid w:val="000B79F7"/>
    <w:rsid w:val="000B7DD4"/>
    <w:rsid w:val="000C0659"/>
    <w:rsid w:val="000C104F"/>
    <w:rsid w:val="000C1C4D"/>
    <w:rsid w:val="000C1F6C"/>
    <w:rsid w:val="000C3EAC"/>
    <w:rsid w:val="000C4278"/>
    <w:rsid w:val="000C4F83"/>
    <w:rsid w:val="000C6F42"/>
    <w:rsid w:val="000C7800"/>
    <w:rsid w:val="000D03B5"/>
    <w:rsid w:val="000D1409"/>
    <w:rsid w:val="000D2F75"/>
    <w:rsid w:val="000D3FC1"/>
    <w:rsid w:val="000D4A3A"/>
    <w:rsid w:val="000D4C4B"/>
    <w:rsid w:val="000D5B4F"/>
    <w:rsid w:val="000D5CD0"/>
    <w:rsid w:val="000D7359"/>
    <w:rsid w:val="000D7459"/>
    <w:rsid w:val="000D763F"/>
    <w:rsid w:val="000E156E"/>
    <w:rsid w:val="000E1F04"/>
    <w:rsid w:val="000E225E"/>
    <w:rsid w:val="000E2666"/>
    <w:rsid w:val="000E2D3A"/>
    <w:rsid w:val="000E49D4"/>
    <w:rsid w:val="000E4EC8"/>
    <w:rsid w:val="000E516A"/>
    <w:rsid w:val="000E6F05"/>
    <w:rsid w:val="000F0005"/>
    <w:rsid w:val="000F0801"/>
    <w:rsid w:val="000F23BA"/>
    <w:rsid w:val="000F391D"/>
    <w:rsid w:val="000F4643"/>
    <w:rsid w:val="000F5F7B"/>
    <w:rsid w:val="000F75D3"/>
    <w:rsid w:val="000F7968"/>
    <w:rsid w:val="001001AA"/>
    <w:rsid w:val="00101159"/>
    <w:rsid w:val="00101C63"/>
    <w:rsid w:val="001031A6"/>
    <w:rsid w:val="00103909"/>
    <w:rsid w:val="001042F2"/>
    <w:rsid w:val="00104F53"/>
    <w:rsid w:val="00105290"/>
    <w:rsid w:val="001057B2"/>
    <w:rsid w:val="0011001D"/>
    <w:rsid w:val="0011011C"/>
    <w:rsid w:val="0011086A"/>
    <w:rsid w:val="00111C18"/>
    <w:rsid w:val="00112F47"/>
    <w:rsid w:val="0011493F"/>
    <w:rsid w:val="00122412"/>
    <w:rsid w:val="0012263D"/>
    <w:rsid w:val="00122C6B"/>
    <w:rsid w:val="00122D43"/>
    <w:rsid w:val="00122F76"/>
    <w:rsid w:val="00124A50"/>
    <w:rsid w:val="00125A63"/>
    <w:rsid w:val="00126476"/>
    <w:rsid w:val="0012715F"/>
    <w:rsid w:val="00127A4C"/>
    <w:rsid w:val="00127E47"/>
    <w:rsid w:val="00130C2F"/>
    <w:rsid w:val="001328A5"/>
    <w:rsid w:val="00132D1C"/>
    <w:rsid w:val="00135BA5"/>
    <w:rsid w:val="00135E25"/>
    <w:rsid w:val="00136804"/>
    <w:rsid w:val="00137867"/>
    <w:rsid w:val="00140815"/>
    <w:rsid w:val="00140C1F"/>
    <w:rsid w:val="00141857"/>
    <w:rsid w:val="00142289"/>
    <w:rsid w:val="00143E0A"/>
    <w:rsid w:val="0014479F"/>
    <w:rsid w:val="001453EA"/>
    <w:rsid w:val="00145983"/>
    <w:rsid w:val="001459AB"/>
    <w:rsid w:val="00145FFD"/>
    <w:rsid w:val="001464B9"/>
    <w:rsid w:val="00147E92"/>
    <w:rsid w:val="00150E44"/>
    <w:rsid w:val="001518B0"/>
    <w:rsid w:val="00154FE4"/>
    <w:rsid w:val="00155EC7"/>
    <w:rsid w:val="00156500"/>
    <w:rsid w:val="001565AB"/>
    <w:rsid w:val="00157621"/>
    <w:rsid w:val="001644B2"/>
    <w:rsid w:val="001647CD"/>
    <w:rsid w:val="00165280"/>
    <w:rsid w:val="001667FB"/>
    <w:rsid w:val="00166C66"/>
    <w:rsid w:val="00167240"/>
    <w:rsid w:val="00167793"/>
    <w:rsid w:val="00170097"/>
    <w:rsid w:val="001701E0"/>
    <w:rsid w:val="00172409"/>
    <w:rsid w:val="00172673"/>
    <w:rsid w:val="0017267E"/>
    <w:rsid w:val="0017347F"/>
    <w:rsid w:val="00174451"/>
    <w:rsid w:val="0017485E"/>
    <w:rsid w:val="001754E3"/>
    <w:rsid w:val="00176331"/>
    <w:rsid w:val="00176364"/>
    <w:rsid w:val="00176514"/>
    <w:rsid w:val="0017691F"/>
    <w:rsid w:val="00176E4E"/>
    <w:rsid w:val="001776B6"/>
    <w:rsid w:val="0018074B"/>
    <w:rsid w:val="0018221B"/>
    <w:rsid w:val="001826B8"/>
    <w:rsid w:val="001830F3"/>
    <w:rsid w:val="0018473F"/>
    <w:rsid w:val="00185647"/>
    <w:rsid w:val="00186430"/>
    <w:rsid w:val="00187433"/>
    <w:rsid w:val="001900C0"/>
    <w:rsid w:val="001906DF"/>
    <w:rsid w:val="001912D2"/>
    <w:rsid w:val="001925FB"/>
    <w:rsid w:val="00193012"/>
    <w:rsid w:val="001943A7"/>
    <w:rsid w:val="001944B6"/>
    <w:rsid w:val="001950AC"/>
    <w:rsid w:val="0019597D"/>
    <w:rsid w:val="00197103"/>
    <w:rsid w:val="0019770A"/>
    <w:rsid w:val="00197BC5"/>
    <w:rsid w:val="001A0415"/>
    <w:rsid w:val="001A0991"/>
    <w:rsid w:val="001A253B"/>
    <w:rsid w:val="001A2F24"/>
    <w:rsid w:val="001A378D"/>
    <w:rsid w:val="001A3CD0"/>
    <w:rsid w:val="001A4B15"/>
    <w:rsid w:val="001A59B4"/>
    <w:rsid w:val="001A63D2"/>
    <w:rsid w:val="001A72D0"/>
    <w:rsid w:val="001A7BA0"/>
    <w:rsid w:val="001B0007"/>
    <w:rsid w:val="001B08A0"/>
    <w:rsid w:val="001B08AD"/>
    <w:rsid w:val="001B0B00"/>
    <w:rsid w:val="001B133D"/>
    <w:rsid w:val="001B2771"/>
    <w:rsid w:val="001B2CCD"/>
    <w:rsid w:val="001B2E29"/>
    <w:rsid w:val="001B30DE"/>
    <w:rsid w:val="001B3BDD"/>
    <w:rsid w:val="001B3F50"/>
    <w:rsid w:val="001B4542"/>
    <w:rsid w:val="001B464D"/>
    <w:rsid w:val="001B6ED6"/>
    <w:rsid w:val="001B7B61"/>
    <w:rsid w:val="001B7DFE"/>
    <w:rsid w:val="001B7F53"/>
    <w:rsid w:val="001C0640"/>
    <w:rsid w:val="001C0B14"/>
    <w:rsid w:val="001C1014"/>
    <w:rsid w:val="001C195B"/>
    <w:rsid w:val="001C199B"/>
    <w:rsid w:val="001C1C2B"/>
    <w:rsid w:val="001C29C7"/>
    <w:rsid w:val="001C2A99"/>
    <w:rsid w:val="001C2CE2"/>
    <w:rsid w:val="001C2F49"/>
    <w:rsid w:val="001C3FD0"/>
    <w:rsid w:val="001C4CA5"/>
    <w:rsid w:val="001C56A7"/>
    <w:rsid w:val="001C60D0"/>
    <w:rsid w:val="001C7A6E"/>
    <w:rsid w:val="001D1D0A"/>
    <w:rsid w:val="001D2155"/>
    <w:rsid w:val="001D2DA7"/>
    <w:rsid w:val="001D2E06"/>
    <w:rsid w:val="001D4B29"/>
    <w:rsid w:val="001D55E7"/>
    <w:rsid w:val="001D5C62"/>
    <w:rsid w:val="001E0AAB"/>
    <w:rsid w:val="001E0B09"/>
    <w:rsid w:val="001E17A5"/>
    <w:rsid w:val="001E1B72"/>
    <w:rsid w:val="001E240B"/>
    <w:rsid w:val="001E29B1"/>
    <w:rsid w:val="001E2C81"/>
    <w:rsid w:val="001E335D"/>
    <w:rsid w:val="001E51B7"/>
    <w:rsid w:val="001E5F6D"/>
    <w:rsid w:val="001E617B"/>
    <w:rsid w:val="001E617F"/>
    <w:rsid w:val="001E635B"/>
    <w:rsid w:val="001E6BA7"/>
    <w:rsid w:val="001E741D"/>
    <w:rsid w:val="001E7758"/>
    <w:rsid w:val="001F4025"/>
    <w:rsid w:val="001F4EDA"/>
    <w:rsid w:val="001F74A6"/>
    <w:rsid w:val="00200AEC"/>
    <w:rsid w:val="0020133A"/>
    <w:rsid w:val="00202074"/>
    <w:rsid w:val="00202814"/>
    <w:rsid w:val="002042C2"/>
    <w:rsid w:val="002048F5"/>
    <w:rsid w:val="00205734"/>
    <w:rsid w:val="00206A89"/>
    <w:rsid w:val="00207CB6"/>
    <w:rsid w:val="00210A94"/>
    <w:rsid w:val="00211E23"/>
    <w:rsid w:val="00212890"/>
    <w:rsid w:val="00214B1B"/>
    <w:rsid w:val="00215F93"/>
    <w:rsid w:val="0021712F"/>
    <w:rsid w:val="002202B9"/>
    <w:rsid w:val="00221200"/>
    <w:rsid w:val="00221633"/>
    <w:rsid w:val="002219E9"/>
    <w:rsid w:val="00221BB9"/>
    <w:rsid w:val="00222EFF"/>
    <w:rsid w:val="00223A87"/>
    <w:rsid w:val="0022434E"/>
    <w:rsid w:val="002273B3"/>
    <w:rsid w:val="0022754B"/>
    <w:rsid w:val="0023089B"/>
    <w:rsid w:val="00230DE3"/>
    <w:rsid w:val="0023164B"/>
    <w:rsid w:val="00232167"/>
    <w:rsid w:val="00232840"/>
    <w:rsid w:val="002329F2"/>
    <w:rsid w:val="00232D10"/>
    <w:rsid w:val="00235433"/>
    <w:rsid w:val="00235621"/>
    <w:rsid w:val="00236BD6"/>
    <w:rsid w:val="0024338F"/>
    <w:rsid w:val="002436F3"/>
    <w:rsid w:val="00243D8B"/>
    <w:rsid w:val="0024476B"/>
    <w:rsid w:val="002459DB"/>
    <w:rsid w:val="00245DA9"/>
    <w:rsid w:val="002466D3"/>
    <w:rsid w:val="00247919"/>
    <w:rsid w:val="002504DE"/>
    <w:rsid w:val="0025058F"/>
    <w:rsid w:val="00250663"/>
    <w:rsid w:val="002507E1"/>
    <w:rsid w:val="002510DE"/>
    <w:rsid w:val="002523C4"/>
    <w:rsid w:val="00252F78"/>
    <w:rsid w:val="0025330C"/>
    <w:rsid w:val="00253345"/>
    <w:rsid w:val="00254CD5"/>
    <w:rsid w:val="00255A5F"/>
    <w:rsid w:val="00255AB5"/>
    <w:rsid w:val="00256199"/>
    <w:rsid w:val="0025751E"/>
    <w:rsid w:val="0025756A"/>
    <w:rsid w:val="00257CE0"/>
    <w:rsid w:val="00257EE8"/>
    <w:rsid w:val="00260A9C"/>
    <w:rsid w:val="002624C9"/>
    <w:rsid w:val="00262702"/>
    <w:rsid w:val="00263326"/>
    <w:rsid w:val="0026487A"/>
    <w:rsid w:val="00264C9A"/>
    <w:rsid w:val="00266C0A"/>
    <w:rsid w:val="0027185F"/>
    <w:rsid w:val="00272552"/>
    <w:rsid w:val="00272A17"/>
    <w:rsid w:val="00274478"/>
    <w:rsid w:val="0027479F"/>
    <w:rsid w:val="00274F67"/>
    <w:rsid w:val="002752CF"/>
    <w:rsid w:val="00275346"/>
    <w:rsid w:val="002759F0"/>
    <w:rsid w:val="00277506"/>
    <w:rsid w:val="0027795C"/>
    <w:rsid w:val="00277B5E"/>
    <w:rsid w:val="00280445"/>
    <w:rsid w:val="002820A7"/>
    <w:rsid w:val="00283272"/>
    <w:rsid w:val="00284B23"/>
    <w:rsid w:val="0028576D"/>
    <w:rsid w:val="00285A70"/>
    <w:rsid w:val="00285B0F"/>
    <w:rsid w:val="00285DC0"/>
    <w:rsid w:val="00292116"/>
    <w:rsid w:val="002921B8"/>
    <w:rsid w:val="00292EAC"/>
    <w:rsid w:val="00293FAA"/>
    <w:rsid w:val="00294949"/>
    <w:rsid w:val="00294B23"/>
    <w:rsid w:val="0029601E"/>
    <w:rsid w:val="0029639B"/>
    <w:rsid w:val="002964CC"/>
    <w:rsid w:val="00297610"/>
    <w:rsid w:val="002A11C4"/>
    <w:rsid w:val="002A1C28"/>
    <w:rsid w:val="002A248E"/>
    <w:rsid w:val="002A3D11"/>
    <w:rsid w:val="002A46CF"/>
    <w:rsid w:val="002A4B04"/>
    <w:rsid w:val="002B0267"/>
    <w:rsid w:val="002B03DA"/>
    <w:rsid w:val="002B2E69"/>
    <w:rsid w:val="002B3AC4"/>
    <w:rsid w:val="002B52C8"/>
    <w:rsid w:val="002B5D5B"/>
    <w:rsid w:val="002B6173"/>
    <w:rsid w:val="002B639C"/>
    <w:rsid w:val="002C149A"/>
    <w:rsid w:val="002C3EA4"/>
    <w:rsid w:val="002C3FB3"/>
    <w:rsid w:val="002C6D5D"/>
    <w:rsid w:val="002C7EF4"/>
    <w:rsid w:val="002D0017"/>
    <w:rsid w:val="002D07CE"/>
    <w:rsid w:val="002D17B6"/>
    <w:rsid w:val="002D3920"/>
    <w:rsid w:val="002D63DB"/>
    <w:rsid w:val="002D6FEB"/>
    <w:rsid w:val="002D728C"/>
    <w:rsid w:val="002E003D"/>
    <w:rsid w:val="002E1B7C"/>
    <w:rsid w:val="002E2A7E"/>
    <w:rsid w:val="002E3399"/>
    <w:rsid w:val="002E540E"/>
    <w:rsid w:val="002E577C"/>
    <w:rsid w:val="002E5F59"/>
    <w:rsid w:val="002E685F"/>
    <w:rsid w:val="002E77A8"/>
    <w:rsid w:val="002F10E8"/>
    <w:rsid w:val="002F1436"/>
    <w:rsid w:val="002F148C"/>
    <w:rsid w:val="002F19E1"/>
    <w:rsid w:val="002F1B03"/>
    <w:rsid w:val="002F221C"/>
    <w:rsid w:val="002F2878"/>
    <w:rsid w:val="002F28C9"/>
    <w:rsid w:val="002F2FBB"/>
    <w:rsid w:val="002F3BC3"/>
    <w:rsid w:val="002F3C8E"/>
    <w:rsid w:val="002F3F84"/>
    <w:rsid w:val="002F4DF6"/>
    <w:rsid w:val="002F52B2"/>
    <w:rsid w:val="002F5F35"/>
    <w:rsid w:val="002F672A"/>
    <w:rsid w:val="002F6AE6"/>
    <w:rsid w:val="002F7EEA"/>
    <w:rsid w:val="00300957"/>
    <w:rsid w:val="00300B10"/>
    <w:rsid w:val="0030106D"/>
    <w:rsid w:val="00301EB7"/>
    <w:rsid w:val="003021A6"/>
    <w:rsid w:val="00302426"/>
    <w:rsid w:val="00303C35"/>
    <w:rsid w:val="00305D04"/>
    <w:rsid w:val="0030634D"/>
    <w:rsid w:val="003075BD"/>
    <w:rsid w:val="00307E9C"/>
    <w:rsid w:val="0031027B"/>
    <w:rsid w:val="003104C9"/>
    <w:rsid w:val="003111D2"/>
    <w:rsid w:val="00311709"/>
    <w:rsid w:val="0031213B"/>
    <w:rsid w:val="003121C5"/>
    <w:rsid w:val="0031312A"/>
    <w:rsid w:val="00314831"/>
    <w:rsid w:val="00314D5E"/>
    <w:rsid w:val="00314EAD"/>
    <w:rsid w:val="00314FC1"/>
    <w:rsid w:val="00316F85"/>
    <w:rsid w:val="003174AE"/>
    <w:rsid w:val="00320ADF"/>
    <w:rsid w:val="00320B64"/>
    <w:rsid w:val="0032119A"/>
    <w:rsid w:val="003217ED"/>
    <w:rsid w:val="0032202C"/>
    <w:rsid w:val="003225B3"/>
    <w:rsid w:val="0032269E"/>
    <w:rsid w:val="00323E7E"/>
    <w:rsid w:val="00324192"/>
    <w:rsid w:val="003247E2"/>
    <w:rsid w:val="003248EA"/>
    <w:rsid w:val="00330126"/>
    <w:rsid w:val="00330828"/>
    <w:rsid w:val="0033128D"/>
    <w:rsid w:val="00331709"/>
    <w:rsid w:val="00332CF2"/>
    <w:rsid w:val="003330E6"/>
    <w:rsid w:val="00333A44"/>
    <w:rsid w:val="00334D34"/>
    <w:rsid w:val="003355E7"/>
    <w:rsid w:val="00335F92"/>
    <w:rsid w:val="0033717B"/>
    <w:rsid w:val="00337CB5"/>
    <w:rsid w:val="003407AE"/>
    <w:rsid w:val="00341F1F"/>
    <w:rsid w:val="00344883"/>
    <w:rsid w:val="0034545C"/>
    <w:rsid w:val="003503E2"/>
    <w:rsid w:val="00350612"/>
    <w:rsid w:val="0035061E"/>
    <w:rsid w:val="00351248"/>
    <w:rsid w:val="0035172D"/>
    <w:rsid w:val="003531B8"/>
    <w:rsid w:val="00354208"/>
    <w:rsid w:val="00355250"/>
    <w:rsid w:val="00355335"/>
    <w:rsid w:val="00356055"/>
    <w:rsid w:val="0035667E"/>
    <w:rsid w:val="00357663"/>
    <w:rsid w:val="00361D3A"/>
    <w:rsid w:val="0036329F"/>
    <w:rsid w:val="00363428"/>
    <w:rsid w:val="003641B1"/>
    <w:rsid w:val="00365F0C"/>
    <w:rsid w:val="00366AF2"/>
    <w:rsid w:val="00367EE1"/>
    <w:rsid w:val="0037098B"/>
    <w:rsid w:val="00372BE8"/>
    <w:rsid w:val="00373350"/>
    <w:rsid w:val="00374C4E"/>
    <w:rsid w:val="00376584"/>
    <w:rsid w:val="003765B7"/>
    <w:rsid w:val="00377834"/>
    <w:rsid w:val="0037797E"/>
    <w:rsid w:val="00377B9F"/>
    <w:rsid w:val="003820AC"/>
    <w:rsid w:val="00382F1C"/>
    <w:rsid w:val="00383128"/>
    <w:rsid w:val="00383D72"/>
    <w:rsid w:val="00383DF0"/>
    <w:rsid w:val="00383F87"/>
    <w:rsid w:val="0038493F"/>
    <w:rsid w:val="00385A41"/>
    <w:rsid w:val="00386902"/>
    <w:rsid w:val="00390222"/>
    <w:rsid w:val="00391DAA"/>
    <w:rsid w:val="00392943"/>
    <w:rsid w:val="00394845"/>
    <w:rsid w:val="00395030"/>
    <w:rsid w:val="003956C4"/>
    <w:rsid w:val="00395AB2"/>
    <w:rsid w:val="00396022"/>
    <w:rsid w:val="00396E33"/>
    <w:rsid w:val="003974D0"/>
    <w:rsid w:val="003A220D"/>
    <w:rsid w:val="003A3001"/>
    <w:rsid w:val="003A3BC6"/>
    <w:rsid w:val="003A4A80"/>
    <w:rsid w:val="003A4DA4"/>
    <w:rsid w:val="003A741E"/>
    <w:rsid w:val="003B0620"/>
    <w:rsid w:val="003B1A8B"/>
    <w:rsid w:val="003B1AB6"/>
    <w:rsid w:val="003B223F"/>
    <w:rsid w:val="003B246F"/>
    <w:rsid w:val="003B2E4F"/>
    <w:rsid w:val="003B502D"/>
    <w:rsid w:val="003B5ABE"/>
    <w:rsid w:val="003B6682"/>
    <w:rsid w:val="003B683B"/>
    <w:rsid w:val="003B6CF1"/>
    <w:rsid w:val="003B7675"/>
    <w:rsid w:val="003B78E0"/>
    <w:rsid w:val="003C00D7"/>
    <w:rsid w:val="003C15A4"/>
    <w:rsid w:val="003C1995"/>
    <w:rsid w:val="003C2042"/>
    <w:rsid w:val="003C453B"/>
    <w:rsid w:val="003C5943"/>
    <w:rsid w:val="003C59F8"/>
    <w:rsid w:val="003C7211"/>
    <w:rsid w:val="003D18A7"/>
    <w:rsid w:val="003D4527"/>
    <w:rsid w:val="003D65F7"/>
    <w:rsid w:val="003D75E4"/>
    <w:rsid w:val="003E3D28"/>
    <w:rsid w:val="003E3F88"/>
    <w:rsid w:val="003E45C0"/>
    <w:rsid w:val="003E4803"/>
    <w:rsid w:val="003E6278"/>
    <w:rsid w:val="003F053E"/>
    <w:rsid w:val="003F0600"/>
    <w:rsid w:val="003F1F88"/>
    <w:rsid w:val="003F1FD9"/>
    <w:rsid w:val="003F25DA"/>
    <w:rsid w:val="003F545A"/>
    <w:rsid w:val="003F5AF7"/>
    <w:rsid w:val="003F60B7"/>
    <w:rsid w:val="003F6A86"/>
    <w:rsid w:val="003F6B56"/>
    <w:rsid w:val="004007C0"/>
    <w:rsid w:val="00400E00"/>
    <w:rsid w:val="00401735"/>
    <w:rsid w:val="00401EF1"/>
    <w:rsid w:val="00402504"/>
    <w:rsid w:val="0040267F"/>
    <w:rsid w:val="004026DC"/>
    <w:rsid w:val="00402909"/>
    <w:rsid w:val="00402B42"/>
    <w:rsid w:val="0040436A"/>
    <w:rsid w:val="00404845"/>
    <w:rsid w:val="004048F2"/>
    <w:rsid w:val="00404A26"/>
    <w:rsid w:val="00404A9B"/>
    <w:rsid w:val="00405147"/>
    <w:rsid w:val="004077E4"/>
    <w:rsid w:val="00407B8C"/>
    <w:rsid w:val="0041260A"/>
    <w:rsid w:val="00413277"/>
    <w:rsid w:val="0041432A"/>
    <w:rsid w:val="0041561F"/>
    <w:rsid w:val="0041610A"/>
    <w:rsid w:val="00416F14"/>
    <w:rsid w:val="00417452"/>
    <w:rsid w:val="00417A73"/>
    <w:rsid w:val="00417EF5"/>
    <w:rsid w:val="00420E4C"/>
    <w:rsid w:val="004215EB"/>
    <w:rsid w:val="004219B4"/>
    <w:rsid w:val="00421FD5"/>
    <w:rsid w:val="004233F3"/>
    <w:rsid w:val="00424990"/>
    <w:rsid w:val="00426627"/>
    <w:rsid w:val="0043110C"/>
    <w:rsid w:val="004317BF"/>
    <w:rsid w:val="00431E3F"/>
    <w:rsid w:val="0043222D"/>
    <w:rsid w:val="00433101"/>
    <w:rsid w:val="00434064"/>
    <w:rsid w:val="00434620"/>
    <w:rsid w:val="00434E4E"/>
    <w:rsid w:val="00435D37"/>
    <w:rsid w:val="00436280"/>
    <w:rsid w:val="00436AD5"/>
    <w:rsid w:val="004375ED"/>
    <w:rsid w:val="004400D9"/>
    <w:rsid w:val="004434BD"/>
    <w:rsid w:val="00444674"/>
    <w:rsid w:val="00445B12"/>
    <w:rsid w:val="00450001"/>
    <w:rsid w:val="00451743"/>
    <w:rsid w:val="00452346"/>
    <w:rsid w:val="00452812"/>
    <w:rsid w:val="00454097"/>
    <w:rsid w:val="004542CE"/>
    <w:rsid w:val="004542FF"/>
    <w:rsid w:val="004552BD"/>
    <w:rsid w:val="004559A6"/>
    <w:rsid w:val="00456124"/>
    <w:rsid w:val="004563B6"/>
    <w:rsid w:val="00457F8D"/>
    <w:rsid w:val="004619DA"/>
    <w:rsid w:val="00462568"/>
    <w:rsid w:val="0046432D"/>
    <w:rsid w:val="00464500"/>
    <w:rsid w:val="0046482B"/>
    <w:rsid w:val="00465430"/>
    <w:rsid w:val="00467750"/>
    <w:rsid w:val="004706AE"/>
    <w:rsid w:val="004713A3"/>
    <w:rsid w:val="00473252"/>
    <w:rsid w:val="004735C5"/>
    <w:rsid w:val="00474014"/>
    <w:rsid w:val="0047455B"/>
    <w:rsid w:val="0047696E"/>
    <w:rsid w:val="00477884"/>
    <w:rsid w:val="00480D69"/>
    <w:rsid w:val="004819F6"/>
    <w:rsid w:val="00481FEF"/>
    <w:rsid w:val="004827DE"/>
    <w:rsid w:val="00482A14"/>
    <w:rsid w:val="00483AA1"/>
    <w:rsid w:val="00483EE9"/>
    <w:rsid w:val="0048708B"/>
    <w:rsid w:val="0048792F"/>
    <w:rsid w:val="00491B28"/>
    <w:rsid w:val="00491D4E"/>
    <w:rsid w:val="004938BC"/>
    <w:rsid w:val="00495285"/>
    <w:rsid w:val="00496FE7"/>
    <w:rsid w:val="004A310D"/>
    <w:rsid w:val="004A3AE8"/>
    <w:rsid w:val="004B0D92"/>
    <w:rsid w:val="004B1B2A"/>
    <w:rsid w:val="004B2366"/>
    <w:rsid w:val="004B286B"/>
    <w:rsid w:val="004B355F"/>
    <w:rsid w:val="004B3DDA"/>
    <w:rsid w:val="004B3EA1"/>
    <w:rsid w:val="004B5336"/>
    <w:rsid w:val="004B6DA7"/>
    <w:rsid w:val="004B7E39"/>
    <w:rsid w:val="004C118C"/>
    <w:rsid w:val="004C2D18"/>
    <w:rsid w:val="004C2F33"/>
    <w:rsid w:val="004C5046"/>
    <w:rsid w:val="004C782A"/>
    <w:rsid w:val="004C7887"/>
    <w:rsid w:val="004D0289"/>
    <w:rsid w:val="004D11FF"/>
    <w:rsid w:val="004D1E72"/>
    <w:rsid w:val="004D2067"/>
    <w:rsid w:val="004D3B79"/>
    <w:rsid w:val="004D505E"/>
    <w:rsid w:val="004D61F1"/>
    <w:rsid w:val="004D63B0"/>
    <w:rsid w:val="004D6986"/>
    <w:rsid w:val="004D6BE3"/>
    <w:rsid w:val="004E0128"/>
    <w:rsid w:val="004E0E1C"/>
    <w:rsid w:val="004E14FF"/>
    <w:rsid w:val="004E1A51"/>
    <w:rsid w:val="004E1B63"/>
    <w:rsid w:val="004E2197"/>
    <w:rsid w:val="004E2F8B"/>
    <w:rsid w:val="004E321D"/>
    <w:rsid w:val="004E3B6B"/>
    <w:rsid w:val="004E3F06"/>
    <w:rsid w:val="004E4DBC"/>
    <w:rsid w:val="004E5ACB"/>
    <w:rsid w:val="004E61D3"/>
    <w:rsid w:val="004E64BE"/>
    <w:rsid w:val="004E6A74"/>
    <w:rsid w:val="004E7549"/>
    <w:rsid w:val="004E7CF2"/>
    <w:rsid w:val="004F00BB"/>
    <w:rsid w:val="004F199F"/>
    <w:rsid w:val="004F1AD8"/>
    <w:rsid w:val="004F1B95"/>
    <w:rsid w:val="004F2217"/>
    <w:rsid w:val="004F2A5A"/>
    <w:rsid w:val="004F36E7"/>
    <w:rsid w:val="004F3921"/>
    <w:rsid w:val="004F6227"/>
    <w:rsid w:val="004F6FB2"/>
    <w:rsid w:val="00500351"/>
    <w:rsid w:val="005015F5"/>
    <w:rsid w:val="005024C5"/>
    <w:rsid w:val="00503224"/>
    <w:rsid w:val="00503E40"/>
    <w:rsid w:val="00503FD6"/>
    <w:rsid w:val="005079F6"/>
    <w:rsid w:val="005105D3"/>
    <w:rsid w:val="00510CE2"/>
    <w:rsid w:val="00511C1D"/>
    <w:rsid w:val="005121AD"/>
    <w:rsid w:val="00513313"/>
    <w:rsid w:val="0051416A"/>
    <w:rsid w:val="00516458"/>
    <w:rsid w:val="00517AD9"/>
    <w:rsid w:val="00522540"/>
    <w:rsid w:val="0052276C"/>
    <w:rsid w:val="005232D9"/>
    <w:rsid w:val="005237AE"/>
    <w:rsid w:val="00523B08"/>
    <w:rsid w:val="00524E94"/>
    <w:rsid w:val="00526020"/>
    <w:rsid w:val="005260D1"/>
    <w:rsid w:val="0052631C"/>
    <w:rsid w:val="0052694C"/>
    <w:rsid w:val="00530310"/>
    <w:rsid w:val="005307D1"/>
    <w:rsid w:val="0053195E"/>
    <w:rsid w:val="00531A4E"/>
    <w:rsid w:val="00531D5C"/>
    <w:rsid w:val="00532C93"/>
    <w:rsid w:val="0053327A"/>
    <w:rsid w:val="00534193"/>
    <w:rsid w:val="00534497"/>
    <w:rsid w:val="00534538"/>
    <w:rsid w:val="005354C1"/>
    <w:rsid w:val="00535B29"/>
    <w:rsid w:val="0053618B"/>
    <w:rsid w:val="005366F9"/>
    <w:rsid w:val="005370FE"/>
    <w:rsid w:val="00537B34"/>
    <w:rsid w:val="00540DA4"/>
    <w:rsid w:val="00540FA9"/>
    <w:rsid w:val="005411CA"/>
    <w:rsid w:val="0054173D"/>
    <w:rsid w:val="00541C18"/>
    <w:rsid w:val="0054238F"/>
    <w:rsid w:val="00542CB7"/>
    <w:rsid w:val="005438A0"/>
    <w:rsid w:val="00544A66"/>
    <w:rsid w:val="00545623"/>
    <w:rsid w:val="00545819"/>
    <w:rsid w:val="00546449"/>
    <w:rsid w:val="00547410"/>
    <w:rsid w:val="0055025C"/>
    <w:rsid w:val="005516E5"/>
    <w:rsid w:val="00552091"/>
    <w:rsid w:val="005529AB"/>
    <w:rsid w:val="00553825"/>
    <w:rsid w:val="005539DC"/>
    <w:rsid w:val="00555C36"/>
    <w:rsid w:val="00555E85"/>
    <w:rsid w:val="0055672C"/>
    <w:rsid w:val="0055682D"/>
    <w:rsid w:val="005570F3"/>
    <w:rsid w:val="00557399"/>
    <w:rsid w:val="0055788A"/>
    <w:rsid w:val="00557BC7"/>
    <w:rsid w:val="00560BFB"/>
    <w:rsid w:val="00561708"/>
    <w:rsid w:val="00561DAE"/>
    <w:rsid w:val="00563BBB"/>
    <w:rsid w:val="00564114"/>
    <w:rsid w:val="00565B66"/>
    <w:rsid w:val="005668E6"/>
    <w:rsid w:val="00566D3F"/>
    <w:rsid w:val="00566EDF"/>
    <w:rsid w:val="0057046E"/>
    <w:rsid w:val="005710A7"/>
    <w:rsid w:val="0057137F"/>
    <w:rsid w:val="00571952"/>
    <w:rsid w:val="005726F1"/>
    <w:rsid w:val="005727AF"/>
    <w:rsid w:val="005746B3"/>
    <w:rsid w:val="0057498B"/>
    <w:rsid w:val="005758B8"/>
    <w:rsid w:val="0057677C"/>
    <w:rsid w:val="00577BD3"/>
    <w:rsid w:val="00580BA7"/>
    <w:rsid w:val="0058139F"/>
    <w:rsid w:val="00583A13"/>
    <w:rsid w:val="00587EFB"/>
    <w:rsid w:val="00590D0D"/>
    <w:rsid w:val="00592083"/>
    <w:rsid w:val="00592943"/>
    <w:rsid w:val="00592E36"/>
    <w:rsid w:val="00593710"/>
    <w:rsid w:val="00596767"/>
    <w:rsid w:val="00596E96"/>
    <w:rsid w:val="005A0039"/>
    <w:rsid w:val="005A0BDE"/>
    <w:rsid w:val="005A1AE0"/>
    <w:rsid w:val="005A1B4A"/>
    <w:rsid w:val="005A22BA"/>
    <w:rsid w:val="005A24DD"/>
    <w:rsid w:val="005A24DE"/>
    <w:rsid w:val="005A287A"/>
    <w:rsid w:val="005A33B9"/>
    <w:rsid w:val="005A4B43"/>
    <w:rsid w:val="005A61E5"/>
    <w:rsid w:val="005A776B"/>
    <w:rsid w:val="005A7B55"/>
    <w:rsid w:val="005B1CAB"/>
    <w:rsid w:val="005B2126"/>
    <w:rsid w:val="005B251E"/>
    <w:rsid w:val="005B2A65"/>
    <w:rsid w:val="005B30F6"/>
    <w:rsid w:val="005B3498"/>
    <w:rsid w:val="005B4AA2"/>
    <w:rsid w:val="005B6CC0"/>
    <w:rsid w:val="005B7F9D"/>
    <w:rsid w:val="005C1299"/>
    <w:rsid w:val="005C1F17"/>
    <w:rsid w:val="005C2D28"/>
    <w:rsid w:val="005C3A81"/>
    <w:rsid w:val="005C5212"/>
    <w:rsid w:val="005C5A38"/>
    <w:rsid w:val="005C5BB9"/>
    <w:rsid w:val="005C5FB7"/>
    <w:rsid w:val="005D030C"/>
    <w:rsid w:val="005D103F"/>
    <w:rsid w:val="005D2161"/>
    <w:rsid w:val="005D5500"/>
    <w:rsid w:val="005D56DB"/>
    <w:rsid w:val="005D6AD0"/>
    <w:rsid w:val="005D6CA6"/>
    <w:rsid w:val="005D7377"/>
    <w:rsid w:val="005E2B57"/>
    <w:rsid w:val="005E42D7"/>
    <w:rsid w:val="005E4FA4"/>
    <w:rsid w:val="005E6C75"/>
    <w:rsid w:val="005E6D62"/>
    <w:rsid w:val="005F0DF9"/>
    <w:rsid w:val="005F1AF3"/>
    <w:rsid w:val="005F22A9"/>
    <w:rsid w:val="005F27C9"/>
    <w:rsid w:val="005F3299"/>
    <w:rsid w:val="005F3E57"/>
    <w:rsid w:val="005F4374"/>
    <w:rsid w:val="005F4AC8"/>
    <w:rsid w:val="005F5CA7"/>
    <w:rsid w:val="006008B3"/>
    <w:rsid w:val="00600BDB"/>
    <w:rsid w:val="00600C04"/>
    <w:rsid w:val="00601F6A"/>
    <w:rsid w:val="00602762"/>
    <w:rsid w:val="00603B50"/>
    <w:rsid w:val="00603C7A"/>
    <w:rsid w:val="006058F7"/>
    <w:rsid w:val="00605AFE"/>
    <w:rsid w:val="00606CED"/>
    <w:rsid w:val="00607433"/>
    <w:rsid w:val="00607D9B"/>
    <w:rsid w:val="006101DF"/>
    <w:rsid w:val="006113E0"/>
    <w:rsid w:val="006118D6"/>
    <w:rsid w:val="00612029"/>
    <w:rsid w:val="00612699"/>
    <w:rsid w:val="006134D3"/>
    <w:rsid w:val="00613CDA"/>
    <w:rsid w:val="00614E18"/>
    <w:rsid w:val="00615396"/>
    <w:rsid w:val="00615CB9"/>
    <w:rsid w:val="006162D4"/>
    <w:rsid w:val="0061688C"/>
    <w:rsid w:val="00616A8D"/>
    <w:rsid w:val="00616DAE"/>
    <w:rsid w:val="0062154D"/>
    <w:rsid w:val="006217C9"/>
    <w:rsid w:val="00622713"/>
    <w:rsid w:val="00622FE0"/>
    <w:rsid w:val="006231D0"/>
    <w:rsid w:val="00623461"/>
    <w:rsid w:val="00623D3B"/>
    <w:rsid w:val="0062515C"/>
    <w:rsid w:val="00627D08"/>
    <w:rsid w:val="006300DD"/>
    <w:rsid w:val="00630647"/>
    <w:rsid w:val="0063195D"/>
    <w:rsid w:val="00632BDD"/>
    <w:rsid w:val="00632F87"/>
    <w:rsid w:val="0063320D"/>
    <w:rsid w:val="0063377A"/>
    <w:rsid w:val="0063542D"/>
    <w:rsid w:val="00635AB9"/>
    <w:rsid w:val="00637598"/>
    <w:rsid w:val="00637C48"/>
    <w:rsid w:val="006403A6"/>
    <w:rsid w:val="0064087D"/>
    <w:rsid w:val="00641043"/>
    <w:rsid w:val="00644080"/>
    <w:rsid w:val="00645510"/>
    <w:rsid w:val="0064593B"/>
    <w:rsid w:val="0065011F"/>
    <w:rsid w:val="006506E8"/>
    <w:rsid w:val="00651CC1"/>
    <w:rsid w:val="00651DBC"/>
    <w:rsid w:val="00652DF2"/>
    <w:rsid w:val="006549E7"/>
    <w:rsid w:val="00654CA9"/>
    <w:rsid w:val="006555B7"/>
    <w:rsid w:val="00655B62"/>
    <w:rsid w:val="00656229"/>
    <w:rsid w:val="00657A77"/>
    <w:rsid w:val="00660E51"/>
    <w:rsid w:val="0066545B"/>
    <w:rsid w:val="006659F2"/>
    <w:rsid w:val="00665E71"/>
    <w:rsid w:val="0066694F"/>
    <w:rsid w:val="0066723A"/>
    <w:rsid w:val="00667C52"/>
    <w:rsid w:val="00667E67"/>
    <w:rsid w:val="0067069D"/>
    <w:rsid w:val="00670C64"/>
    <w:rsid w:val="00671898"/>
    <w:rsid w:val="0067232A"/>
    <w:rsid w:val="0067254A"/>
    <w:rsid w:val="00672BC6"/>
    <w:rsid w:val="00672FB3"/>
    <w:rsid w:val="00673883"/>
    <w:rsid w:val="0067404B"/>
    <w:rsid w:val="00674752"/>
    <w:rsid w:val="00675396"/>
    <w:rsid w:val="0067590F"/>
    <w:rsid w:val="00677D3E"/>
    <w:rsid w:val="006807AC"/>
    <w:rsid w:val="006822C9"/>
    <w:rsid w:val="00682553"/>
    <w:rsid w:val="006828E3"/>
    <w:rsid w:val="00683A58"/>
    <w:rsid w:val="00684C60"/>
    <w:rsid w:val="00684FC7"/>
    <w:rsid w:val="00685043"/>
    <w:rsid w:val="00685C71"/>
    <w:rsid w:val="00687AC3"/>
    <w:rsid w:val="00691A26"/>
    <w:rsid w:val="00692918"/>
    <w:rsid w:val="0069499B"/>
    <w:rsid w:val="006957FF"/>
    <w:rsid w:val="00696682"/>
    <w:rsid w:val="00696EC9"/>
    <w:rsid w:val="006A0558"/>
    <w:rsid w:val="006A1CFC"/>
    <w:rsid w:val="006A285B"/>
    <w:rsid w:val="006A2E27"/>
    <w:rsid w:val="006A3C72"/>
    <w:rsid w:val="006A40A1"/>
    <w:rsid w:val="006A4539"/>
    <w:rsid w:val="006A4AAD"/>
    <w:rsid w:val="006A4BDB"/>
    <w:rsid w:val="006A4C51"/>
    <w:rsid w:val="006A4C70"/>
    <w:rsid w:val="006A513B"/>
    <w:rsid w:val="006A5222"/>
    <w:rsid w:val="006A5267"/>
    <w:rsid w:val="006A5C59"/>
    <w:rsid w:val="006A613D"/>
    <w:rsid w:val="006A6F8D"/>
    <w:rsid w:val="006B0104"/>
    <w:rsid w:val="006B03A5"/>
    <w:rsid w:val="006B2050"/>
    <w:rsid w:val="006B41B9"/>
    <w:rsid w:val="006B42F4"/>
    <w:rsid w:val="006B5224"/>
    <w:rsid w:val="006B5B6D"/>
    <w:rsid w:val="006B5B90"/>
    <w:rsid w:val="006B666F"/>
    <w:rsid w:val="006B6DB6"/>
    <w:rsid w:val="006B6E54"/>
    <w:rsid w:val="006B74F3"/>
    <w:rsid w:val="006B7BE0"/>
    <w:rsid w:val="006C093A"/>
    <w:rsid w:val="006C0987"/>
    <w:rsid w:val="006C0F4D"/>
    <w:rsid w:val="006C1689"/>
    <w:rsid w:val="006C1826"/>
    <w:rsid w:val="006C22A1"/>
    <w:rsid w:val="006C256B"/>
    <w:rsid w:val="006C3698"/>
    <w:rsid w:val="006C48C5"/>
    <w:rsid w:val="006C55F0"/>
    <w:rsid w:val="006C6B54"/>
    <w:rsid w:val="006C6BE3"/>
    <w:rsid w:val="006C7A9F"/>
    <w:rsid w:val="006D01EC"/>
    <w:rsid w:val="006D206C"/>
    <w:rsid w:val="006D4856"/>
    <w:rsid w:val="006D4F57"/>
    <w:rsid w:val="006D5556"/>
    <w:rsid w:val="006D5868"/>
    <w:rsid w:val="006D60AF"/>
    <w:rsid w:val="006D6D68"/>
    <w:rsid w:val="006D78E8"/>
    <w:rsid w:val="006D7937"/>
    <w:rsid w:val="006E05C1"/>
    <w:rsid w:val="006E2B05"/>
    <w:rsid w:val="006E332B"/>
    <w:rsid w:val="006E39F6"/>
    <w:rsid w:val="006E3CED"/>
    <w:rsid w:val="006E4047"/>
    <w:rsid w:val="006E4791"/>
    <w:rsid w:val="006E5CB3"/>
    <w:rsid w:val="006E69ED"/>
    <w:rsid w:val="006E70B0"/>
    <w:rsid w:val="006F0226"/>
    <w:rsid w:val="006F0F69"/>
    <w:rsid w:val="006F1339"/>
    <w:rsid w:val="006F17C5"/>
    <w:rsid w:val="006F1C66"/>
    <w:rsid w:val="006F1E1A"/>
    <w:rsid w:val="006F5096"/>
    <w:rsid w:val="006F5554"/>
    <w:rsid w:val="006F5EB4"/>
    <w:rsid w:val="006F6589"/>
    <w:rsid w:val="006F7E58"/>
    <w:rsid w:val="00700548"/>
    <w:rsid w:val="007018E4"/>
    <w:rsid w:val="00701AB0"/>
    <w:rsid w:val="0070310D"/>
    <w:rsid w:val="0070566D"/>
    <w:rsid w:val="00705918"/>
    <w:rsid w:val="00705A3C"/>
    <w:rsid w:val="007066FB"/>
    <w:rsid w:val="007076FA"/>
    <w:rsid w:val="007079A0"/>
    <w:rsid w:val="00710E58"/>
    <w:rsid w:val="00711106"/>
    <w:rsid w:val="00711156"/>
    <w:rsid w:val="0071293B"/>
    <w:rsid w:val="0071324C"/>
    <w:rsid w:val="0071424D"/>
    <w:rsid w:val="00716DC2"/>
    <w:rsid w:val="00717305"/>
    <w:rsid w:val="00722215"/>
    <w:rsid w:val="00723538"/>
    <w:rsid w:val="00723BE6"/>
    <w:rsid w:val="00724B75"/>
    <w:rsid w:val="00725257"/>
    <w:rsid w:val="007255E3"/>
    <w:rsid w:val="007262DC"/>
    <w:rsid w:val="007265DB"/>
    <w:rsid w:val="00727646"/>
    <w:rsid w:val="00727DB1"/>
    <w:rsid w:val="007327C1"/>
    <w:rsid w:val="0073324B"/>
    <w:rsid w:val="0073354D"/>
    <w:rsid w:val="00733C6A"/>
    <w:rsid w:val="00734431"/>
    <w:rsid w:val="007345F5"/>
    <w:rsid w:val="00734CA0"/>
    <w:rsid w:val="00735A93"/>
    <w:rsid w:val="007361FE"/>
    <w:rsid w:val="00736EE2"/>
    <w:rsid w:val="007373D8"/>
    <w:rsid w:val="00737BB3"/>
    <w:rsid w:val="0074017E"/>
    <w:rsid w:val="00740292"/>
    <w:rsid w:val="0074302A"/>
    <w:rsid w:val="007451B9"/>
    <w:rsid w:val="00746051"/>
    <w:rsid w:val="0074731C"/>
    <w:rsid w:val="007473A7"/>
    <w:rsid w:val="00747F43"/>
    <w:rsid w:val="0075085E"/>
    <w:rsid w:val="00750ED8"/>
    <w:rsid w:val="0075120F"/>
    <w:rsid w:val="00751CFA"/>
    <w:rsid w:val="00753540"/>
    <w:rsid w:val="007545D0"/>
    <w:rsid w:val="007550FF"/>
    <w:rsid w:val="007553B7"/>
    <w:rsid w:val="0075589C"/>
    <w:rsid w:val="00755944"/>
    <w:rsid w:val="00755994"/>
    <w:rsid w:val="00755C1B"/>
    <w:rsid w:val="00756ECA"/>
    <w:rsid w:val="00760249"/>
    <w:rsid w:val="00761785"/>
    <w:rsid w:val="007617A3"/>
    <w:rsid w:val="00762EC5"/>
    <w:rsid w:val="007638CB"/>
    <w:rsid w:val="00763BF3"/>
    <w:rsid w:val="00765FE6"/>
    <w:rsid w:val="007665FF"/>
    <w:rsid w:val="00766879"/>
    <w:rsid w:val="00767A7D"/>
    <w:rsid w:val="00771261"/>
    <w:rsid w:val="007718F7"/>
    <w:rsid w:val="00772217"/>
    <w:rsid w:val="007722D4"/>
    <w:rsid w:val="007723B2"/>
    <w:rsid w:val="00772B25"/>
    <w:rsid w:val="00772B66"/>
    <w:rsid w:val="00773D29"/>
    <w:rsid w:val="00774002"/>
    <w:rsid w:val="007745BA"/>
    <w:rsid w:val="007771E0"/>
    <w:rsid w:val="007775AE"/>
    <w:rsid w:val="007808CA"/>
    <w:rsid w:val="00780BB0"/>
    <w:rsid w:val="00781828"/>
    <w:rsid w:val="00781CBB"/>
    <w:rsid w:val="00782826"/>
    <w:rsid w:val="00782877"/>
    <w:rsid w:val="00783774"/>
    <w:rsid w:val="00784E4C"/>
    <w:rsid w:val="007872A8"/>
    <w:rsid w:val="00790720"/>
    <w:rsid w:val="00792DB9"/>
    <w:rsid w:val="007935D4"/>
    <w:rsid w:val="00794665"/>
    <w:rsid w:val="007949FD"/>
    <w:rsid w:val="00797FF3"/>
    <w:rsid w:val="007A213B"/>
    <w:rsid w:val="007A2C20"/>
    <w:rsid w:val="007A4C60"/>
    <w:rsid w:val="007A5D2F"/>
    <w:rsid w:val="007A7371"/>
    <w:rsid w:val="007B011C"/>
    <w:rsid w:val="007B06B8"/>
    <w:rsid w:val="007B11FA"/>
    <w:rsid w:val="007B479F"/>
    <w:rsid w:val="007B51A1"/>
    <w:rsid w:val="007B53BB"/>
    <w:rsid w:val="007B565B"/>
    <w:rsid w:val="007B677E"/>
    <w:rsid w:val="007B679C"/>
    <w:rsid w:val="007B67C9"/>
    <w:rsid w:val="007B70A3"/>
    <w:rsid w:val="007B7500"/>
    <w:rsid w:val="007B79DC"/>
    <w:rsid w:val="007B7D8A"/>
    <w:rsid w:val="007C03F1"/>
    <w:rsid w:val="007C0922"/>
    <w:rsid w:val="007C25E0"/>
    <w:rsid w:val="007C2C2A"/>
    <w:rsid w:val="007C3325"/>
    <w:rsid w:val="007C7648"/>
    <w:rsid w:val="007D037D"/>
    <w:rsid w:val="007D1FFF"/>
    <w:rsid w:val="007D2054"/>
    <w:rsid w:val="007D3854"/>
    <w:rsid w:val="007D4102"/>
    <w:rsid w:val="007D4EF7"/>
    <w:rsid w:val="007D5639"/>
    <w:rsid w:val="007D7AA2"/>
    <w:rsid w:val="007D7BF4"/>
    <w:rsid w:val="007E13BF"/>
    <w:rsid w:val="007E18DB"/>
    <w:rsid w:val="007E36D8"/>
    <w:rsid w:val="007E3916"/>
    <w:rsid w:val="007E3F78"/>
    <w:rsid w:val="007E582C"/>
    <w:rsid w:val="007E70DE"/>
    <w:rsid w:val="007F0076"/>
    <w:rsid w:val="007F0BFA"/>
    <w:rsid w:val="007F0D9C"/>
    <w:rsid w:val="007F14A7"/>
    <w:rsid w:val="007F1786"/>
    <w:rsid w:val="007F1BDD"/>
    <w:rsid w:val="007F2240"/>
    <w:rsid w:val="007F22E0"/>
    <w:rsid w:val="007F34D4"/>
    <w:rsid w:val="007F34E8"/>
    <w:rsid w:val="007F3930"/>
    <w:rsid w:val="007F6CD3"/>
    <w:rsid w:val="007F7593"/>
    <w:rsid w:val="007F7EA2"/>
    <w:rsid w:val="008001EB"/>
    <w:rsid w:val="00800B65"/>
    <w:rsid w:val="00801126"/>
    <w:rsid w:val="00801200"/>
    <w:rsid w:val="0080161D"/>
    <w:rsid w:val="0080239B"/>
    <w:rsid w:val="008024FA"/>
    <w:rsid w:val="0080274A"/>
    <w:rsid w:val="00804029"/>
    <w:rsid w:val="0080491E"/>
    <w:rsid w:val="00805E69"/>
    <w:rsid w:val="00807D51"/>
    <w:rsid w:val="00810FB9"/>
    <w:rsid w:val="00811FA2"/>
    <w:rsid w:val="00812666"/>
    <w:rsid w:val="00813AEC"/>
    <w:rsid w:val="00814D71"/>
    <w:rsid w:val="00815531"/>
    <w:rsid w:val="00816C81"/>
    <w:rsid w:val="008177DE"/>
    <w:rsid w:val="008208B1"/>
    <w:rsid w:val="0082122E"/>
    <w:rsid w:val="00821E65"/>
    <w:rsid w:val="008243FB"/>
    <w:rsid w:val="00825E1D"/>
    <w:rsid w:val="008273DA"/>
    <w:rsid w:val="00827DA2"/>
    <w:rsid w:val="00831964"/>
    <w:rsid w:val="008334C4"/>
    <w:rsid w:val="00834099"/>
    <w:rsid w:val="00834886"/>
    <w:rsid w:val="0083497B"/>
    <w:rsid w:val="0083629E"/>
    <w:rsid w:val="00836C34"/>
    <w:rsid w:val="0083727F"/>
    <w:rsid w:val="00837658"/>
    <w:rsid w:val="00837A49"/>
    <w:rsid w:val="00837CFD"/>
    <w:rsid w:val="00837EB1"/>
    <w:rsid w:val="008413FF"/>
    <w:rsid w:val="008422F6"/>
    <w:rsid w:val="00842333"/>
    <w:rsid w:val="008423D6"/>
    <w:rsid w:val="00842778"/>
    <w:rsid w:val="00842B1A"/>
    <w:rsid w:val="00843324"/>
    <w:rsid w:val="00843814"/>
    <w:rsid w:val="00845B1D"/>
    <w:rsid w:val="00846364"/>
    <w:rsid w:val="00846FEE"/>
    <w:rsid w:val="0084767B"/>
    <w:rsid w:val="00847D31"/>
    <w:rsid w:val="00850783"/>
    <w:rsid w:val="00850B47"/>
    <w:rsid w:val="008524E6"/>
    <w:rsid w:val="008527DE"/>
    <w:rsid w:val="00853BB6"/>
    <w:rsid w:val="0085532A"/>
    <w:rsid w:val="00856301"/>
    <w:rsid w:val="008571D2"/>
    <w:rsid w:val="008605B9"/>
    <w:rsid w:val="008619FF"/>
    <w:rsid w:val="00862089"/>
    <w:rsid w:val="0086257B"/>
    <w:rsid w:val="0086311A"/>
    <w:rsid w:val="0086324E"/>
    <w:rsid w:val="008640D1"/>
    <w:rsid w:val="00864362"/>
    <w:rsid w:val="008667B4"/>
    <w:rsid w:val="00866991"/>
    <w:rsid w:val="00866E0E"/>
    <w:rsid w:val="008673F1"/>
    <w:rsid w:val="00870A5E"/>
    <w:rsid w:val="00870EB9"/>
    <w:rsid w:val="00871716"/>
    <w:rsid w:val="00872687"/>
    <w:rsid w:val="00873655"/>
    <w:rsid w:val="00873A33"/>
    <w:rsid w:val="00874021"/>
    <w:rsid w:val="008741CD"/>
    <w:rsid w:val="00874ECF"/>
    <w:rsid w:val="00875A4F"/>
    <w:rsid w:val="00881197"/>
    <w:rsid w:val="008829DA"/>
    <w:rsid w:val="00882CDC"/>
    <w:rsid w:val="00883549"/>
    <w:rsid w:val="00883E3B"/>
    <w:rsid w:val="008846AA"/>
    <w:rsid w:val="008849F3"/>
    <w:rsid w:val="00884B22"/>
    <w:rsid w:val="008858D4"/>
    <w:rsid w:val="00890529"/>
    <w:rsid w:val="00890D03"/>
    <w:rsid w:val="008912EF"/>
    <w:rsid w:val="0089268B"/>
    <w:rsid w:val="00892867"/>
    <w:rsid w:val="00892EBD"/>
    <w:rsid w:val="0089328A"/>
    <w:rsid w:val="00893B43"/>
    <w:rsid w:val="00894772"/>
    <w:rsid w:val="0089512E"/>
    <w:rsid w:val="008968AF"/>
    <w:rsid w:val="008969C0"/>
    <w:rsid w:val="00896BF9"/>
    <w:rsid w:val="008A15B2"/>
    <w:rsid w:val="008A15C9"/>
    <w:rsid w:val="008A1A1C"/>
    <w:rsid w:val="008A1DFD"/>
    <w:rsid w:val="008A2550"/>
    <w:rsid w:val="008A3EF6"/>
    <w:rsid w:val="008A48A4"/>
    <w:rsid w:val="008A5F9F"/>
    <w:rsid w:val="008A60A0"/>
    <w:rsid w:val="008B0263"/>
    <w:rsid w:val="008B3938"/>
    <w:rsid w:val="008B4069"/>
    <w:rsid w:val="008B48FB"/>
    <w:rsid w:val="008B52AC"/>
    <w:rsid w:val="008B5565"/>
    <w:rsid w:val="008B66DE"/>
    <w:rsid w:val="008B70C3"/>
    <w:rsid w:val="008B72C5"/>
    <w:rsid w:val="008B76EC"/>
    <w:rsid w:val="008C0520"/>
    <w:rsid w:val="008C0E5F"/>
    <w:rsid w:val="008C1192"/>
    <w:rsid w:val="008C1E31"/>
    <w:rsid w:val="008C2599"/>
    <w:rsid w:val="008C37C8"/>
    <w:rsid w:val="008C634B"/>
    <w:rsid w:val="008C6459"/>
    <w:rsid w:val="008C7774"/>
    <w:rsid w:val="008C7B6E"/>
    <w:rsid w:val="008D1320"/>
    <w:rsid w:val="008D1B8D"/>
    <w:rsid w:val="008D1FC6"/>
    <w:rsid w:val="008D266C"/>
    <w:rsid w:val="008D3CAE"/>
    <w:rsid w:val="008D3FE7"/>
    <w:rsid w:val="008D5A4E"/>
    <w:rsid w:val="008D6589"/>
    <w:rsid w:val="008E0EE1"/>
    <w:rsid w:val="008E146C"/>
    <w:rsid w:val="008E202B"/>
    <w:rsid w:val="008E3EDD"/>
    <w:rsid w:val="008E539C"/>
    <w:rsid w:val="008E60E7"/>
    <w:rsid w:val="008E7165"/>
    <w:rsid w:val="008E73A3"/>
    <w:rsid w:val="008F0384"/>
    <w:rsid w:val="008F0F12"/>
    <w:rsid w:val="008F1C6B"/>
    <w:rsid w:val="008F2EB4"/>
    <w:rsid w:val="008F51B2"/>
    <w:rsid w:val="008F5BCD"/>
    <w:rsid w:val="008F7BD5"/>
    <w:rsid w:val="009013C9"/>
    <w:rsid w:val="009017C1"/>
    <w:rsid w:val="009027EB"/>
    <w:rsid w:val="00903ECB"/>
    <w:rsid w:val="00904055"/>
    <w:rsid w:val="00906EA1"/>
    <w:rsid w:val="00907BC7"/>
    <w:rsid w:val="00910DC8"/>
    <w:rsid w:val="00914C14"/>
    <w:rsid w:val="00914D25"/>
    <w:rsid w:val="00915A5D"/>
    <w:rsid w:val="00915D3B"/>
    <w:rsid w:val="00916214"/>
    <w:rsid w:val="009167DA"/>
    <w:rsid w:val="009168D7"/>
    <w:rsid w:val="009210C7"/>
    <w:rsid w:val="00921ACD"/>
    <w:rsid w:val="00921CC2"/>
    <w:rsid w:val="0092309B"/>
    <w:rsid w:val="00924B50"/>
    <w:rsid w:val="009250BD"/>
    <w:rsid w:val="0093140B"/>
    <w:rsid w:val="00931657"/>
    <w:rsid w:val="00931C0E"/>
    <w:rsid w:val="009324FA"/>
    <w:rsid w:val="00933513"/>
    <w:rsid w:val="00933E65"/>
    <w:rsid w:val="00934DC3"/>
    <w:rsid w:val="009350AE"/>
    <w:rsid w:val="00936398"/>
    <w:rsid w:val="00937646"/>
    <w:rsid w:val="00937830"/>
    <w:rsid w:val="00937A3B"/>
    <w:rsid w:val="00937F81"/>
    <w:rsid w:val="00940045"/>
    <w:rsid w:val="00940C7B"/>
    <w:rsid w:val="0094135F"/>
    <w:rsid w:val="00942239"/>
    <w:rsid w:val="0094225E"/>
    <w:rsid w:val="00944D25"/>
    <w:rsid w:val="009458B4"/>
    <w:rsid w:val="0094632B"/>
    <w:rsid w:val="00947878"/>
    <w:rsid w:val="009503D1"/>
    <w:rsid w:val="00950CA3"/>
    <w:rsid w:val="0095333F"/>
    <w:rsid w:val="00953AEB"/>
    <w:rsid w:val="00953D75"/>
    <w:rsid w:val="00954C31"/>
    <w:rsid w:val="0095532F"/>
    <w:rsid w:val="009609A0"/>
    <w:rsid w:val="009616FA"/>
    <w:rsid w:val="0096287F"/>
    <w:rsid w:val="00962EDB"/>
    <w:rsid w:val="00963976"/>
    <w:rsid w:val="0096432C"/>
    <w:rsid w:val="009659C7"/>
    <w:rsid w:val="009669FA"/>
    <w:rsid w:val="009671C1"/>
    <w:rsid w:val="009714F6"/>
    <w:rsid w:val="00971645"/>
    <w:rsid w:val="00971EA4"/>
    <w:rsid w:val="00972A26"/>
    <w:rsid w:val="009736B8"/>
    <w:rsid w:val="00977AB2"/>
    <w:rsid w:val="00981061"/>
    <w:rsid w:val="00981258"/>
    <w:rsid w:val="00981AF7"/>
    <w:rsid w:val="00981BB9"/>
    <w:rsid w:val="009826F7"/>
    <w:rsid w:val="00982D66"/>
    <w:rsid w:val="00982EBB"/>
    <w:rsid w:val="00984111"/>
    <w:rsid w:val="00984373"/>
    <w:rsid w:val="00985195"/>
    <w:rsid w:val="00987414"/>
    <w:rsid w:val="009905F4"/>
    <w:rsid w:val="00993480"/>
    <w:rsid w:val="00993CD6"/>
    <w:rsid w:val="00996D84"/>
    <w:rsid w:val="00996DF6"/>
    <w:rsid w:val="009974B2"/>
    <w:rsid w:val="00997541"/>
    <w:rsid w:val="009977AC"/>
    <w:rsid w:val="00997D25"/>
    <w:rsid w:val="009A03BE"/>
    <w:rsid w:val="009A0E4B"/>
    <w:rsid w:val="009A104E"/>
    <w:rsid w:val="009A24BF"/>
    <w:rsid w:val="009A2C2C"/>
    <w:rsid w:val="009A44BD"/>
    <w:rsid w:val="009A506B"/>
    <w:rsid w:val="009A6463"/>
    <w:rsid w:val="009A687C"/>
    <w:rsid w:val="009A6D61"/>
    <w:rsid w:val="009B1426"/>
    <w:rsid w:val="009B21DA"/>
    <w:rsid w:val="009B224F"/>
    <w:rsid w:val="009B2507"/>
    <w:rsid w:val="009B2DA6"/>
    <w:rsid w:val="009B2DAD"/>
    <w:rsid w:val="009B46F3"/>
    <w:rsid w:val="009B4BF8"/>
    <w:rsid w:val="009B4C3A"/>
    <w:rsid w:val="009B6CC3"/>
    <w:rsid w:val="009C3CE9"/>
    <w:rsid w:val="009C4C99"/>
    <w:rsid w:val="009C53F8"/>
    <w:rsid w:val="009D0765"/>
    <w:rsid w:val="009D0A4C"/>
    <w:rsid w:val="009D16EC"/>
    <w:rsid w:val="009D2B25"/>
    <w:rsid w:val="009D6FAA"/>
    <w:rsid w:val="009D7BED"/>
    <w:rsid w:val="009E5096"/>
    <w:rsid w:val="009E7E24"/>
    <w:rsid w:val="009E7FD2"/>
    <w:rsid w:val="009F335B"/>
    <w:rsid w:val="009F4A3A"/>
    <w:rsid w:val="009F5063"/>
    <w:rsid w:val="009F5064"/>
    <w:rsid w:val="009F6CE3"/>
    <w:rsid w:val="009F7B57"/>
    <w:rsid w:val="009F7C2B"/>
    <w:rsid w:val="00A0109B"/>
    <w:rsid w:val="00A0138A"/>
    <w:rsid w:val="00A019B0"/>
    <w:rsid w:val="00A02327"/>
    <w:rsid w:val="00A024BB"/>
    <w:rsid w:val="00A05172"/>
    <w:rsid w:val="00A064F3"/>
    <w:rsid w:val="00A06621"/>
    <w:rsid w:val="00A0693F"/>
    <w:rsid w:val="00A076AD"/>
    <w:rsid w:val="00A100C1"/>
    <w:rsid w:val="00A101E8"/>
    <w:rsid w:val="00A12611"/>
    <w:rsid w:val="00A144F3"/>
    <w:rsid w:val="00A14E38"/>
    <w:rsid w:val="00A16778"/>
    <w:rsid w:val="00A167CA"/>
    <w:rsid w:val="00A17510"/>
    <w:rsid w:val="00A17BEF"/>
    <w:rsid w:val="00A206E0"/>
    <w:rsid w:val="00A21F49"/>
    <w:rsid w:val="00A2271D"/>
    <w:rsid w:val="00A230DF"/>
    <w:rsid w:val="00A2503D"/>
    <w:rsid w:val="00A252C1"/>
    <w:rsid w:val="00A25943"/>
    <w:rsid w:val="00A265EC"/>
    <w:rsid w:val="00A27A57"/>
    <w:rsid w:val="00A27CEC"/>
    <w:rsid w:val="00A3125C"/>
    <w:rsid w:val="00A33903"/>
    <w:rsid w:val="00A33F8B"/>
    <w:rsid w:val="00A340AA"/>
    <w:rsid w:val="00A3489B"/>
    <w:rsid w:val="00A361EF"/>
    <w:rsid w:val="00A3751A"/>
    <w:rsid w:val="00A37759"/>
    <w:rsid w:val="00A37FF2"/>
    <w:rsid w:val="00A40866"/>
    <w:rsid w:val="00A411D1"/>
    <w:rsid w:val="00A4178C"/>
    <w:rsid w:val="00A42464"/>
    <w:rsid w:val="00A433CF"/>
    <w:rsid w:val="00A449C5"/>
    <w:rsid w:val="00A45502"/>
    <w:rsid w:val="00A46B16"/>
    <w:rsid w:val="00A4791B"/>
    <w:rsid w:val="00A50564"/>
    <w:rsid w:val="00A52BFC"/>
    <w:rsid w:val="00A52DA4"/>
    <w:rsid w:val="00A53D5F"/>
    <w:rsid w:val="00A54D73"/>
    <w:rsid w:val="00A551F8"/>
    <w:rsid w:val="00A55B11"/>
    <w:rsid w:val="00A56E81"/>
    <w:rsid w:val="00A57A49"/>
    <w:rsid w:val="00A60AD4"/>
    <w:rsid w:val="00A60BC0"/>
    <w:rsid w:val="00A6261C"/>
    <w:rsid w:val="00A638A2"/>
    <w:rsid w:val="00A63A9F"/>
    <w:rsid w:val="00A64554"/>
    <w:rsid w:val="00A65683"/>
    <w:rsid w:val="00A66CAE"/>
    <w:rsid w:val="00A66F15"/>
    <w:rsid w:val="00A7128C"/>
    <w:rsid w:val="00A71F78"/>
    <w:rsid w:val="00A72434"/>
    <w:rsid w:val="00A72906"/>
    <w:rsid w:val="00A75A60"/>
    <w:rsid w:val="00A80400"/>
    <w:rsid w:val="00A864FD"/>
    <w:rsid w:val="00A87115"/>
    <w:rsid w:val="00A90007"/>
    <w:rsid w:val="00A90DF0"/>
    <w:rsid w:val="00A91A43"/>
    <w:rsid w:val="00A91CD5"/>
    <w:rsid w:val="00A91FE8"/>
    <w:rsid w:val="00A92A70"/>
    <w:rsid w:val="00A92CB2"/>
    <w:rsid w:val="00A9376A"/>
    <w:rsid w:val="00A94CBF"/>
    <w:rsid w:val="00A953D0"/>
    <w:rsid w:val="00A95BC0"/>
    <w:rsid w:val="00A96B0C"/>
    <w:rsid w:val="00AA05C3"/>
    <w:rsid w:val="00AA0D61"/>
    <w:rsid w:val="00AA0EBF"/>
    <w:rsid w:val="00AA4149"/>
    <w:rsid w:val="00AA4205"/>
    <w:rsid w:val="00AA4801"/>
    <w:rsid w:val="00AA5251"/>
    <w:rsid w:val="00AA53A3"/>
    <w:rsid w:val="00AA62A6"/>
    <w:rsid w:val="00AA6557"/>
    <w:rsid w:val="00AA65C4"/>
    <w:rsid w:val="00AA6A78"/>
    <w:rsid w:val="00AA6CDB"/>
    <w:rsid w:val="00AA707C"/>
    <w:rsid w:val="00AA738E"/>
    <w:rsid w:val="00AB03D0"/>
    <w:rsid w:val="00AB1048"/>
    <w:rsid w:val="00AB1952"/>
    <w:rsid w:val="00AB2754"/>
    <w:rsid w:val="00AB2813"/>
    <w:rsid w:val="00AB2C5D"/>
    <w:rsid w:val="00AB38E3"/>
    <w:rsid w:val="00AB3B2E"/>
    <w:rsid w:val="00AB5044"/>
    <w:rsid w:val="00AB63A1"/>
    <w:rsid w:val="00AB66E9"/>
    <w:rsid w:val="00AB6B65"/>
    <w:rsid w:val="00AB72F2"/>
    <w:rsid w:val="00AB7928"/>
    <w:rsid w:val="00AC0D1A"/>
    <w:rsid w:val="00AC1DB3"/>
    <w:rsid w:val="00AC35FE"/>
    <w:rsid w:val="00AC3F3C"/>
    <w:rsid w:val="00AC51B3"/>
    <w:rsid w:val="00AC5F84"/>
    <w:rsid w:val="00AC71AD"/>
    <w:rsid w:val="00AD09B3"/>
    <w:rsid w:val="00AD0B6E"/>
    <w:rsid w:val="00AD0E9B"/>
    <w:rsid w:val="00AD1750"/>
    <w:rsid w:val="00AD1EBF"/>
    <w:rsid w:val="00AD264A"/>
    <w:rsid w:val="00AD4ADA"/>
    <w:rsid w:val="00AD4DD3"/>
    <w:rsid w:val="00AD50C3"/>
    <w:rsid w:val="00AD563B"/>
    <w:rsid w:val="00AD5655"/>
    <w:rsid w:val="00AD5E02"/>
    <w:rsid w:val="00AD6028"/>
    <w:rsid w:val="00AD6B4F"/>
    <w:rsid w:val="00AD792E"/>
    <w:rsid w:val="00AD7CFF"/>
    <w:rsid w:val="00AD7FE8"/>
    <w:rsid w:val="00AE15DA"/>
    <w:rsid w:val="00AE1605"/>
    <w:rsid w:val="00AE1AB9"/>
    <w:rsid w:val="00AE2000"/>
    <w:rsid w:val="00AE247E"/>
    <w:rsid w:val="00AE2A05"/>
    <w:rsid w:val="00AE3439"/>
    <w:rsid w:val="00AE4E6D"/>
    <w:rsid w:val="00AE551E"/>
    <w:rsid w:val="00AE5761"/>
    <w:rsid w:val="00AE5A1F"/>
    <w:rsid w:val="00AF0167"/>
    <w:rsid w:val="00AF09AD"/>
    <w:rsid w:val="00AF12A5"/>
    <w:rsid w:val="00AF4AC8"/>
    <w:rsid w:val="00AF558C"/>
    <w:rsid w:val="00AF772A"/>
    <w:rsid w:val="00AF7BA1"/>
    <w:rsid w:val="00B016A3"/>
    <w:rsid w:val="00B028C9"/>
    <w:rsid w:val="00B02903"/>
    <w:rsid w:val="00B02AF2"/>
    <w:rsid w:val="00B02F98"/>
    <w:rsid w:val="00B038EF"/>
    <w:rsid w:val="00B05F14"/>
    <w:rsid w:val="00B0783C"/>
    <w:rsid w:val="00B1024F"/>
    <w:rsid w:val="00B1190A"/>
    <w:rsid w:val="00B1285F"/>
    <w:rsid w:val="00B12D7A"/>
    <w:rsid w:val="00B13A03"/>
    <w:rsid w:val="00B145E9"/>
    <w:rsid w:val="00B152F0"/>
    <w:rsid w:val="00B16331"/>
    <w:rsid w:val="00B1680A"/>
    <w:rsid w:val="00B1715A"/>
    <w:rsid w:val="00B17AC3"/>
    <w:rsid w:val="00B1EB77"/>
    <w:rsid w:val="00B208C7"/>
    <w:rsid w:val="00B212AA"/>
    <w:rsid w:val="00B212FD"/>
    <w:rsid w:val="00B2177B"/>
    <w:rsid w:val="00B255F0"/>
    <w:rsid w:val="00B255F7"/>
    <w:rsid w:val="00B30683"/>
    <w:rsid w:val="00B30B9A"/>
    <w:rsid w:val="00B3121C"/>
    <w:rsid w:val="00B31486"/>
    <w:rsid w:val="00B31561"/>
    <w:rsid w:val="00B318DC"/>
    <w:rsid w:val="00B325FD"/>
    <w:rsid w:val="00B335BF"/>
    <w:rsid w:val="00B3560D"/>
    <w:rsid w:val="00B364C6"/>
    <w:rsid w:val="00B36522"/>
    <w:rsid w:val="00B379E4"/>
    <w:rsid w:val="00B40D2A"/>
    <w:rsid w:val="00B41814"/>
    <w:rsid w:val="00B43417"/>
    <w:rsid w:val="00B436F1"/>
    <w:rsid w:val="00B450D0"/>
    <w:rsid w:val="00B45779"/>
    <w:rsid w:val="00B45989"/>
    <w:rsid w:val="00B4785E"/>
    <w:rsid w:val="00B506B0"/>
    <w:rsid w:val="00B5086A"/>
    <w:rsid w:val="00B50A5D"/>
    <w:rsid w:val="00B51547"/>
    <w:rsid w:val="00B558B6"/>
    <w:rsid w:val="00B55F7C"/>
    <w:rsid w:val="00B57308"/>
    <w:rsid w:val="00B57478"/>
    <w:rsid w:val="00B60241"/>
    <w:rsid w:val="00B603E2"/>
    <w:rsid w:val="00B60472"/>
    <w:rsid w:val="00B60991"/>
    <w:rsid w:val="00B62835"/>
    <w:rsid w:val="00B62BB1"/>
    <w:rsid w:val="00B634E2"/>
    <w:rsid w:val="00B637CD"/>
    <w:rsid w:val="00B63FC0"/>
    <w:rsid w:val="00B644E2"/>
    <w:rsid w:val="00B65129"/>
    <w:rsid w:val="00B66322"/>
    <w:rsid w:val="00B66690"/>
    <w:rsid w:val="00B67489"/>
    <w:rsid w:val="00B700E3"/>
    <w:rsid w:val="00B744CF"/>
    <w:rsid w:val="00B7450D"/>
    <w:rsid w:val="00B74C3F"/>
    <w:rsid w:val="00B76CA4"/>
    <w:rsid w:val="00B77660"/>
    <w:rsid w:val="00B77B8E"/>
    <w:rsid w:val="00B77DBF"/>
    <w:rsid w:val="00B8089B"/>
    <w:rsid w:val="00B80E53"/>
    <w:rsid w:val="00B81ECE"/>
    <w:rsid w:val="00B82B99"/>
    <w:rsid w:val="00B82E2B"/>
    <w:rsid w:val="00B82E7B"/>
    <w:rsid w:val="00B835EF"/>
    <w:rsid w:val="00B83822"/>
    <w:rsid w:val="00B84AE2"/>
    <w:rsid w:val="00B85064"/>
    <w:rsid w:val="00B85225"/>
    <w:rsid w:val="00B85A3B"/>
    <w:rsid w:val="00B85F5A"/>
    <w:rsid w:val="00B87A14"/>
    <w:rsid w:val="00B9170B"/>
    <w:rsid w:val="00B91C66"/>
    <w:rsid w:val="00B93B6A"/>
    <w:rsid w:val="00B93C0F"/>
    <w:rsid w:val="00B93E50"/>
    <w:rsid w:val="00B955E8"/>
    <w:rsid w:val="00B97110"/>
    <w:rsid w:val="00BA072A"/>
    <w:rsid w:val="00BA2453"/>
    <w:rsid w:val="00BA2879"/>
    <w:rsid w:val="00BA3670"/>
    <w:rsid w:val="00BA4265"/>
    <w:rsid w:val="00BA50DA"/>
    <w:rsid w:val="00BA5483"/>
    <w:rsid w:val="00BA5552"/>
    <w:rsid w:val="00BA6B90"/>
    <w:rsid w:val="00BB01EB"/>
    <w:rsid w:val="00BB06BD"/>
    <w:rsid w:val="00BB1015"/>
    <w:rsid w:val="00BB12D0"/>
    <w:rsid w:val="00BB165E"/>
    <w:rsid w:val="00BB1D25"/>
    <w:rsid w:val="00BB2937"/>
    <w:rsid w:val="00BB2BB9"/>
    <w:rsid w:val="00BB3591"/>
    <w:rsid w:val="00BB3818"/>
    <w:rsid w:val="00BB43F3"/>
    <w:rsid w:val="00BB4EB3"/>
    <w:rsid w:val="00BB5DFB"/>
    <w:rsid w:val="00BB6C37"/>
    <w:rsid w:val="00BB6C99"/>
    <w:rsid w:val="00BB7005"/>
    <w:rsid w:val="00BC0859"/>
    <w:rsid w:val="00BC0BE1"/>
    <w:rsid w:val="00BC0FB7"/>
    <w:rsid w:val="00BC2346"/>
    <w:rsid w:val="00BC3C2F"/>
    <w:rsid w:val="00BC43D6"/>
    <w:rsid w:val="00BD00EC"/>
    <w:rsid w:val="00BD13BA"/>
    <w:rsid w:val="00BD5D29"/>
    <w:rsid w:val="00BD61F8"/>
    <w:rsid w:val="00BD6A23"/>
    <w:rsid w:val="00BD6E38"/>
    <w:rsid w:val="00BE0B26"/>
    <w:rsid w:val="00BE0C9C"/>
    <w:rsid w:val="00BE19FD"/>
    <w:rsid w:val="00BE1FD2"/>
    <w:rsid w:val="00BE3214"/>
    <w:rsid w:val="00BE7B38"/>
    <w:rsid w:val="00BF14A3"/>
    <w:rsid w:val="00BF2391"/>
    <w:rsid w:val="00BF3220"/>
    <w:rsid w:val="00BF366A"/>
    <w:rsid w:val="00BF3726"/>
    <w:rsid w:val="00BF40F9"/>
    <w:rsid w:val="00BF4F4F"/>
    <w:rsid w:val="00BF517F"/>
    <w:rsid w:val="00BF701C"/>
    <w:rsid w:val="00BF74C6"/>
    <w:rsid w:val="00BF7632"/>
    <w:rsid w:val="00C011BD"/>
    <w:rsid w:val="00C0212E"/>
    <w:rsid w:val="00C025AA"/>
    <w:rsid w:val="00C03133"/>
    <w:rsid w:val="00C031E1"/>
    <w:rsid w:val="00C03718"/>
    <w:rsid w:val="00C03B87"/>
    <w:rsid w:val="00C0497A"/>
    <w:rsid w:val="00C05224"/>
    <w:rsid w:val="00C05B0C"/>
    <w:rsid w:val="00C06477"/>
    <w:rsid w:val="00C06C83"/>
    <w:rsid w:val="00C07DC8"/>
    <w:rsid w:val="00C1034A"/>
    <w:rsid w:val="00C116F1"/>
    <w:rsid w:val="00C11D3B"/>
    <w:rsid w:val="00C1296A"/>
    <w:rsid w:val="00C12F5E"/>
    <w:rsid w:val="00C1324D"/>
    <w:rsid w:val="00C132C1"/>
    <w:rsid w:val="00C13545"/>
    <w:rsid w:val="00C1400B"/>
    <w:rsid w:val="00C15E19"/>
    <w:rsid w:val="00C175C1"/>
    <w:rsid w:val="00C17D74"/>
    <w:rsid w:val="00C206C2"/>
    <w:rsid w:val="00C2252D"/>
    <w:rsid w:val="00C22989"/>
    <w:rsid w:val="00C2356B"/>
    <w:rsid w:val="00C2399C"/>
    <w:rsid w:val="00C252D8"/>
    <w:rsid w:val="00C260A3"/>
    <w:rsid w:val="00C265AD"/>
    <w:rsid w:val="00C277D0"/>
    <w:rsid w:val="00C30B6F"/>
    <w:rsid w:val="00C31C06"/>
    <w:rsid w:val="00C33346"/>
    <w:rsid w:val="00C33836"/>
    <w:rsid w:val="00C34C47"/>
    <w:rsid w:val="00C34CBD"/>
    <w:rsid w:val="00C34FBB"/>
    <w:rsid w:val="00C35CCA"/>
    <w:rsid w:val="00C37201"/>
    <w:rsid w:val="00C4023B"/>
    <w:rsid w:val="00C40D0F"/>
    <w:rsid w:val="00C41789"/>
    <w:rsid w:val="00C41AED"/>
    <w:rsid w:val="00C41CA4"/>
    <w:rsid w:val="00C41DC6"/>
    <w:rsid w:val="00C43521"/>
    <w:rsid w:val="00C4381B"/>
    <w:rsid w:val="00C44976"/>
    <w:rsid w:val="00C44B41"/>
    <w:rsid w:val="00C44D95"/>
    <w:rsid w:val="00C4540B"/>
    <w:rsid w:val="00C45F61"/>
    <w:rsid w:val="00C47F34"/>
    <w:rsid w:val="00C50BEA"/>
    <w:rsid w:val="00C5152A"/>
    <w:rsid w:val="00C51783"/>
    <w:rsid w:val="00C518F7"/>
    <w:rsid w:val="00C523C2"/>
    <w:rsid w:val="00C5294E"/>
    <w:rsid w:val="00C534AE"/>
    <w:rsid w:val="00C53FE7"/>
    <w:rsid w:val="00C55930"/>
    <w:rsid w:val="00C55FF0"/>
    <w:rsid w:val="00C56107"/>
    <w:rsid w:val="00C56179"/>
    <w:rsid w:val="00C56486"/>
    <w:rsid w:val="00C62277"/>
    <w:rsid w:val="00C6301F"/>
    <w:rsid w:val="00C653AA"/>
    <w:rsid w:val="00C65CF3"/>
    <w:rsid w:val="00C661DB"/>
    <w:rsid w:val="00C663D9"/>
    <w:rsid w:val="00C66ECD"/>
    <w:rsid w:val="00C67624"/>
    <w:rsid w:val="00C70AFC"/>
    <w:rsid w:val="00C70B22"/>
    <w:rsid w:val="00C710F8"/>
    <w:rsid w:val="00C71834"/>
    <w:rsid w:val="00C71A06"/>
    <w:rsid w:val="00C73242"/>
    <w:rsid w:val="00C73522"/>
    <w:rsid w:val="00C752C4"/>
    <w:rsid w:val="00C75CB1"/>
    <w:rsid w:val="00C75CF5"/>
    <w:rsid w:val="00C75F9C"/>
    <w:rsid w:val="00C76EF0"/>
    <w:rsid w:val="00C77661"/>
    <w:rsid w:val="00C800A3"/>
    <w:rsid w:val="00C808D5"/>
    <w:rsid w:val="00C81FA3"/>
    <w:rsid w:val="00C8434A"/>
    <w:rsid w:val="00C84919"/>
    <w:rsid w:val="00C84D8E"/>
    <w:rsid w:val="00C8780D"/>
    <w:rsid w:val="00C9004C"/>
    <w:rsid w:val="00C908B3"/>
    <w:rsid w:val="00C914A2"/>
    <w:rsid w:val="00C9362D"/>
    <w:rsid w:val="00C938ED"/>
    <w:rsid w:val="00C9408D"/>
    <w:rsid w:val="00C94700"/>
    <w:rsid w:val="00C95DA9"/>
    <w:rsid w:val="00CA0E48"/>
    <w:rsid w:val="00CA189A"/>
    <w:rsid w:val="00CA1E8F"/>
    <w:rsid w:val="00CA2692"/>
    <w:rsid w:val="00CA2A90"/>
    <w:rsid w:val="00CA2E75"/>
    <w:rsid w:val="00CA3221"/>
    <w:rsid w:val="00CA4EB9"/>
    <w:rsid w:val="00CA57BB"/>
    <w:rsid w:val="00CA6901"/>
    <w:rsid w:val="00CB09A4"/>
    <w:rsid w:val="00CB326A"/>
    <w:rsid w:val="00CB41F4"/>
    <w:rsid w:val="00CB55A4"/>
    <w:rsid w:val="00CB6054"/>
    <w:rsid w:val="00CB67FF"/>
    <w:rsid w:val="00CB716D"/>
    <w:rsid w:val="00CB7B2E"/>
    <w:rsid w:val="00CC1D5B"/>
    <w:rsid w:val="00CC1F77"/>
    <w:rsid w:val="00CC2EE0"/>
    <w:rsid w:val="00CC4F6C"/>
    <w:rsid w:val="00CC5AC3"/>
    <w:rsid w:val="00CC6BDF"/>
    <w:rsid w:val="00CD0EA5"/>
    <w:rsid w:val="00CD2A41"/>
    <w:rsid w:val="00CD2E3D"/>
    <w:rsid w:val="00CD3B36"/>
    <w:rsid w:val="00CD3C17"/>
    <w:rsid w:val="00CD3D50"/>
    <w:rsid w:val="00CD455B"/>
    <w:rsid w:val="00CD5DC4"/>
    <w:rsid w:val="00CD6F27"/>
    <w:rsid w:val="00CD72E9"/>
    <w:rsid w:val="00CD7C40"/>
    <w:rsid w:val="00CE27AC"/>
    <w:rsid w:val="00CE3EE0"/>
    <w:rsid w:val="00CE401E"/>
    <w:rsid w:val="00CE4486"/>
    <w:rsid w:val="00CE5FB4"/>
    <w:rsid w:val="00CE6DD1"/>
    <w:rsid w:val="00CE73BD"/>
    <w:rsid w:val="00CF1314"/>
    <w:rsid w:val="00CF1BDE"/>
    <w:rsid w:val="00CF2B82"/>
    <w:rsid w:val="00CF47E6"/>
    <w:rsid w:val="00CF58D5"/>
    <w:rsid w:val="00D00456"/>
    <w:rsid w:val="00D00D36"/>
    <w:rsid w:val="00D01D48"/>
    <w:rsid w:val="00D02138"/>
    <w:rsid w:val="00D0241A"/>
    <w:rsid w:val="00D027AB"/>
    <w:rsid w:val="00D03AF2"/>
    <w:rsid w:val="00D05946"/>
    <w:rsid w:val="00D05AAA"/>
    <w:rsid w:val="00D06621"/>
    <w:rsid w:val="00D07915"/>
    <w:rsid w:val="00D07FAE"/>
    <w:rsid w:val="00D10FF3"/>
    <w:rsid w:val="00D11612"/>
    <w:rsid w:val="00D11CF4"/>
    <w:rsid w:val="00D124C9"/>
    <w:rsid w:val="00D12E6E"/>
    <w:rsid w:val="00D13B47"/>
    <w:rsid w:val="00D156A0"/>
    <w:rsid w:val="00D17430"/>
    <w:rsid w:val="00D17CB9"/>
    <w:rsid w:val="00D208A4"/>
    <w:rsid w:val="00D22A6F"/>
    <w:rsid w:val="00D22FDE"/>
    <w:rsid w:val="00D246CA"/>
    <w:rsid w:val="00D25131"/>
    <w:rsid w:val="00D2563C"/>
    <w:rsid w:val="00D25D9E"/>
    <w:rsid w:val="00D26863"/>
    <w:rsid w:val="00D268BC"/>
    <w:rsid w:val="00D26B47"/>
    <w:rsid w:val="00D30F10"/>
    <w:rsid w:val="00D3104E"/>
    <w:rsid w:val="00D3127E"/>
    <w:rsid w:val="00D31285"/>
    <w:rsid w:val="00D326EF"/>
    <w:rsid w:val="00D32B6E"/>
    <w:rsid w:val="00D33F98"/>
    <w:rsid w:val="00D340DE"/>
    <w:rsid w:val="00D34451"/>
    <w:rsid w:val="00D35A79"/>
    <w:rsid w:val="00D3647C"/>
    <w:rsid w:val="00D37933"/>
    <w:rsid w:val="00D414B9"/>
    <w:rsid w:val="00D4288C"/>
    <w:rsid w:val="00D42E21"/>
    <w:rsid w:val="00D42ECB"/>
    <w:rsid w:val="00D43122"/>
    <w:rsid w:val="00D431E8"/>
    <w:rsid w:val="00D469A6"/>
    <w:rsid w:val="00D47260"/>
    <w:rsid w:val="00D472A5"/>
    <w:rsid w:val="00D50ADC"/>
    <w:rsid w:val="00D51C6D"/>
    <w:rsid w:val="00D52FB1"/>
    <w:rsid w:val="00D552D5"/>
    <w:rsid w:val="00D55D73"/>
    <w:rsid w:val="00D576D0"/>
    <w:rsid w:val="00D57EA7"/>
    <w:rsid w:val="00D57F0F"/>
    <w:rsid w:val="00D62598"/>
    <w:rsid w:val="00D62B09"/>
    <w:rsid w:val="00D62ED7"/>
    <w:rsid w:val="00D62F19"/>
    <w:rsid w:val="00D6452E"/>
    <w:rsid w:val="00D648F0"/>
    <w:rsid w:val="00D65C72"/>
    <w:rsid w:val="00D663AD"/>
    <w:rsid w:val="00D66D40"/>
    <w:rsid w:val="00D70321"/>
    <w:rsid w:val="00D70379"/>
    <w:rsid w:val="00D70C14"/>
    <w:rsid w:val="00D71B73"/>
    <w:rsid w:val="00D71E89"/>
    <w:rsid w:val="00D71FB2"/>
    <w:rsid w:val="00D72676"/>
    <w:rsid w:val="00D7333E"/>
    <w:rsid w:val="00D7390B"/>
    <w:rsid w:val="00D73F07"/>
    <w:rsid w:val="00D74308"/>
    <w:rsid w:val="00D7595C"/>
    <w:rsid w:val="00D7793A"/>
    <w:rsid w:val="00D800C0"/>
    <w:rsid w:val="00D811BB"/>
    <w:rsid w:val="00D832A3"/>
    <w:rsid w:val="00D83F8B"/>
    <w:rsid w:val="00D85A1E"/>
    <w:rsid w:val="00D866E6"/>
    <w:rsid w:val="00D900A9"/>
    <w:rsid w:val="00D91CC0"/>
    <w:rsid w:val="00D9282A"/>
    <w:rsid w:val="00D93270"/>
    <w:rsid w:val="00D93AB5"/>
    <w:rsid w:val="00D94297"/>
    <w:rsid w:val="00D96373"/>
    <w:rsid w:val="00D97D91"/>
    <w:rsid w:val="00DA08EA"/>
    <w:rsid w:val="00DA13C0"/>
    <w:rsid w:val="00DA1D22"/>
    <w:rsid w:val="00DA3B7F"/>
    <w:rsid w:val="00DA492D"/>
    <w:rsid w:val="00DA4978"/>
    <w:rsid w:val="00DA49CB"/>
    <w:rsid w:val="00DA58E5"/>
    <w:rsid w:val="00DA63A3"/>
    <w:rsid w:val="00DA64CB"/>
    <w:rsid w:val="00DA787F"/>
    <w:rsid w:val="00DB0038"/>
    <w:rsid w:val="00DB022F"/>
    <w:rsid w:val="00DB14AB"/>
    <w:rsid w:val="00DB282C"/>
    <w:rsid w:val="00DB5A86"/>
    <w:rsid w:val="00DB71D8"/>
    <w:rsid w:val="00DC09B9"/>
    <w:rsid w:val="00DC0A25"/>
    <w:rsid w:val="00DC1DB0"/>
    <w:rsid w:val="00DC2AA4"/>
    <w:rsid w:val="00DC2E50"/>
    <w:rsid w:val="00DC3175"/>
    <w:rsid w:val="00DC3A30"/>
    <w:rsid w:val="00DC46E6"/>
    <w:rsid w:val="00DC4FCD"/>
    <w:rsid w:val="00DC6350"/>
    <w:rsid w:val="00DC650B"/>
    <w:rsid w:val="00DC6E9E"/>
    <w:rsid w:val="00DD018D"/>
    <w:rsid w:val="00DD12E9"/>
    <w:rsid w:val="00DD1902"/>
    <w:rsid w:val="00DD1E4D"/>
    <w:rsid w:val="00DD32B9"/>
    <w:rsid w:val="00DD4693"/>
    <w:rsid w:val="00DE1A92"/>
    <w:rsid w:val="00DE1D65"/>
    <w:rsid w:val="00DE2025"/>
    <w:rsid w:val="00DE232E"/>
    <w:rsid w:val="00DE25C4"/>
    <w:rsid w:val="00DE4A7B"/>
    <w:rsid w:val="00DE4CCC"/>
    <w:rsid w:val="00DE54D1"/>
    <w:rsid w:val="00DE6315"/>
    <w:rsid w:val="00DE7432"/>
    <w:rsid w:val="00DF0C6C"/>
    <w:rsid w:val="00DF3FD1"/>
    <w:rsid w:val="00DF4C64"/>
    <w:rsid w:val="00DF6CCA"/>
    <w:rsid w:val="00E00038"/>
    <w:rsid w:val="00E0094D"/>
    <w:rsid w:val="00E010AF"/>
    <w:rsid w:val="00E01874"/>
    <w:rsid w:val="00E0250B"/>
    <w:rsid w:val="00E03DF7"/>
    <w:rsid w:val="00E04FE3"/>
    <w:rsid w:val="00E05919"/>
    <w:rsid w:val="00E07878"/>
    <w:rsid w:val="00E101D4"/>
    <w:rsid w:val="00E104F2"/>
    <w:rsid w:val="00E10C9E"/>
    <w:rsid w:val="00E1259C"/>
    <w:rsid w:val="00E12C4A"/>
    <w:rsid w:val="00E12D83"/>
    <w:rsid w:val="00E130EB"/>
    <w:rsid w:val="00E15E24"/>
    <w:rsid w:val="00E164F0"/>
    <w:rsid w:val="00E172F1"/>
    <w:rsid w:val="00E2028B"/>
    <w:rsid w:val="00E2083D"/>
    <w:rsid w:val="00E2128F"/>
    <w:rsid w:val="00E212C9"/>
    <w:rsid w:val="00E22160"/>
    <w:rsid w:val="00E2233F"/>
    <w:rsid w:val="00E23042"/>
    <w:rsid w:val="00E23A56"/>
    <w:rsid w:val="00E24427"/>
    <w:rsid w:val="00E24BA8"/>
    <w:rsid w:val="00E24D0B"/>
    <w:rsid w:val="00E24D6B"/>
    <w:rsid w:val="00E261BE"/>
    <w:rsid w:val="00E26522"/>
    <w:rsid w:val="00E26A27"/>
    <w:rsid w:val="00E26DB9"/>
    <w:rsid w:val="00E30499"/>
    <w:rsid w:val="00E32D3C"/>
    <w:rsid w:val="00E344F7"/>
    <w:rsid w:val="00E345E9"/>
    <w:rsid w:val="00E35BE9"/>
    <w:rsid w:val="00E36405"/>
    <w:rsid w:val="00E36901"/>
    <w:rsid w:val="00E3700E"/>
    <w:rsid w:val="00E370E3"/>
    <w:rsid w:val="00E40EDD"/>
    <w:rsid w:val="00E41921"/>
    <w:rsid w:val="00E42654"/>
    <w:rsid w:val="00E42F19"/>
    <w:rsid w:val="00E435A6"/>
    <w:rsid w:val="00E44404"/>
    <w:rsid w:val="00E46BF7"/>
    <w:rsid w:val="00E5111B"/>
    <w:rsid w:val="00E51DCD"/>
    <w:rsid w:val="00E53584"/>
    <w:rsid w:val="00E55877"/>
    <w:rsid w:val="00E5736D"/>
    <w:rsid w:val="00E57390"/>
    <w:rsid w:val="00E574FB"/>
    <w:rsid w:val="00E5759B"/>
    <w:rsid w:val="00E57B64"/>
    <w:rsid w:val="00E60027"/>
    <w:rsid w:val="00E60CF3"/>
    <w:rsid w:val="00E617AD"/>
    <w:rsid w:val="00E61B4B"/>
    <w:rsid w:val="00E61D0E"/>
    <w:rsid w:val="00E661D5"/>
    <w:rsid w:val="00E66261"/>
    <w:rsid w:val="00E66D31"/>
    <w:rsid w:val="00E70150"/>
    <w:rsid w:val="00E71340"/>
    <w:rsid w:val="00E736AC"/>
    <w:rsid w:val="00E74018"/>
    <w:rsid w:val="00E740A2"/>
    <w:rsid w:val="00E76013"/>
    <w:rsid w:val="00E800DB"/>
    <w:rsid w:val="00E81BBF"/>
    <w:rsid w:val="00E82F79"/>
    <w:rsid w:val="00E834FB"/>
    <w:rsid w:val="00E83F48"/>
    <w:rsid w:val="00E85075"/>
    <w:rsid w:val="00E859C7"/>
    <w:rsid w:val="00E87A70"/>
    <w:rsid w:val="00E90091"/>
    <w:rsid w:val="00E90717"/>
    <w:rsid w:val="00E91DAC"/>
    <w:rsid w:val="00E92699"/>
    <w:rsid w:val="00E92AC7"/>
    <w:rsid w:val="00E9324C"/>
    <w:rsid w:val="00E93E03"/>
    <w:rsid w:val="00E95C4D"/>
    <w:rsid w:val="00E95DFA"/>
    <w:rsid w:val="00E96E59"/>
    <w:rsid w:val="00E96ED9"/>
    <w:rsid w:val="00E972D5"/>
    <w:rsid w:val="00E9792F"/>
    <w:rsid w:val="00EA0250"/>
    <w:rsid w:val="00EA0545"/>
    <w:rsid w:val="00EA18F7"/>
    <w:rsid w:val="00EA2084"/>
    <w:rsid w:val="00EA2238"/>
    <w:rsid w:val="00EA22D3"/>
    <w:rsid w:val="00EA24D7"/>
    <w:rsid w:val="00EA256E"/>
    <w:rsid w:val="00EA2942"/>
    <w:rsid w:val="00EA305D"/>
    <w:rsid w:val="00EA4225"/>
    <w:rsid w:val="00EA4577"/>
    <w:rsid w:val="00EA5D24"/>
    <w:rsid w:val="00EA5DF9"/>
    <w:rsid w:val="00EA6723"/>
    <w:rsid w:val="00EA6F46"/>
    <w:rsid w:val="00EB1584"/>
    <w:rsid w:val="00EB17A4"/>
    <w:rsid w:val="00EB1F03"/>
    <w:rsid w:val="00EB22FC"/>
    <w:rsid w:val="00EB32BC"/>
    <w:rsid w:val="00EB36FB"/>
    <w:rsid w:val="00EB3D19"/>
    <w:rsid w:val="00EB4189"/>
    <w:rsid w:val="00EB4CBB"/>
    <w:rsid w:val="00EB5B11"/>
    <w:rsid w:val="00EB5BEB"/>
    <w:rsid w:val="00EB62D6"/>
    <w:rsid w:val="00EC08F7"/>
    <w:rsid w:val="00EC0B03"/>
    <w:rsid w:val="00EC0BD9"/>
    <w:rsid w:val="00EC0E9D"/>
    <w:rsid w:val="00EC1062"/>
    <w:rsid w:val="00EC1B95"/>
    <w:rsid w:val="00EC1DD3"/>
    <w:rsid w:val="00EC36A2"/>
    <w:rsid w:val="00EC4DB5"/>
    <w:rsid w:val="00EC6350"/>
    <w:rsid w:val="00EC71BA"/>
    <w:rsid w:val="00EC78B5"/>
    <w:rsid w:val="00EC7FAE"/>
    <w:rsid w:val="00ED17D2"/>
    <w:rsid w:val="00ED1AB2"/>
    <w:rsid w:val="00ED1B7D"/>
    <w:rsid w:val="00ED25D3"/>
    <w:rsid w:val="00ED2725"/>
    <w:rsid w:val="00ED40A4"/>
    <w:rsid w:val="00ED5978"/>
    <w:rsid w:val="00ED6AF8"/>
    <w:rsid w:val="00ED6B55"/>
    <w:rsid w:val="00ED6BBD"/>
    <w:rsid w:val="00EE107D"/>
    <w:rsid w:val="00EE18F3"/>
    <w:rsid w:val="00EE3574"/>
    <w:rsid w:val="00EE3E7C"/>
    <w:rsid w:val="00EE3EBD"/>
    <w:rsid w:val="00EE46E6"/>
    <w:rsid w:val="00EE502F"/>
    <w:rsid w:val="00EE6B72"/>
    <w:rsid w:val="00EE7B2F"/>
    <w:rsid w:val="00EF0CED"/>
    <w:rsid w:val="00EF3CFD"/>
    <w:rsid w:val="00EF42E6"/>
    <w:rsid w:val="00EF4D5B"/>
    <w:rsid w:val="00EF60C0"/>
    <w:rsid w:val="00EF6C69"/>
    <w:rsid w:val="00EF6D5D"/>
    <w:rsid w:val="00F01158"/>
    <w:rsid w:val="00F01CE6"/>
    <w:rsid w:val="00F035B3"/>
    <w:rsid w:val="00F04388"/>
    <w:rsid w:val="00F0554A"/>
    <w:rsid w:val="00F05797"/>
    <w:rsid w:val="00F0692A"/>
    <w:rsid w:val="00F06D59"/>
    <w:rsid w:val="00F0770B"/>
    <w:rsid w:val="00F0777F"/>
    <w:rsid w:val="00F11E72"/>
    <w:rsid w:val="00F13998"/>
    <w:rsid w:val="00F13B1A"/>
    <w:rsid w:val="00F151CB"/>
    <w:rsid w:val="00F15438"/>
    <w:rsid w:val="00F16B11"/>
    <w:rsid w:val="00F16B92"/>
    <w:rsid w:val="00F1711A"/>
    <w:rsid w:val="00F174EA"/>
    <w:rsid w:val="00F17711"/>
    <w:rsid w:val="00F1794A"/>
    <w:rsid w:val="00F2098D"/>
    <w:rsid w:val="00F22C2F"/>
    <w:rsid w:val="00F23686"/>
    <w:rsid w:val="00F238A3"/>
    <w:rsid w:val="00F24BBA"/>
    <w:rsid w:val="00F25241"/>
    <w:rsid w:val="00F27831"/>
    <w:rsid w:val="00F307A4"/>
    <w:rsid w:val="00F31548"/>
    <w:rsid w:val="00F31A0A"/>
    <w:rsid w:val="00F326D3"/>
    <w:rsid w:val="00F33309"/>
    <w:rsid w:val="00F33BD1"/>
    <w:rsid w:val="00F3433D"/>
    <w:rsid w:val="00F34517"/>
    <w:rsid w:val="00F3481F"/>
    <w:rsid w:val="00F367E0"/>
    <w:rsid w:val="00F40F63"/>
    <w:rsid w:val="00F41183"/>
    <w:rsid w:val="00F414A4"/>
    <w:rsid w:val="00F42E83"/>
    <w:rsid w:val="00F43B72"/>
    <w:rsid w:val="00F44221"/>
    <w:rsid w:val="00F445BD"/>
    <w:rsid w:val="00F448A9"/>
    <w:rsid w:val="00F45978"/>
    <w:rsid w:val="00F45BB1"/>
    <w:rsid w:val="00F46093"/>
    <w:rsid w:val="00F46527"/>
    <w:rsid w:val="00F46C86"/>
    <w:rsid w:val="00F47A30"/>
    <w:rsid w:val="00F5056F"/>
    <w:rsid w:val="00F50854"/>
    <w:rsid w:val="00F5162A"/>
    <w:rsid w:val="00F51CC3"/>
    <w:rsid w:val="00F52521"/>
    <w:rsid w:val="00F52BD2"/>
    <w:rsid w:val="00F54AF0"/>
    <w:rsid w:val="00F56D62"/>
    <w:rsid w:val="00F5725B"/>
    <w:rsid w:val="00F5790D"/>
    <w:rsid w:val="00F600EB"/>
    <w:rsid w:val="00F60DE0"/>
    <w:rsid w:val="00F62E4D"/>
    <w:rsid w:val="00F6366C"/>
    <w:rsid w:val="00F643A9"/>
    <w:rsid w:val="00F64A0E"/>
    <w:rsid w:val="00F650CF"/>
    <w:rsid w:val="00F7018C"/>
    <w:rsid w:val="00F714A9"/>
    <w:rsid w:val="00F72A8D"/>
    <w:rsid w:val="00F73080"/>
    <w:rsid w:val="00F74173"/>
    <w:rsid w:val="00F75DEA"/>
    <w:rsid w:val="00F75E0D"/>
    <w:rsid w:val="00F76FD4"/>
    <w:rsid w:val="00F80821"/>
    <w:rsid w:val="00F809C3"/>
    <w:rsid w:val="00F80AE4"/>
    <w:rsid w:val="00F810FD"/>
    <w:rsid w:val="00F81372"/>
    <w:rsid w:val="00F8232D"/>
    <w:rsid w:val="00F82520"/>
    <w:rsid w:val="00F85E8D"/>
    <w:rsid w:val="00F86092"/>
    <w:rsid w:val="00F86107"/>
    <w:rsid w:val="00F869DC"/>
    <w:rsid w:val="00F87669"/>
    <w:rsid w:val="00F8799B"/>
    <w:rsid w:val="00F927B1"/>
    <w:rsid w:val="00F9323B"/>
    <w:rsid w:val="00F94A55"/>
    <w:rsid w:val="00F95F40"/>
    <w:rsid w:val="00F961FC"/>
    <w:rsid w:val="00F96327"/>
    <w:rsid w:val="00F96394"/>
    <w:rsid w:val="00F964A0"/>
    <w:rsid w:val="00F965C9"/>
    <w:rsid w:val="00FA1101"/>
    <w:rsid w:val="00FA1375"/>
    <w:rsid w:val="00FA232F"/>
    <w:rsid w:val="00FA4552"/>
    <w:rsid w:val="00FA4F41"/>
    <w:rsid w:val="00FA5537"/>
    <w:rsid w:val="00FA6754"/>
    <w:rsid w:val="00FA7429"/>
    <w:rsid w:val="00FA7F94"/>
    <w:rsid w:val="00FB1D42"/>
    <w:rsid w:val="00FB305B"/>
    <w:rsid w:val="00FB307F"/>
    <w:rsid w:val="00FB3B16"/>
    <w:rsid w:val="00FB44A0"/>
    <w:rsid w:val="00FB4763"/>
    <w:rsid w:val="00FB5BAE"/>
    <w:rsid w:val="00FB5F11"/>
    <w:rsid w:val="00FB62A6"/>
    <w:rsid w:val="00FB6DDB"/>
    <w:rsid w:val="00FB6F4F"/>
    <w:rsid w:val="00FB741A"/>
    <w:rsid w:val="00FB7652"/>
    <w:rsid w:val="00FC0654"/>
    <w:rsid w:val="00FC0A88"/>
    <w:rsid w:val="00FC1E31"/>
    <w:rsid w:val="00FC2F14"/>
    <w:rsid w:val="00FC314C"/>
    <w:rsid w:val="00FC434D"/>
    <w:rsid w:val="00FC581F"/>
    <w:rsid w:val="00FC5882"/>
    <w:rsid w:val="00FC5A9F"/>
    <w:rsid w:val="00FC62A7"/>
    <w:rsid w:val="00FC77FB"/>
    <w:rsid w:val="00FD03E2"/>
    <w:rsid w:val="00FD31DD"/>
    <w:rsid w:val="00FD36B1"/>
    <w:rsid w:val="00FD3960"/>
    <w:rsid w:val="00FD5A09"/>
    <w:rsid w:val="00FD5E54"/>
    <w:rsid w:val="00FD61B7"/>
    <w:rsid w:val="00FD6222"/>
    <w:rsid w:val="00FD70E0"/>
    <w:rsid w:val="00FD744B"/>
    <w:rsid w:val="00FD7689"/>
    <w:rsid w:val="00FE0320"/>
    <w:rsid w:val="00FE16C9"/>
    <w:rsid w:val="00FE17A2"/>
    <w:rsid w:val="00FE194E"/>
    <w:rsid w:val="00FE1A2C"/>
    <w:rsid w:val="00FE2575"/>
    <w:rsid w:val="00FE394F"/>
    <w:rsid w:val="00FE3F34"/>
    <w:rsid w:val="00FE4F89"/>
    <w:rsid w:val="00FE562B"/>
    <w:rsid w:val="00FE7A0A"/>
    <w:rsid w:val="00FF0563"/>
    <w:rsid w:val="00FF0829"/>
    <w:rsid w:val="00FF37F3"/>
    <w:rsid w:val="00FF3FA3"/>
    <w:rsid w:val="00FF4351"/>
    <w:rsid w:val="00FF5D3E"/>
    <w:rsid w:val="00FF5DC6"/>
    <w:rsid w:val="00FF615F"/>
    <w:rsid w:val="00FF6F26"/>
    <w:rsid w:val="0203A38E"/>
    <w:rsid w:val="021823A2"/>
    <w:rsid w:val="0229FE81"/>
    <w:rsid w:val="02F05986"/>
    <w:rsid w:val="03481A27"/>
    <w:rsid w:val="036868FC"/>
    <w:rsid w:val="03C17429"/>
    <w:rsid w:val="03DD6507"/>
    <w:rsid w:val="04A0C96E"/>
    <w:rsid w:val="0628AC08"/>
    <w:rsid w:val="0807ACF0"/>
    <w:rsid w:val="08982233"/>
    <w:rsid w:val="08A227BF"/>
    <w:rsid w:val="091E47DA"/>
    <w:rsid w:val="0955B185"/>
    <w:rsid w:val="0C1136BC"/>
    <w:rsid w:val="0C810E60"/>
    <w:rsid w:val="0CCD9A85"/>
    <w:rsid w:val="0D60A67F"/>
    <w:rsid w:val="0D887326"/>
    <w:rsid w:val="0E820087"/>
    <w:rsid w:val="0F30BAC0"/>
    <w:rsid w:val="0F982072"/>
    <w:rsid w:val="10DC94AA"/>
    <w:rsid w:val="110C5D8C"/>
    <w:rsid w:val="1134EFC0"/>
    <w:rsid w:val="130844F1"/>
    <w:rsid w:val="13333909"/>
    <w:rsid w:val="134ED41A"/>
    <w:rsid w:val="135BD15C"/>
    <w:rsid w:val="143D05A8"/>
    <w:rsid w:val="157DC65D"/>
    <w:rsid w:val="16E1104A"/>
    <w:rsid w:val="16ECEA79"/>
    <w:rsid w:val="170D6D4B"/>
    <w:rsid w:val="19C7A0E0"/>
    <w:rsid w:val="19F25FB6"/>
    <w:rsid w:val="1AD58C40"/>
    <w:rsid w:val="1B43A862"/>
    <w:rsid w:val="1C9C6F7A"/>
    <w:rsid w:val="1CAA3408"/>
    <w:rsid w:val="1CF597B8"/>
    <w:rsid w:val="1D6AAEDE"/>
    <w:rsid w:val="1D930366"/>
    <w:rsid w:val="1F60365F"/>
    <w:rsid w:val="1F79C251"/>
    <w:rsid w:val="20A86499"/>
    <w:rsid w:val="21D93770"/>
    <w:rsid w:val="22647703"/>
    <w:rsid w:val="22AEDA4B"/>
    <w:rsid w:val="23F5CF40"/>
    <w:rsid w:val="245A962C"/>
    <w:rsid w:val="2491CDF6"/>
    <w:rsid w:val="25370ADE"/>
    <w:rsid w:val="271211FE"/>
    <w:rsid w:val="2930C5FC"/>
    <w:rsid w:val="2B146920"/>
    <w:rsid w:val="2B514C46"/>
    <w:rsid w:val="2BB30B85"/>
    <w:rsid w:val="2CB28C6D"/>
    <w:rsid w:val="2E1C0441"/>
    <w:rsid w:val="2ED27F5C"/>
    <w:rsid w:val="3077A65C"/>
    <w:rsid w:val="30852EA3"/>
    <w:rsid w:val="3120107A"/>
    <w:rsid w:val="325D25FA"/>
    <w:rsid w:val="326F4BDD"/>
    <w:rsid w:val="32C82AC5"/>
    <w:rsid w:val="32FA752E"/>
    <w:rsid w:val="33226569"/>
    <w:rsid w:val="3355034A"/>
    <w:rsid w:val="36E29665"/>
    <w:rsid w:val="385DC64E"/>
    <w:rsid w:val="38EB7BEE"/>
    <w:rsid w:val="3937DAF4"/>
    <w:rsid w:val="3988E8D5"/>
    <w:rsid w:val="3A59E34F"/>
    <w:rsid w:val="3A8BE535"/>
    <w:rsid w:val="3AC722D7"/>
    <w:rsid w:val="3B99D518"/>
    <w:rsid w:val="3CD0DE34"/>
    <w:rsid w:val="3CFDCEED"/>
    <w:rsid w:val="3D9EA99A"/>
    <w:rsid w:val="3DF62D45"/>
    <w:rsid w:val="3E25D349"/>
    <w:rsid w:val="3F0E3987"/>
    <w:rsid w:val="409E90E9"/>
    <w:rsid w:val="41DBD08D"/>
    <w:rsid w:val="43066948"/>
    <w:rsid w:val="445D5C33"/>
    <w:rsid w:val="44904F70"/>
    <w:rsid w:val="44972594"/>
    <w:rsid w:val="44D1950B"/>
    <w:rsid w:val="45A6904B"/>
    <w:rsid w:val="469B3515"/>
    <w:rsid w:val="46FCC84C"/>
    <w:rsid w:val="47A83178"/>
    <w:rsid w:val="47B120B6"/>
    <w:rsid w:val="4811E828"/>
    <w:rsid w:val="483E6131"/>
    <w:rsid w:val="49A41963"/>
    <w:rsid w:val="49E79C59"/>
    <w:rsid w:val="4AB367D0"/>
    <w:rsid w:val="4C36888B"/>
    <w:rsid w:val="4DC96769"/>
    <w:rsid w:val="50C67C27"/>
    <w:rsid w:val="50CA56A4"/>
    <w:rsid w:val="51393668"/>
    <w:rsid w:val="51ABB75D"/>
    <w:rsid w:val="51C777F5"/>
    <w:rsid w:val="5279C826"/>
    <w:rsid w:val="5284579A"/>
    <w:rsid w:val="54950119"/>
    <w:rsid w:val="57E127B9"/>
    <w:rsid w:val="597BA8F2"/>
    <w:rsid w:val="5AFF9D7D"/>
    <w:rsid w:val="5B3E910E"/>
    <w:rsid w:val="5BF97322"/>
    <w:rsid w:val="5C6C6077"/>
    <w:rsid w:val="6036F626"/>
    <w:rsid w:val="607080C9"/>
    <w:rsid w:val="60A45A0D"/>
    <w:rsid w:val="60B2FC6F"/>
    <w:rsid w:val="6186D8B1"/>
    <w:rsid w:val="62A8A07C"/>
    <w:rsid w:val="62EC243B"/>
    <w:rsid w:val="630F9406"/>
    <w:rsid w:val="646ECADC"/>
    <w:rsid w:val="64AC8B1D"/>
    <w:rsid w:val="64CBB8DA"/>
    <w:rsid w:val="650C4A57"/>
    <w:rsid w:val="65A8660F"/>
    <w:rsid w:val="66733644"/>
    <w:rsid w:val="67176A11"/>
    <w:rsid w:val="671F5CED"/>
    <w:rsid w:val="679BFBB4"/>
    <w:rsid w:val="67A00C16"/>
    <w:rsid w:val="6A5AA6F6"/>
    <w:rsid w:val="6AA51B0B"/>
    <w:rsid w:val="6AAB7401"/>
    <w:rsid w:val="6ACE2559"/>
    <w:rsid w:val="6C398A55"/>
    <w:rsid w:val="6DB7C0A7"/>
    <w:rsid w:val="6E3BD52D"/>
    <w:rsid w:val="6E4FCF24"/>
    <w:rsid w:val="6E52BB4A"/>
    <w:rsid w:val="6E8A320B"/>
    <w:rsid w:val="6F293D9D"/>
    <w:rsid w:val="6F620971"/>
    <w:rsid w:val="6FABA06A"/>
    <w:rsid w:val="700E19AC"/>
    <w:rsid w:val="70376EB3"/>
    <w:rsid w:val="70909992"/>
    <w:rsid w:val="7092D86E"/>
    <w:rsid w:val="709B40C6"/>
    <w:rsid w:val="713138AE"/>
    <w:rsid w:val="715E6974"/>
    <w:rsid w:val="73236084"/>
    <w:rsid w:val="73D71C63"/>
    <w:rsid w:val="755C832D"/>
    <w:rsid w:val="7590182E"/>
    <w:rsid w:val="75AB1B01"/>
    <w:rsid w:val="75F34C8F"/>
    <w:rsid w:val="773348B2"/>
    <w:rsid w:val="78DDD2E9"/>
    <w:rsid w:val="79221659"/>
    <w:rsid w:val="7A076D53"/>
    <w:rsid w:val="7AA99353"/>
    <w:rsid w:val="7BC1DC65"/>
    <w:rsid w:val="7CB34C3C"/>
    <w:rsid w:val="7CFC490C"/>
    <w:rsid w:val="7E22E7A3"/>
    <w:rsid w:val="7E3FD43F"/>
    <w:rsid w:val="7EB18FEA"/>
    <w:rsid w:val="7F010E27"/>
    <w:rsid w:val="7FB899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06D2D091"/>
  <w15:docId w15:val="{A6986666-7E8F-4C69-B8B2-FA49B7D6A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B72"/>
    <w:pPr>
      <w:spacing w:before="240" w:after="120" w:line="360" w:lineRule="auto"/>
      <w:jc w:val="both"/>
    </w:pPr>
    <w:rPr>
      <w:rFonts w:ascii="Arial" w:hAnsi="Arial"/>
      <w:sz w:val="22"/>
      <w:szCs w:val="24"/>
    </w:rPr>
  </w:style>
  <w:style w:type="paragraph" w:styleId="Ttulo1">
    <w:name w:val="heading 1"/>
    <w:basedOn w:val="Normal"/>
    <w:next w:val="Normal"/>
    <w:link w:val="Ttulo1Car"/>
    <w:uiPriority w:val="9"/>
    <w:qFormat/>
    <w:rsid w:val="001906DF"/>
    <w:pPr>
      <w:keepNext/>
      <w:numPr>
        <w:numId w:val="1"/>
      </w:numPr>
      <w:spacing w:before="60"/>
      <w:outlineLvl w:val="0"/>
    </w:pPr>
    <w:rPr>
      <w:rFonts w:cs="Arial"/>
      <w:b/>
      <w:bCs/>
      <w:sz w:val="28"/>
      <w:u w:val="single"/>
    </w:rPr>
  </w:style>
  <w:style w:type="paragraph" w:styleId="Ttulo2">
    <w:name w:val="heading 2"/>
    <w:basedOn w:val="Normal"/>
    <w:next w:val="Normal"/>
    <w:link w:val="Ttulo2Car"/>
    <w:qFormat/>
    <w:rsid w:val="001906DF"/>
    <w:pPr>
      <w:numPr>
        <w:ilvl w:val="1"/>
        <w:numId w:val="1"/>
      </w:numPr>
      <w:outlineLvl w:val="1"/>
    </w:pPr>
    <w:rPr>
      <w:rFonts w:cs="Arial"/>
      <w:b/>
      <w:bCs/>
      <w:iCs/>
      <w:sz w:val="26"/>
    </w:rPr>
  </w:style>
  <w:style w:type="paragraph" w:styleId="Ttulo3">
    <w:name w:val="heading 3"/>
    <w:basedOn w:val="Normal"/>
    <w:next w:val="Normal"/>
    <w:link w:val="Ttulo3Car"/>
    <w:qFormat/>
    <w:rsid w:val="00FF615F"/>
    <w:pPr>
      <w:keepNext/>
      <w:numPr>
        <w:ilvl w:val="2"/>
        <w:numId w:val="1"/>
      </w:numPr>
      <w:spacing w:line="312" w:lineRule="auto"/>
      <w:outlineLvl w:val="2"/>
    </w:pPr>
    <w:rPr>
      <w:rFonts w:cs="Arial"/>
      <w:b/>
      <w:i/>
      <w:iCs/>
    </w:rPr>
  </w:style>
  <w:style w:type="paragraph" w:styleId="Ttulo4">
    <w:name w:val="heading 4"/>
    <w:basedOn w:val="Normal"/>
    <w:next w:val="Normal"/>
    <w:qFormat/>
    <w:rsid w:val="003B502D"/>
    <w:pPr>
      <w:keepNext/>
      <w:numPr>
        <w:ilvl w:val="3"/>
        <w:numId w:val="1"/>
      </w:numPr>
      <w:spacing w:after="240"/>
      <w:outlineLvl w:val="3"/>
    </w:pPr>
    <w:rPr>
      <w:b/>
      <w:u w:val="single"/>
      <w:lang w:val="en-GB"/>
    </w:rPr>
  </w:style>
  <w:style w:type="paragraph" w:styleId="Ttulo5">
    <w:name w:val="heading 5"/>
    <w:basedOn w:val="Normal"/>
    <w:next w:val="Normal"/>
    <w:qFormat/>
    <w:rsid w:val="00247919"/>
    <w:pPr>
      <w:numPr>
        <w:ilvl w:val="4"/>
        <w:numId w:val="1"/>
      </w:numPr>
      <w:spacing w:after="60"/>
      <w:outlineLvl w:val="4"/>
    </w:pPr>
    <w:rPr>
      <w:b/>
      <w:bCs/>
      <w:i/>
      <w:iCs/>
      <w:szCs w:val="26"/>
    </w:rPr>
  </w:style>
  <w:style w:type="paragraph" w:styleId="Ttulo6">
    <w:name w:val="heading 6"/>
    <w:basedOn w:val="Normal"/>
    <w:next w:val="Normal"/>
    <w:qFormat/>
    <w:rsid w:val="0023089B"/>
    <w:pPr>
      <w:keepNext/>
      <w:framePr w:hSpace="141" w:wrap="around" w:vAnchor="page" w:hAnchor="margin" w:y="3425"/>
      <w:numPr>
        <w:ilvl w:val="5"/>
        <w:numId w:val="1"/>
      </w:numPr>
      <w:overflowPunct w:val="0"/>
      <w:autoSpaceDE w:val="0"/>
      <w:autoSpaceDN w:val="0"/>
      <w:adjustRightInd w:val="0"/>
      <w:spacing w:before="120"/>
      <w:jc w:val="center"/>
      <w:textAlignment w:val="baseline"/>
      <w:outlineLvl w:val="5"/>
    </w:pPr>
    <w:rPr>
      <w:b/>
      <w:sz w:val="32"/>
      <w:szCs w:val="20"/>
    </w:rPr>
  </w:style>
  <w:style w:type="paragraph" w:styleId="Ttulo7">
    <w:name w:val="heading 7"/>
    <w:basedOn w:val="Normal"/>
    <w:next w:val="Normal"/>
    <w:qFormat/>
    <w:rsid w:val="0023089B"/>
    <w:pPr>
      <w:keepNext/>
      <w:numPr>
        <w:ilvl w:val="6"/>
        <w:numId w:val="1"/>
      </w:numPr>
      <w:spacing w:before="120"/>
      <w:outlineLvl w:val="6"/>
    </w:pPr>
    <w:rPr>
      <w:b/>
      <w:bCs/>
      <w:color w:val="000000"/>
    </w:rPr>
  </w:style>
  <w:style w:type="paragraph" w:styleId="Ttulo8">
    <w:name w:val="heading 8"/>
    <w:basedOn w:val="Normal"/>
    <w:next w:val="Normal"/>
    <w:qFormat/>
    <w:rsid w:val="0023089B"/>
    <w:pPr>
      <w:numPr>
        <w:ilvl w:val="7"/>
        <w:numId w:val="1"/>
      </w:numPr>
      <w:spacing w:after="60"/>
      <w:outlineLvl w:val="7"/>
    </w:pPr>
    <w:rPr>
      <w:i/>
      <w:iCs/>
      <w:sz w:val="20"/>
    </w:rPr>
  </w:style>
  <w:style w:type="paragraph" w:styleId="Ttulo9">
    <w:name w:val="heading 9"/>
    <w:basedOn w:val="Normal"/>
    <w:next w:val="Normal"/>
    <w:qFormat/>
    <w:rsid w:val="0023089B"/>
    <w:pPr>
      <w:numPr>
        <w:ilvl w:val="8"/>
        <w:numId w:val="1"/>
      </w:numPr>
      <w:spacing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23089B"/>
  </w:style>
  <w:style w:type="paragraph" w:styleId="Ttulo">
    <w:name w:val="Title"/>
    <w:basedOn w:val="Normal"/>
    <w:qFormat/>
    <w:rsid w:val="0023089B"/>
    <w:pPr>
      <w:jc w:val="center"/>
    </w:pPr>
    <w:rPr>
      <w:b/>
      <w:bCs/>
      <w:sz w:val="28"/>
    </w:rPr>
  </w:style>
  <w:style w:type="paragraph" w:styleId="Textoindependiente">
    <w:name w:val="Body Text"/>
    <w:basedOn w:val="Normal"/>
    <w:rsid w:val="0023089B"/>
    <w:pPr>
      <w:spacing w:before="60"/>
    </w:pPr>
  </w:style>
  <w:style w:type="paragraph" w:styleId="Textonotapie">
    <w:name w:val="footnote text"/>
    <w:basedOn w:val="Normal"/>
    <w:link w:val="TextonotapieCar"/>
    <w:semiHidden/>
    <w:rsid w:val="0023089B"/>
    <w:rPr>
      <w:sz w:val="20"/>
      <w:szCs w:val="20"/>
    </w:rPr>
  </w:style>
  <w:style w:type="character" w:styleId="Refdenotaalpie">
    <w:name w:val="footnote reference"/>
    <w:basedOn w:val="Fuentedeprrafopredeter"/>
    <w:semiHidden/>
    <w:rsid w:val="0023089B"/>
    <w:rPr>
      <w:vertAlign w:val="superscript"/>
    </w:rPr>
  </w:style>
  <w:style w:type="paragraph" w:styleId="Encabezado">
    <w:name w:val="header"/>
    <w:basedOn w:val="Normal"/>
    <w:link w:val="EncabezadoCar"/>
    <w:rsid w:val="0023089B"/>
    <w:pPr>
      <w:tabs>
        <w:tab w:val="center" w:pos="4536"/>
        <w:tab w:val="right" w:pos="9072"/>
      </w:tabs>
    </w:pPr>
  </w:style>
  <w:style w:type="paragraph" w:styleId="Piedepgina">
    <w:name w:val="footer"/>
    <w:basedOn w:val="Normal"/>
    <w:link w:val="PiedepginaCar"/>
    <w:rsid w:val="0023089B"/>
    <w:pPr>
      <w:tabs>
        <w:tab w:val="center" w:pos="4536"/>
        <w:tab w:val="right" w:pos="9072"/>
      </w:tabs>
    </w:pPr>
  </w:style>
  <w:style w:type="character" w:customStyle="1" w:styleId="texte1g">
    <w:name w:val="texte1g"/>
    <w:basedOn w:val="Fuentedeprrafopredeter"/>
    <w:rsid w:val="0023089B"/>
    <w:rPr>
      <w:noProof w:val="0"/>
      <w:lang w:val="fr-FR" w:bidi="ar-SA"/>
    </w:rPr>
  </w:style>
  <w:style w:type="paragraph" w:styleId="Sangradetextonormal">
    <w:name w:val="Body Text Indent"/>
    <w:basedOn w:val="Normal"/>
    <w:rsid w:val="0023089B"/>
    <w:pPr>
      <w:spacing w:before="60"/>
      <w:ind w:left="720"/>
    </w:pPr>
  </w:style>
  <w:style w:type="paragraph" w:styleId="Textoindependiente3">
    <w:name w:val="Body Text 3"/>
    <w:basedOn w:val="Normal"/>
    <w:rsid w:val="0023089B"/>
    <w:pPr>
      <w:spacing w:before="60"/>
    </w:pPr>
  </w:style>
  <w:style w:type="paragraph" w:customStyle="1" w:styleId="Paranormal">
    <w:name w:val="Paranormal"/>
    <w:basedOn w:val="Normal"/>
    <w:rsid w:val="0023089B"/>
    <w:rPr>
      <w:sz w:val="20"/>
      <w:szCs w:val="20"/>
    </w:rPr>
  </w:style>
  <w:style w:type="paragraph" w:customStyle="1" w:styleId="paragraphe">
    <w:name w:val="paragraphe"/>
    <w:basedOn w:val="Normal"/>
    <w:rsid w:val="0023089B"/>
    <w:pPr>
      <w:spacing w:before="120"/>
    </w:pPr>
    <w:rPr>
      <w:szCs w:val="20"/>
    </w:rPr>
  </w:style>
  <w:style w:type="character" w:styleId="Hipervnculo">
    <w:name w:val="Hyperlink"/>
    <w:basedOn w:val="Fuentedeprrafopredeter"/>
    <w:uiPriority w:val="99"/>
    <w:rsid w:val="0023089B"/>
    <w:rPr>
      <w:color w:val="0000FF"/>
      <w:u w:val="single"/>
    </w:rPr>
  </w:style>
  <w:style w:type="paragraph" w:styleId="TDC1">
    <w:name w:val="toc 1"/>
    <w:basedOn w:val="Normal"/>
    <w:next w:val="Normal"/>
    <w:autoRedefine/>
    <w:uiPriority w:val="39"/>
    <w:qFormat/>
    <w:rsid w:val="001B133D"/>
    <w:pPr>
      <w:tabs>
        <w:tab w:val="left" w:pos="480"/>
        <w:tab w:val="right" w:leader="dot" w:pos="8920"/>
      </w:tabs>
      <w:spacing w:before="360"/>
    </w:pPr>
    <w:rPr>
      <w:bCs/>
      <w:szCs w:val="28"/>
    </w:rPr>
  </w:style>
  <w:style w:type="paragraph" w:styleId="TDC2">
    <w:name w:val="toc 2"/>
    <w:basedOn w:val="Normal"/>
    <w:next w:val="Normal"/>
    <w:autoRedefine/>
    <w:uiPriority w:val="39"/>
    <w:qFormat/>
    <w:rsid w:val="001B133D"/>
    <w:pPr>
      <w:tabs>
        <w:tab w:val="left" w:pos="720"/>
        <w:tab w:val="right" w:leader="dot" w:pos="8920"/>
      </w:tabs>
    </w:pPr>
    <w:rPr>
      <w:bCs/>
    </w:rPr>
  </w:style>
  <w:style w:type="paragraph" w:styleId="TDC3">
    <w:name w:val="toc 3"/>
    <w:basedOn w:val="Normal"/>
    <w:next w:val="Normal"/>
    <w:autoRedefine/>
    <w:uiPriority w:val="39"/>
    <w:qFormat/>
    <w:rsid w:val="00510CE2"/>
    <w:pPr>
      <w:ind w:left="240"/>
    </w:pPr>
  </w:style>
  <w:style w:type="paragraph" w:styleId="TDC4">
    <w:name w:val="toc 4"/>
    <w:basedOn w:val="Normal"/>
    <w:next w:val="Normal"/>
    <w:autoRedefine/>
    <w:semiHidden/>
    <w:rsid w:val="0023089B"/>
    <w:pPr>
      <w:ind w:left="480"/>
    </w:pPr>
  </w:style>
  <w:style w:type="paragraph" w:styleId="TDC5">
    <w:name w:val="toc 5"/>
    <w:basedOn w:val="Normal"/>
    <w:next w:val="Normal"/>
    <w:autoRedefine/>
    <w:semiHidden/>
    <w:rsid w:val="0023089B"/>
    <w:pPr>
      <w:ind w:left="720"/>
    </w:pPr>
  </w:style>
  <w:style w:type="paragraph" w:styleId="TDC6">
    <w:name w:val="toc 6"/>
    <w:basedOn w:val="Normal"/>
    <w:next w:val="Normal"/>
    <w:autoRedefine/>
    <w:semiHidden/>
    <w:rsid w:val="0023089B"/>
    <w:pPr>
      <w:ind w:left="960"/>
    </w:pPr>
  </w:style>
  <w:style w:type="paragraph" w:styleId="TDC7">
    <w:name w:val="toc 7"/>
    <w:basedOn w:val="Normal"/>
    <w:next w:val="Normal"/>
    <w:autoRedefine/>
    <w:semiHidden/>
    <w:rsid w:val="0023089B"/>
    <w:pPr>
      <w:ind w:left="1200"/>
    </w:pPr>
  </w:style>
  <w:style w:type="paragraph" w:styleId="TDC8">
    <w:name w:val="toc 8"/>
    <w:basedOn w:val="Normal"/>
    <w:next w:val="Normal"/>
    <w:autoRedefine/>
    <w:semiHidden/>
    <w:rsid w:val="0023089B"/>
    <w:pPr>
      <w:ind w:left="1440"/>
    </w:pPr>
  </w:style>
  <w:style w:type="paragraph" w:styleId="TDC9">
    <w:name w:val="toc 9"/>
    <w:basedOn w:val="Normal"/>
    <w:next w:val="Normal"/>
    <w:autoRedefine/>
    <w:semiHidden/>
    <w:rsid w:val="0023089B"/>
    <w:pPr>
      <w:ind w:left="1680"/>
    </w:pPr>
  </w:style>
  <w:style w:type="paragraph" w:styleId="Subttulo">
    <w:name w:val="Subtitle"/>
    <w:basedOn w:val="Normal"/>
    <w:qFormat/>
    <w:rsid w:val="0023089B"/>
    <w:pPr>
      <w:jc w:val="center"/>
    </w:pPr>
    <w:rPr>
      <w:b/>
      <w:bCs/>
      <w:sz w:val="28"/>
      <w:u w:val="single"/>
    </w:rPr>
  </w:style>
  <w:style w:type="paragraph" w:customStyle="1" w:styleId="Retrait">
    <w:name w:val="Retrait"/>
    <w:basedOn w:val="Paranormal"/>
    <w:rsid w:val="0023089B"/>
    <w:pPr>
      <w:numPr>
        <w:numId w:val="2"/>
      </w:numPr>
      <w:overflowPunct w:val="0"/>
      <w:autoSpaceDE w:val="0"/>
      <w:autoSpaceDN w:val="0"/>
      <w:adjustRightInd w:val="0"/>
      <w:textAlignment w:val="baseline"/>
    </w:pPr>
    <w:rPr>
      <w:rFonts w:cs="Arial"/>
      <w:sz w:val="18"/>
    </w:rPr>
  </w:style>
  <w:style w:type="paragraph" w:styleId="Sangra2detindependiente">
    <w:name w:val="Body Text Indent 2"/>
    <w:basedOn w:val="Normal"/>
    <w:rsid w:val="0023089B"/>
    <w:pPr>
      <w:autoSpaceDE w:val="0"/>
      <w:autoSpaceDN w:val="0"/>
      <w:adjustRightInd w:val="0"/>
      <w:ind w:left="697"/>
    </w:pPr>
    <w:rPr>
      <w:rFonts w:cs="Arial"/>
      <w:sz w:val="20"/>
    </w:rPr>
  </w:style>
  <w:style w:type="paragraph" w:styleId="Sangra3detindependiente">
    <w:name w:val="Body Text Indent 3"/>
    <w:basedOn w:val="Normal"/>
    <w:rsid w:val="0023089B"/>
    <w:pPr>
      <w:autoSpaceDE w:val="0"/>
      <w:autoSpaceDN w:val="0"/>
      <w:adjustRightInd w:val="0"/>
      <w:ind w:left="1416"/>
    </w:pPr>
    <w:rPr>
      <w:rFonts w:cs="Arial"/>
      <w:sz w:val="20"/>
    </w:rPr>
  </w:style>
  <w:style w:type="paragraph" w:styleId="Textodeglobo">
    <w:name w:val="Balloon Text"/>
    <w:basedOn w:val="Normal"/>
    <w:semiHidden/>
    <w:rsid w:val="0023089B"/>
    <w:rPr>
      <w:rFonts w:ascii="Tahoma" w:hAnsi="Tahoma" w:cs="Tahoma"/>
      <w:sz w:val="16"/>
      <w:szCs w:val="16"/>
    </w:rPr>
  </w:style>
  <w:style w:type="character" w:styleId="Hipervnculovisitado">
    <w:name w:val="FollowedHyperlink"/>
    <w:basedOn w:val="Fuentedeprrafopredeter"/>
    <w:rsid w:val="0023089B"/>
    <w:rPr>
      <w:color w:val="800080"/>
      <w:u w:val="single"/>
    </w:rPr>
  </w:style>
  <w:style w:type="character" w:styleId="Refdecomentario">
    <w:name w:val="annotation reference"/>
    <w:basedOn w:val="Fuentedeprrafopredeter"/>
    <w:uiPriority w:val="99"/>
    <w:rsid w:val="0023089B"/>
    <w:rPr>
      <w:sz w:val="16"/>
      <w:szCs w:val="16"/>
    </w:rPr>
  </w:style>
  <w:style w:type="paragraph" w:styleId="Textocomentario">
    <w:name w:val="annotation text"/>
    <w:basedOn w:val="Normal"/>
    <w:link w:val="TextocomentarioCar"/>
    <w:uiPriority w:val="99"/>
    <w:semiHidden/>
    <w:rsid w:val="0023089B"/>
    <w:rPr>
      <w:sz w:val="20"/>
      <w:szCs w:val="20"/>
    </w:rPr>
  </w:style>
  <w:style w:type="paragraph" w:styleId="Asuntodelcomentario">
    <w:name w:val="annotation subject"/>
    <w:basedOn w:val="Textocomentario"/>
    <w:next w:val="Textocomentario"/>
    <w:semiHidden/>
    <w:rsid w:val="0023089B"/>
    <w:rPr>
      <w:b/>
      <w:bCs/>
    </w:rPr>
  </w:style>
  <w:style w:type="paragraph" w:customStyle="1" w:styleId="Default">
    <w:name w:val="Default"/>
    <w:rsid w:val="00F54AF0"/>
    <w:pPr>
      <w:autoSpaceDE w:val="0"/>
      <w:autoSpaceDN w:val="0"/>
      <w:adjustRightInd w:val="0"/>
    </w:pPr>
    <w:rPr>
      <w:rFonts w:ascii="Frutiger Roman" w:hAnsi="Frutiger Roman" w:cs="Frutiger Roman"/>
      <w:color w:val="000000"/>
      <w:sz w:val="24"/>
      <w:szCs w:val="24"/>
    </w:rPr>
  </w:style>
  <w:style w:type="paragraph" w:styleId="Prrafodelista">
    <w:name w:val="List Paragraph"/>
    <w:basedOn w:val="Normal"/>
    <w:uiPriority w:val="34"/>
    <w:qFormat/>
    <w:rsid w:val="00F54AF0"/>
    <w:pPr>
      <w:ind w:left="720"/>
      <w:contextualSpacing/>
    </w:pPr>
  </w:style>
  <w:style w:type="paragraph" w:customStyle="1" w:styleId="EstiloVerdana11ptInterlineadoMltiple13ln">
    <w:name w:val="Estilo Verdana 11 pt Interlineado:  Múltiple 13 lín."/>
    <w:basedOn w:val="Normal"/>
    <w:rsid w:val="008F0384"/>
    <w:pPr>
      <w:spacing w:before="120" w:line="288" w:lineRule="auto"/>
    </w:pPr>
    <w:rPr>
      <w:rFonts w:ascii="Verdana" w:eastAsia="MS Mincho" w:hAnsi="Verdana"/>
      <w:szCs w:val="20"/>
      <w:lang w:val="es-ES" w:eastAsia="ja-JP"/>
    </w:rPr>
  </w:style>
  <w:style w:type="character" w:customStyle="1" w:styleId="Enags">
    <w:name w:val="Enagás"/>
    <w:rsid w:val="008F0384"/>
    <w:rPr>
      <w:rFonts w:ascii="Verdana" w:hAnsi="Verdana"/>
      <w:sz w:val="22"/>
    </w:rPr>
  </w:style>
  <w:style w:type="paragraph" w:customStyle="1" w:styleId="Normalpersonal">
    <w:name w:val="Normal (personal)"/>
    <w:basedOn w:val="Normal"/>
    <w:rsid w:val="008F0384"/>
    <w:pPr>
      <w:spacing w:before="120" w:after="240"/>
    </w:pPr>
    <w:rPr>
      <w:rFonts w:ascii="Verdana" w:hAnsi="Verdana"/>
      <w:lang w:val="es-ES" w:eastAsia="es-ES"/>
    </w:rPr>
  </w:style>
  <w:style w:type="character" w:styleId="Nmerodepgina">
    <w:name w:val="page number"/>
    <w:basedOn w:val="Fuentedeprrafopredeter"/>
    <w:rsid w:val="008F0384"/>
  </w:style>
  <w:style w:type="character" w:customStyle="1" w:styleId="PiedepginaCar">
    <w:name w:val="Pie de página Car"/>
    <w:link w:val="Piedepgina"/>
    <w:locked/>
    <w:rsid w:val="008F0384"/>
    <w:rPr>
      <w:color w:val="0000FF"/>
      <w:sz w:val="24"/>
      <w:szCs w:val="24"/>
    </w:rPr>
  </w:style>
  <w:style w:type="paragraph" w:customStyle="1" w:styleId="EstiloTtulo1Arial14ptSubrayado">
    <w:name w:val="Estilo Título 1 + Arial 14 pt Subrayado"/>
    <w:basedOn w:val="Ttulo1"/>
    <w:autoRedefine/>
    <w:rsid w:val="00C62277"/>
    <w:pPr>
      <w:keepNext w:val="0"/>
      <w:pageBreakBefore/>
      <w:numPr>
        <w:numId w:val="7"/>
      </w:numPr>
      <w:tabs>
        <w:tab w:val="left" w:pos="709"/>
      </w:tabs>
      <w:spacing w:before="240" w:after="240"/>
    </w:pPr>
    <w:rPr>
      <w:color w:val="000000" w:themeColor="text1"/>
      <w:szCs w:val="22"/>
      <w:lang w:val="en-GB" w:eastAsia="es-ES"/>
    </w:rPr>
  </w:style>
  <w:style w:type="paragraph" w:customStyle="1" w:styleId="EstiloTtulo2Arial13ptAntes12ptoDespus12pto">
    <w:name w:val="Estilo Título 2 + Arial 13 pt Antes:  12 pto Después:  12 pto"/>
    <w:basedOn w:val="Ttulo2"/>
    <w:autoRedefine/>
    <w:rsid w:val="001906DF"/>
    <w:pPr>
      <w:keepNext/>
      <w:numPr>
        <w:numId w:val="3"/>
      </w:numPr>
      <w:spacing w:after="240"/>
      <w:jc w:val="left"/>
    </w:pPr>
    <w:rPr>
      <w:rFonts w:cs="Times New Roman"/>
      <w:i/>
      <w:iCs w:val="0"/>
      <w:szCs w:val="20"/>
      <w:lang w:val="en-GB"/>
    </w:rPr>
  </w:style>
  <w:style w:type="paragraph" w:customStyle="1" w:styleId="EstiloTtulo3ArialCursivaAutomticoAntes12ptoDespu">
    <w:name w:val="Estilo Título 3 + Arial Cursiva Automático Antes:  12 pto Despué..."/>
    <w:basedOn w:val="Ttulo3"/>
    <w:rsid w:val="008F0384"/>
    <w:pPr>
      <w:numPr>
        <w:ilvl w:val="0"/>
        <w:numId w:val="0"/>
      </w:numPr>
      <w:tabs>
        <w:tab w:val="num" w:pos="1080"/>
      </w:tabs>
      <w:spacing w:after="240"/>
      <w:ind w:left="720" w:hanging="720"/>
    </w:pPr>
    <w:rPr>
      <w:rFonts w:cs="Times New Roman"/>
      <w:b w:val="0"/>
      <w:bCs/>
      <w:szCs w:val="20"/>
    </w:rPr>
  </w:style>
  <w:style w:type="paragraph" w:customStyle="1" w:styleId="EstiloTtulo312ptCursivaDespus12pto">
    <w:name w:val="Estilo Título 3 + 12 pt Cursiva Después:  12 pto"/>
    <w:basedOn w:val="Ttulo3"/>
    <w:rsid w:val="008F0384"/>
    <w:pPr>
      <w:numPr>
        <w:numId w:val="3"/>
      </w:numPr>
      <w:spacing w:after="240"/>
    </w:pPr>
    <w:rPr>
      <w:rFonts w:cs="Times New Roman"/>
      <w:b w:val="0"/>
      <w:bCs/>
      <w:szCs w:val="20"/>
      <w:lang w:val="es-ES" w:eastAsia="es-ES"/>
    </w:rPr>
  </w:style>
  <w:style w:type="paragraph" w:styleId="Descripcin">
    <w:name w:val="caption"/>
    <w:basedOn w:val="Normal"/>
    <w:next w:val="Normal"/>
    <w:uiPriority w:val="35"/>
    <w:qFormat/>
    <w:rsid w:val="008F0384"/>
    <w:pPr>
      <w:spacing w:before="120" w:line="312" w:lineRule="auto"/>
    </w:pPr>
    <w:rPr>
      <w:rFonts w:ascii="Verdana" w:eastAsia="MS Mincho" w:hAnsi="Verdana"/>
      <w:b/>
      <w:bCs/>
      <w:sz w:val="20"/>
      <w:szCs w:val="20"/>
      <w:lang w:val="es-ES" w:eastAsia="ja-JP"/>
    </w:rPr>
  </w:style>
  <w:style w:type="character" w:customStyle="1" w:styleId="TextonotapieCar">
    <w:name w:val="Texto nota pie Car"/>
    <w:link w:val="Textonotapie"/>
    <w:semiHidden/>
    <w:rsid w:val="008F0384"/>
    <w:rPr>
      <w:color w:val="0000FF"/>
    </w:rPr>
  </w:style>
  <w:style w:type="character" w:customStyle="1" w:styleId="FootnoteTextChar">
    <w:name w:val="Footnote Text Char"/>
    <w:semiHidden/>
    <w:locked/>
    <w:rsid w:val="008F0384"/>
    <w:rPr>
      <w:rFonts w:ascii="Verdana" w:hAnsi="Verdana" w:cs="Times New Roman"/>
      <w:sz w:val="20"/>
      <w:szCs w:val="20"/>
      <w:lang w:val="es-ES" w:eastAsia="ja-JP"/>
    </w:rPr>
  </w:style>
  <w:style w:type="paragraph" w:customStyle="1" w:styleId="TextinTable">
    <w:name w:val="Text in Table"/>
    <w:basedOn w:val="Normal"/>
    <w:rsid w:val="008F0384"/>
    <w:pPr>
      <w:spacing w:before="60" w:after="60"/>
    </w:pPr>
    <w:rPr>
      <w:rFonts w:cs="Courier New"/>
      <w:sz w:val="18"/>
      <w:szCs w:val="20"/>
      <w:lang w:val="en-GB" w:eastAsia="de-DE"/>
    </w:rPr>
  </w:style>
  <w:style w:type="character" w:customStyle="1" w:styleId="CarCar">
    <w:name w:val="Car Car"/>
    <w:semiHidden/>
    <w:rsid w:val="008F0384"/>
    <w:rPr>
      <w:rFonts w:ascii="Arial" w:hAnsi="Arial"/>
      <w:bCs/>
      <w:sz w:val="18"/>
      <w:lang w:val="en-GB" w:eastAsia="en-US"/>
    </w:rPr>
  </w:style>
  <w:style w:type="paragraph" w:styleId="Textonotaalfinal">
    <w:name w:val="endnote text"/>
    <w:basedOn w:val="Normal"/>
    <w:link w:val="TextonotaalfinalCar"/>
    <w:semiHidden/>
    <w:rsid w:val="008F0384"/>
    <w:pPr>
      <w:spacing w:before="120" w:line="312" w:lineRule="auto"/>
    </w:pPr>
    <w:rPr>
      <w:rFonts w:ascii="Verdana" w:eastAsia="MS Mincho" w:hAnsi="Verdana"/>
      <w:sz w:val="20"/>
      <w:szCs w:val="20"/>
      <w:lang w:val="es-ES" w:eastAsia="ja-JP"/>
    </w:rPr>
  </w:style>
  <w:style w:type="character" w:customStyle="1" w:styleId="TextonotaalfinalCar">
    <w:name w:val="Texto nota al final Car"/>
    <w:basedOn w:val="Fuentedeprrafopredeter"/>
    <w:link w:val="Textonotaalfinal"/>
    <w:semiHidden/>
    <w:rsid w:val="008F0384"/>
    <w:rPr>
      <w:rFonts w:ascii="Verdana" w:eastAsia="MS Mincho" w:hAnsi="Verdana"/>
      <w:lang w:val="es-ES" w:eastAsia="ja-JP"/>
    </w:rPr>
  </w:style>
  <w:style w:type="character" w:styleId="Refdenotaalfinal">
    <w:name w:val="endnote reference"/>
    <w:semiHidden/>
    <w:rsid w:val="008F0384"/>
    <w:rPr>
      <w:vertAlign w:val="superscript"/>
    </w:rPr>
  </w:style>
  <w:style w:type="paragraph" w:customStyle="1" w:styleId="ListParagraph1">
    <w:name w:val="List Paragraph1"/>
    <w:basedOn w:val="Normal"/>
    <w:rsid w:val="008F0384"/>
    <w:pPr>
      <w:spacing w:after="200" w:line="276" w:lineRule="auto"/>
      <w:ind w:left="720"/>
      <w:contextualSpacing/>
    </w:pPr>
    <w:rPr>
      <w:rFonts w:ascii="Calibri" w:hAnsi="Calibri"/>
      <w:szCs w:val="22"/>
      <w:lang w:val="es-ES" w:eastAsia="en-US"/>
    </w:rPr>
  </w:style>
  <w:style w:type="character" w:customStyle="1" w:styleId="FooterChar">
    <w:name w:val="Footer Char"/>
    <w:locked/>
    <w:rsid w:val="008F0384"/>
    <w:rPr>
      <w:rFonts w:cs="Times New Roman"/>
    </w:rPr>
  </w:style>
  <w:style w:type="table" w:styleId="Tablaconcuadrcula">
    <w:name w:val="Table Grid"/>
    <w:basedOn w:val="Tablanormal"/>
    <w:rsid w:val="008F0384"/>
    <w:pPr>
      <w:spacing w:before="120" w:after="120" w:line="312" w:lineRule="auto"/>
      <w:jc w:val="both"/>
    </w:pPr>
    <w:rPr>
      <w:rFonts w:eastAsia="MS Mincho"/>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2">
    <w:name w:val="Estilo2"/>
    <w:basedOn w:val="EstiloTtulo1Arial14ptSubrayado"/>
    <w:rsid w:val="008F0384"/>
    <w:pPr>
      <w:numPr>
        <w:numId w:val="0"/>
      </w:numPr>
    </w:pPr>
  </w:style>
  <w:style w:type="character" w:customStyle="1" w:styleId="Ttulo3Car">
    <w:name w:val="Título 3 Car"/>
    <w:link w:val="Ttulo3"/>
    <w:rsid w:val="00FF615F"/>
    <w:rPr>
      <w:rFonts w:ascii="Arial" w:hAnsi="Arial" w:cs="Arial"/>
      <w:b/>
      <w:i/>
      <w:iCs/>
      <w:sz w:val="22"/>
      <w:szCs w:val="24"/>
    </w:rPr>
  </w:style>
  <w:style w:type="paragraph" w:customStyle="1" w:styleId="EstiloEstiloTextoindependienteVerdana10ptNegritaSubrayado">
    <w:name w:val="Estilo Estilo Texto independiente + Verdana 10 pt Negrita Subrayado ..."/>
    <w:basedOn w:val="Normal"/>
    <w:rsid w:val="008F0384"/>
    <w:pPr>
      <w:numPr>
        <w:numId w:val="4"/>
      </w:numPr>
      <w:spacing w:before="120" w:line="312" w:lineRule="auto"/>
    </w:pPr>
    <w:rPr>
      <w:rFonts w:ascii="Verdana" w:eastAsia="MS Mincho" w:hAnsi="Verdana"/>
      <w:lang w:val="es-ES" w:eastAsia="ja-JP"/>
    </w:rPr>
  </w:style>
  <w:style w:type="character" w:customStyle="1" w:styleId="hps">
    <w:name w:val="hps"/>
    <w:basedOn w:val="Fuentedeprrafopredeter"/>
    <w:rsid w:val="008F0384"/>
  </w:style>
  <w:style w:type="character" w:customStyle="1" w:styleId="hpsatn">
    <w:name w:val="hps atn"/>
    <w:basedOn w:val="Fuentedeprrafopredeter"/>
    <w:rsid w:val="008F0384"/>
  </w:style>
  <w:style w:type="character" w:customStyle="1" w:styleId="atn">
    <w:name w:val="atn"/>
    <w:basedOn w:val="Fuentedeprrafopredeter"/>
    <w:rsid w:val="008F0384"/>
  </w:style>
  <w:style w:type="table" w:customStyle="1" w:styleId="Tablaconcuadrcula1">
    <w:name w:val="Tabla con cuadrícula1"/>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8F0384"/>
    <w:pPr>
      <w:shd w:val="clear" w:color="auto" w:fill="000080"/>
      <w:spacing w:before="120" w:line="312" w:lineRule="auto"/>
    </w:pPr>
    <w:rPr>
      <w:rFonts w:ascii="Tahoma" w:eastAsia="MS Mincho" w:hAnsi="Tahoma" w:cs="Tahoma"/>
      <w:sz w:val="20"/>
      <w:szCs w:val="20"/>
      <w:lang w:val="es-ES" w:eastAsia="ja-JP"/>
    </w:rPr>
  </w:style>
  <w:style w:type="character" w:customStyle="1" w:styleId="MapadeldocumentoCar">
    <w:name w:val="Mapa del documento Car"/>
    <w:basedOn w:val="Fuentedeprrafopredeter"/>
    <w:link w:val="Mapadeldocumento"/>
    <w:semiHidden/>
    <w:rsid w:val="008F0384"/>
    <w:rPr>
      <w:rFonts w:ascii="Tahoma" w:eastAsia="MS Mincho" w:hAnsi="Tahoma" w:cs="Tahoma"/>
      <w:shd w:val="clear" w:color="auto" w:fill="000080"/>
      <w:lang w:val="es-ES" w:eastAsia="ja-JP"/>
    </w:rPr>
  </w:style>
  <w:style w:type="table" w:customStyle="1" w:styleId="Tablaconcuadrcula9">
    <w:name w:val="Tabla con cuadrícula9"/>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semnumero">
    <w:name w:val="Títulosemnumero"/>
    <w:basedOn w:val="Normal"/>
    <w:next w:val="Normal"/>
    <w:link w:val="TtulosemnumeroCarcter"/>
    <w:rsid w:val="008F0384"/>
    <w:pPr>
      <w:keepNext/>
      <w:spacing w:before="480"/>
    </w:pPr>
    <w:rPr>
      <w:b/>
      <w:smallCaps/>
      <w:sz w:val="20"/>
      <w:szCs w:val="20"/>
      <w:lang w:val="pt-PT" w:eastAsia="pt-PT"/>
    </w:rPr>
  </w:style>
  <w:style w:type="character" w:customStyle="1" w:styleId="TtulosemnumeroCarcter">
    <w:name w:val="Títulosemnumero Carácter"/>
    <w:link w:val="Ttulosemnumero"/>
    <w:rsid w:val="008F0384"/>
    <w:rPr>
      <w:rFonts w:ascii="Arial" w:hAnsi="Arial"/>
      <w:b/>
      <w:smallCaps/>
      <w:lang w:val="pt-PT" w:eastAsia="pt-PT"/>
    </w:rPr>
  </w:style>
  <w:style w:type="character" w:customStyle="1" w:styleId="EncabezadoCar">
    <w:name w:val="Encabezado Car"/>
    <w:link w:val="Encabezado"/>
    <w:rsid w:val="008F0384"/>
    <w:rPr>
      <w:color w:val="0000FF"/>
      <w:sz w:val="24"/>
      <w:szCs w:val="24"/>
    </w:rPr>
  </w:style>
  <w:style w:type="character" w:customStyle="1" w:styleId="Estilo11ptNegrito">
    <w:name w:val="Estilo 11 pt Negrito"/>
    <w:rsid w:val="008F0384"/>
    <w:rPr>
      <w:rFonts w:ascii="MetroMedium LT Two" w:hAnsi="MetroMedium LT Two" w:cs="Times New Roman"/>
      <w:bCs/>
      <w:sz w:val="22"/>
    </w:rPr>
  </w:style>
  <w:style w:type="paragraph" w:customStyle="1" w:styleId="Corpo">
    <w:name w:val="Corpo"/>
    <w:link w:val="CorpoCarcter"/>
    <w:rsid w:val="008F0384"/>
    <w:pPr>
      <w:spacing w:before="240" w:line="360" w:lineRule="auto"/>
      <w:jc w:val="both"/>
    </w:pPr>
    <w:rPr>
      <w:rFonts w:ascii="Arial" w:hAnsi="Arial"/>
      <w:lang w:val="pt-PT" w:eastAsia="pt-PT"/>
    </w:rPr>
  </w:style>
  <w:style w:type="paragraph" w:customStyle="1" w:styleId="bulletalinea">
    <w:name w:val="bulletalinea"/>
    <w:basedOn w:val="Corpo"/>
    <w:rsid w:val="008F0384"/>
    <w:pPr>
      <w:numPr>
        <w:numId w:val="5"/>
      </w:numPr>
      <w:tabs>
        <w:tab w:val="num" w:pos="360"/>
        <w:tab w:val="num" w:pos="420"/>
      </w:tabs>
      <w:spacing w:before="120"/>
      <w:ind w:left="420"/>
    </w:pPr>
  </w:style>
  <w:style w:type="character" w:customStyle="1" w:styleId="CorpoCarcter">
    <w:name w:val="Corpo Carácter"/>
    <w:link w:val="Corpo"/>
    <w:rsid w:val="008F0384"/>
    <w:rPr>
      <w:rFonts w:ascii="Arial" w:hAnsi="Arial"/>
      <w:lang w:val="pt-PT" w:eastAsia="pt-PT"/>
    </w:rPr>
  </w:style>
  <w:style w:type="paragraph" w:customStyle="1" w:styleId="Contrato-Texto">
    <w:name w:val="Contrato - Texto"/>
    <w:basedOn w:val="Normal"/>
    <w:uiPriority w:val="99"/>
    <w:rsid w:val="008F0384"/>
    <w:pPr>
      <w:ind w:left="1134"/>
    </w:pPr>
    <w:rPr>
      <w:rFonts w:ascii="Trebuchet MS" w:hAnsi="Trebuchet MS"/>
      <w:color w:val="000000"/>
      <w:sz w:val="20"/>
      <w:szCs w:val="20"/>
      <w:lang w:val="pt-PT" w:eastAsia="en-US"/>
    </w:rPr>
  </w:style>
  <w:style w:type="paragraph" w:customStyle="1" w:styleId="bulletnumerado">
    <w:name w:val="bulletnumerado"/>
    <w:basedOn w:val="Normal"/>
    <w:rsid w:val="008F0384"/>
    <w:pPr>
      <w:spacing w:before="120"/>
    </w:pPr>
    <w:rPr>
      <w:sz w:val="20"/>
      <w:szCs w:val="20"/>
      <w:lang w:val="pt-PT" w:eastAsia="pt-PT"/>
    </w:rPr>
  </w:style>
  <w:style w:type="paragraph" w:customStyle="1" w:styleId="SombreadoColorido-Cor11">
    <w:name w:val="Sombreado Colorido - Cor 11"/>
    <w:hidden/>
    <w:uiPriority w:val="71"/>
    <w:rsid w:val="008F0384"/>
    <w:rPr>
      <w:rFonts w:ascii="Verdana" w:eastAsia="MS Mincho" w:hAnsi="Verdana"/>
      <w:sz w:val="22"/>
      <w:szCs w:val="24"/>
      <w:lang w:val="es-ES" w:eastAsia="ja-JP"/>
    </w:rPr>
  </w:style>
  <w:style w:type="character" w:styleId="Textoennegrita">
    <w:name w:val="Strong"/>
    <w:basedOn w:val="Fuentedeprrafopredeter"/>
    <w:uiPriority w:val="22"/>
    <w:qFormat/>
    <w:rsid w:val="008F0384"/>
    <w:rPr>
      <w:b/>
      <w:bCs/>
    </w:rPr>
  </w:style>
  <w:style w:type="paragraph" w:styleId="Revisin">
    <w:name w:val="Revision"/>
    <w:hidden/>
    <w:uiPriority w:val="99"/>
    <w:semiHidden/>
    <w:rsid w:val="008F0384"/>
    <w:rPr>
      <w:rFonts w:ascii="Verdana" w:eastAsia="MS Mincho" w:hAnsi="Verdana"/>
      <w:sz w:val="22"/>
      <w:szCs w:val="24"/>
      <w:lang w:val="es-ES" w:eastAsia="ja-JP"/>
    </w:rPr>
  </w:style>
  <w:style w:type="paragraph" w:customStyle="1" w:styleId="CM1">
    <w:name w:val="CM1"/>
    <w:basedOn w:val="Default"/>
    <w:next w:val="Default"/>
    <w:uiPriority w:val="99"/>
    <w:rsid w:val="008F0384"/>
    <w:rPr>
      <w:rFonts w:ascii="EUAlbertina" w:eastAsia="MS Mincho" w:hAnsi="EUAlbertina" w:cs="Times New Roman"/>
      <w:color w:val="auto"/>
      <w:lang w:val="es-ES" w:eastAsia="pt-PT"/>
    </w:rPr>
  </w:style>
  <w:style w:type="paragraph" w:customStyle="1" w:styleId="CM3">
    <w:name w:val="CM3"/>
    <w:basedOn w:val="Default"/>
    <w:next w:val="Default"/>
    <w:uiPriority w:val="99"/>
    <w:rsid w:val="008F0384"/>
    <w:rPr>
      <w:rFonts w:ascii="EUAlbertina" w:eastAsia="MS Mincho" w:hAnsi="EUAlbertina" w:cs="Times New Roman"/>
      <w:color w:val="auto"/>
      <w:lang w:val="es-ES" w:eastAsia="pt-PT"/>
    </w:rPr>
  </w:style>
  <w:style w:type="paragraph" w:customStyle="1" w:styleId="CM4">
    <w:name w:val="CM4"/>
    <w:basedOn w:val="Default"/>
    <w:next w:val="Default"/>
    <w:uiPriority w:val="99"/>
    <w:rsid w:val="008F0384"/>
    <w:rPr>
      <w:rFonts w:ascii="EUAlbertina" w:eastAsia="MS Mincho" w:hAnsi="EUAlbertina" w:cs="Times New Roman"/>
      <w:color w:val="auto"/>
      <w:lang w:val="es-ES" w:eastAsia="pt-PT"/>
    </w:rPr>
  </w:style>
  <w:style w:type="character" w:customStyle="1" w:styleId="Subttulo1">
    <w:name w:val="Subtítulo1"/>
    <w:basedOn w:val="Fuentedeprrafopredeter"/>
    <w:rsid w:val="008F0384"/>
  </w:style>
  <w:style w:type="paragraph" w:customStyle="1" w:styleId="Estilo1">
    <w:name w:val="Estilo1"/>
    <w:basedOn w:val="Normal"/>
    <w:qFormat/>
    <w:rsid w:val="008F0384"/>
    <w:pPr>
      <w:numPr>
        <w:numId w:val="6"/>
      </w:numPr>
      <w:spacing w:after="240"/>
      <w:outlineLvl w:val="3"/>
    </w:pPr>
    <w:rPr>
      <w:rFonts w:cs="Arial"/>
      <w:szCs w:val="22"/>
      <w:u w:val="single"/>
      <w:lang w:val="en-GB"/>
    </w:rPr>
  </w:style>
  <w:style w:type="character" w:customStyle="1" w:styleId="Ttulo2Car">
    <w:name w:val="Título 2 Car"/>
    <w:basedOn w:val="Fuentedeprrafopredeter"/>
    <w:link w:val="Ttulo2"/>
    <w:rsid w:val="001906DF"/>
    <w:rPr>
      <w:rFonts w:ascii="Arial" w:hAnsi="Arial" w:cs="Arial"/>
      <w:b/>
      <w:bCs/>
      <w:iCs/>
      <w:sz w:val="26"/>
      <w:szCs w:val="24"/>
    </w:rPr>
  </w:style>
  <w:style w:type="paragraph" w:styleId="NormalWeb">
    <w:name w:val="Normal (Web)"/>
    <w:basedOn w:val="Normal"/>
    <w:uiPriority w:val="99"/>
    <w:semiHidden/>
    <w:unhideWhenUsed/>
    <w:rsid w:val="00DB0038"/>
    <w:pPr>
      <w:spacing w:before="100" w:beforeAutospacing="1" w:after="100" w:afterAutospacing="1"/>
    </w:pPr>
    <w:rPr>
      <w:lang w:val="en-US" w:eastAsia="en-US"/>
    </w:rPr>
  </w:style>
  <w:style w:type="paragraph" w:styleId="Tabladeilustraciones">
    <w:name w:val="table of figures"/>
    <w:basedOn w:val="Normal"/>
    <w:next w:val="Normal"/>
    <w:uiPriority w:val="99"/>
    <w:unhideWhenUsed/>
    <w:rsid w:val="007F0BFA"/>
    <w:rPr>
      <w:rFonts w:asciiTheme="minorHAnsi" w:hAnsiTheme="minorHAnsi"/>
      <w:i/>
      <w:iCs/>
      <w:sz w:val="20"/>
      <w:szCs w:val="20"/>
    </w:rPr>
  </w:style>
  <w:style w:type="paragraph" w:customStyle="1" w:styleId="Body1">
    <w:name w:val="Body 1"/>
    <w:rsid w:val="004E7549"/>
    <w:pPr>
      <w:spacing w:before="240" w:after="200" w:line="276" w:lineRule="auto"/>
      <w:jc w:val="both"/>
      <w:outlineLvl w:val="0"/>
    </w:pPr>
    <w:rPr>
      <w:rFonts w:ascii="Helvetica" w:eastAsia="Arial Unicode MS" w:hAnsi="Helvetica"/>
      <w:color w:val="000000"/>
      <w:sz w:val="22"/>
      <w:u w:color="000000"/>
      <w:lang w:val="es-ES" w:eastAsia="es-ES"/>
    </w:rPr>
  </w:style>
  <w:style w:type="character" w:customStyle="1" w:styleId="apple-converted-space">
    <w:name w:val="apple-converted-space"/>
    <w:basedOn w:val="Fuentedeprrafopredeter"/>
    <w:rsid w:val="00087C0D"/>
  </w:style>
  <w:style w:type="character" w:styleId="nfasis">
    <w:name w:val="Emphasis"/>
    <w:basedOn w:val="Fuentedeprrafopredeter"/>
    <w:uiPriority w:val="20"/>
    <w:qFormat/>
    <w:rsid w:val="00D71B73"/>
    <w:rPr>
      <w:i/>
      <w:iCs/>
    </w:rPr>
  </w:style>
  <w:style w:type="character" w:styleId="Textodelmarcadordeposicin">
    <w:name w:val="Placeholder Text"/>
    <w:basedOn w:val="Fuentedeprrafopredeter"/>
    <w:uiPriority w:val="99"/>
    <w:semiHidden/>
    <w:rsid w:val="0046482B"/>
    <w:rPr>
      <w:color w:val="808080"/>
    </w:rPr>
  </w:style>
  <w:style w:type="character" w:customStyle="1" w:styleId="TextocomentarioCar">
    <w:name w:val="Texto comentario Car"/>
    <w:basedOn w:val="Fuentedeprrafopredeter"/>
    <w:link w:val="Textocomentario"/>
    <w:uiPriority w:val="99"/>
    <w:semiHidden/>
    <w:rsid w:val="00D42ECB"/>
    <w:rPr>
      <w:rFonts w:ascii="Arial" w:hAnsi="Arial"/>
    </w:rPr>
  </w:style>
  <w:style w:type="paragraph" w:customStyle="1" w:styleId="Estilo3">
    <w:name w:val="Estilo3"/>
    <w:basedOn w:val="Ttulo1"/>
    <w:link w:val="Estilo3Car"/>
    <w:qFormat/>
    <w:rsid w:val="00365F0C"/>
    <w:pPr>
      <w:numPr>
        <w:numId w:val="0"/>
      </w:numPr>
    </w:pPr>
    <w:rPr>
      <w:lang w:val="en-GB"/>
    </w:rPr>
  </w:style>
  <w:style w:type="paragraph" w:styleId="TtuloTDC">
    <w:name w:val="TOC Heading"/>
    <w:basedOn w:val="Ttulo1"/>
    <w:next w:val="Normal"/>
    <w:uiPriority w:val="39"/>
    <w:semiHidden/>
    <w:unhideWhenUsed/>
    <w:qFormat/>
    <w:rsid w:val="00214B1B"/>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szCs w:val="28"/>
      <w:u w:val="none"/>
      <w:lang w:val="en-US" w:eastAsia="en-US"/>
    </w:rPr>
  </w:style>
  <w:style w:type="character" w:customStyle="1" w:styleId="Ttulo1Car">
    <w:name w:val="Título 1 Car"/>
    <w:basedOn w:val="Fuentedeprrafopredeter"/>
    <w:link w:val="Ttulo1"/>
    <w:uiPriority w:val="9"/>
    <w:rsid w:val="00365F0C"/>
    <w:rPr>
      <w:rFonts w:ascii="Arial" w:hAnsi="Arial" w:cs="Arial"/>
      <w:b/>
      <w:bCs/>
      <w:sz w:val="28"/>
      <w:szCs w:val="24"/>
      <w:u w:val="single"/>
    </w:rPr>
  </w:style>
  <w:style w:type="character" w:customStyle="1" w:styleId="Estilo3Car">
    <w:name w:val="Estilo3 Car"/>
    <w:basedOn w:val="Ttulo1Car"/>
    <w:link w:val="Estilo3"/>
    <w:rsid w:val="00365F0C"/>
    <w:rPr>
      <w:rFonts w:ascii="Arial" w:hAnsi="Arial" w:cs="Arial"/>
      <w:b/>
      <w:bCs/>
      <w:sz w:val="28"/>
      <w:szCs w:val="24"/>
      <w:u w:val="single"/>
      <w:lang w:val="en-GB"/>
    </w:rPr>
  </w:style>
  <w:style w:type="table" w:styleId="Tabladecuadrcula4-nfasis1">
    <w:name w:val="Grid Table 4 Accent 1"/>
    <w:basedOn w:val="Tablanormal"/>
    <w:uiPriority w:val="49"/>
    <w:rsid w:val="00FB44A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962">
      <w:bodyDiv w:val="1"/>
      <w:marLeft w:val="0"/>
      <w:marRight w:val="0"/>
      <w:marTop w:val="0"/>
      <w:marBottom w:val="0"/>
      <w:divBdr>
        <w:top w:val="none" w:sz="0" w:space="0" w:color="auto"/>
        <w:left w:val="none" w:sz="0" w:space="0" w:color="auto"/>
        <w:bottom w:val="none" w:sz="0" w:space="0" w:color="auto"/>
        <w:right w:val="none" w:sz="0" w:space="0" w:color="auto"/>
      </w:divBdr>
    </w:div>
    <w:div w:id="12272049">
      <w:bodyDiv w:val="1"/>
      <w:marLeft w:val="0"/>
      <w:marRight w:val="0"/>
      <w:marTop w:val="0"/>
      <w:marBottom w:val="0"/>
      <w:divBdr>
        <w:top w:val="none" w:sz="0" w:space="0" w:color="auto"/>
        <w:left w:val="none" w:sz="0" w:space="0" w:color="auto"/>
        <w:bottom w:val="none" w:sz="0" w:space="0" w:color="auto"/>
        <w:right w:val="none" w:sz="0" w:space="0" w:color="auto"/>
      </w:divBdr>
    </w:div>
    <w:div w:id="38478442">
      <w:bodyDiv w:val="1"/>
      <w:marLeft w:val="0"/>
      <w:marRight w:val="0"/>
      <w:marTop w:val="0"/>
      <w:marBottom w:val="0"/>
      <w:divBdr>
        <w:top w:val="none" w:sz="0" w:space="0" w:color="auto"/>
        <w:left w:val="none" w:sz="0" w:space="0" w:color="auto"/>
        <w:bottom w:val="none" w:sz="0" w:space="0" w:color="auto"/>
        <w:right w:val="none" w:sz="0" w:space="0" w:color="auto"/>
      </w:divBdr>
    </w:div>
    <w:div w:id="57291444">
      <w:bodyDiv w:val="1"/>
      <w:marLeft w:val="0"/>
      <w:marRight w:val="0"/>
      <w:marTop w:val="0"/>
      <w:marBottom w:val="0"/>
      <w:divBdr>
        <w:top w:val="none" w:sz="0" w:space="0" w:color="auto"/>
        <w:left w:val="none" w:sz="0" w:space="0" w:color="auto"/>
        <w:bottom w:val="none" w:sz="0" w:space="0" w:color="auto"/>
        <w:right w:val="none" w:sz="0" w:space="0" w:color="auto"/>
      </w:divBdr>
    </w:div>
    <w:div w:id="99032129">
      <w:bodyDiv w:val="1"/>
      <w:marLeft w:val="0"/>
      <w:marRight w:val="0"/>
      <w:marTop w:val="0"/>
      <w:marBottom w:val="0"/>
      <w:divBdr>
        <w:top w:val="none" w:sz="0" w:space="0" w:color="auto"/>
        <w:left w:val="none" w:sz="0" w:space="0" w:color="auto"/>
        <w:bottom w:val="none" w:sz="0" w:space="0" w:color="auto"/>
        <w:right w:val="none" w:sz="0" w:space="0" w:color="auto"/>
      </w:divBdr>
    </w:div>
    <w:div w:id="113641926">
      <w:bodyDiv w:val="1"/>
      <w:marLeft w:val="0"/>
      <w:marRight w:val="0"/>
      <w:marTop w:val="0"/>
      <w:marBottom w:val="0"/>
      <w:divBdr>
        <w:top w:val="none" w:sz="0" w:space="0" w:color="auto"/>
        <w:left w:val="none" w:sz="0" w:space="0" w:color="auto"/>
        <w:bottom w:val="none" w:sz="0" w:space="0" w:color="auto"/>
        <w:right w:val="none" w:sz="0" w:space="0" w:color="auto"/>
      </w:divBdr>
    </w:div>
    <w:div w:id="127941176">
      <w:bodyDiv w:val="1"/>
      <w:marLeft w:val="0"/>
      <w:marRight w:val="0"/>
      <w:marTop w:val="0"/>
      <w:marBottom w:val="0"/>
      <w:divBdr>
        <w:top w:val="none" w:sz="0" w:space="0" w:color="auto"/>
        <w:left w:val="none" w:sz="0" w:space="0" w:color="auto"/>
        <w:bottom w:val="none" w:sz="0" w:space="0" w:color="auto"/>
        <w:right w:val="none" w:sz="0" w:space="0" w:color="auto"/>
      </w:divBdr>
    </w:div>
    <w:div w:id="165369921">
      <w:bodyDiv w:val="1"/>
      <w:marLeft w:val="0"/>
      <w:marRight w:val="0"/>
      <w:marTop w:val="0"/>
      <w:marBottom w:val="0"/>
      <w:divBdr>
        <w:top w:val="none" w:sz="0" w:space="0" w:color="auto"/>
        <w:left w:val="none" w:sz="0" w:space="0" w:color="auto"/>
        <w:bottom w:val="none" w:sz="0" w:space="0" w:color="auto"/>
        <w:right w:val="none" w:sz="0" w:space="0" w:color="auto"/>
      </w:divBdr>
    </w:div>
    <w:div w:id="183325102">
      <w:bodyDiv w:val="1"/>
      <w:marLeft w:val="0"/>
      <w:marRight w:val="0"/>
      <w:marTop w:val="0"/>
      <w:marBottom w:val="0"/>
      <w:divBdr>
        <w:top w:val="none" w:sz="0" w:space="0" w:color="auto"/>
        <w:left w:val="none" w:sz="0" w:space="0" w:color="auto"/>
        <w:bottom w:val="none" w:sz="0" w:space="0" w:color="auto"/>
        <w:right w:val="none" w:sz="0" w:space="0" w:color="auto"/>
      </w:divBdr>
    </w:div>
    <w:div w:id="281808372">
      <w:bodyDiv w:val="1"/>
      <w:marLeft w:val="0"/>
      <w:marRight w:val="0"/>
      <w:marTop w:val="0"/>
      <w:marBottom w:val="0"/>
      <w:divBdr>
        <w:top w:val="none" w:sz="0" w:space="0" w:color="auto"/>
        <w:left w:val="none" w:sz="0" w:space="0" w:color="auto"/>
        <w:bottom w:val="none" w:sz="0" w:space="0" w:color="auto"/>
        <w:right w:val="none" w:sz="0" w:space="0" w:color="auto"/>
      </w:divBdr>
    </w:div>
    <w:div w:id="286788513">
      <w:bodyDiv w:val="1"/>
      <w:marLeft w:val="0"/>
      <w:marRight w:val="0"/>
      <w:marTop w:val="0"/>
      <w:marBottom w:val="0"/>
      <w:divBdr>
        <w:top w:val="none" w:sz="0" w:space="0" w:color="auto"/>
        <w:left w:val="none" w:sz="0" w:space="0" w:color="auto"/>
        <w:bottom w:val="none" w:sz="0" w:space="0" w:color="auto"/>
        <w:right w:val="none" w:sz="0" w:space="0" w:color="auto"/>
      </w:divBdr>
    </w:div>
    <w:div w:id="315493350">
      <w:bodyDiv w:val="1"/>
      <w:marLeft w:val="0"/>
      <w:marRight w:val="0"/>
      <w:marTop w:val="0"/>
      <w:marBottom w:val="0"/>
      <w:divBdr>
        <w:top w:val="none" w:sz="0" w:space="0" w:color="auto"/>
        <w:left w:val="none" w:sz="0" w:space="0" w:color="auto"/>
        <w:bottom w:val="none" w:sz="0" w:space="0" w:color="auto"/>
        <w:right w:val="none" w:sz="0" w:space="0" w:color="auto"/>
      </w:divBdr>
      <w:divsChild>
        <w:div w:id="373583006">
          <w:marLeft w:val="0"/>
          <w:marRight w:val="0"/>
          <w:marTop w:val="0"/>
          <w:marBottom w:val="0"/>
          <w:divBdr>
            <w:top w:val="none" w:sz="0" w:space="0" w:color="auto"/>
            <w:left w:val="none" w:sz="0" w:space="0" w:color="auto"/>
            <w:bottom w:val="none" w:sz="0" w:space="0" w:color="auto"/>
            <w:right w:val="none" w:sz="0" w:space="0" w:color="auto"/>
          </w:divBdr>
        </w:div>
      </w:divsChild>
    </w:div>
    <w:div w:id="319887496">
      <w:bodyDiv w:val="1"/>
      <w:marLeft w:val="0"/>
      <w:marRight w:val="0"/>
      <w:marTop w:val="0"/>
      <w:marBottom w:val="0"/>
      <w:divBdr>
        <w:top w:val="none" w:sz="0" w:space="0" w:color="auto"/>
        <w:left w:val="none" w:sz="0" w:space="0" w:color="auto"/>
        <w:bottom w:val="none" w:sz="0" w:space="0" w:color="auto"/>
        <w:right w:val="none" w:sz="0" w:space="0" w:color="auto"/>
      </w:divBdr>
    </w:div>
    <w:div w:id="328949013">
      <w:bodyDiv w:val="1"/>
      <w:marLeft w:val="0"/>
      <w:marRight w:val="0"/>
      <w:marTop w:val="0"/>
      <w:marBottom w:val="0"/>
      <w:divBdr>
        <w:top w:val="none" w:sz="0" w:space="0" w:color="auto"/>
        <w:left w:val="none" w:sz="0" w:space="0" w:color="auto"/>
        <w:bottom w:val="none" w:sz="0" w:space="0" w:color="auto"/>
        <w:right w:val="none" w:sz="0" w:space="0" w:color="auto"/>
      </w:divBdr>
    </w:div>
    <w:div w:id="334962309">
      <w:bodyDiv w:val="1"/>
      <w:marLeft w:val="0"/>
      <w:marRight w:val="0"/>
      <w:marTop w:val="0"/>
      <w:marBottom w:val="0"/>
      <w:divBdr>
        <w:top w:val="none" w:sz="0" w:space="0" w:color="auto"/>
        <w:left w:val="none" w:sz="0" w:space="0" w:color="auto"/>
        <w:bottom w:val="none" w:sz="0" w:space="0" w:color="auto"/>
        <w:right w:val="none" w:sz="0" w:space="0" w:color="auto"/>
      </w:divBdr>
    </w:div>
    <w:div w:id="403723718">
      <w:bodyDiv w:val="1"/>
      <w:marLeft w:val="0"/>
      <w:marRight w:val="0"/>
      <w:marTop w:val="0"/>
      <w:marBottom w:val="0"/>
      <w:divBdr>
        <w:top w:val="none" w:sz="0" w:space="0" w:color="auto"/>
        <w:left w:val="none" w:sz="0" w:space="0" w:color="auto"/>
        <w:bottom w:val="none" w:sz="0" w:space="0" w:color="auto"/>
        <w:right w:val="none" w:sz="0" w:space="0" w:color="auto"/>
      </w:divBdr>
    </w:div>
    <w:div w:id="404961532">
      <w:bodyDiv w:val="1"/>
      <w:marLeft w:val="0"/>
      <w:marRight w:val="0"/>
      <w:marTop w:val="0"/>
      <w:marBottom w:val="0"/>
      <w:divBdr>
        <w:top w:val="none" w:sz="0" w:space="0" w:color="auto"/>
        <w:left w:val="none" w:sz="0" w:space="0" w:color="auto"/>
        <w:bottom w:val="none" w:sz="0" w:space="0" w:color="auto"/>
        <w:right w:val="none" w:sz="0" w:space="0" w:color="auto"/>
      </w:divBdr>
    </w:div>
    <w:div w:id="419369522">
      <w:bodyDiv w:val="1"/>
      <w:marLeft w:val="0"/>
      <w:marRight w:val="0"/>
      <w:marTop w:val="0"/>
      <w:marBottom w:val="0"/>
      <w:divBdr>
        <w:top w:val="none" w:sz="0" w:space="0" w:color="auto"/>
        <w:left w:val="none" w:sz="0" w:space="0" w:color="auto"/>
        <w:bottom w:val="none" w:sz="0" w:space="0" w:color="auto"/>
        <w:right w:val="none" w:sz="0" w:space="0" w:color="auto"/>
      </w:divBdr>
    </w:div>
    <w:div w:id="449905807">
      <w:bodyDiv w:val="1"/>
      <w:marLeft w:val="0"/>
      <w:marRight w:val="0"/>
      <w:marTop w:val="0"/>
      <w:marBottom w:val="0"/>
      <w:divBdr>
        <w:top w:val="none" w:sz="0" w:space="0" w:color="auto"/>
        <w:left w:val="none" w:sz="0" w:space="0" w:color="auto"/>
        <w:bottom w:val="none" w:sz="0" w:space="0" w:color="auto"/>
        <w:right w:val="none" w:sz="0" w:space="0" w:color="auto"/>
      </w:divBdr>
    </w:div>
    <w:div w:id="456993701">
      <w:bodyDiv w:val="1"/>
      <w:marLeft w:val="0"/>
      <w:marRight w:val="0"/>
      <w:marTop w:val="0"/>
      <w:marBottom w:val="0"/>
      <w:divBdr>
        <w:top w:val="none" w:sz="0" w:space="0" w:color="auto"/>
        <w:left w:val="none" w:sz="0" w:space="0" w:color="auto"/>
        <w:bottom w:val="none" w:sz="0" w:space="0" w:color="auto"/>
        <w:right w:val="none" w:sz="0" w:space="0" w:color="auto"/>
      </w:divBdr>
    </w:div>
    <w:div w:id="459809909">
      <w:bodyDiv w:val="1"/>
      <w:marLeft w:val="0"/>
      <w:marRight w:val="0"/>
      <w:marTop w:val="0"/>
      <w:marBottom w:val="0"/>
      <w:divBdr>
        <w:top w:val="none" w:sz="0" w:space="0" w:color="auto"/>
        <w:left w:val="none" w:sz="0" w:space="0" w:color="auto"/>
        <w:bottom w:val="none" w:sz="0" w:space="0" w:color="auto"/>
        <w:right w:val="none" w:sz="0" w:space="0" w:color="auto"/>
      </w:divBdr>
    </w:div>
    <w:div w:id="474176202">
      <w:bodyDiv w:val="1"/>
      <w:marLeft w:val="0"/>
      <w:marRight w:val="0"/>
      <w:marTop w:val="0"/>
      <w:marBottom w:val="0"/>
      <w:divBdr>
        <w:top w:val="none" w:sz="0" w:space="0" w:color="auto"/>
        <w:left w:val="none" w:sz="0" w:space="0" w:color="auto"/>
        <w:bottom w:val="none" w:sz="0" w:space="0" w:color="auto"/>
        <w:right w:val="none" w:sz="0" w:space="0" w:color="auto"/>
      </w:divBdr>
    </w:div>
    <w:div w:id="489255696">
      <w:bodyDiv w:val="1"/>
      <w:marLeft w:val="0"/>
      <w:marRight w:val="0"/>
      <w:marTop w:val="0"/>
      <w:marBottom w:val="0"/>
      <w:divBdr>
        <w:top w:val="none" w:sz="0" w:space="0" w:color="auto"/>
        <w:left w:val="none" w:sz="0" w:space="0" w:color="auto"/>
        <w:bottom w:val="none" w:sz="0" w:space="0" w:color="auto"/>
        <w:right w:val="none" w:sz="0" w:space="0" w:color="auto"/>
      </w:divBdr>
    </w:div>
    <w:div w:id="520165759">
      <w:bodyDiv w:val="1"/>
      <w:marLeft w:val="0"/>
      <w:marRight w:val="0"/>
      <w:marTop w:val="0"/>
      <w:marBottom w:val="0"/>
      <w:divBdr>
        <w:top w:val="none" w:sz="0" w:space="0" w:color="auto"/>
        <w:left w:val="none" w:sz="0" w:space="0" w:color="auto"/>
        <w:bottom w:val="none" w:sz="0" w:space="0" w:color="auto"/>
        <w:right w:val="none" w:sz="0" w:space="0" w:color="auto"/>
      </w:divBdr>
    </w:div>
    <w:div w:id="536116280">
      <w:bodyDiv w:val="1"/>
      <w:marLeft w:val="0"/>
      <w:marRight w:val="0"/>
      <w:marTop w:val="0"/>
      <w:marBottom w:val="0"/>
      <w:divBdr>
        <w:top w:val="none" w:sz="0" w:space="0" w:color="auto"/>
        <w:left w:val="none" w:sz="0" w:space="0" w:color="auto"/>
        <w:bottom w:val="none" w:sz="0" w:space="0" w:color="auto"/>
        <w:right w:val="none" w:sz="0" w:space="0" w:color="auto"/>
      </w:divBdr>
    </w:div>
    <w:div w:id="567107446">
      <w:bodyDiv w:val="1"/>
      <w:marLeft w:val="0"/>
      <w:marRight w:val="0"/>
      <w:marTop w:val="0"/>
      <w:marBottom w:val="0"/>
      <w:divBdr>
        <w:top w:val="none" w:sz="0" w:space="0" w:color="auto"/>
        <w:left w:val="none" w:sz="0" w:space="0" w:color="auto"/>
        <w:bottom w:val="none" w:sz="0" w:space="0" w:color="auto"/>
        <w:right w:val="none" w:sz="0" w:space="0" w:color="auto"/>
      </w:divBdr>
    </w:div>
    <w:div w:id="582683594">
      <w:bodyDiv w:val="1"/>
      <w:marLeft w:val="0"/>
      <w:marRight w:val="0"/>
      <w:marTop w:val="0"/>
      <w:marBottom w:val="0"/>
      <w:divBdr>
        <w:top w:val="none" w:sz="0" w:space="0" w:color="auto"/>
        <w:left w:val="none" w:sz="0" w:space="0" w:color="auto"/>
        <w:bottom w:val="none" w:sz="0" w:space="0" w:color="auto"/>
        <w:right w:val="none" w:sz="0" w:space="0" w:color="auto"/>
      </w:divBdr>
    </w:div>
    <w:div w:id="594480986">
      <w:bodyDiv w:val="1"/>
      <w:marLeft w:val="0"/>
      <w:marRight w:val="0"/>
      <w:marTop w:val="0"/>
      <w:marBottom w:val="0"/>
      <w:divBdr>
        <w:top w:val="none" w:sz="0" w:space="0" w:color="auto"/>
        <w:left w:val="none" w:sz="0" w:space="0" w:color="auto"/>
        <w:bottom w:val="none" w:sz="0" w:space="0" w:color="auto"/>
        <w:right w:val="none" w:sz="0" w:space="0" w:color="auto"/>
      </w:divBdr>
    </w:div>
    <w:div w:id="599680944">
      <w:bodyDiv w:val="1"/>
      <w:marLeft w:val="0"/>
      <w:marRight w:val="0"/>
      <w:marTop w:val="0"/>
      <w:marBottom w:val="0"/>
      <w:divBdr>
        <w:top w:val="none" w:sz="0" w:space="0" w:color="auto"/>
        <w:left w:val="none" w:sz="0" w:space="0" w:color="auto"/>
        <w:bottom w:val="none" w:sz="0" w:space="0" w:color="auto"/>
        <w:right w:val="none" w:sz="0" w:space="0" w:color="auto"/>
      </w:divBdr>
    </w:div>
    <w:div w:id="607469994">
      <w:bodyDiv w:val="1"/>
      <w:marLeft w:val="0"/>
      <w:marRight w:val="0"/>
      <w:marTop w:val="0"/>
      <w:marBottom w:val="0"/>
      <w:divBdr>
        <w:top w:val="none" w:sz="0" w:space="0" w:color="auto"/>
        <w:left w:val="none" w:sz="0" w:space="0" w:color="auto"/>
        <w:bottom w:val="none" w:sz="0" w:space="0" w:color="auto"/>
        <w:right w:val="none" w:sz="0" w:space="0" w:color="auto"/>
      </w:divBdr>
    </w:div>
    <w:div w:id="610354041">
      <w:bodyDiv w:val="1"/>
      <w:marLeft w:val="0"/>
      <w:marRight w:val="0"/>
      <w:marTop w:val="0"/>
      <w:marBottom w:val="0"/>
      <w:divBdr>
        <w:top w:val="none" w:sz="0" w:space="0" w:color="auto"/>
        <w:left w:val="none" w:sz="0" w:space="0" w:color="auto"/>
        <w:bottom w:val="none" w:sz="0" w:space="0" w:color="auto"/>
        <w:right w:val="none" w:sz="0" w:space="0" w:color="auto"/>
      </w:divBdr>
    </w:div>
    <w:div w:id="617025400">
      <w:bodyDiv w:val="1"/>
      <w:marLeft w:val="0"/>
      <w:marRight w:val="0"/>
      <w:marTop w:val="0"/>
      <w:marBottom w:val="0"/>
      <w:divBdr>
        <w:top w:val="none" w:sz="0" w:space="0" w:color="auto"/>
        <w:left w:val="none" w:sz="0" w:space="0" w:color="auto"/>
        <w:bottom w:val="none" w:sz="0" w:space="0" w:color="auto"/>
        <w:right w:val="none" w:sz="0" w:space="0" w:color="auto"/>
      </w:divBdr>
    </w:div>
    <w:div w:id="617641319">
      <w:bodyDiv w:val="1"/>
      <w:marLeft w:val="0"/>
      <w:marRight w:val="0"/>
      <w:marTop w:val="0"/>
      <w:marBottom w:val="0"/>
      <w:divBdr>
        <w:top w:val="none" w:sz="0" w:space="0" w:color="auto"/>
        <w:left w:val="none" w:sz="0" w:space="0" w:color="auto"/>
        <w:bottom w:val="none" w:sz="0" w:space="0" w:color="auto"/>
        <w:right w:val="none" w:sz="0" w:space="0" w:color="auto"/>
      </w:divBdr>
    </w:div>
    <w:div w:id="645356326">
      <w:bodyDiv w:val="1"/>
      <w:marLeft w:val="0"/>
      <w:marRight w:val="0"/>
      <w:marTop w:val="0"/>
      <w:marBottom w:val="0"/>
      <w:divBdr>
        <w:top w:val="none" w:sz="0" w:space="0" w:color="auto"/>
        <w:left w:val="none" w:sz="0" w:space="0" w:color="auto"/>
        <w:bottom w:val="none" w:sz="0" w:space="0" w:color="auto"/>
        <w:right w:val="none" w:sz="0" w:space="0" w:color="auto"/>
      </w:divBdr>
    </w:div>
    <w:div w:id="694233909">
      <w:bodyDiv w:val="1"/>
      <w:marLeft w:val="0"/>
      <w:marRight w:val="0"/>
      <w:marTop w:val="0"/>
      <w:marBottom w:val="0"/>
      <w:divBdr>
        <w:top w:val="none" w:sz="0" w:space="0" w:color="auto"/>
        <w:left w:val="none" w:sz="0" w:space="0" w:color="auto"/>
        <w:bottom w:val="none" w:sz="0" w:space="0" w:color="auto"/>
        <w:right w:val="none" w:sz="0" w:space="0" w:color="auto"/>
      </w:divBdr>
    </w:div>
    <w:div w:id="762380580">
      <w:bodyDiv w:val="1"/>
      <w:marLeft w:val="0"/>
      <w:marRight w:val="0"/>
      <w:marTop w:val="0"/>
      <w:marBottom w:val="0"/>
      <w:divBdr>
        <w:top w:val="none" w:sz="0" w:space="0" w:color="auto"/>
        <w:left w:val="none" w:sz="0" w:space="0" w:color="auto"/>
        <w:bottom w:val="none" w:sz="0" w:space="0" w:color="auto"/>
        <w:right w:val="none" w:sz="0" w:space="0" w:color="auto"/>
      </w:divBdr>
    </w:div>
    <w:div w:id="798958540">
      <w:bodyDiv w:val="1"/>
      <w:marLeft w:val="0"/>
      <w:marRight w:val="0"/>
      <w:marTop w:val="0"/>
      <w:marBottom w:val="0"/>
      <w:divBdr>
        <w:top w:val="none" w:sz="0" w:space="0" w:color="auto"/>
        <w:left w:val="none" w:sz="0" w:space="0" w:color="auto"/>
        <w:bottom w:val="none" w:sz="0" w:space="0" w:color="auto"/>
        <w:right w:val="none" w:sz="0" w:space="0" w:color="auto"/>
      </w:divBdr>
    </w:div>
    <w:div w:id="819464625">
      <w:bodyDiv w:val="1"/>
      <w:marLeft w:val="0"/>
      <w:marRight w:val="0"/>
      <w:marTop w:val="0"/>
      <w:marBottom w:val="0"/>
      <w:divBdr>
        <w:top w:val="none" w:sz="0" w:space="0" w:color="auto"/>
        <w:left w:val="none" w:sz="0" w:space="0" w:color="auto"/>
        <w:bottom w:val="none" w:sz="0" w:space="0" w:color="auto"/>
        <w:right w:val="none" w:sz="0" w:space="0" w:color="auto"/>
      </w:divBdr>
    </w:div>
    <w:div w:id="829757963">
      <w:bodyDiv w:val="1"/>
      <w:marLeft w:val="0"/>
      <w:marRight w:val="0"/>
      <w:marTop w:val="0"/>
      <w:marBottom w:val="0"/>
      <w:divBdr>
        <w:top w:val="none" w:sz="0" w:space="0" w:color="auto"/>
        <w:left w:val="none" w:sz="0" w:space="0" w:color="auto"/>
        <w:bottom w:val="none" w:sz="0" w:space="0" w:color="auto"/>
        <w:right w:val="none" w:sz="0" w:space="0" w:color="auto"/>
      </w:divBdr>
      <w:divsChild>
        <w:div w:id="1421487525">
          <w:marLeft w:val="0"/>
          <w:marRight w:val="0"/>
          <w:marTop w:val="0"/>
          <w:marBottom w:val="0"/>
          <w:divBdr>
            <w:top w:val="none" w:sz="0" w:space="0" w:color="auto"/>
            <w:left w:val="none" w:sz="0" w:space="0" w:color="auto"/>
            <w:bottom w:val="none" w:sz="0" w:space="0" w:color="auto"/>
            <w:right w:val="none" w:sz="0" w:space="0" w:color="auto"/>
          </w:divBdr>
        </w:div>
        <w:div w:id="970090237">
          <w:marLeft w:val="0"/>
          <w:marRight w:val="0"/>
          <w:marTop w:val="0"/>
          <w:marBottom w:val="0"/>
          <w:divBdr>
            <w:top w:val="none" w:sz="0" w:space="0" w:color="auto"/>
            <w:left w:val="none" w:sz="0" w:space="0" w:color="auto"/>
            <w:bottom w:val="none" w:sz="0" w:space="0" w:color="auto"/>
            <w:right w:val="none" w:sz="0" w:space="0" w:color="auto"/>
          </w:divBdr>
        </w:div>
      </w:divsChild>
    </w:div>
    <w:div w:id="877425987">
      <w:bodyDiv w:val="1"/>
      <w:marLeft w:val="0"/>
      <w:marRight w:val="0"/>
      <w:marTop w:val="0"/>
      <w:marBottom w:val="0"/>
      <w:divBdr>
        <w:top w:val="none" w:sz="0" w:space="0" w:color="auto"/>
        <w:left w:val="none" w:sz="0" w:space="0" w:color="auto"/>
        <w:bottom w:val="none" w:sz="0" w:space="0" w:color="auto"/>
        <w:right w:val="none" w:sz="0" w:space="0" w:color="auto"/>
      </w:divBdr>
    </w:div>
    <w:div w:id="897713953">
      <w:bodyDiv w:val="1"/>
      <w:marLeft w:val="0"/>
      <w:marRight w:val="0"/>
      <w:marTop w:val="0"/>
      <w:marBottom w:val="0"/>
      <w:divBdr>
        <w:top w:val="none" w:sz="0" w:space="0" w:color="auto"/>
        <w:left w:val="none" w:sz="0" w:space="0" w:color="auto"/>
        <w:bottom w:val="none" w:sz="0" w:space="0" w:color="auto"/>
        <w:right w:val="none" w:sz="0" w:space="0" w:color="auto"/>
      </w:divBdr>
    </w:div>
    <w:div w:id="904026172">
      <w:bodyDiv w:val="1"/>
      <w:marLeft w:val="0"/>
      <w:marRight w:val="0"/>
      <w:marTop w:val="0"/>
      <w:marBottom w:val="0"/>
      <w:divBdr>
        <w:top w:val="none" w:sz="0" w:space="0" w:color="auto"/>
        <w:left w:val="none" w:sz="0" w:space="0" w:color="auto"/>
        <w:bottom w:val="none" w:sz="0" w:space="0" w:color="auto"/>
        <w:right w:val="none" w:sz="0" w:space="0" w:color="auto"/>
      </w:divBdr>
    </w:div>
    <w:div w:id="912589123">
      <w:bodyDiv w:val="1"/>
      <w:marLeft w:val="0"/>
      <w:marRight w:val="0"/>
      <w:marTop w:val="0"/>
      <w:marBottom w:val="0"/>
      <w:divBdr>
        <w:top w:val="none" w:sz="0" w:space="0" w:color="auto"/>
        <w:left w:val="none" w:sz="0" w:space="0" w:color="auto"/>
        <w:bottom w:val="none" w:sz="0" w:space="0" w:color="auto"/>
        <w:right w:val="none" w:sz="0" w:space="0" w:color="auto"/>
      </w:divBdr>
    </w:div>
    <w:div w:id="927152055">
      <w:bodyDiv w:val="1"/>
      <w:marLeft w:val="0"/>
      <w:marRight w:val="0"/>
      <w:marTop w:val="0"/>
      <w:marBottom w:val="0"/>
      <w:divBdr>
        <w:top w:val="none" w:sz="0" w:space="0" w:color="auto"/>
        <w:left w:val="none" w:sz="0" w:space="0" w:color="auto"/>
        <w:bottom w:val="none" w:sz="0" w:space="0" w:color="auto"/>
        <w:right w:val="none" w:sz="0" w:space="0" w:color="auto"/>
      </w:divBdr>
      <w:divsChild>
        <w:div w:id="45565814">
          <w:marLeft w:val="1987"/>
          <w:marRight w:val="0"/>
          <w:marTop w:val="0"/>
          <w:marBottom w:val="0"/>
          <w:divBdr>
            <w:top w:val="none" w:sz="0" w:space="0" w:color="auto"/>
            <w:left w:val="none" w:sz="0" w:space="0" w:color="auto"/>
            <w:bottom w:val="none" w:sz="0" w:space="0" w:color="auto"/>
            <w:right w:val="none" w:sz="0" w:space="0" w:color="auto"/>
          </w:divBdr>
        </w:div>
        <w:div w:id="377357831">
          <w:marLeft w:val="1987"/>
          <w:marRight w:val="0"/>
          <w:marTop w:val="0"/>
          <w:marBottom w:val="0"/>
          <w:divBdr>
            <w:top w:val="none" w:sz="0" w:space="0" w:color="auto"/>
            <w:left w:val="none" w:sz="0" w:space="0" w:color="auto"/>
            <w:bottom w:val="none" w:sz="0" w:space="0" w:color="auto"/>
            <w:right w:val="none" w:sz="0" w:space="0" w:color="auto"/>
          </w:divBdr>
        </w:div>
        <w:div w:id="1495105022">
          <w:marLeft w:val="1987"/>
          <w:marRight w:val="0"/>
          <w:marTop w:val="0"/>
          <w:marBottom w:val="0"/>
          <w:divBdr>
            <w:top w:val="none" w:sz="0" w:space="0" w:color="auto"/>
            <w:left w:val="none" w:sz="0" w:space="0" w:color="auto"/>
            <w:bottom w:val="none" w:sz="0" w:space="0" w:color="auto"/>
            <w:right w:val="none" w:sz="0" w:space="0" w:color="auto"/>
          </w:divBdr>
        </w:div>
        <w:div w:id="1810441277">
          <w:marLeft w:val="1987"/>
          <w:marRight w:val="0"/>
          <w:marTop w:val="0"/>
          <w:marBottom w:val="0"/>
          <w:divBdr>
            <w:top w:val="none" w:sz="0" w:space="0" w:color="auto"/>
            <w:left w:val="none" w:sz="0" w:space="0" w:color="auto"/>
            <w:bottom w:val="none" w:sz="0" w:space="0" w:color="auto"/>
            <w:right w:val="none" w:sz="0" w:space="0" w:color="auto"/>
          </w:divBdr>
        </w:div>
        <w:div w:id="1988969126">
          <w:marLeft w:val="1987"/>
          <w:marRight w:val="0"/>
          <w:marTop w:val="0"/>
          <w:marBottom w:val="0"/>
          <w:divBdr>
            <w:top w:val="none" w:sz="0" w:space="0" w:color="auto"/>
            <w:left w:val="none" w:sz="0" w:space="0" w:color="auto"/>
            <w:bottom w:val="none" w:sz="0" w:space="0" w:color="auto"/>
            <w:right w:val="none" w:sz="0" w:space="0" w:color="auto"/>
          </w:divBdr>
        </w:div>
        <w:div w:id="2071297967">
          <w:marLeft w:val="1987"/>
          <w:marRight w:val="0"/>
          <w:marTop w:val="0"/>
          <w:marBottom w:val="0"/>
          <w:divBdr>
            <w:top w:val="none" w:sz="0" w:space="0" w:color="auto"/>
            <w:left w:val="none" w:sz="0" w:space="0" w:color="auto"/>
            <w:bottom w:val="none" w:sz="0" w:space="0" w:color="auto"/>
            <w:right w:val="none" w:sz="0" w:space="0" w:color="auto"/>
          </w:divBdr>
        </w:div>
      </w:divsChild>
    </w:div>
    <w:div w:id="942609259">
      <w:bodyDiv w:val="1"/>
      <w:marLeft w:val="0"/>
      <w:marRight w:val="0"/>
      <w:marTop w:val="0"/>
      <w:marBottom w:val="0"/>
      <w:divBdr>
        <w:top w:val="none" w:sz="0" w:space="0" w:color="auto"/>
        <w:left w:val="none" w:sz="0" w:space="0" w:color="auto"/>
        <w:bottom w:val="none" w:sz="0" w:space="0" w:color="auto"/>
        <w:right w:val="none" w:sz="0" w:space="0" w:color="auto"/>
      </w:divBdr>
    </w:div>
    <w:div w:id="963925124">
      <w:bodyDiv w:val="1"/>
      <w:marLeft w:val="0"/>
      <w:marRight w:val="0"/>
      <w:marTop w:val="0"/>
      <w:marBottom w:val="0"/>
      <w:divBdr>
        <w:top w:val="none" w:sz="0" w:space="0" w:color="auto"/>
        <w:left w:val="none" w:sz="0" w:space="0" w:color="auto"/>
        <w:bottom w:val="none" w:sz="0" w:space="0" w:color="auto"/>
        <w:right w:val="none" w:sz="0" w:space="0" w:color="auto"/>
      </w:divBdr>
    </w:div>
    <w:div w:id="974599383">
      <w:bodyDiv w:val="1"/>
      <w:marLeft w:val="0"/>
      <w:marRight w:val="0"/>
      <w:marTop w:val="0"/>
      <w:marBottom w:val="0"/>
      <w:divBdr>
        <w:top w:val="none" w:sz="0" w:space="0" w:color="auto"/>
        <w:left w:val="none" w:sz="0" w:space="0" w:color="auto"/>
        <w:bottom w:val="none" w:sz="0" w:space="0" w:color="auto"/>
        <w:right w:val="none" w:sz="0" w:space="0" w:color="auto"/>
      </w:divBdr>
    </w:div>
    <w:div w:id="982927333">
      <w:bodyDiv w:val="1"/>
      <w:marLeft w:val="0"/>
      <w:marRight w:val="0"/>
      <w:marTop w:val="0"/>
      <w:marBottom w:val="0"/>
      <w:divBdr>
        <w:top w:val="none" w:sz="0" w:space="0" w:color="auto"/>
        <w:left w:val="none" w:sz="0" w:space="0" w:color="auto"/>
        <w:bottom w:val="none" w:sz="0" w:space="0" w:color="auto"/>
        <w:right w:val="none" w:sz="0" w:space="0" w:color="auto"/>
      </w:divBdr>
    </w:div>
    <w:div w:id="1005129566">
      <w:bodyDiv w:val="1"/>
      <w:marLeft w:val="0"/>
      <w:marRight w:val="0"/>
      <w:marTop w:val="0"/>
      <w:marBottom w:val="0"/>
      <w:divBdr>
        <w:top w:val="none" w:sz="0" w:space="0" w:color="auto"/>
        <w:left w:val="none" w:sz="0" w:space="0" w:color="auto"/>
        <w:bottom w:val="none" w:sz="0" w:space="0" w:color="auto"/>
        <w:right w:val="none" w:sz="0" w:space="0" w:color="auto"/>
      </w:divBdr>
    </w:div>
    <w:div w:id="1023673301">
      <w:bodyDiv w:val="1"/>
      <w:marLeft w:val="0"/>
      <w:marRight w:val="0"/>
      <w:marTop w:val="0"/>
      <w:marBottom w:val="0"/>
      <w:divBdr>
        <w:top w:val="none" w:sz="0" w:space="0" w:color="auto"/>
        <w:left w:val="none" w:sz="0" w:space="0" w:color="auto"/>
        <w:bottom w:val="none" w:sz="0" w:space="0" w:color="auto"/>
        <w:right w:val="none" w:sz="0" w:space="0" w:color="auto"/>
      </w:divBdr>
    </w:div>
    <w:div w:id="1030645338">
      <w:bodyDiv w:val="1"/>
      <w:marLeft w:val="0"/>
      <w:marRight w:val="0"/>
      <w:marTop w:val="0"/>
      <w:marBottom w:val="0"/>
      <w:divBdr>
        <w:top w:val="none" w:sz="0" w:space="0" w:color="auto"/>
        <w:left w:val="none" w:sz="0" w:space="0" w:color="auto"/>
        <w:bottom w:val="none" w:sz="0" w:space="0" w:color="auto"/>
        <w:right w:val="none" w:sz="0" w:space="0" w:color="auto"/>
      </w:divBdr>
    </w:div>
    <w:div w:id="1077748239">
      <w:bodyDiv w:val="1"/>
      <w:marLeft w:val="0"/>
      <w:marRight w:val="0"/>
      <w:marTop w:val="0"/>
      <w:marBottom w:val="0"/>
      <w:divBdr>
        <w:top w:val="none" w:sz="0" w:space="0" w:color="auto"/>
        <w:left w:val="none" w:sz="0" w:space="0" w:color="auto"/>
        <w:bottom w:val="none" w:sz="0" w:space="0" w:color="auto"/>
        <w:right w:val="none" w:sz="0" w:space="0" w:color="auto"/>
      </w:divBdr>
    </w:div>
    <w:div w:id="1079063805">
      <w:bodyDiv w:val="1"/>
      <w:marLeft w:val="0"/>
      <w:marRight w:val="0"/>
      <w:marTop w:val="0"/>
      <w:marBottom w:val="0"/>
      <w:divBdr>
        <w:top w:val="none" w:sz="0" w:space="0" w:color="auto"/>
        <w:left w:val="none" w:sz="0" w:space="0" w:color="auto"/>
        <w:bottom w:val="none" w:sz="0" w:space="0" w:color="auto"/>
        <w:right w:val="none" w:sz="0" w:space="0" w:color="auto"/>
      </w:divBdr>
    </w:div>
    <w:div w:id="1083986218">
      <w:bodyDiv w:val="1"/>
      <w:marLeft w:val="0"/>
      <w:marRight w:val="0"/>
      <w:marTop w:val="0"/>
      <w:marBottom w:val="0"/>
      <w:divBdr>
        <w:top w:val="none" w:sz="0" w:space="0" w:color="auto"/>
        <w:left w:val="none" w:sz="0" w:space="0" w:color="auto"/>
        <w:bottom w:val="none" w:sz="0" w:space="0" w:color="auto"/>
        <w:right w:val="none" w:sz="0" w:space="0" w:color="auto"/>
      </w:divBdr>
    </w:div>
    <w:div w:id="1090543282">
      <w:bodyDiv w:val="1"/>
      <w:marLeft w:val="0"/>
      <w:marRight w:val="0"/>
      <w:marTop w:val="0"/>
      <w:marBottom w:val="0"/>
      <w:divBdr>
        <w:top w:val="none" w:sz="0" w:space="0" w:color="auto"/>
        <w:left w:val="none" w:sz="0" w:space="0" w:color="auto"/>
        <w:bottom w:val="none" w:sz="0" w:space="0" w:color="auto"/>
        <w:right w:val="none" w:sz="0" w:space="0" w:color="auto"/>
      </w:divBdr>
    </w:div>
    <w:div w:id="1090813359">
      <w:bodyDiv w:val="1"/>
      <w:marLeft w:val="0"/>
      <w:marRight w:val="0"/>
      <w:marTop w:val="0"/>
      <w:marBottom w:val="0"/>
      <w:divBdr>
        <w:top w:val="none" w:sz="0" w:space="0" w:color="auto"/>
        <w:left w:val="none" w:sz="0" w:space="0" w:color="auto"/>
        <w:bottom w:val="none" w:sz="0" w:space="0" w:color="auto"/>
        <w:right w:val="none" w:sz="0" w:space="0" w:color="auto"/>
      </w:divBdr>
    </w:div>
    <w:div w:id="1136483570">
      <w:bodyDiv w:val="1"/>
      <w:marLeft w:val="0"/>
      <w:marRight w:val="0"/>
      <w:marTop w:val="0"/>
      <w:marBottom w:val="0"/>
      <w:divBdr>
        <w:top w:val="none" w:sz="0" w:space="0" w:color="auto"/>
        <w:left w:val="none" w:sz="0" w:space="0" w:color="auto"/>
        <w:bottom w:val="none" w:sz="0" w:space="0" w:color="auto"/>
        <w:right w:val="none" w:sz="0" w:space="0" w:color="auto"/>
      </w:divBdr>
    </w:div>
    <w:div w:id="1174295909">
      <w:bodyDiv w:val="1"/>
      <w:marLeft w:val="0"/>
      <w:marRight w:val="0"/>
      <w:marTop w:val="0"/>
      <w:marBottom w:val="0"/>
      <w:divBdr>
        <w:top w:val="none" w:sz="0" w:space="0" w:color="auto"/>
        <w:left w:val="none" w:sz="0" w:space="0" w:color="auto"/>
        <w:bottom w:val="none" w:sz="0" w:space="0" w:color="auto"/>
        <w:right w:val="none" w:sz="0" w:space="0" w:color="auto"/>
      </w:divBdr>
    </w:div>
    <w:div w:id="1179126149">
      <w:bodyDiv w:val="1"/>
      <w:marLeft w:val="0"/>
      <w:marRight w:val="0"/>
      <w:marTop w:val="0"/>
      <w:marBottom w:val="0"/>
      <w:divBdr>
        <w:top w:val="none" w:sz="0" w:space="0" w:color="auto"/>
        <w:left w:val="none" w:sz="0" w:space="0" w:color="auto"/>
        <w:bottom w:val="none" w:sz="0" w:space="0" w:color="auto"/>
        <w:right w:val="none" w:sz="0" w:space="0" w:color="auto"/>
      </w:divBdr>
    </w:div>
    <w:div w:id="1200122851">
      <w:bodyDiv w:val="1"/>
      <w:marLeft w:val="0"/>
      <w:marRight w:val="0"/>
      <w:marTop w:val="0"/>
      <w:marBottom w:val="0"/>
      <w:divBdr>
        <w:top w:val="none" w:sz="0" w:space="0" w:color="auto"/>
        <w:left w:val="none" w:sz="0" w:space="0" w:color="auto"/>
        <w:bottom w:val="none" w:sz="0" w:space="0" w:color="auto"/>
        <w:right w:val="none" w:sz="0" w:space="0" w:color="auto"/>
      </w:divBdr>
    </w:div>
    <w:div w:id="1200126560">
      <w:bodyDiv w:val="1"/>
      <w:marLeft w:val="0"/>
      <w:marRight w:val="0"/>
      <w:marTop w:val="0"/>
      <w:marBottom w:val="0"/>
      <w:divBdr>
        <w:top w:val="none" w:sz="0" w:space="0" w:color="auto"/>
        <w:left w:val="none" w:sz="0" w:space="0" w:color="auto"/>
        <w:bottom w:val="none" w:sz="0" w:space="0" w:color="auto"/>
        <w:right w:val="none" w:sz="0" w:space="0" w:color="auto"/>
      </w:divBdr>
    </w:div>
    <w:div w:id="1217859270">
      <w:bodyDiv w:val="1"/>
      <w:marLeft w:val="0"/>
      <w:marRight w:val="0"/>
      <w:marTop w:val="0"/>
      <w:marBottom w:val="0"/>
      <w:divBdr>
        <w:top w:val="none" w:sz="0" w:space="0" w:color="auto"/>
        <w:left w:val="none" w:sz="0" w:space="0" w:color="auto"/>
        <w:bottom w:val="none" w:sz="0" w:space="0" w:color="auto"/>
        <w:right w:val="none" w:sz="0" w:space="0" w:color="auto"/>
      </w:divBdr>
    </w:div>
    <w:div w:id="1234974248">
      <w:bodyDiv w:val="1"/>
      <w:marLeft w:val="0"/>
      <w:marRight w:val="0"/>
      <w:marTop w:val="0"/>
      <w:marBottom w:val="0"/>
      <w:divBdr>
        <w:top w:val="none" w:sz="0" w:space="0" w:color="auto"/>
        <w:left w:val="none" w:sz="0" w:space="0" w:color="auto"/>
        <w:bottom w:val="none" w:sz="0" w:space="0" w:color="auto"/>
        <w:right w:val="none" w:sz="0" w:space="0" w:color="auto"/>
      </w:divBdr>
    </w:div>
    <w:div w:id="1285963938">
      <w:bodyDiv w:val="1"/>
      <w:marLeft w:val="0"/>
      <w:marRight w:val="0"/>
      <w:marTop w:val="0"/>
      <w:marBottom w:val="0"/>
      <w:divBdr>
        <w:top w:val="none" w:sz="0" w:space="0" w:color="auto"/>
        <w:left w:val="none" w:sz="0" w:space="0" w:color="auto"/>
        <w:bottom w:val="none" w:sz="0" w:space="0" w:color="auto"/>
        <w:right w:val="none" w:sz="0" w:space="0" w:color="auto"/>
      </w:divBdr>
    </w:div>
    <w:div w:id="1289052088">
      <w:bodyDiv w:val="1"/>
      <w:marLeft w:val="0"/>
      <w:marRight w:val="0"/>
      <w:marTop w:val="0"/>
      <w:marBottom w:val="0"/>
      <w:divBdr>
        <w:top w:val="none" w:sz="0" w:space="0" w:color="auto"/>
        <w:left w:val="none" w:sz="0" w:space="0" w:color="auto"/>
        <w:bottom w:val="none" w:sz="0" w:space="0" w:color="auto"/>
        <w:right w:val="none" w:sz="0" w:space="0" w:color="auto"/>
      </w:divBdr>
    </w:div>
    <w:div w:id="1290622020">
      <w:bodyDiv w:val="1"/>
      <w:marLeft w:val="0"/>
      <w:marRight w:val="0"/>
      <w:marTop w:val="0"/>
      <w:marBottom w:val="0"/>
      <w:divBdr>
        <w:top w:val="none" w:sz="0" w:space="0" w:color="auto"/>
        <w:left w:val="none" w:sz="0" w:space="0" w:color="auto"/>
        <w:bottom w:val="none" w:sz="0" w:space="0" w:color="auto"/>
        <w:right w:val="none" w:sz="0" w:space="0" w:color="auto"/>
      </w:divBdr>
    </w:div>
    <w:div w:id="1393113867">
      <w:bodyDiv w:val="1"/>
      <w:marLeft w:val="0"/>
      <w:marRight w:val="0"/>
      <w:marTop w:val="0"/>
      <w:marBottom w:val="0"/>
      <w:divBdr>
        <w:top w:val="none" w:sz="0" w:space="0" w:color="auto"/>
        <w:left w:val="none" w:sz="0" w:space="0" w:color="auto"/>
        <w:bottom w:val="none" w:sz="0" w:space="0" w:color="auto"/>
        <w:right w:val="none" w:sz="0" w:space="0" w:color="auto"/>
      </w:divBdr>
      <w:divsChild>
        <w:div w:id="1309020411">
          <w:marLeft w:val="1987"/>
          <w:marRight w:val="0"/>
          <w:marTop w:val="0"/>
          <w:marBottom w:val="0"/>
          <w:divBdr>
            <w:top w:val="none" w:sz="0" w:space="0" w:color="auto"/>
            <w:left w:val="none" w:sz="0" w:space="0" w:color="auto"/>
            <w:bottom w:val="none" w:sz="0" w:space="0" w:color="auto"/>
            <w:right w:val="none" w:sz="0" w:space="0" w:color="auto"/>
          </w:divBdr>
        </w:div>
        <w:div w:id="1562399548">
          <w:marLeft w:val="1987"/>
          <w:marRight w:val="0"/>
          <w:marTop w:val="0"/>
          <w:marBottom w:val="0"/>
          <w:divBdr>
            <w:top w:val="none" w:sz="0" w:space="0" w:color="auto"/>
            <w:left w:val="none" w:sz="0" w:space="0" w:color="auto"/>
            <w:bottom w:val="none" w:sz="0" w:space="0" w:color="auto"/>
            <w:right w:val="none" w:sz="0" w:space="0" w:color="auto"/>
          </w:divBdr>
        </w:div>
        <w:div w:id="1635674789">
          <w:marLeft w:val="1987"/>
          <w:marRight w:val="0"/>
          <w:marTop w:val="0"/>
          <w:marBottom w:val="0"/>
          <w:divBdr>
            <w:top w:val="none" w:sz="0" w:space="0" w:color="auto"/>
            <w:left w:val="none" w:sz="0" w:space="0" w:color="auto"/>
            <w:bottom w:val="none" w:sz="0" w:space="0" w:color="auto"/>
            <w:right w:val="none" w:sz="0" w:space="0" w:color="auto"/>
          </w:divBdr>
        </w:div>
        <w:div w:id="2133665346">
          <w:marLeft w:val="1987"/>
          <w:marRight w:val="0"/>
          <w:marTop w:val="0"/>
          <w:marBottom w:val="0"/>
          <w:divBdr>
            <w:top w:val="none" w:sz="0" w:space="0" w:color="auto"/>
            <w:left w:val="none" w:sz="0" w:space="0" w:color="auto"/>
            <w:bottom w:val="none" w:sz="0" w:space="0" w:color="auto"/>
            <w:right w:val="none" w:sz="0" w:space="0" w:color="auto"/>
          </w:divBdr>
        </w:div>
      </w:divsChild>
    </w:div>
    <w:div w:id="1422675302">
      <w:bodyDiv w:val="1"/>
      <w:marLeft w:val="0"/>
      <w:marRight w:val="0"/>
      <w:marTop w:val="0"/>
      <w:marBottom w:val="0"/>
      <w:divBdr>
        <w:top w:val="none" w:sz="0" w:space="0" w:color="auto"/>
        <w:left w:val="none" w:sz="0" w:space="0" w:color="auto"/>
        <w:bottom w:val="none" w:sz="0" w:space="0" w:color="auto"/>
        <w:right w:val="none" w:sz="0" w:space="0" w:color="auto"/>
      </w:divBdr>
    </w:div>
    <w:div w:id="1450736051">
      <w:bodyDiv w:val="1"/>
      <w:marLeft w:val="0"/>
      <w:marRight w:val="0"/>
      <w:marTop w:val="0"/>
      <w:marBottom w:val="0"/>
      <w:divBdr>
        <w:top w:val="none" w:sz="0" w:space="0" w:color="auto"/>
        <w:left w:val="none" w:sz="0" w:space="0" w:color="auto"/>
        <w:bottom w:val="none" w:sz="0" w:space="0" w:color="auto"/>
        <w:right w:val="none" w:sz="0" w:space="0" w:color="auto"/>
      </w:divBdr>
    </w:div>
    <w:div w:id="1506288268">
      <w:bodyDiv w:val="1"/>
      <w:marLeft w:val="0"/>
      <w:marRight w:val="0"/>
      <w:marTop w:val="0"/>
      <w:marBottom w:val="0"/>
      <w:divBdr>
        <w:top w:val="none" w:sz="0" w:space="0" w:color="auto"/>
        <w:left w:val="none" w:sz="0" w:space="0" w:color="auto"/>
        <w:bottom w:val="none" w:sz="0" w:space="0" w:color="auto"/>
        <w:right w:val="none" w:sz="0" w:space="0" w:color="auto"/>
      </w:divBdr>
    </w:div>
    <w:div w:id="1526671951">
      <w:bodyDiv w:val="1"/>
      <w:marLeft w:val="0"/>
      <w:marRight w:val="0"/>
      <w:marTop w:val="0"/>
      <w:marBottom w:val="0"/>
      <w:divBdr>
        <w:top w:val="none" w:sz="0" w:space="0" w:color="auto"/>
        <w:left w:val="none" w:sz="0" w:space="0" w:color="auto"/>
        <w:bottom w:val="none" w:sz="0" w:space="0" w:color="auto"/>
        <w:right w:val="none" w:sz="0" w:space="0" w:color="auto"/>
      </w:divBdr>
    </w:div>
    <w:div w:id="1526822177">
      <w:bodyDiv w:val="1"/>
      <w:marLeft w:val="0"/>
      <w:marRight w:val="0"/>
      <w:marTop w:val="0"/>
      <w:marBottom w:val="0"/>
      <w:divBdr>
        <w:top w:val="none" w:sz="0" w:space="0" w:color="auto"/>
        <w:left w:val="none" w:sz="0" w:space="0" w:color="auto"/>
        <w:bottom w:val="none" w:sz="0" w:space="0" w:color="auto"/>
        <w:right w:val="none" w:sz="0" w:space="0" w:color="auto"/>
      </w:divBdr>
      <w:divsChild>
        <w:div w:id="359936993">
          <w:marLeft w:val="0"/>
          <w:marRight w:val="0"/>
          <w:marTop w:val="0"/>
          <w:marBottom w:val="0"/>
          <w:divBdr>
            <w:top w:val="none" w:sz="0" w:space="0" w:color="auto"/>
            <w:left w:val="none" w:sz="0" w:space="0" w:color="auto"/>
            <w:bottom w:val="none" w:sz="0" w:space="0" w:color="auto"/>
            <w:right w:val="none" w:sz="0" w:space="0" w:color="auto"/>
          </w:divBdr>
        </w:div>
      </w:divsChild>
    </w:div>
    <w:div w:id="1536651596">
      <w:bodyDiv w:val="1"/>
      <w:marLeft w:val="0"/>
      <w:marRight w:val="0"/>
      <w:marTop w:val="0"/>
      <w:marBottom w:val="0"/>
      <w:divBdr>
        <w:top w:val="none" w:sz="0" w:space="0" w:color="auto"/>
        <w:left w:val="none" w:sz="0" w:space="0" w:color="auto"/>
        <w:bottom w:val="none" w:sz="0" w:space="0" w:color="auto"/>
        <w:right w:val="none" w:sz="0" w:space="0" w:color="auto"/>
      </w:divBdr>
    </w:div>
    <w:div w:id="1570115067">
      <w:bodyDiv w:val="1"/>
      <w:marLeft w:val="0"/>
      <w:marRight w:val="0"/>
      <w:marTop w:val="0"/>
      <w:marBottom w:val="0"/>
      <w:divBdr>
        <w:top w:val="none" w:sz="0" w:space="0" w:color="auto"/>
        <w:left w:val="none" w:sz="0" w:space="0" w:color="auto"/>
        <w:bottom w:val="none" w:sz="0" w:space="0" w:color="auto"/>
        <w:right w:val="none" w:sz="0" w:space="0" w:color="auto"/>
      </w:divBdr>
    </w:div>
    <w:div w:id="1584024560">
      <w:bodyDiv w:val="1"/>
      <w:marLeft w:val="0"/>
      <w:marRight w:val="0"/>
      <w:marTop w:val="0"/>
      <w:marBottom w:val="0"/>
      <w:divBdr>
        <w:top w:val="none" w:sz="0" w:space="0" w:color="auto"/>
        <w:left w:val="none" w:sz="0" w:space="0" w:color="auto"/>
        <w:bottom w:val="none" w:sz="0" w:space="0" w:color="auto"/>
        <w:right w:val="none" w:sz="0" w:space="0" w:color="auto"/>
      </w:divBdr>
    </w:div>
    <w:div w:id="1589149379">
      <w:bodyDiv w:val="1"/>
      <w:marLeft w:val="0"/>
      <w:marRight w:val="0"/>
      <w:marTop w:val="0"/>
      <w:marBottom w:val="0"/>
      <w:divBdr>
        <w:top w:val="none" w:sz="0" w:space="0" w:color="auto"/>
        <w:left w:val="none" w:sz="0" w:space="0" w:color="auto"/>
        <w:bottom w:val="none" w:sz="0" w:space="0" w:color="auto"/>
        <w:right w:val="none" w:sz="0" w:space="0" w:color="auto"/>
      </w:divBdr>
    </w:div>
    <w:div w:id="1703238607">
      <w:bodyDiv w:val="1"/>
      <w:marLeft w:val="0"/>
      <w:marRight w:val="0"/>
      <w:marTop w:val="0"/>
      <w:marBottom w:val="0"/>
      <w:divBdr>
        <w:top w:val="none" w:sz="0" w:space="0" w:color="auto"/>
        <w:left w:val="none" w:sz="0" w:space="0" w:color="auto"/>
        <w:bottom w:val="none" w:sz="0" w:space="0" w:color="auto"/>
        <w:right w:val="none" w:sz="0" w:space="0" w:color="auto"/>
      </w:divBdr>
    </w:div>
    <w:div w:id="1775202778">
      <w:bodyDiv w:val="1"/>
      <w:marLeft w:val="0"/>
      <w:marRight w:val="0"/>
      <w:marTop w:val="0"/>
      <w:marBottom w:val="0"/>
      <w:divBdr>
        <w:top w:val="none" w:sz="0" w:space="0" w:color="auto"/>
        <w:left w:val="none" w:sz="0" w:space="0" w:color="auto"/>
        <w:bottom w:val="none" w:sz="0" w:space="0" w:color="auto"/>
        <w:right w:val="none" w:sz="0" w:space="0" w:color="auto"/>
      </w:divBdr>
    </w:div>
    <w:div w:id="1790540346">
      <w:bodyDiv w:val="1"/>
      <w:marLeft w:val="0"/>
      <w:marRight w:val="0"/>
      <w:marTop w:val="0"/>
      <w:marBottom w:val="0"/>
      <w:divBdr>
        <w:top w:val="none" w:sz="0" w:space="0" w:color="auto"/>
        <w:left w:val="none" w:sz="0" w:space="0" w:color="auto"/>
        <w:bottom w:val="none" w:sz="0" w:space="0" w:color="auto"/>
        <w:right w:val="none" w:sz="0" w:space="0" w:color="auto"/>
      </w:divBdr>
    </w:div>
    <w:div w:id="1794249071">
      <w:bodyDiv w:val="1"/>
      <w:marLeft w:val="0"/>
      <w:marRight w:val="0"/>
      <w:marTop w:val="0"/>
      <w:marBottom w:val="0"/>
      <w:divBdr>
        <w:top w:val="none" w:sz="0" w:space="0" w:color="auto"/>
        <w:left w:val="none" w:sz="0" w:space="0" w:color="auto"/>
        <w:bottom w:val="none" w:sz="0" w:space="0" w:color="auto"/>
        <w:right w:val="none" w:sz="0" w:space="0" w:color="auto"/>
      </w:divBdr>
    </w:div>
    <w:div w:id="1808470748">
      <w:bodyDiv w:val="1"/>
      <w:marLeft w:val="0"/>
      <w:marRight w:val="0"/>
      <w:marTop w:val="0"/>
      <w:marBottom w:val="0"/>
      <w:divBdr>
        <w:top w:val="none" w:sz="0" w:space="0" w:color="auto"/>
        <w:left w:val="none" w:sz="0" w:space="0" w:color="auto"/>
        <w:bottom w:val="none" w:sz="0" w:space="0" w:color="auto"/>
        <w:right w:val="none" w:sz="0" w:space="0" w:color="auto"/>
      </w:divBdr>
    </w:div>
    <w:div w:id="1850177408">
      <w:bodyDiv w:val="1"/>
      <w:marLeft w:val="0"/>
      <w:marRight w:val="0"/>
      <w:marTop w:val="0"/>
      <w:marBottom w:val="0"/>
      <w:divBdr>
        <w:top w:val="none" w:sz="0" w:space="0" w:color="auto"/>
        <w:left w:val="none" w:sz="0" w:space="0" w:color="auto"/>
        <w:bottom w:val="none" w:sz="0" w:space="0" w:color="auto"/>
        <w:right w:val="none" w:sz="0" w:space="0" w:color="auto"/>
      </w:divBdr>
    </w:div>
    <w:div w:id="1857308611">
      <w:bodyDiv w:val="1"/>
      <w:marLeft w:val="0"/>
      <w:marRight w:val="0"/>
      <w:marTop w:val="0"/>
      <w:marBottom w:val="0"/>
      <w:divBdr>
        <w:top w:val="none" w:sz="0" w:space="0" w:color="auto"/>
        <w:left w:val="none" w:sz="0" w:space="0" w:color="auto"/>
        <w:bottom w:val="none" w:sz="0" w:space="0" w:color="auto"/>
        <w:right w:val="none" w:sz="0" w:space="0" w:color="auto"/>
      </w:divBdr>
    </w:div>
    <w:div w:id="1882091261">
      <w:bodyDiv w:val="1"/>
      <w:marLeft w:val="0"/>
      <w:marRight w:val="0"/>
      <w:marTop w:val="0"/>
      <w:marBottom w:val="0"/>
      <w:divBdr>
        <w:top w:val="none" w:sz="0" w:space="0" w:color="auto"/>
        <w:left w:val="none" w:sz="0" w:space="0" w:color="auto"/>
        <w:bottom w:val="none" w:sz="0" w:space="0" w:color="auto"/>
        <w:right w:val="none" w:sz="0" w:space="0" w:color="auto"/>
      </w:divBdr>
    </w:div>
    <w:div w:id="1895921033">
      <w:bodyDiv w:val="1"/>
      <w:marLeft w:val="0"/>
      <w:marRight w:val="0"/>
      <w:marTop w:val="0"/>
      <w:marBottom w:val="0"/>
      <w:divBdr>
        <w:top w:val="none" w:sz="0" w:space="0" w:color="auto"/>
        <w:left w:val="none" w:sz="0" w:space="0" w:color="auto"/>
        <w:bottom w:val="none" w:sz="0" w:space="0" w:color="auto"/>
        <w:right w:val="none" w:sz="0" w:space="0" w:color="auto"/>
      </w:divBdr>
    </w:div>
    <w:div w:id="1930311337">
      <w:bodyDiv w:val="1"/>
      <w:marLeft w:val="0"/>
      <w:marRight w:val="0"/>
      <w:marTop w:val="0"/>
      <w:marBottom w:val="0"/>
      <w:divBdr>
        <w:top w:val="none" w:sz="0" w:space="0" w:color="auto"/>
        <w:left w:val="none" w:sz="0" w:space="0" w:color="auto"/>
        <w:bottom w:val="none" w:sz="0" w:space="0" w:color="auto"/>
        <w:right w:val="none" w:sz="0" w:space="0" w:color="auto"/>
      </w:divBdr>
    </w:div>
    <w:div w:id="1932349600">
      <w:bodyDiv w:val="1"/>
      <w:marLeft w:val="0"/>
      <w:marRight w:val="0"/>
      <w:marTop w:val="0"/>
      <w:marBottom w:val="0"/>
      <w:divBdr>
        <w:top w:val="none" w:sz="0" w:space="0" w:color="auto"/>
        <w:left w:val="none" w:sz="0" w:space="0" w:color="auto"/>
        <w:bottom w:val="none" w:sz="0" w:space="0" w:color="auto"/>
        <w:right w:val="none" w:sz="0" w:space="0" w:color="auto"/>
      </w:divBdr>
    </w:div>
    <w:div w:id="1969818766">
      <w:bodyDiv w:val="1"/>
      <w:marLeft w:val="0"/>
      <w:marRight w:val="0"/>
      <w:marTop w:val="0"/>
      <w:marBottom w:val="0"/>
      <w:divBdr>
        <w:top w:val="none" w:sz="0" w:space="0" w:color="auto"/>
        <w:left w:val="none" w:sz="0" w:space="0" w:color="auto"/>
        <w:bottom w:val="none" w:sz="0" w:space="0" w:color="auto"/>
        <w:right w:val="none" w:sz="0" w:space="0" w:color="auto"/>
      </w:divBdr>
    </w:div>
    <w:div w:id="1974286528">
      <w:bodyDiv w:val="1"/>
      <w:marLeft w:val="0"/>
      <w:marRight w:val="0"/>
      <w:marTop w:val="0"/>
      <w:marBottom w:val="0"/>
      <w:divBdr>
        <w:top w:val="none" w:sz="0" w:space="0" w:color="auto"/>
        <w:left w:val="none" w:sz="0" w:space="0" w:color="auto"/>
        <w:bottom w:val="none" w:sz="0" w:space="0" w:color="auto"/>
        <w:right w:val="none" w:sz="0" w:space="0" w:color="auto"/>
      </w:divBdr>
    </w:div>
    <w:div w:id="1975331273">
      <w:bodyDiv w:val="1"/>
      <w:marLeft w:val="0"/>
      <w:marRight w:val="0"/>
      <w:marTop w:val="0"/>
      <w:marBottom w:val="0"/>
      <w:divBdr>
        <w:top w:val="none" w:sz="0" w:space="0" w:color="auto"/>
        <w:left w:val="none" w:sz="0" w:space="0" w:color="auto"/>
        <w:bottom w:val="none" w:sz="0" w:space="0" w:color="auto"/>
        <w:right w:val="none" w:sz="0" w:space="0" w:color="auto"/>
      </w:divBdr>
      <w:divsChild>
        <w:div w:id="1250000784">
          <w:marLeft w:val="1267"/>
          <w:marRight w:val="0"/>
          <w:marTop w:val="0"/>
          <w:marBottom w:val="0"/>
          <w:divBdr>
            <w:top w:val="none" w:sz="0" w:space="0" w:color="auto"/>
            <w:left w:val="none" w:sz="0" w:space="0" w:color="auto"/>
            <w:bottom w:val="none" w:sz="0" w:space="0" w:color="auto"/>
            <w:right w:val="none" w:sz="0" w:space="0" w:color="auto"/>
          </w:divBdr>
        </w:div>
        <w:div w:id="1935550810">
          <w:marLeft w:val="1267"/>
          <w:marRight w:val="0"/>
          <w:marTop w:val="0"/>
          <w:marBottom w:val="0"/>
          <w:divBdr>
            <w:top w:val="none" w:sz="0" w:space="0" w:color="auto"/>
            <w:left w:val="none" w:sz="0" w:space="0" w:color="auto"/>
            <w:bottom w:val="none" w:sz="0" w:space="0" w:color="auto"/>
            <w:right w:val="none" w:sz="0" w:space="0" w:color="auto"/>
          </w:divBdr>
        </w:div>
      </w:divsChild>
    </w:div>
    <w:div w:id="2044745788">
      <w:bodyDiv w:val="1"/>
      <w:marLeft w:val="0"/>
      <w:marRight w:val="0"/>
      <w:marTop w:val="0"/>
      <w:marBottom w:val="0"/>
      <w:divBdr>
        <w:top w:val="none" w:sz="0" w:space="0" w:color="auto"/>
        <w:left w:val="none" w:sz="0" w:space="0" w:color="auto"/>
        <w:bottom w:val="none" w:sz="0" w:space="0" w:color="auto"/>
        <w:right w:val="none" w:sz="0" w:space="0" w:color="auto"/>
      </w:divBdr>
    </w:div>
    <w:div w:id="2076396342">
      <w:bodyDiv w:val="1"/>
      <w:marLeft w:val="0"/>
      <w:marRight w:val="0"/>
      <w:marTop w:val="0"/>
      <w:marBottom w:val="0"/>
      <w:divBdr>
        <w:top w:val="none" w:sz="0" w:space="0" w:color="auto"/>
        <w:left w:val="none" w:sz="0" w:space="0" w:color="auto"/>
        <w:bottom w:val="none" w:sz="0" w:space="0" w:color="auto"/>
        <w:right w:val="none" w:sz="0" w:space="0" w:color="auto"/>
      </w:divBdr>
    </w:div>
    <w:div w:id="2113893452">
      <w:bodyDiv w:val="1"/>
      <w:marLeft w:val="0"/>
      <w:marRight w:val="0"/>
      <w:marTop w:val="0"/>
      <w:marBottom w:val="0"/>
      <w:divBdr>
        <w:top w:val="none" w:sz="0" w:space="0" w:color="auto"/>
        <w:left w:val="none" w:sz="0" w:space="0" w:color="auto"/>
        <w:bottom w:val="none" w:sz="0" w:space="0" w:color="auto"/>
        <w:right w:val="none" w:sz="0" w:space="0" w:color="auto"/>
      </w:divBdr>
    </w:div>
    <w:div w:id="211956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4.png"/><Relationship Id="rId68" Type="http://schemas.openxmlformats.org/officeDocument/2006/relationships/image" Target="media/image49.emf"/><Relationship Id="rId84" Type="http://schemas.openxmlformats.org/officeDocument/2006/relationships/image" Target="media/image62.emf"/><Relationship Id="rId89" Type="http://schemas.openxmlformats.org/officeDocument/2006/relationships/image" Target="media/image66.png"/><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0.png"/><Relationship Id="rId74" Type="http://schemas.openxmlformats.org/officeDocument/2006/relationships/hyperlink" Target="https://www.linguee.es/ingles-espanol/traduccion/opposite+direction.html" TargetMode="External"/><Relationship Id="rId79" Type="http://schemas.openxmlformats.org/officeDocument/2006/relationships/image" Target="media/image57.png"/><Relationship Id="rId102" Type="http://schemas.openxmlformats.org/officeDocument/2006/relationships/customXml" Target="../customXml/item5.xml"/><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4.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hyperlink" Target="http://eur-lex.europa.eu/LexUriServ/LexUriServ.do?uri=OJ:L:2013:273:0005:0017:en: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yperlink" Target="https://eur-lex.europa.eu/legal-content/EN/TXT/PDF/?uri=CELEX:32017R0459&amp;from=es" TargetMode="External"/><Relationship Id="rId62" Type="http://schemas.openxmlformats.org/officeDocument/2006/relationships/image" Target="media/image43.png"/><Relationship Id="rId70" Type="http://schemas.openxmlformats.org/officeDocument/2006/relationships/image" Target="media/image51.emf"/><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image" Target="media/image35.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hyperlink" Target="https://www.cnmc.es/sites/default/files/1514268_1.pdf" TargetMode="External"/><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chart" Target="charts/chart2.xml"/><Relationship Id="rId65" Type="http://schemas.openxmlformats.org/officeDocument/2006/relationships/image" Target="media/image46.png"/><Relationship Id="rId73" Type="http://schemas.openxmlformats.org/officeDocument/2006/relationships/hyperlink" Target="https://extranet.acer.europa.eu/en/Gas/Regional_%20Intiatives/South_GRI/Documents/LT_UIOLI_VIP_Iberico-Final.pdf" TargetMode="Externa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chart" Target="charts/chart3.xml"/><Relationship Id="rId94" Type="http://schemas.openxmlformats.org/officeDocument/2006/relationships/image" Target="media/image71.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emf"/><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hyperlink" Target="https://eur-lex.europa.eu/legal-content/EN/TXT/PDF/?uri=CELEX:32017R0459&amp;from=es" TargetMode="External"/><Relationship Id="rId76" Type="http://schemas.openxmlformats.org/officeDocument/2006/relationships/image" Target="media/image54.png"/><Relationship Id="rId97" Type="http://schemas.openxmlformats.org/officeDocument/2006/relationships/hyperlink" Target="http://eur-lex.europa.eu/legal-content/EN/TXT/PDF/?uri=CELEX:32014R0312&amp;from=EN" TargetMode="External"/><Relationship Id="rId7" Type="http://schemas.openxmlformats.org/officeDocument/2006/relationships/settings" Target="settings.xml"/><Relationship Id="rId71" Type="http://schemas.openxmlformats.org/officeDocument/2006/relationships/image" Target="media/image52.emf"/><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4.png"/><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3.emf"/><Relationship Id="rId56" Type="http://schemas.openxmlformats.org/officeDocument/2006/relationships/chart" Target="charts/chart1.xml"/><Relationship Id="rId77" Type="http://schemas.openxmlformats.org/officeDocument/2006/relationships/image" Target="media/image55.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ur-lex.europa.eu/legal-content/EN/TXT/PDF/?uri=CELEX:32017R0459&amp;from=es" TargetMode="External"/><Relationship Id="rId72" Type="http://schemas.openxmlformats.org/officeDocument/2006/relationships/hyperlink" Target="https://www.boe.es/boe/dias/2014/01/17/pdfs/BOE-A-2014-459.pdf" TargetMode="External"/><Relationship Id="rId93" Type="http://schemas.openxmlformats.org/officeDocument/2006/relationships/image" Target="media/image70.png"/><Relationship Id="rId9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ign.ren.pt/web/guest/interconnection-agreement-vip-iberico" TargetMode="External"/><Relationship Id="rId3" Type="http://schemas.openxmlformats.org/officeDocument/2006/relationships/hyperlink" Target="http://www.enagas.es/stfls/ENAGAS/Gesti%C3%B3n%20T%C3%A9cnica%20del%20Sistema/Pdf%204.pdf" TargetMode="External"/><Relationship Id="rId7" Type="http://schemas.openxmlformats.org/officeDocument/2006/relationships/hyperlink" Target="http://enagas.es/stfls/ENAGAS/Gesti%C3%B3n%20T%C3%A9cnica%20del%20Sistema/Documentos/Consulta%20p%C3%BAblica%20Interconnection%20agreement%20TIGF-ENAGAS.pdf" TargetMode="External"/><Relationship Id="rId2" Type="http://schemas.openxmlformats.org/officeDocument/2006/relationships/hyperlink" Target="http://eur-lex.europa.eu/legal-content/EN/TXT/PDF/?uri=CELEX:32012D0490&amp;from=EN" TargetMode="External"/><Relationship Id="rId1" Type="http://schemas.openxmlformats.org/officeDocument/2006/relationships/hyperlink" Target="http://eur-lex.europa.eu/legal-content/EN/TXT/PDF/?uri=CELEX:32017R0459&amp;from=EN" TargetMode="External"/><Relationship Id="rId6" Type="http://schemas.openxmlformats.org/officeDocument/2006/relationships/hyperlink" Target="http://enagas.es/stfls/ENAGAS/Gesti%C3%B3n%20T%C3%A9cnica%20del%20Sistema/Documentos/Consulta%20p%C3%BAblica%20Interconnection%20agreement%20Enagas%20REN.pdf" TargetMode="External"/><Relationship Id="rId5" Type="http://schemas.openxmlformats.org/officeDocument/2006/relationships/hyperlink" Target="http://www.enagas.es/stfls/ENAGAS/Gesti%C3%B3n%20T%C3%A9cnica%20del%20Sistema/Pdf%203.pdf" TargetMode="External"/><Relationship Id="rId4" Type="http://schemas.openxmlformats.org/officeDocument/2006/relationships/hyperlink" Target="https://www.ign.ren.pt/web/guest/gestao-tecni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5.png"/><Relationship Id="rId2" Type="http://schemas.openxmlformats.org/officeDocument/2006/relationships/oleObject" Target="embeddings/oleObject2.bin"/><Relationship Id="rId1" Type="http://schemas.openxmlformats.org/officeDocument/2006/relationships/image" Target="media/image74.png"/><Relationship Id="rId5" Type="http://schemas.openxmlformats.org/officeDocument/2006/relationships/image" Target="media/image77.png"/><Relationship Id="rId4" Type="http://schemas.openxmlformats.org/officeDocument/2006/relationships/image" Target="media/image7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PITTL!$R$1</c:f>
              <c:strCache>
                <c:ptCount val="1"/>
                <c:pt idx="0">
                  <c:v>Total booked capacity</c:v>
                </c:pt>
              </c:strCache>
            </c:strRef>
          </c:tx>
          <c:spPr>
            <a:solidFill>
              <a:schemeClr val="accent5">
                <a:lumMod val="20000"/>
                <a:lumOff val="80000"/>
              </a:schemeClr>
            </a:solidFill>
            <a:ln>
              <a:noFill/>
            </a:ln>
            <a:effectLst/>
          </c:spPr>
          <c:invertIfNegative val="0"/>
          <c:cat>
            <c:numRef>
              <c:f>PITTL!$A$2:$A$1096</c:f>
              <c:numCache>
                <c:formatCode>m/d/yyyy</c:formatCode>
                <c:ptCount val="109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pt idx="365">
                  <c:v>43009</c:v>
                </c:pt>
                <c:pt idx="366">
                  <c:v>43010</c:v>
                </c:pt>
                <c:pt idx="367">
                  <c:v>43011</c:v>
                </c:pt>
                <c:pt idx="368">
                  <c:v>43012</c:v>
                </c:pt>
                <c:pt idx="369">
                  <c:v>43013</c:v>
                </c:pt>
                <c:pt idx="370">
                  <c:v>43014</c:v>
                </c:pt>
                <c:pt idx="371">
                  <c:v>43015</c:v>
                </c:pt>
                <c:pt idx="372">
                  <c:v>43016</c:v>
                </c:pt>
                <c:pt idx="373">
                  <c:v>43017</c:v>
                </c:pt>
                <c:pt idx="374">
                  <c:v>43018</c:v>
                </c:pt>
                <c:pt idx="375">
                  <c:v>43019</c:v>
                </c:pt>
                <c:pt idx="376">
                  <c:v>43020</c:v>
                </c:pt>
                <c:pt idx="377">
                  <c:v>43021</c:v>
                </c:pt>
                <c:pt idx="378">
                  <c:v>43022</c:v>
                </c:pt>
                <c:pt idx="379">
                  <c:v>43023</c:v>
                </c:pt>
                <c:pt idx="380">
                  <c:v>43024</c:v>
                </c:pt>
                <c:pt idx="381">
                  <c:v>43025</c:v>
                </c:pt>
                <c:pt idx="382">
                  <c:v>43026</c:v>
                </c:pt>
                <c:pt idx="383">
                  <c:v>43027</c:v>
                </c:pt>
                <c:pt idx="384">
                  <c:v>43028</c:v>
                </c:pt>
                <c:pt idx="385">
                  <c:v>43029</c:v>
                </c:pt>
                <c:pt idx="386">
                  <c:v>43030</c:v>
                </c:pt>
                <c:pt idx="387">
                  <c:v>43031</c:v>
                </c:pt>
                <c:pt idx="388">
                  <c:v>43032</c:v>
                </c:pt>
                <c:pt idx="389">
                  <c:v>43033</c:v>
                </c:pt>
                <c:pt idx="390">
                  <c:v>43034</c:v>
                </c:pt>
                <c:pt idx="391">
                  <c:v>43035</c:v>
                </c:pt>
                <c:pt idx="392">
                  <c:v>43036</c:v>
                </c:pt>
                <c:pt idx="393">
                  <c:v>43037</c:v>
                </c:pt>
                <c:pt idx="394">
                  <c:v>43038</c:v>
                </c:pt>
                <c:pt idx="395">
                  <c:v>43039</c:v>
                </c:pt>
                <c:pt idx="396">
                  <c:v>43040</c:v>
                </c:pt>
                <c:pt idx="397">
                  <c:v>43041</c:v>
                </c:pt>
                <c:pt idx="398">
                  <c:v>43042</c:v>
                </c:pt>
                <c:pt idx="399">
                  <c:v>43043</c:v>
                </c:pt>
                <c:pt idx="400">
                  <c:v>43044</c:v>
                </c:pt>
                <c:pt idx="401">
                  <c:v>43045</c:v>
                </c:pt>
                <c:pt idx="402">
                  <c:v>43046</c:v>
                </c:pt>
                <c:pt idx="403">
                  <c:v>43047</c:v>
                </c:pt>
                <c:pt idx="404">
                  <c:v>43048</c:v>
                </c:pt>
                <c:pt idx="405">
                  <c:v>43049</c:v>
                </c:pt>
                <c:pt idx="406">
                  <c:v>43050</c:v>
                </c:pt>
                <c:pt idx="407">
                  <c:v>43051</c:v>
                </c:pt>
                <c:pt idx="408">
                  <c:v>43052</c:v>
                </c:pt>
                <c:pt idx="409">
                  <c:v>43053</c:v>
                </c:pt>
                <c:pt idx="410">
                  <c:v>43054</c:v>
                </c:pt>
                <c:pt idx="411">
                  <c:v>43055</c:v>
                </c:pt>
                <c:pt idx="412">
                  <c:v>43056</c:v>
                </c:pt>
                <c:pt idx="413">
                  <c:v>43057</c:v>
                </c:pt>
                <c:pt idx="414">
                  <c:v>43058</c:v>
                </c:pt>
                <c:pt idx="415">
                  <c:v>43059</c:v>
                </c:pt>
                <c:pt idx="416">
                  <c:v>43060</c:v>
                </c:pt>
                <c:pt idx="417">
                  <c:v>43061</c:v>
                </c:pt>
                <c:pt idx="418">
                  <c:v>43062</c:v>
                </c:pt>
                <c:pt idx="419">
                  <c:v>43063</c:v>
                </c:pt>
                <c:pt idx="420">
                  <c:v>43064</c:v>
                </c:pt>
                <c:pt idx="421">
                  <c:v>43065</c:v>
                </c:pt>
                <c:pt idx="422">
                  <c:v>43066</c:v>
                </c:pt>
                <c:pt idx="423">
                  <c:v>43067</c:v>
                </c:pt>
                <c:pt idx="424">
                  <c:v>43068</c:v>
                </c:pt>
                <c:pt idx="425">
                  <c:v>43069</c:v>
                </c:pt>
                <c:pt idx="426">
                  <c:v>43070</c:v>
                </c:pt>
                <c:pt idx="427">
                  <c:v>43071</c:v>
                </c:pt>
                <c:pt idx="428">
                  <c:v>43072</c:v>
                </c:pt>
                <c:pt idx="429">
                  <c:v>43073</c:v>
                </c:pt>
                <c:pt idx="430">
                  <c:v>43074</c:v>
                </c:pt>
                <c:pt idx="431">
                  <c:v>43075</c:v>
                </c:pt>
                <c:pt idx="432">
                  <c:v>43076</c:v>
                </c:pt>
                <c:pt idx="433">
                  <c:v>43077</c:v>
                </c:pt>
                <c:pt idx="434">
                  <c:v>43078</c:v>
                </c:pt>
                <c:pt idx="435">
                  <c:v>43079</c:v>
                </c:pt>
                <c:pt idx="436">
                  <c:v>43080</c:v>
                </c:pt>
                <c:pt idx="437">
                  <c:v>43081</c:v>
                </c:pt>
                <c:pt idx="438">
                  <c:v>43082</c:v>
                </c:pt>
                <c:pt idx="439">
                  <c:v>43083</c:v>
                </c:pt>
                <c:pt idx="440">
                  <c:v>43084</c:v>
                </c:pt>
                <c:pt idx="441">
                  <c:v>43085</c:v>
                </c:pt>
                <c:pt idx="442">
                  <c:v>43086</c:v>
                </c:pt>
                <c:pt idx="443">
                  <c:v>43087</c:v>
                </c:pt>
                <c:pt idx="444">
                  <c:v>43088</c:v>
                </c:pt>
                <c:pt idx="445">
                  <c:v>43089</c:v>
                </c:pt>
                <c:pt idx="446">
                  <c:v>43090</c:v>
                </c:pt>
                <c:pt idx="447">
                  <c:v>43091</c:v>
                </c:pt>
                <c:pt idx="448">
                  <c:v>43092</c:v>
                </c:pt>
                <c:pt idx="449">
                  <c:v>43093</c:v>
                </c:pt>
                <c:pt idx="450">
                  <c:v>43094</c:v>
                </c:pt>
                <c:pt idx="451">
                  <c:v>43095</c:v>
                </c:pt>
                <c:pt idx="452">
                  <c:v>43096</c:v>
                </c:pt>
                <c:pt idx="453">
                  <c:v>43097</c:v>
                </c:pt>
                <c:pt idx="454">
                  <c:v>43098</c:v>
                </c:pt>
                <c:pt idx="455">
                  <c:v>43099</c:v>
                </c:pt>
                <c:pt idx="456">
                  <c:v>43100</c:v>
                </c:pt>
                <c:pt idx="457">
                  <c:v>43101</c:v>
                </c:pt>
                <c:pt idx="458">
                  <c:v>43102</c:v>
                </c:pt>
                <c:pt idx="459">
                  <c:v>43103</c:v>
                </c:pt>
                <c:pt idx="460">
                  <c:v>43104</c:v>
                </c:pt>
                <c:pt idx="461">
                  <c:v>43105</c:v>
                </c:pt>
                <c:pt idx="462">
                  <c:v>43106</c:v>
                </c:pt>
                <c:pt idx="463">
                  <c:v>43107</c:v>
                </c:pt>
                <c:pt idx="464">
                  <c:v>43108</c:v>
                </c:pt>
                <c:pt idx="465">
                  <c:v>43109</c:v>
                </c:pt>
                <c:pt idx="466">
                  <c:v>43110</c:v>
                </c:pt>
                <c:pt idx="467">
                  <c:v>43111</c:v>
                </c:pt>
                <c:pt idx="468">
                  <c:v>43112</c:v>
                </c:pt>
                <c:pt idx="469">
                  <c:v>43113</c:v>
                </c:pt>
                <c:pt idx="470">
                  <c:v>43114</c:v>
                </c:pt>
                <c:pt idx="471">
                  <c:v>43115</c:v>
                </c:pt>
                <c:pt idx="472">
                  <c:v>43116</c:v>
                </c:pt>
                <c:pt idx="473">
                  <c:v>43117</c:v>
                </c:pt>
                <c:pt idx="474">
                  <c:v>43118</c:v>
                </c:pt>
                <c:pt idx="475">
                  <c:v>43119</c:v>
                </c:pt>
                <c:pt idx="476">
                  <c:v>43120</c:v>
                </c:pt>
                <c:pt idx="477">
                  <c:v>43121</c:v>
                </c:pt>
                <c:pt idx="478">
                  <c:v>43122</c:v>
                </c:pt>
                <c:pt idx="479">
                  <c:v>43123</c:v>
                </c:pt>
                <c:pt idx="480">
                  <c:v>43124</c:v>
                </c:pt>
                <c:pt idx="481">
                  <c:v>43125</c:v>
                </c:pt>
                <c:pt idx="482">
                  <c:v>43126</c:v>
                </c:pt>
                <c:pt idx="483">
                  <c:v>43127</c:v>
                </c:pt>
                <c:pt idx="484">
                  <c:v>43128</c:v>
                </c:pt>
                <c:pt idx="485">
                  <c:v>43129</c:v>
                </c:pt>
                <c:pt idx="486">
                  <c:v>43130</c:v>
                </c:pt>
                <c:pt idx="487">
                  <c:v>43131</c:v>
                </c:pt>
                <c:pt idx="488">
                  <c:v>43132</c:v>
                </c:pt>
                <c:pt idx="489">
                  <c:v>43133</c:v>
                </c:pt>
                <c:pt idx="490">
                  <c:v>43134</c:v>
                </c:pt>
                <c:pt idx="491">
                  <c:v>43135</c:v>
                </c:pt>
                <c:pt idx="492">
                  <c:v>43136</c:v>
                </c:pt>
                <c:pt idx="493">
                  <c:v>43137</c:v>
                </c:pt>
                <c:pt idx="494">
                  <c:v>43138</c:v>
                </c:pt>
                <c:pt idx="495">
                  <c:v>43139</c:v>
                </c:pt>
                <c:pt idx="496">
                  <c:v>43140</c:v>
                </c:pt>
                <c:pt idx="497">
                  <c:v>43141</c:v>
                </c:pt>
                <c:pt idx="498">
                  <c:v>43142</c:v>
                </c:pt>
                <c:pt idx="499">
                  <c:v>43143</c:v>
                </c:pt>
                <c:pt idx="500">
                  <c:v>43144</c:v>
                </c:pt>
                <c:pt idx="501">
                  <c:v>43145</c:v>
                </c:pt>
                <c:pt idx="502">
                  <c:v>43146</c:v>
                </c:pt>
                <c:pt idx="503">
                  <c:v>43147</c:v>
                </c:pt>
                <c:pt idx="504">
                  <c:v>43148</c:v>
                </c:pt>
                <c:pt idx="505">
                  <c:v>43149</c:v>
                </c:pt>
                <c:pt idx="506">
                  <c:v>43150</c:v>
                </c:pt>
                <c:pt idx="507">
                  <c:v>43151</c:v>
                </c:pt>
                <c:pt idx="508">
                  <c:v>43152</c:v>
                </c:pt>
                <c:pt idx="509">
                  <c:v>43153</c:v>
                </c:pt>
                <c:pt idx="510">
                  <c:v>43154</c:v>
                </c:pt>
                <c:pt idx="511">
                  <c:v>43155</c:v>
                </c:pt>
                <c:pt idx="512">
                  <c:v>43156</c:v>
                </c:pt>
                <c:pt idx="513">
                  <c:v>43157</c:v>
                </c:pt>
                <c:pt idx="514">
                  <c:v>43158</c:v>
                </c:pt>
                <c:pt idx="515">
                  <c:v>43159</c:v>
                </c:pt>
                <c:pt idx="516">
                  <c:v>43160</c:v>
                </c:pt>
                <c:pt idx="517">
                  <c:v>43161</c:v>
                </c:pt>
                <c:pt idx="518">
                  <c:v>43162</c:v>
                </c:pt>
                <c:pt idx="519">
                  <c:v>43163</c:v>
                </c:pt>
                <c:pt idx="520">
                  <c:v>43164</c:v>
                </c:pt>
                <c:pt idx="521">
                  <c:v>43165</c:v>
                </c:pt>
                <c:pt idx="522">
                  <c:v>43166</c:v>
                </c:pt>
                <c:pt idx="523">
                  <c:v>43167</c:v>
                </c:pt>
                <c:pt idx="524">
                  <c:v>43168</c:v>
                </c:pt>
                <c:pt idx="525">
                  <c:v>43169</c:v>
                </c:pt>
                <c:pt idx="526">
                  <c:v>43170</c:v>
                </c:pt>
                <c:pt idx="527">
                  <c:v>43171</c:v>
                </c:pt>
                <c:pt idx="528">
                  <c:v>43172</c:v>
                </c:pt>
                <c:pt idx="529">
                  <c:v>43173</c:v>
                </c:pt>
                <c:pt idx="530">
                  <c:v>43174</c:v>
                </c:pt>
                <c:pt idx="531">
                  <c:v>43175</c:v>
                </c:pt>
                <c:pt idx="532">
                  <c:v>43176</c:v>
                </c:pt>
                <c:pt idx="533">
                  <c:v>43177</c:v>
                </c:pt>
                <c:pt idx="534">
                  <c:v>43178</c:v>
                </c:pt>
                <c:pt idx="535">
                  <c:v>43179</c:v>
                </c:pt>
                <c:pt idx="536">
                  <c:v>43180</c:v>
                </c:pt>
                <c:pt idx="537">
                  <c:v>43181</c:v>
                </c:pt>
                <c:pt idx="538">
                  <c:v>43182</c:v>
                </c:pt>
                <c:pt idx="539">
                  <c:v>43183</c:v>
                </c:pt>
                <c:pt idx="540">
                  <c:v>43184</c:v>
                </c:pt>
                <c:pt idx="541">
                  <c:v>43185</c:v>
                </c:pt>
                <c:pt idx="542">
                  <c:v>43186</c:v>
                </c:pt>
                <c:pt idx="543">
                  <c:v>43187</c:v>
                </c:pt>
                <c:pt idx="544">
                  <c:v>43188</c:v>
                </c:pt>
                <c:pt idx="545">
                  <c:v>43189</c:v>
                </c:pt>
                <c:pt idx="546">
                  <c:v>43190</c:v>
                </c:pt>
                <c:pt idx="547">
                  <c:v>43191</c:v>
                </c:pt>
                <c:pt idx="548">
                  <c:v>43192</c:v>
                </c:pt>
                <c:pt idx="549">
                  <c:v>43193</c:v>
                </c:pt>
                <c:pt idx="550">
                  <c:v>43194</c:v>
                </c:pt>
                <c:pt idx="551">
                  <c:v>43195</c:v>
                </c:pt>
                <c:pt idx="552">
                  <c:v>43196</c:v>
                </c:pt>
                <c:pt idx="553">
                  <c:v>43197</c:v>
                </c:pt>
                <c:pt idx="554">
                  <c:v>43198</c:v>
                </c:pt>
                <c:pt idx="555">
                  <c:v>43199</c:v>
                </c:pt>
                <c:pt idx="556">
                  <c:v>43200</c:v>
                </c:pt>
                <c:pt idx="557">
                  <c:v>43201</c:v>
                </c:pt>
                <c:pt idx="558">
                  <c:v>43202</c:v>
                </c:pt>
                <c:pt idx="559">
                  <c:v>43203</c:v>
                </c:pt>
                <c:pt idx="560">
                  <c:v>43204</c:v>
                </c:pt>
                <c:pt idx="561">
                  <c:v>43205</c:v>
                </c:pt>
                <c:pt idx="562">
                  <c:v>43206</c:v>
                </c:pt>
                <c:pt idx="563">
                  <c:v>43207</c:v>
                </c:pt>
                <c:pt idx="564">
                  <c:v>43208</c:v>
                </c:pt>
                <c:pt idx="565">
                  <c:v>43209</c:v>
                </c:pt>
                <c:pt idx="566">
                  <c:v>43210</c:v>
                </c:pt>
                <c:pt idx="567">
                  <c:v>43211</c:v>
                </c:pt>
                <c:pt idx="568">
                  <c:v>43212</c:v>
                </c:pt>
                <c:pt idx="569">
                  <c:v>43213</c:v>
                </c:pt>
                <c:pt idx="570">
                  <c:v>43214</c:v>
                </c:pt>
                <c:pt idx="571">
                  <c:v>43215</c:v>
                </c:pt>
                <c:pt idx="572">
                  <c:v>43216</c:v>
                </c:pt>
                <c:pt idx="573">
                  <c:v>43217</c:v>
                </c:pt>
                <c:pt idx="574">
                  <c:v>43218</c:v>
                </c:pt>
                <c:pt idx="575">
                  <c:v>43219</c:v>
                </c:pt>
                <c:pt idx="576">
                  <c:v>43220</c:v>
                </c:pt>
                <c:pt idx="577">
                  <c:v>43221</c:v>
                </c:pt>
                <c:pt idx="578">
                  <c:v>43222</c:v>
                </c:pt>
                <c:pt idx="579">
                  <c:v>43223</c:v>
                </c:pt>
                <c:pt idx="580">
                  <c:v>43224</c:v>
                </c:pt>
                <c:pt idx="581">
                  <c:v>43225</c:v>
                </c:pt>
                <c:pt idx="582">
                  <c:v>43226</c:v>
                </c:pt>
                <c:pt idx="583">
                  <c:v>43227</c:v>
                </c:pt>
                <c:pt idx="584">
                  <c:v>43228</c:v>
                </c:pt>
                <c:pt idx="585">
                  <c:v>43229</c:v>
                </c:pt>
                <c:pt idx="586">
                  <c:v>43230</c:v>
                </c:pt>
                <c:pt idx="587">
                  <c:v>43231</c:v>
                </c:pt>
                <c:pt idx="588">
                  <c:v>43232</c:v>
                </c:pt>
                <c:pt idx="589">
                  <c:v>43233</c:v>
                </c:pt>
                <c:pt idx="590">
                  <c:v>43234</c:v>
                </c:pt>
                <c:pt idx="591">
                  <c:v>43235</c:v>
                </c:pt>
                <c:pt idx="592">
                  <c:v>43236</c:v>
                </c:pt>
                <c:pt idx="593">
                  <c:v>43237</c:v>
                </c:pt>
                <c:pt idx="594">
                  <c:v>43238</c:v>
                </c:pt>
                <c:pt idx="595">
                  <c:v>43239</c:v>
                </c:pt>
                <c:pt idx="596">
                  <c:v>43240</c:v>
                </c:pt>
                <c:pt idx="597">
                  <c:v>43241</c:v>
                </c:pt>
                <c:pt idx="598">
                  <c:v>43242</c:v>
                </c:pt>
                <c:pt idx="599">
                  <c:v>43243</c:v>
                </c:pt>
                <c:pt idx="600">
                  <c:v>43244</c:v>
                </c:pt>
                <c:pt idx="601">
                  <c:v>43245</c:v>
                </c:pt>
                <c:pt idx="602">
                  <c:v>43246</c:v>
                </c:pt>
                <c:pt idx="603">
                  <c:v>43247</c:v>
                </c:pt>
                <c:pt idx="604">
                  <c:v>43248</c:v>
                </c:pt>
                <c:pt idx="605">
                  <c:v>43249</c:v>
                </c:pt>
                <c:pt idx="606">
                  <c:v>43250</c:v>
                </c:pt>
                <c:pt idx="607">
                  <c:v>43251</c:v>
                </c:pt>
                <c:pt idx="608">
                  <c:v>43252</c:v>
                </c:pt>
                <c:pt idx="609">
                  <c:v>43253</c:v>
                </c:pt>
                <c:pt idx="610">
                  <c:v>43254</c:v>
                </c:pt>
                <c:pt idx="611">
                  <c:v>43255</c:v>
                </c:pt>
                <c:pt idx="612">
                  <c:v>43256</c:v>
                </c:pt>
                <c:pt idx="613">
                  <c:v>43257</c:v>
                </c:pt>
                <c:pt idx="614">
                  <c:v>43258</c:v>
                </c:pt>
                <c:pt idx="615">
                  <c:v>43259</c:v>
                </c:pt>
                <c:pt idx="616">
                  <c:v>43260</c:v>
                </c:pt>
                <c:pt idx="617">
                  <c:v>43261</c:v>
                </c:pt>
                <c:pt idx="618">
                  <c:v>43262</c:v>
                </c:pt>
                <c:pt idx="619">
                  <c:v>43263</c:v>
                </c:pt>
                <c:pt idx="620">
                  <c:v>43264</c:v>
                </c:pt>
                <c:pt idx="621">
                  <c:v>43265</c:v>
                </c:pt>
                <c:pt idx="622">
                  <c:v>43266</c:v>
                </c:pt>
                <c:pt idx="623">
                  <c:v>43267</c:v>
                </c:pt>
                <c:pt idx="624">
                  <c:v>43268</c:v>
                </c:pt>
                <c:pt idx="625">
                  <c:v>43269</c:v>
                </c:pt>
                <c:pt idx="626">
                  <c:v>43270</c:v>
                </c:pt>
                <c:pt idx="627">
                  <c:v>43271</c:v>
                </c:pt>
                <c:pt idx="628">
                  <c:v>43272</c:v>
                </c:pt>
                <c:pt idx="629">
                  <c:v>43273</c:v>
                </c:pt>
                <c:pt idx="630">
                  <c:v>43274</c:v>
                </c:pt>
                <c:pt idx="631">
                  <c:v>43275</c:v>
                </c:pt>
                <c:pt idx="632">
                  <c:v>43276</c:v>
                </c:pt>
                <c:pt idx="633">
                  <c:v>43277</c:v>
                </c:pt>
                <c:pt idx="634">
                  <c:v>43278</c:v>
                </c:pt>
                <c:pt idx="635">
                  <c:v>43279</c:v>
                </c:pt>
                <c:pt idx="636">
                  <c:v>43280</c:v>
                </c:pt>
                <c:pt idx="637">
                  <c:v>43281</c:v>
                </c:pt>
                <c:pt idx="638">
                  <c:v>43282</c:v>
                </c:pt>
                <c:pt idx="639">
                  <c:v>43283</c:v>
                </c:pt>
                <c:pt idx="640">
                  <c:v>43284</c:v>
                </c:pt>
                <c:pt idx="641">
                  <c:v>43285</c:v>
                </c:pt>
                <c:pt idx="642">
                  <c:v>43286</c:v>
                </c:pt>
                <c:pt idx="643">
                  <c:v>43287</c:v>
                </c:pt>
                <c:pt idx="644">
                  <c:v>43288</c:v>
                </c:pt>
                <c:pt idx="645">
                  <c:v>43289</c:v>
                </c:pt>
                <c:pt idx="646">
                  <c:v>43290</c:v>
                </c:pt>
                <c:pt idx="647">
                  <c:v>43291</c:v>
                </c:pt>
                <c:pt idx="648">
                  <c:v>43292</c:v>
                </c:pt>
                <c:pt idx="649">
                  <c:v>43293</c:v>
                </c:pt>
                <c:pt idx="650">
                  <c:v>43294</c:v>
                </c:pt>
                <c:pt idx="651">
                  <c:v>43295</c:v>
                </c:pt>
                <c:pt idx="652">
                  <c:v>43296</c:v>
                </c:pt>
                <c:pt idx="653">
                  <c:v>43297</c:v>
                </c:pt>
                <c:pt idx="654">
                  <c:v>43298</c:v>
                </c:pt>
                <c:pt idx="655">
                  <c:v>43299</c:v>
                </c:pt>
                <c:pt idx="656">
                  <c:v>43300</c:v>
                </c:pt>
                <c:pt idx="657">
                  <c:v>43301</c:v>
                </c:pt>
                <c:pt idx="658">
                  <c:v>43302</c:v>
                </c:pt>
                <c:pt idx="659">
                  <c:v>43303</c:v>
                </c:pt>
                <c:pt idx="660">
                  <c:v>43304</c:v>
                </c:pt>
                <c:pt idx="661">
                  <c:v>43305</c:v>
                </c:pt>
                <c:pt idx="662">
                  <c:v>43306</c:v>
                </c:pt>
                <c:pt idx="663">
                  <c:v>43307</c:v>
                </c:pt>
                <c:pt idx="664">
                  <c:v>43308</c:v>
                </c:pt>
                <c:pt idx="665">
                  <c:v>43309</c:v>
                </c:pt>
                <c:pt idx="666">
                  <c:v>43310</c:v>
                </c:pt>
                <c:pt idx="667">
                  <c:v>43311</c:v>
                </c:pt>
                <c:pt idx="668">
                  <c:v>43312</c:v>
                </c:pt>
                <c:pt idx="669">
                  <c:v>43313</c:v>
                </c:pt>
                <c:pt idx="670">
                  <c:v>43314</c:v>
                </c:pt>
                <c:pt idx="671">
                  <c:v>43315</c:v>
                </c:pt>
                <c:pt idx="672">
                  <c:v>43316</c:v>
                </c:pt>
                <c:pt idx="673">
                  <c:v>43317</c:v>
                </c:pt>
                <c:pt idx="674">
                  <c:v>43318</c:v>
                </c:pt>
                <c:pt idx="675">
                  <c:v>43319</c:v>
                </c:pt>
                <c:pt idx="676">
                  <c:v>43320</c:v>
                </c:pt>
                <c:pt idx="677">
                  <c:v>43321</c:v>
                </c:pt>
                <c:pt idx="678">
                  <c:v>43322</c:v>
                </c:pt>
                <c:pt idx="679">
                  <c:v>43323</c:v>
                </c:pt>
                <c:pt idx="680">
                  <c:v>43324</c:v>
                </c:pt>
                <c:pt idx="681">
                  <c:v>43325</c:v>
                </c:pt>
                <c:pt idx="682">
                  <c:v>43326</c:v>
                </c:pt>
                <c:pt idx="683">
                  <c:v>43327</c:v>
                </c:pt>
                <c:pt idx="684">
                  <c:v>43328</c:v>
                </c:pt>
                <c:pt idx="685">
                  <c:v>43329</c:v>
                </c:pt>
                <c:pt idx="686">
                  <c:v>43330</c:v>
                </c:pt>
                <c:pt idx="687">
                  <c:v>43331</c:v>
                </c:pt>
                <c:pt idx="688">
                  <c:v>43332</c:v>
                </c:pt>
                <c:pt idx="689">
                  <c:v>43333</c:v>
                </c:pt>
                <c:pt idx="690">
                  <c:v>43334</c:v>
                </c:pt>
                <c:pt idx="691">
                  <c:v>43335</c:v>
                </c:pt>
                <c:pt idx="692">
                  <c:v>43336</c:v>
                </c:pt>
                <c:pt idx="693">
                  <c:v>43337</c:v>
                </c:pt>
                <c:pt idx="694">
                  <c:v>43338</c:v>
                </c:pt>
                <c:pt idx="695">
                  <c:v>43339</c:v>
                </c:pt>
                <c:pt idx="696">
                  <c:v>43340</c:v>
                </c:pt>
                <c:pt idx="697">
                  <c:v>43341</c:v>
                </c:pt>
                <c:pt idx="698">
                  <c:v>43342</c:v>
                </c:pt>
                <c:pt idx="699">
                  <c:v>43343</c:v>
                </c:pt>
                <c:pt idx="700">
                  <c:v>43344</c:v>
                </c:pt>
                <c:pt idx="701">
                  <c:v>43345</c:v>
                </c:pt>
                <c:pt idx="702">
                  <c:v>43346</c:v>
                </c:pt>
                <c:pt idx="703">
                  <c:v>43347</c:v>
                </c:pt>
                <c:pt idx="704">
                  <c:v>43348</c:v>
                </c:pt>
                <c:pt idx="705">
                  <c:v>43349</c:v>
                </c:pt>
                <c:pt idx="706">
                  <c:v>43350</c:v>
                </c:pt>
                <c:pt idx="707">
                  <c:v>43351</c:v>
                </c:pt>
                <c:pt idx="708">
                  <c:v>43352</c:v>
                </c:pt>
                <c:pt idx="709">
                  <c:v>43353</c:v>
                </c:pt>
                <c:pt idx="710">
                  <c:v>43354</c:v>
                </c:pt>
                <c:pt idx="711">
                  <c:v>43355</c:v>
                </c:pt>
                <c:pt idx="712">
                  <c:v>43356</c:v>
                </c:pt>
                <c:pt idx="713">
                  <c:v>43357</c:v>
                </c:pt>
                <c:pt idx="714">
                  <c:v>43358</c:v>
                </c:pt>
                <c:pt idx="715">
                  <c:v>43359</c:v>
                </c:pt>
                <c:pt idx="716">
                  <c:v>43360</c:v>
                </c:pt>
                <c:pt idx="717">
                  <c:v>43361</c:v>
                </c:pt>
                <c:pt idx="718">
                  <c:v>43362</c:v>
                </c:pt>
                <c:pt idx="719">
                  <c:v>43363</c:v>
                </c:pt>
                <c:pt idx="720">
                  <c:v>43364</c:v>
                </c:pt>
                <c:pt idx="721">
                  <c:v>43365</c:v>
                </c:pt>
                <c:pt idx="722">
                  <c:v>43366</c:v>
                </c:pt>
                <c:pt idx="723">
                  <c:v>43367</c:v>
                </c:pt>
                <c:pt idx="724">
                  <c:v>43368</c:v>
                </c:pt>
                <c:pt idx="725">
                  <c:v>43369</c:v>
                </c:pt>
                <c:pt idx="726">
                  <c:v>43370</c:v>
                </c:pt>
                <c:pt idx="727">
                  <c:v>43371</c:v>
                </c:pt>
                <c:pt idx="728">
                  <c:v>43372</c:v>
                </c:pt>
                <c:pt idx="729">
                  <c:v>43373</c:v>
                </c:pt>
                <c:pt idx="730">
                  <c:v>43374</c:v>
                </c:pt>
                <c:pt idx="731">
                  <c:v>43375</c:v>
                </c:pt>
                <c:pt idx="732">
                  <c:v>43376</c:v>
                </c:pt>
                <c:pt idx="733">
                  <c:v>43377</c:v>
                </c:pt>
                <c:pt idx="734">
                  <c:v>43378</c:v>
                </c:pt>
                <c:pt idx="735">
                  <c:v>43379</c:v>
                </c:pt>
                <c:pt idx="736">
                  <c:v>43380</c:v>
                </c:pt>
                <c:pt idx="737">
                  <c:v>43381</c:v>
                </c:pt>
                <c:pt idx="738">
                  <c:v>43382</c:v>
                </c:pt>
                <c:pt idx="739">
                  <c:v>43383</c:v>
                </c:pt>
                <c:pt idx="740">
                  <c:v>43384</c:v>
                </c:pt>
                <c:pt idx="741">
                  <c:v>43385</c:v>
                </c:pt>
                <c:pt idx="742">
                  <c:v>43386</c:v>
                </c:pt>
                <c:pt idx="743">
                  <c:v>43387</c:v>
                </c:pt>
                <c:pt idx="744">
                  <c:v>43388</c:v>
                </c:pt>
                <c:pt idx="745">
                  <c:v>43389</c:v>
                </c:pt>
                <c:pt idx="746">
                  <c:v>43390</c:v>
                </c:pt>
                <c:pt idx="747">
                  <c:v>43391</c:v>
                </c:pt>
                <c:pt idx="748">
                  <c:v>43392</c:v>
                </c:pt>
                <c:pt idx="749">
                  <c:v>43393</c:v>
                </c:pt>
                <c:pt idx="750">
                  <c:v>43394</c:v>
                </c:pt>
                <c:pt idx="751">
                  <c:v>43395</c:v>
                </c:pt>
                <c:pt idx="752">
                  <c:v>43396</c:v>
                </c:pt>
                <c:pt idx="753">
                  <c:v>43397</c:v>
                </c:pt>
                <c:pt idx="754">
                  <c:v>43398</c:v>
                </c:pt>
                <c:pt idx="755">
                  <c:v>43399</c:v>
                </c:pt>
                <c:pt idx="756">
                  <c:v>43400</c:v>
                </c:pt>
                <c:pt idx="757">
                  <c:v>43401</c:v>
                </c:pt>
                <c:pt idx="758">
                  <c:v>43402</c:v>
                </c:pt>
                <c:pt idx="759">
                  <c:v>43403</c:v>
                </c:pt>
                <c:pt idx="760">
                  <c:v>43404</c:v>
                </c:pt>
                <c:pt idx="761">
                  <c:v>43405</c:v>
                </c:pt>
                <c:pt idx="762">
                  <c:v>43406</c:v>
                </c:pt>
                <c:pt idx="763">
                  <c:v>43407</c:v>
                </c:pt>
                <c:pt idx="764">
                  <c:v>43408</c:v>
                </c:pt>
                <c:pt idx="765">
                  <c:v>43409</c:v>
                </c:pt>
                <c:pt idx="766">
                  <c:v>43410</c:v>
                </c:pt>
                <c:pt idx="767">
                  <c:v>43411</c:v>
                </c:pt>
                <c:pt idx="768">
                  <c:v>43412</c:v>
                </c:pt>
                <c:pt idx="769">
                  <c:v>43413</c:v>
                </c:pt>
                <c:pt idx="770">
                  <c:v>43414</c:v>
                </c:pt>
                <c:pt idx="771">
                  <c:v>43415</c:v>
                </c:pt>
                <c:pt idx="772">
                  <c:v>43416</c:v>
                </c:pt>
                <c:pt idx="773">
                  <c:v>43417</c:v>
                </c:pt>
                <c:pt idx="774">
                  <c:v>43418</c:v>
                </c:pt>
                <c:pt idx="775">
                  <c:v>43419</c:v>
                </c:pt>
                <c:pt idx="776">
                  <c:v>43420</c:v>
                </c:pt>
                <c:pt idx="777">
                  <c:v>43421</c:v>
                </c:pt>
                <c:pt idx="778">
                  <c:v>43422</c:v>
                </c:pt>
                <c:pt idx="779">
                  <c:v>43423</c:v>
                </c:pt>
                <c:pt idx="780">
                  <c:v>43424</c:v>
                </c:pt>
                <c:pt idx="781">
                  <c:v>43425</c:v>
                </c:pt>
                <c:pt idx="782">
                  <c:v>43426</c:v>
                </c:pt>
                <c:pt idx="783">
                  <c:v>43427</c:v>
                </c:pt>
                <c:pt idx="784">
                  <c:v>43428</c:v>
                </c:pt>
                <c:pt idx="785">
                  <c:v>43429</c:v>
                </c:pt>
                <c:pt idx="786">
                  <c:v>43430</c:v>
                </c:pt>
                <c:pt idx="787">
                  <c:v>43431</c:v>
                </c:pt>
                <c:pt idx="788">
                  <c:v>43432</c:v>
                </c:pt>
                <c:pt idx="789">
                  <c:v>43433</c:v>
                </c:pt>
                <c:pt idx="790">
                  <c:v>43434</c:v>
                </c:pt>
                <c:pt idx="791">
                  <c:v>43435</c:v>
                </c:pt>
                <c:pt idx="792">
                  <c:v>43436</c:v>
                </c:pt>
                <c:pt idx="793">
                  <c:v>43437</c:v>
                </c:pt>
                <c:pt idx="794">
                  <c:v>43438</c:v>
                </c:pt>
                <c:pt idx="795">
                  <c:v>43439</c:v>
                </c:pt>
                <c:pt idx="796">
                  <c:v>43440</c:v>
                </c:pt>
                <c:pt idx="797">
                  <c:v>43441</c:v>
                </c:pt>
                <c:pt idx="798">
                  <c:v>43442</c:v>
                </c:pt>
                <c:pt idx="799">
                  <c:v>43443</c:v>
                </c:pt>
                <c:pt idx="800">
                  <c:v>43444</c:v>
                </c:pt>
                <c:pt idx="801">
                  <c:v>43445</c:v>
                </c:pt>
                <c:pt idx="802">
                  <c:v>43446</c:v>
                </c:pt>
                <c:pt idx="803">
                  <c:v>43447</c:v>
                </c:pt>
                <c:pt idx="804">
                  <c:v>43448</c:v>
                </c:pt>
                <c:pt idx="805">
                  <c:v>43449</c:v>
                </c:pt>
                <c:pt idx="806">
                  <c:v>43450</c:v>
                </c:pt>
                <c:pt idx="807">
                  <c:v>43451</c:v>
                </c:pt>
                <c:pt idx="808">
                  <c:v>43452</c:v>
                </c:pt>
                <c:pt idx="809">
                  <c:v>43453</c:v>
                </c:pt>
                <c:pt idx="810">
                  <c:v>43454</c:v>
                </c:pt>
                <c:pt idx="811">
                  <c:v>43455</c:v>
                </c:pt>
                <c:pt idx="812">
                  <c:v>43456</c:v>
                </c:pt>
                <c:pt idx="813">
                  <c:v>43457</c:v>
                </c:pt>
                <c:pt idx="814">
                  <c:v>43458</c:v>
                </c:pt>
                <c:pt idx="815">
                  <c:v>43459</c:v>
                </c:pt>
                <c:pt idx="816">
                  <c:v>43460</c:v>
                </c:pt>
                <c:pt idx="817">
                  <c:v>43461</c:v>
                </c:pt>
                <c:pt idx="818">
                  <c:v>43462</c:v>
                </c:pt>
                <c:pt idx="819">
                  <c:v>43463</c:v>
                </c:pt>
                <c:pt idx="820">
                  <c:v>43464</c:v>
                </c:pt>
                <c:pt idx="821">
                  <c:v>43465</c:v>
                </c:pt>
                <c:pt idx="822">
                  <c:v>43466</c:v>
                </c:pt>
                <c:pt idx="823">
                  <c:v>43467</c:v>
                </c:pt>
                <c:pt idx="824">
                  <c:v>43468</c:v>
                </c:pt>
                <c:pt idx="825">
                  <c:v>43469</c:v>
                </c:pt>
                <c:pt idx="826">
                  <c:v>43470</c:v>
                </c:pt>
                <c:pt idx="827">
                  <c:v>43471</c:v>
                </c:pt>
                <c:pt idx="828">
                  <c:v>43472</c:v>
                </c:pt>
                <c:pt idx="829">
                  <c:v>43473</c:v>
                </c:pt>
                <c:pt idx="830">
                  <c:v>43474</c:v>
                </c:pt>
                <c:pt idx="831">
                  <c:v>43475</c:v>
                </c:pt>
                <c:pt idx="832">
                  <c:v>43476</c:v>
                </c:pt>
                <c:pt idx="833">
                  <c:v>43477</c:v>
                </c:pt>
                <c:pt idx="834">
                  <c:v>43478</c:v>
                </c:pt>
                <c:pt idx="835">
                  <c:v>43479</c:v>
                </c:pt>
                <c:pt idx="836">
                  <c:v>43480</c:v>
                </c:pt>
                <c:pt idx="837">
                  <c:v>43481</c:v>
                </c:pt>
                <c:pt idx="838">
                  <c:v>43482</c:v>
                </c:pt>
                <c:pt idx="839">
                  <c:v>43483</c:v>
                </c:pt>
                <c:pt idx="840">
                  <c:v>43484</c:v>
                </c:pt>
                <c:pt idx="841">
                  <c:v>43485</c:v>
                </c:pt>
                <c:pt idx="842">
                  <c:v>43486</c:v>
                </c:pt>
                <c:pt idx="843">
                  <c:v>43487</c:v>
                </c:pt>
                <c:pt idx="844">
                  <c:v>43488</c:v>
                </c:pt>
                <c:pt idx="845">
                  <c:v>43489</c:v>
                </c:pt>
                <c:pt idx="846">
                  <c:v>43490</c:v>
                </c:pt>
                <c:pt idx="847">
                  <c:v>43491</c:v>
                </c:pt>
                <c:pt idx="848">
                  <c:v>43492</c:v>
                </c:pt>
                <c:pt idx="849">
                  <c:v>43493</c:v>
                </c:pt>
                <c:pt idx="850">
                  <c:v>43494</c:v>
                </c:pt>
                <c:pt idx="851">
                  <c:v>43495</c:v>
                </c:pt>
                <c:pt idx="852">
                  <c:v>43496</c:v>
                </c:pt>
                <c:pt idx="853">
                  <c:v>43497</c:v>
                </c:pt>
                <c:pt idx="854">
                  <c:v>43498</c:v>
                </c:pt>
                <c:pt idx="855">
                  <c:v>43499</c:v>
                </c:pt>
                <c:pt idx="856">
                  <c:v>43500</c:v>
                </c:pt>
                <c:pt idx="857">
                  <c:v>43501</c:v>
                </c:pt>
                <c:pt idx="858">
                  <c:v>43502</c:v>
                </c:pt>
                <c:pt idx="859">
                  <c:v>43503</c:v>
                </c:pt>
                <c:pt idx="860">
                  <c:v>43504</c:v>
                </c:pt>
                <c:pt idx="861">
                  <c:v>43505</c:v>
                </c:pt>
                <c:pt idx="862">
                  <c:v>43506</c:v>
                </c:pt>
                <c:pt idx="863">
                  <c:v>43507</c:v>
                </c:pt>
                <c:pt idx="864">
                  <c:v>43508</c:v>
                </c:pt>
                <c:pt idx="865">
                  <c:v>43509</c:v>
                </c:pt>
                <c:pt idx="866">
                  <c:v>43510</c:v>
                </c:pt>
                <c:pt idx="867">
                  <c:v>43511</c:v>
                </c:pt>
                <c:pt idx="868">
                  <c:v>43512</c:v>
                </c:pt>
                <c:pt idx="869">
                  <c:v>43513</c:v>
                </c:pt>
                <c:pt idx="870">
                  <c:v>43514</c:v>
                </c:pt>
                <c:pt idx="871">
                  <c:v>43515</c:v>
                </c:pt>
                <c:pt idx="872">
                  <c:v>43516</c:v>
                </c:pt>
                <c:pt idx="873">
                  <c:v>43517</c:v>
                </c:pt>
                <c:pt idx="874">
                  <c:v>43518</c:v>
                </c:pt>
                <c:pt idx="875">
                  <c:v>43519</c:v>
                </c:pt>
                <c:pt idx="876">
                  <c:v>43520</c:v>
                </c:pt>
                <c:pt idx="877">
                  <c:v>43521</c:v>
                </c:pt>
                <c:pt idx="878">
                  <c:v>43522</c:v>
                </c:pt>
                <c:pt idx="879">
                  <c:v>43523</c:v>
                </c:pt>
                <c:pt idx="880">
                  <c:v>43524</c:v>
                </c:pt>
                <c:pt idx="881">
                  <c:v>43525</c:v>
                </c:pt>
                <c:pt idx="882">
                  <c:v>43526</c:v>
                </c:pt>
                <c:pt idx="883">
                  <c:v>43527</c:v>
                </c:pt>
                <c:pt idx="884">
                  <c:v>43528</c:v>
                </c:pt>
                <c:pt idx="885">
                  <c:v>43529</c:v>
                </c:pt>
                <c:pt idx="886">
                  <c:v>43530</c:v>
                </c:pt>
                <c:pt idx="887">
                  <c:v>43531</c:v>
                </c:pt>
                <c:pt idx="888">
                  <c:v>43532</c:v>
                </c:pt>
                <c:pt idx="889">
                  <c:v>43533</c:v>
                </c:pt>
                <c:pt idx="890">
                  <c:v>43534</c:v>
                </c:pt>
                <c:pt idx="891">
                  <c:v>43535</c:v>
                </c:pt>
                <c:pt idx="892">
                  <c:v>43536</c:v>
                </c:pt>
                <c:pt idx="893">
                  <c:v>43537</c:v>
                </c:pt>
                <c:pt idx="894">
                  <c:v>43538</c:v>
                </c:pt>
                <c:pt idx="895">
                  <c:v>43539</c:v>
                </c:pt>
                <c:pt idx="896">
                  <c:v>43540</c:v>
                </c:pt>
                <c:pt idx="897">
                  <c:v>43541</c:v>
                </c:pt>
                <c:pt idx="898">
                  <c:v>43542</c:v>
                </c:pt>
                <c:pt idx="899">
                  <c:v>43543</c:v>
                </c:pt>
                <c:pt idx="900">
                  <c:v>43544</c:v>
                </c:pt>
                <c:pt idx="901">
                  <c:v>43545</c:v>
                </c:pt>
                <c:pt idx="902">
                  <c:v>43546</c:v>
                </c:pt>
                <c:pt idx="903">
                  <c:v>43547</c:v>
                </c:pt>
                <c:pt idx="904">
                  <c:v>43548</c:v>
                </c:pt>
                <c:pt idx="905">
                  <c:v>43549</c:v>
                </c:pt>
                <c:pt idx="906">
                  <c:v>43550</c:v>
                </c:pt>
                <c:pt idx="907">
                  <c:v>43551</c:v>
                </c:pt>
                <c:pt idx="908">
                  <c:v>43552</c:v>
                </c:pt>
                <c:pt idx="909">
                  <c:v>43553</c:v>
                </c:pt>
                <c:pt idx="910">
                  <c:v>43554</c:v>
                </c:pt>
                <c:pt idx="911">
                  <c:v>43555</c:v>
                </c:pt>
                <c:pt idx="912">
                  <c:v>43556</c:v>
                </c:pt>
                <c:pt idx="913">
                  <c:v>43557</c:v>
                </c:pt>
                <c:pt idx="914">
                  <c:v>43558</c:v>
                </c:pt>
                <c:pt idx="915">
                  <c:v>43559</c:v>
                </c:pt>
                <c:pt idx="916">
                  <c:v>43560</c:v>
                </c:pt>
                <c:pt idx="917">
                  <c:v>43561</c:v>
                </c:pt>
                <c:pt idx="918">
                  <c:v>43562</c:v>
                </c:pt>
                <c:pt idx="919">
                  <c:v>43563</c:v>
                </c:pt>
                <c:pt idx="920">
                  <c:v>43564</c:v>
                </c:pt>
                <c:pt idx="921">
                  <c:v>43565</c:v>
                </c:pt>
                <c:pt idx="922">
                  <c:v>43566</c:v>
                </c:pt>
                <c:pt idx="923">
                  <c:v>43567</c:v>
                </c:pt>
                <c:pt idx="924">
                  <c:v>43568</c:v>
                </c:pt>
                <c:pt idx="925">
                  <c:v>43569</c:v>
                </c:pt>
                <c:pt idx="926">
                  <c:v>43570</c:v>
                </c:pt>
                <c:pt idx="927">
                  <c:v>43571</c:v>
                </c:pt>
                <c:pt idx="928">
                  <c:v>43572</c:v>
                </c:pt>
                <c:pt idx="929">
                  <c:v>43573</c:v>
                </c:pt>
                <c:pt idx="930">
                  <c:v>43574</c:v>
                </c:pt>
                <c:pt idx="931">
                  <c:v>43575</c:v>
                </c:pt>
                <c:pt idx="932">
                  <c:v>43576</c:v>
                </c:pt>
                <c:pt idx="933">
                  <c:v>43577</c:v>
                </c:pt>
                <c:pt idx="934">
                  <c:v>43578</c:v>
                </c:pt>
                <c:pt idx="935">
                  <c:v>43579</c:v>
                </c:pt>
                <c:pt idx="936">
                  <c:v>43580</c:v>
                </c:pt>
                <c:pt idx="937">
                  <c:v>43581</c:v>
                </c:pt>
                <c:pt idx="938">
                  <c:v>43582</c:v>
                </c:pt>
                <c:pt idx="939">
                  <c:v>43583</c:v>
                </c:pt>
                <c:pt idx="940">
                  <c:v>43584</c:v>
                </c:pt>
                <c:pt idx="941">
                  <c:v>43585</c:v>
                </c:pt>
                <c:pt idx="942">
                  <c:v>43586</c:v>
                </c:pt>
                <c:pt idx="943">
                  <c:v>43587</c:v>
                </c:pt>
                <c:pt idx="944">
                  <c:v>43588</c:v>
                </c:pt>
                <c:pt idx="945">
                  <c:v>43589</c:v>
                </c:pt>
                <c:pt idx="946">
                  <c:v>43590</c:v>
                </c:pt>
                <c:pt idx="947">
                  <c:v>43591</c:v>
                </c:pt>
                <c:pt idx="948">
                  <c:v>43592</c:v>
                </c:pt>
                <c:pt idx="949">
                  <c:v>43593</c:v>
                </c:pt>
                <c:pt idx="950">
                  <c:v>43594</c:v>
                </c:pt>
                <c:pt idx="951">
                  <c:v>43595</c:v>
                </c:pt>
                <c:pt idx="952">
                  <c:v>43596</c:v>
                </c:pt>
                <c:pt idx="953">
                  <c:v>43597</c:v>
                </c:pt>
                <c:pt idx="954">
                  <c:v>43598</c:v>
                </c:pt>
                <c:pt idx="955">
                  <c:v>43599</c:v>
                </c:pt>
                <c:pt idx="956">
                  <c:v>43600</c:v>
                </c:pt>
                <c:pt idx="957">
                  <c:v>43601</c:v>
                </c:pt>
                <c:pt idx="958">
                  <c:v>43602</c:v>
                </c:pt>
                <c:pt idx="959">
                  <c:v>43603</c:v>
                </c:pt>
                <c:pt idx="960">
                  <c:v>43604</c:v>
                </c:pt>
                <c:pt idx="961">
                  <c:v>43605</c:v>
                </c:pt>
                <c:pt idx="962">
                  <c:v>43606</c:v>
                </c:pt>
                <c:pt idx="963">
                  <c:v>43607</c:v>
                </c:pt>
                <c:pt idx="964">
                  <c:v>43608</c:v>
                </c:pt>
                <c:pt idx="965">
                  <c:v>43609</c:v>
                </c:pt>
                <c:pt idx="966">
                  <c:v>43610</c:v>
                </c:pt>
                <c:pt idx="967">
                  <c:v>43611</c:v>
                </c:pt>
                <c:pt idx="968">
                  <c:v>43612</c:v>
                </c:pt>
                <c:pt idx="969">
                  <c:v>43613</c:v>
                </c:pt>
                <c:pt idx="970">
                  <c:v>43614</c:v>
                </c:pt>
                <c:pt idx="971">
                  <c:v>43615</c:v>
                </c:pt>
                <c:pt idx="972">
                  <c:v>43616</c:v>
                </c:pt>
                <c:pt idx="973">
                  <c:v>43617</c:v>
                </c:pt>
                <c:pt idx="974">
                  <c:v>43618</c:v>
                </c:pt>
                <c:pt idx="975">
                  <c:v>43619</c:v>
                </c:pt>
                <c:pt idx="976">
                  <c:v>43620</c:v>
                </c:pt>
                <c:pt idx="977">
                  <c:v>43621</c:v>
                </c:pt>
                <c:pt idx="978">
                  <c:v>43622</c:v>
                </c:pt>
                <c:pt idx="979">
                  <c:v>43623</c:v>
                </c:pt>
                <c:pt idx="980">
                  <c:v>43624</c:v>
                </c:pt>
                <c:pt idx="981">
                  <c:v>43625</c:v>
                </c:pt>
                <c:pt idx="982">
                  <c:v>43626</c:v>
                </c:pt>
                <c:pt idx="983">
                  <c:v>43627</c:v>
                </c:pt>
                <c:pt idx="984">
                  <c:v>43628</c:v>
                </c:pt>
                <c:pt idx="985">
                  <c:v>43629</c:v>
                </c:pt>
                <c:pt idx="986">
                  <c:v>43630</c:v>
                </c:pt>
                <c:pt idx="987">
                  <c:v>43631</c:v>
                </c:pt>
                <c:pt idx="988">
                  <c:v>43632</c:v>
                </c:pt>
                <c:pt idx="989">
                  <c:v>43633</c:v>
                </c:pt>
                <c:pt idx="990">
                  <c:v>43634</c:v>
                </c:pt>
                <c:pt idx="991">
                  <c:v>43635</c:v>
                </c:pt>
                <c:pt idx="992">
                  <c:v>43636</c:v>
                </c:pt>
                <c:pt idx="993">
                  <c:v>43637</c:v>
                </c:pt>
                <c:pt idx="994">
                  <c:v>43638</c:v>
                </c:pt>
                <c:pt idx="995">
                  <c:v>43639</c:v>
                </c:pt>
                <c:pt idx="996">
                  <c:v>43640</c:v>
                </c:pt>
                <c:pt idx="997">
                  <c:v>43641</c:v>
                </c:pt>
                <c:pt idx="998">
                  <c:v>43642</c:v>
                </c:pt>
                <c:pt idx="999">
                  <c:v>43643</c:v>
                </c:pt>
                <c:pt idx="1000">
                  <c:v>43644</c:v>
                </c:pt>
                <c:pt idx="1001">
                  <c:v>43645</c:v>
                </c:pt>
                <c:pt idx="1002">
                  <c:v>43646</c:v>
                </c:pt>
                <c:pt idx="1003">
                  <c:v>43647</c:v>
                </c:pt>
                <c:pt idx="1004">
                  <c:v>43648</c:v>
                </c:pt>
                <c:pt idx="1005">
                  <c:v>43649</c:v>
                </c:pt>
                <c:pt idx="1006">
                  <c:v>43650</c:v>
                </c:pt>
                <c:pt idx="1007">
                  <c:v>43651</c:v>
                </c:pt>
                <c:pt idx="1008">
                  <c:v>43652</c:v>
                </c:pt>
                <c:pt idx="1009">
                  <c:v>43653</c:v>
                </c:pt>
                <c:pt idx="1010">
                  <c:v>43654</c:v>
                </c:pt>
                <c:pt idx="1011">
                  <c:v>43655</c:v>
                </c:pt>
                <c:pt idx="1012">
                  <c:v>43656</c:v>
                </c:pt>
                <c:pt idx="1013">
                  <c:v>43657</c:v>
                </c:pt>
                <c:pt idx="1014">
                  <c:v>43658</c:v>
                </c:pt>
                <c:pt idx="1015">
                  <c:v>43659</c:v>
                </c:pt>
                <c:pt idx="1016">
                  <c:v>43660</c:v>
                </c:pt>
                <c:pt idx="1017">
                  <c:v>43661</c:v>
                </c:pt>
                <c:pt idx="1018">
                  <c:v>43662</c:v>
                </c:pt>
                <c:pt idx="1019">
                  <c:v>43663</c:v>
                </c:pt>
                <c:pt idx="1020">
                  <c:v>43664</c:v>
                </c:pt>
                <c:pt idx="1021">
                  <c:v>43665</c:v>
                </c:pt>
                <c:pt idx="1022">
                  <c:v>43666</c:v>
                </c:pt>
                <c:pt idx="1023">
                  <c:v>43667</c:v>
                </c:pt>
                <c:pt idx="1024">
                  <c:v>43668</c:v>
                </c:pt>
                <c:pt idx="1025">
                  <c:v>43669</c:v>
                </c:pt>
                <c:pt idx="1026">
                  <c:v>43670</c:v>
                </c:pt>
                <c:pt idx="1027">
                  <c:v>43671</c:v>
                </c:pt>
                <c:pt idx="1028">
                  <c:v>43672</c:v>
                </c:pt>
                <c:pt idx="1029">
                  <c:v>43673</c:v>
                </c:pt>
                <c:pt idx="1030">
                  <c:v>43674</c:v>
                </c:pt>
                <c:pt idx="1031">
                  <c:v>43675</c:v>
                </c:pt>
                <c:pt idx="1032">
                  <c:v>43676</c:v>
                </c:pt>
                <c:pt idx="1033">
                  <c:v>43677</c:v>
                </c:pt>
                <c:pt idx="1034">
                  <c:v>43678</c:v>
                </c:pt>
                <c:pt idx="1035">
                  <c:v>43679</c:v>
                </c:pt>
                <c:pt idx="1036">
                  <c:v>43680</c:v>
                </c:pt>
                <c:pt idx="1037">
                  <c:v>43681</c:v>
                </c:pt>
                <c:pt idx="1038">
                  <c:v>43682</c:v>
                </c:pt>
                <c:pt idx="1039">
                  <c:v>43683</c:v>
                </c:pt>
                <c:pt idx="1040">
                  <c:v>43684</c:v>
                </c:pt>
                <c:pt idx="1041">
                  <c:v>43685</c:v>
                </c:pt>
                <c:pt idx="1042">
                  <c:v>43686</c:v>
                </c:pt>
                <c:pt idx="1043">
                  <c:v>43687</c:v>
                </c:pt>
                <c:pt idx="1044">
                  <c:v>43688</c:v>
                </c:pt>
                <c:pt idx="1045">
                  <c:v>43689</c:v>
                </c:pt>
                <c:pt idx="1046">
                  <c:v>43690</c:v>
                </c:pt>
                <c:pt idx="1047">
                  <c:v>43691</c:v>
                </c:pt>
                <c:pt idx="1048">
                  <c:v>43692</c:v>
                </c:pt>
                <c:pt idx="1049">
                  <c:v>43693</c:v>
                </c:pt>
                <c:pt idx="1050">
                  <c:v>43694</c:v>
                </c:pt>
                <c:pt idx="1051">
                  <c:v>43695</c:v>
                </c:pt>
                <c:pt idx="1052">
                  <c:v>43696</c:v>
                </c:pt>
                <c:pt idx="1053">
                  <c:v>43697</c:v>
                </c:pt>
                <c:pt idx="1054">
                  <c:v>43698</c:v>
                </c:pt>
                <c:pt idx="1055">
                  <c:v>43699</c:v>
                </c:pt>
                <c:pt idx="1056">
                  <c:v>43700</c:v>
                </c:pt>
                <c:pt idx="1057">
                  <c:v>43701</c:v>
                </c:pt>
                <c:pt idx="1058">
                  <c:v>43702</c:v>
                </c:pt>
                <c:pt idx="1059">
                  <c:v>43703</c:v>
                </c:pt>
                <c:pt idx="1060">
                  <c:v>43704</c:v>
                </c:pt>
                <c:pt idx="1061">
                  <c:v>43705</c:v>
                </c:pt>
                <c:pt idx="1062">
                  <c:v>43706</c:v>
                </c:pt>
                <c:pt idx="1063">
                  <c:v>43707</c:v>
                </c:pt>
                <c:pt idx="1064">
                  <c:v>43708</c:v>
                </c:pt>
                <c:pt idx="1065">
                  <c:v>43709</c:v>
                </c:pt>
                <c:pt idx="1066">
                  <c:v>43710</c:v>
                </c:pt>
                <c:pt idx="1067">
                  <c:v>43711</c:v>
                </c:pt>
                <c:pt idx="1068">
                  <c:v>43712</c:v>
                </c:pt>
                <c:pt idx="1069">
                  <c:v>43713</c:v>
                </c:pt>
                <c:pt idx="1070">
                  <c:v>43714</c:v>
                </c:pt>
                <c:pt idx="1071">
                  <c:v>43715</c:v>
                </c:pt>
                <c:pt idx="1072">
                  <c:v>43716</c:v>
                </c:pt>
                <c:pt idx="1073">
                  <c:v>43717</c:v>
                </c:pt>
                <c:pt idx="1074">
                  <c:v>43718</c:v>
                </c:pt>
                <c:pt idx="1075">
                  <c:v>43719</c:v>
                </c:pt>
                <c:pt idx="1076">
                  <c:v>43720</c:v>
                </c:pt>
                <c:pt idx="1077">
                  <c:v>43721</c:v>
                </c:pt>
                <c:pt idx="1078">
                  <c:v>43722</c:v>
                </c:pt>
                <c:pt idx="1079">
                  <c:v>43723</c:v>
                </c:pt>
                <c:pt idx="1080">
                  <c:v>43724</c:v>
                </c:pt>
                <c:pt idx="1081">
                  <c:v>43725</c:v>
                </c:pt>
                <c:pt idx="1082">
                  <c:v>43726</c:v>
                </c:pt>
                <c:pt idx="1083">
                  <c:v>43727</c:v>
                </c:pt>
                <c:pt idx="1084">
                  <c:v>43728</c:v>
                </c:pt>
                <c:pt idx="1085">
                  <c:v>43729</c:v>
                </c:pt>
                <c:pt idx="1086">
                  <c:v>43730</c:v>
                </c:pt>
                <c:pt idx="1087">
                  <c:v>43731</c:v>
                </c:pt>
                <c:pt idx="1088">
                  <c:v>43732</c:v>
                </c:pt>
                <c:pt idx="1089">
                  <c:v>43733</c:v>
                </c:pt>
                <c:pt idx="1090">
                  <c:v>43734</c:v>
                </c:pt>
                <c:pt idx="1091">
                  <c:v>43735</c:v>
                </c:pt>
                <c:pt idx="1092">
                  <c:v>43736</c:v>
                </c:pt>
                <c:pt idx="1093">
                  <c:v>43737</c:v>
                </c:pt>
                <c:pt idx="1094">
                  <c:v>43738</c:v>
                </c:pt>
              </c:numCache>
            </c:numRef>
          </c:cat>
          <c:val>
            <c:numRef>
              <c:f>PITTL!$R$2:$R$1096</c:f>
              <c:numCache>
                <c:formatCode>General</c:formatCode>
                <c:ptCount val="1095"/>
                <c:pt idx="0">
                  <c:v>148014.948</c:v>
                </c:pt>
                <c:pt idx="1">
                  <c:v>148014.948</c:v>
                </c:pt>
                <c:pt idx="2">
                  <c:v>148014.948</c:v>
                </c:pt>
                <c:pt idx="3">
                  <c:v>148014.948</c:v>
                </c:pt>
                <c:pt idx="4">
                  <c:v>148014.948</c:v>
                </c:pt>
                <c:pt idx="5">
                  <c:v>148014.948</c:v>
                </c:pt>
                <c:pt idx="6">
                  <c:v>148014.948</c:v>
                </c:pt>
                <c:pt idx="7">
                  <c:v>148014.948</c:v>
                </c:pt>
                <c:pt idx="8">
                  <c:v>148014.948</c:v>
                </c:pt>
                <c:pt idx="9">
                  <c:v>148014.948</c:v>
                </c:pt>
                <c:pt idx="10">
                  <c:v>148014.948</c:v>
                </c:pt>
                <c:pt idx="11">
                  <c:v>148014.948</c:v>
                </c:pt>
                <c:pt idx="12">
                  <c:v>148014.948</c:v>
                </c:pt>
                <c:pt idx="13">
                  <c:v>148014.948</c:v>
                </c:pt>
                <c:pt idx="14">
                  <c:v>148014.948</c:v>
                </c:pt>
                <c:pt idx="15">
                  <c:v>148014.948</c:v>
                </c:pt>
                <c:pt idx="16">
                  <c:v>148014.948</c:v>
                </c:pt>
                <c:pt idx="17">
                  <c:v>148014.948</c:v>
                </c:pt>
                <c:pt idx="18">
                  <c:v>148014.948</c:v>
                </c:pt>
                <c:pt idx="19">
                  <c:v>148014.948</c:v>
                </c:pt>
                <c:pt idx="20">
                  <c:v>148014.948</c:v>
                </c:pt>
                <c:pt idx="21">
                  <c:v>148014.948</c:v>
                </c:pt>
                <c:pt idx="22">
                  <c:v>148014.948</c:v>
                </c:pt>
                <c:pt idx="23">
                  <c:v>148014.948</c:v>
                </c:pt>
                <c:pt idx="24">
                  <c:v>148014.948</c:v>
                </c:pt>
                <c:pt idx="25">
                  <c:v>148014.948</c:v>
                </c:pt>
                <c:pt idx="26">
                  <c:v>148014.948</c:v>
                </c:pt>
                <c:pt idx="27">
                  <c:v>148014.948</c:v>
                </c:pt>
                <c:pt idx="28">
                  <c:v>148014.948</c:v>
                </c:pt>
                <c:pt idx="29">
                  <c:v>148014.948</c:v>
                </c:pt>
                <c:pt idx="30">
                  <c:v>148014.948</c:v>
                </c:pt>
                <c:pt idx="31">
                  <c:v>148014.948</c:v>
                </c:pt>
                <c:pt idx="32">
                  <c:v>148014.948</c:v>
                </c:pt>
                <c:pt idx="33">
                  <c:v>148039.01</c:v>
                </c:pt>
                <c:pt idx="34">
                  <c:v>148014.948</c:v>
                </c:pt>
                <c:pt idx="35">
                  <c:v>148014.948</c:v>
                </c:pt>
                <c:pt idx="36">
                  <c:v>148014.948</c:v>
                </c:pt>
                <c:pt idx="37">
                  <c:v>148014.948</c:v>
                </c:pt>
                <c:pt idx="38">
                  <c:v>148014.95699999999</c:v>
                </c:pt>
                <c:pt idx="39">
                  <c:v>148014.948</c:v>
                </c:pt>
                <c:pt idx="40">
                  <c:v>148014.948</c:v>
                </c:pt>
                <c:pt idx="41">
                  <c:v>148014.948</c:v>
                </c:pt>
                <c:pt idx="42">
                  <c:v>148014.948</c:v>
                </c:pt>
                <c:pt idx="43">
                  <c:v>148014.948</c:v>
                </c:pt>
                <c:pt idx="44">
                  <c:v>148014.948</c:v>
                </c:pt>
                <c:pt idx="45">
                  <c:v>148014.948</c:v>
                </c:pt>
                <c:pt idx="46">
                  <c:v>148014.948</c:v>
                </c:pt>
                <c:pt idx="47">
                  <c:v>148014.948</c:v>
                </c:pt>
                <c:pt idx="48">
                  <c:v>148014.948</c:v>
                </c:pt>
                <c:pt idx="49">
                  <c:v>148014.948</c:v>
                </c:pt>
                <c:pt idx="50">
                  <c:v>148014.948</c:v>
                </c:pt>
                <c:pt idx="51">
                  <c:v>148014.948</c:v>
                </c:pt>
                <c:pt idx="52">
                  <c:v>157062.40899999999</c:v>
                </c:pt>
                <c:pt idx="53">
                  <c:v>152033.36799999999</c:v>
                </c:pt>
                <c:pt idx="54">
                  <c:v>148014.948</c:v>
                </c:pt>
                <c:pt idx="55">
                  <c:v>148014.948</c:v>
                </c:pt>
                <c:pt idx="56">
                  <c:v>148014.948</c:v>
                </c:pt>
                <c:pt idx="57">
                  <c:v>148014.948</c:v>
                </c:pt>
                <c:pt idx="58">
                  <c:v>154643.136</c:v>
                </c:pt>
                <c:pt idx="59">
                  <c:v>152029.35800000001</c:v>
                </c:pt>
                <c:pt idx="60">
                  <c:v>148014.948</c:v>
                </c:pt>
                <c:pt idx="61">
                  <c:v>148014.924</c:v>
                </c:pt>
                <c:pt idx="62">
                  <c:v>148014.924</c:v>
                </c:pt>
                <c:pt idx="63">
                  <c:v>148014.924</c:v>
                </c:pt>
                <c:pt idx="64">
                  <c:v>148014.924</c:v>
                </c:pt>
                <c:pt idx="65">
                  <c:v>151028.739</c:v>
                </c:pt>
                <c:pt idx="66">
                  <c:v>162777.20600000001</c:v>
                </c:pt>
                <c:pt idx="67">
                  <c:v>167005.21</c:v>
                </c:pt>
                <c:pt idx="68">
                  <c:v>159374.421</c:v>
                </c:pt>
                <c:pt idx="69">
                  <c:v>163053.924</c:v>
                </c:pt>
                <c:pt idx="70">
                  <c:v>148014.924</c:v>
                </c:pt>
                <c:pt idx="71">
                  <c:v>148014.924</c:v>
                </c:pt>
                <c:pt idx="72">
                  <c:v>158819.182</c:v>
                </c:pt>
                <c:pt idx="73">
                  <c:v>178033.802</c:v>
                </c:pt>
                <c:pt idx="74">
                  <c:v>167999.997</c:v>
                </c:pt>
                <c:pt idx="75">
                  <c:v>164999.99299999999</c:v>
                </c:pt>
                <c:pt idx="76">
                  <c:v>166000.00099999999</c:v>
                </c:pt>
                <c:pt idx="77">
                  <c:v>164999.99400000001</c:v>
                </c:pt>
                <c:pt idx="78">
                  <c:v>156737.541</c:v>
                </c:pt>
                <c:pt idx="79">
                  <c:v>162453.603</c:v>
                </c:pt>
                <c:pt idx="80">
                  <c:v>152025.33199999999</c:v>
                </c:pt>
                <c:pt idx="81">
                  <c:v>159236.334</c:v>
                </c:pt>
                <c:pt idx="82">
                  <c:v>164999.99400000001</c:v>
                </c:pt>
                <c:pt idx="83">
                  <c:v>153537.26800000001</c:v>
                </c:pt>
                <c:pt idx="84">
                  <c:v>148014.924</c:v>
                </c:pt>
                <c:pt idx="85">
                  <c:v>158017.25</c:v>
                </c:pt>
                <c:pt idx="86">
                  <c:v>148014.924</c:v>
                </c:pt>
                <c:pt idx="87">
                  <c:v>148014.924</c:v>
                </c:pt>
                <c:pt idx="88">
                  <c:v>148014.924</c:v>
                </c:pt>
                <c:pt idx="89">
                  <c:v>148014.924</c:v>
                </c:pt>
                <c:pt idx="90">
                  <c:v>148014.924</c:v>
                </c:pt>
                <c:pt idx="91">
                  <c:v>148014.924</c:v>
                </c:pt>
                <c:pt idx="92">
                  <c:v>164999.99299999999</c:v>
                </c:pt>
                <c:pt idx="93">
                  <c:v>164998.239</c:v>
                </c:pt>
                <c:pt idx="94">
                  <c:v>170013.00899999999</c:v>
                </c:pt>
                <c:pt idx="95">
                  <c:v>184672.66399999999</c:v>
                </c:pt>
                <c:pt idx="96">
                  <c:v>197676.73199999999</c:v>
                </c:pt>
                <c:pt idx="97">
                  <c:v>172195.27599999998</c:v>
                </c:pt>
                <c:pt idx="98">
                  <c:v>172195.277</c:v>
                </c:pt>
                <c:pt idx="99">
                  <c:v>192779.94399999999</c:v>
                </c:pt>
                <c:pt idx="100">
                  <c:v>209607.68699999998</c:v>
                </c:pt>
                <c:pt idx="101">
                  <c:v>199838.35199999998</c:v>
                </c:pt>
                <c:pt idx="102">
                  <c:v>201486.62699999998</c:v>
                </c:pt>
                <c:pt idx="103">
                  <c:v>197021.66100000002</c:v>
                </c:pt>
                <c:pt idx="104">
                  <c:v>168826.541</c:v>
                </c:pt>
                <c:pt idx="105">
                  <c:v>164104.65599999999</c:v>
                </c:pt>
                <c:pt idx="106">
                  <c:v>164505.704</c:v>
                </c:pt>
                <c:pt idx="107">
                  <c:v>164104.65599999999</c:v>
                </c:pt>
                <c:pt idx="108">
                  <c:v>168456.40400000001</c:v>
                </c:pt>
                <c:pt idx="109">
                  <c:v>168450.815</c:v>
                </c:pt>
                <c:pt idx="110">
                  <c:v>174018.38800000001</c:v>
                </c:pt>
                <c:pt idx="111">
                  <c:v>173128.08</c:v>
                </c:pt>
                <c:pt idx="112">
                  <c:v>165347.88799999998</c:v>
                </c:pt>
                <c:pt idx="113">
                  <c:v>165347.88799999998</c:v>
                </c:pt>
                <c:pt idx="114">
                  <c:v>168676.511</c:v>
                </c:pt>
                <c:pt idx="115">
                  <c:v>168115.06399999998</c:v>
                </c:pt>
                <c:pt idx="116">
                  <c:v>164104.65599999999</c:v>
                </c:pt>
                <c:pt idx="117">
                  <c:v>164104.65599999999</c:v>
                </c:pt>
                <c:pt idx="118">
                  <c:v>164477.71299999999</c:v>
                </c:pt>
                <c:pt idx="119">
                  <c:v>182605.65699999998</c:v>
                </c:pt>
                <c:pt idx="120">
                  <c:v>176513.851</c:v>
                </c:pt>
                <c:pt idx="121">
                  <c:v>164999.99299999999</c:v>
                </c:pt>
                <c:pt idx="122">
                  <c:v>171015.59299999999</c:v>
                </c:pt>
                <c:pt idx="123">
                  <c:v>169010.402</c:v>
                </c:pt>
                <c:pt idx="124">
                  <c:v>159228.00200000001</c:v>
                </c:pt>
                <c:pt idx="125">
                  <c:v>159228.00200000001</c:v>
                </c:pt>
                <c:pt idx="126">
                  <c:v>159228.00200000001</c:v>
                </c:pt>
                <c:pt idx="127">
                  <c:v>159228.00200000001</c:v>
                </c:pt>
                <c:pt idx="128">
                  <c:v>159228.00200000001</c:v>
                </c:pt>
                <c:pt idx="129">
                  <c:v>159228.00200000001</c:v>
                </c:pt>
                <c:pt idx="130">
                  <c:v>159228.00200000001</c:v>
                </c:pt>
                <c:pt idx="131">
                  <c:v>159228.00200000001</c:v>
                </c:pt>
                <c:pt idx="132">
                  <c:v>159228.00200000001</c:v>
                </c:pt>
                <c:pt idx="133">
                  <c:v>159228.00200000001</c:v>
                </c:pt>
                <c:pt idx="134">
                  <c:v>159228.00200000001</c:v>
                </c:pt>
                <c:pt idx="135">
                  <c:v>159228.00200000001</c:v>
                </c:pt>
                <c:pt idx="136">
                  <c:v>159228.00200000001</c:v>
                </c:pt>
                <c:pt idx="137">
                  <c:v>159228.00200000001</c:v>
                </c:pt>
                <c:pt idx="138">
                  <c:v>159228.00200000001</c:v>
                </c:pt>
                <c:pt idx="139">
                  <c:v>159228.00200000001</c:v>
                </c:pt>
                <c:pt idx="140">
                  <c:v>159228.00200000001</c:v>
                </c:pt>
                <c:pt idx="141">
                  <c:v>159228.00200000001</c:v>
                </c:pt>
                <c:pt idx="142">
                  <c:v>159228.00200000001</c:v>
                </c:pt>
                <c:pt idx="143">
                  <c:v>159228.00200000001</c:v>
                </c:pt>
                <c:pt idx="144">
                  <c:v>159228.00200000001</c:v>
                </c:pt>
                <c:pt idx="145">
                  <c:v>159228.00200000001</c:v>
                </c:pt>
                <c:pt idx="146">
                  <c:v>159228.00200000001</c:v>
                </c:pt>
                <c:pt idx="147">
                  <c:v>159228.00200000001</c:v>
                </c:pt>
                <c:pt idx="148">
                  <c:v>159228.00200000001</c:v>
                </c:pt>
                <c:pt idx="149">
                  <c:v>159228.00200000001</c:v>
                </c:pt>
                <c:pt idx="150">
                  <c:v>159228.00200000001</c:v>
                </c:pt>
                <c:pt idx="151">
                  <c:v>148014.924</c:v>
                </c:pt>
                <c:pt idx="152">
                  <c:v>148014.924</c:v>
                </c:pt>
                <c:pt idx="153">
                  <c:v>148014.924</c:v>
                </c:pt>
                <c:pt idx="154">
                  <c:v>148014.924</c:v>
                </c:pt>
                <c:pt idx="155">
                  <c:v>148014.924</c:v>
                </c:pt>
                <c:pt idx="156">
                  <c:v>148014.924</c:v>
                </c:pt>
                <c:pt idx="157">
                  <c:v>148014.924</c:v>
                </c:pt>
                <c:pt idx="158">
                  <c:v>148014.924</c:v>
                </c:pt>
                <c:pt idx="159">
                  <c:v>148014.924</c:v>
                </c:pt>
                <c:pt idx="160">
                  <c:v>148014.924</c:v>
                </c:pt>
                <c:pt idx="161">
                  <c:v>148014.924</c:v>
                </c:pt>
                <c:pt idx="162">
                  <c:v>148014.924</c:v>
                </c:pt>
                <c:pt idx="163">
                  <c:v>148014.924</c:v>
                </c:pt>
                <c:pt idx="164">
                  <c:v>148014.924</c:v>
                </c:pt>
                <c:pt idx="165">
                  <c:v>148014.924</c:v>
                </c:pt>
                <c:pt idx="166">
                  <c:v>148014.924</c:v>
                </c:pt>
                <c:pt idx="167">
                  <c:v>148014.924</c:v>
                </c:pt>
                <c:pt idx="168">
                  <c:v>148014.924</c:v>
                </c:pt>
                <c:pt idx="169">
                  <c:v>148014.924</c:v>
                </c:pt>
                <c:pt idx="170">
                  <c:v>148014.924</c:v>
                </c:pt>
                <c:pt idx="171">
                  <c:v>148014.924</c:v>
                </c:pt>
                <c:pt idx="172">
                  <c:v>148014.924</c:v>
                </c:pt>
                <c:pt idx="173">
                  <c:v>148014.924</c:v>
                </c:pt>
                <c:pt idx="174">
                  <c:v>148014.924</c:v>
                </c:pt>
                <c:pt idx="175">
                  <c:v>148014.924</c:v>
                </c:pt>
                <c:pt idx="176">
                  <c:v>148014.924</c:v>
                </c:pt>
                <c:pt idx="177">
                  <c:v>148014.924</c:v>
                </c:pt>
                <c:pt idx="178">
                  <c:v>148014.924</c:v>
                </c:pt>
                <c:pt idx="179">
                  <c:v>148014.924</c:v>
                </c:pt>
                <c:pt idx="180">
                  <c:v>148014.924</c:v>
                </c:pt>
                <c:pt idx="181">
                  <c:v>148014.924</c:v>
                </c:pt>
                <c:pt idx="182">
                  <c:v>148014.924</c:v>
                </c:pt>
                <c:pt idx="183">
                  <c:v>148014.924</c:v>
                </c:pt>
                <c:pt idx="184">
                  <c:v>148014.924</c:v>
                </c:pt>
                <c:pt idx="185">
                  <c:v>148014.924</c:v>
                </c:pt>
                <c:pt idx="186">
                  <c:v>148014.924</c:v>
                </c:pt>
                <c:pt idx="187">
                  <c:v>148014.924</c:v>
                </c:pt>
                <c:pt idx="188">
                  <c:v>148014.924</c:v>
                </c:pt>
                <c:pt idx="189">
                  <c:v>148014.924</c:v>
                </c:pt>
                <c:pt idx="190">
                  <c:v>148014.924</c:v>
                </c:pt>
                <c:pt idx="191">
                  <c:v>148014.924</c:v>
                </c:pt>
                <c:pt idx="192">
                  <c:v>148014.924</c:v>
                </c:pt>
                <c:pt idx="193">
                  <c:v>148014.924</c:v>
                </c:pt>
                <c:pt idx="194">
                  <c:v>148014.924</c:v>
                </c:pt>
                <c:pt idx="195">
                  <c:v>148014.924</c:v>
                </c:pt>
                <c:pt idx="196">
                  <c:v>148014.924</c:v>
                </c:pt>
                <c:pt idx="197">
                  <c:v>148014.924</c:v>
                </c:pt>
                <c:pt idx="198">
                  <c:v>148014.924</c:v>
                </c:pt>
                <c:pt idx="199">
                  <c:v>148014.924</c:v>
                </c:pt>
                <c:pt idx="200">
                  <c:v>148014.924</c:v>
                </c:pt>
                <c:pt idx="201">
                  <c:v>148014.924</c:v>
                </c:pt>
                <c:pt idx="202">
                  <c:v>148014.924</c:v>
                </c:pt>
                <c:pt idx="203">
                  <c:v>148014.924</c:v>
                </c:pt>
                <c:pt idx="204">
                  <c:v>148014.924</c:v>
                </c:pt>
                <c:pt idx="205">
                  <c:v>148014.924</c:v>
                </c:pt>
                <c:pt idx="206">
                  <c:v>148014.924</c:v>
                </c:pt>
                <c:pt idx="207">
                  <c:v>148014.924</c:v>
                </c:pt>
                <c:pt idx="208">
                  <c:v>148014.924</c:v>
                </c:pt>
                <c:pt idx="209">
                  <c:v>148014.924</c:v>
                </c:pt>
                <c:pt idx="210">
                  <c:v>148014.924</c:v>
                </c:pt>
                <c:pt idx="211">
                  <c:v>148014.924</c:v>
                </c:pt>
                <c:pt idx="212">
                  <c:v>148014.924</c:v>
                </c:pt>
                <c:pt idx="213">
                  <c:v>148014.924</c:v>
                </c:pt>
                <c:pt idx="214">
                  <c:v>148014.924</c:v>
                </c:pt>
                <c:pt idx="215">
                  <c:v>148014.924</c:v>
                </c:pt>
                <c:pt idx="216">
                  <c:v>148014.924</c:v>
                </c:pt>
                <c:pt idx="217">
                  <c:v>148014.924</c:v>
                </c:pt>
                <c:pt idx="218">
                  <c:v>148014.924</c:v>
                </c:pt>
                <c:pt idx="219">
                  <c:v>148014.924</c:v>
                </c:pt>
                <c:pt idx="220">
                  <c:v>148014.924</c:v>
                </c:pt>
                <c:pt idx="221">
                  <c:v>148014.924</c:v>
                </c:pt>
                <c:pt idx="222">
                  <c:v>148014.924</c:v>
                </c:pt>
                <c:pt idx="223">
                  <c:v>148014.924</c:v>
                </c:pt>
                <c:pt idx="224">
                  <c:v>148014.924</c:v>
                </c:pt>
                <c:pt idx="225">
                  <c:v>148014.924</c:v>
                </c:pt>
                <c:pt idx="226">
                  <c:v>148014.924</c:v>
                </c:pt>
                <c:pt idx="227">
                  <c:v>148014.924</c:v>
                </c:pt>
                <c:pt idx="228">
                  <c:v>148014.924</c:v>
                </c:pt>
                <c:pt idx="229">
                  <c:v>148014.924</c:v>
                </c:pt>
                <c:pt idx="230">
                  <c:v>148014.924</c:v>
                </c:pt>
                <c:pt idx="231">
                  <c:v>148014.924</c:v>
                </c:pt>
                <c:pt idx="232">
                  <c:v>148014.924</c:v>
                </c:pt>
                <c:pt idx="233">
                  <c:v>148014.924</c:v>
                </c:pt>
                <c:pt idx="234">
                  <c:v>148014.924</c:v>
                </c:pt>
                <c:pt idx="235">
                  <c:v>148014.924</c:v>
                </c:pt>
                <c:pt idx="236">
                  <c:v>148014.924</c:v>
                </c:pt>
                <c:pt idx="237">
                  <c:v>148014.924</c:v>
                </c:pt>
                <c:pt idx="238">
                  <c:v>148014.924</c:v>
                </c:pt>
                <c:pt idx="239">
                  <c:v>148014.924</c:v>
                </c:pt>
                <c:pt idx="240">
                  <c:v>148014.924</c:v>
                </c:pt>
                <c:pt idx="241">
                  <c:v>148014.924</c:v>
                </c:pt>
                <c:pt idx="242">
                  <c:v>148014.924</c:v>
                </c:pt>
                <c:pt idx="243">
                  <c:v>150020.14000000001</c:v>
                </c:pt>
                <c:pt idx="244">
                  <c:v>159863.682</c:v>
                </c:pt>
                <c:pt idx="245">
                  <c:v>157198.916</c:v>
                </c:pt>
                <c:pt idx="246">
                  <c:v>155030.14799999999</c:v>
                </c:pt>
                <c:pt idx="247">
                  <c:v>152608.38699999999</c:v>
                </c:pt>
                <c:pt idx="248">
                  <c:v>150020.14000000001</c:v>
                </c:pt>
                <c:pt idx="249">
                  <c:v>150020.14000000001</c:v>
                </c:pt>
                <c:pt idx="250">
                  <c:v>150020.14000000001</c:v>
                </c:pt>
                <c:pt idx="251">
                  <c:v>150020.14000000001</c:v>
                </c:pt>
                <c:pt idx="252">
                  <c:v>150020.14000000001</c:v>
                </c:pt>
                <c:pt idx="253">
                  <c:v>150020.14000000001</c:v>
                </c:pt>
                <c:pt idx="254">
                  <c:v>150020.14000000001</c:v>
                </c:pt>
                <c:pt idx="255">
                  <c:v>150020.14000000001</c:v>
                </c:pt>
                <c:pt idx="256">
                  <c:v>150020.14000000001</c:v>
                </c:pt>
                <c:pt idx="257">
                  <c:v>150020.14000000001</c:v>
                </c:pt>
                <c:pt idx="258">
                  <c:v>150020.14000000001</c:v>
                </c:pt>
                <c:pt idx="259">
                  <c:v>150020.14000000001</c:v>
                </c:pt>
                <c:pt idx="260">
                  <c:v>150020.14000000001</c:v>
                </c:pt>
                <c:pt idx="261">
                  <c:v>150020.14000000001</c:v>
                </c:pt>
                <c:pt idx="262">
                  <c:v>150020.14000000001</c:v>
                </c:pt>
                <c:pt idx="263">
                  <c:v>156880.32999999999</c:v>
                </c:pt>
                <c:pt idx="264">
                  <c:v>157948.46</c:v>
                </c:pt>
                <c:pt idx="265">
                  <c:v>170066.234</c:v>
                </c:pt>
                <c:pt idx="266">
                  <c:v>150020.14000000001</c:v>
                </c:pt>
                <c:pt idx="267">
                  <c:v>150020.14000000001</c:v>
                </c:pt>
                <c:pt idx="268">
                  <c:v>150020.14000000001</c:v>
                </c:pt>
                <c:pt idx="269">
                  <c:v>150020.14000000001</c:v>
                </c:pt>
                <c:pt idx="270">
                  <c:v>150020.14000000001</c:v>
                </c:pt>
                <c:pt idx="271">
                  <c:v>150020.14000000001</c:v>
                </c:pt>
                <c:pt idx="272">
                  <c:v>150020.14000000001</c:v>
                </c:pt>
                <c:pt idx="273">
                  <c:v>149017.53200000001</c:v>
                </c:pt>
                <c:pt idx="274">
                  <c:v>149017.53200000001</c:v>
                </c:pt>
                <c:pt idx="275">
                  <c:v>149017.53200000001</c:v>
                </c:pt>
                <c:pt idx="276">
                  <c:v>149017.53200000001</c:v>
                </c:pt>
                <c:pt idx="277">
                  <c:v>149017.53200000001</c:v>
                </c:pt>
                <c:pt idx="278">
                  <c:v>149017.53200000001</c:v>
                </c:pt>
                <c:pt idx="279">
                  <c:v>149017.53200000001</c:v>
                </c:pt>
                <c:pt idx="280">
                  <c:v>149017.53200000001</c:v>
                </c:pt>
                <c:pt idx="281">
                  <c:v>149017.53200000001</c:v>
                </c:pt>
                <c:pt idx="282">
                  <c:v>149017.53200000001</c:v>
                </c:pt>
                <c:pt idx="283">
                  <c:v>149017.53200000001</c:v>
                </c:pt>
                <c:pt idx="284">
                  <c:v>149017.53200000001</c:v>
                </c:pt>
                <c:pt idx="285">
                  <c:v>149017.53200000001</c:v>
                </c:pt>
                <c:pt idx="286">
                  <c:v>149017.54300000001</c:v>
                </c:pt>
                <c:pt idx="287">
                  <c:v>149017.53200000001</c:v>
                </c:pt>
                <c:pt idx="288">
                  <c:v>149017.53200000001</c:v>
                </c:pt>
                <c:pt idx="289">
                  <c:v>149017.53200000001</c:v>
                </c:pt>
                <c:pt idx="290">
                  <c:v>149017.53200000001</c:v>
                </c:pt>
                <c:pt idx="291">
                  <c:v>149017.53200000001</c:v>
                </c:pt>
                <c:pt idx="292">
                  <c:v>149017.55600000001</c:v>
                </c:pt>
                <c:pt idx="293">
                  <c:v>149017.53200000001</c:v>
                </c:pt>
                <c:pt idx="294">
                  <c:v>149017.53200000001</c:v>
                </c:pt>
                <c:pt idx="295">
                  <c:v>149017.53200000001</c:v>
                </c:pt>
                <c:pt idx="296">
                  <c:v>149017.53200000001</c:v>
                </c:pt>
                <c:pt idx="297">
                  <c:v>149017.53200000001</c:v>
                </c:pt>
                <c:pt idx="298">
                  <c:v>149017.53200000001</c:v>
                </c:pt>
                <c:pt idx="299">
                  <c:v>149017.53200000001</c:v>
                </c:pt>
                <c:pt idx="300">
                  <c:v>149017.53200000001</c:v>
                </c:pt>
                <c:pt idx="301">
                  <c:v>149017.53200000001</c:v>
                </c:pt>
                <c:pt idx="302">
                  <c:v>149017.53200000001</c:v>
                </c:pt>
                <c:pt idx="303">
                  <c:v>153027.94</c:v>
                </c:pt>
                <c:pt idx="304">
                  <c:v>153027.94</c:v>
                </c:pt>
                <c:pt idx="305">
                  <c:v>153027.94</c:v>
                </c:pt>
                <c:pt idx="306">
                  <c:v>163061.96</c:v>
                </c:pt>
                <c:pt idx="307">
                  <c:v>153027.94</c:v>
                </c:pt>
                <c:pt idx="308">
                  <c:v>153027.94</c:v>
                </c:pt>
                <c:pt idx="309">
                  <c:v>153027.94</c:v>
                </c:pt>
                <c:pt idx="310">
                  <c:v>153027.94</c:v>
                </c:pt>
                <c:pt idx="311">
                  <c:v>153027.94</c:v>
                </c:pt>
                <c:pt idx="312">
                  <c:v>153027.94</c:v>
                </c:pt>
                <c:pt idx="313">
                  <c:v>153027.94</c:v>
                </c:pt>
                <c:pt idx="314">
                  <c:v>153027.94</c:v>
                </c:pt>
                <c:pt idx="315">
                  <c:v>153027.94</c:v>
                </c:pt>
                <c:pt idx="316">
                  <c:v>153027.94</c:v>
                </c:pt>
                <c:pt idx="317">
                  <c:v>153027.94</c:v>
                </c:pt>
                <c:pt idx="318">
                  <c:v>153027.94</c:v>
                </c:pt>
                <c:pt idx="319">
                  <c:v>153027.94</c:v>
                </c:pt>
                <c:pt idx="320">
                  <c:v>153027.94</c:v>
                </c:pt>
                <c:pt idx="321">
                  <c:v>153027.94</c:v>
                </c:pt>
                <c:pt idx="322">
                  <c:v>153027.94</c:v>
                </c:pt>
                <c:pt idx="323">
                  <c:v>153027.94</c:v>
                </c:pt>
                <c:pt idx="324">
                  <c:v>153027.94</c:v>
                </c:pt>
                <c:pt idx="325">
                  <c:v>153027.94</c:v>
                </c:pt>
                <c:pt idx="326">
                  <c:v>153027.94</c:v>
                </c:pt>
                <c:pt idx="327">
                  <c:v>153027.94</c:v>
                </c:pt>
                <c:pt idx="328">
                  <c:v>153027.94</c:v>
                </c:pt>
                <c:pt idx="329">
                  <c:v>153027.94</c:v>
                </c:pt>
                <c:pt idx="330">
                  <c:v>153027.94</c:v>
                </c:pt>
                <c:pt idx="331">
                  <c:v>153027.94</c:v>
                </c:pt>
                <c:pt idx="332">
                  <c:v>153027.94</c:v>
                </c:pt>
                <c:pt idx="333">
                  <c:v>153027.94</c:v>
                </c:pt>
                <c:pt idx="334">
                  <c:v>153027.94</c:v>
                </c:pt>
                <c:pt idx="335">
                  <c:v>148014.924</c:v>
                </c:pt>
                <c:pt idx="336">
                  <c:v>148014.924</c:v>
                </c:pt>
                <c:pt idx="337">
                  <c:v>148014.924</c:v>
                </c:pt>
                <c:pt idx="338">
                  <c:v>148014.924</c:v>
                </c:pt>
                <c:pt idx="339">
                  <c:v>148014.924</c:v>
                </c:pt>
                <c:pt idx="340">
                  <c:v>148014.924</c:v>
                </c:pt>
                <c:pt idx="341">
                  <c:v>148014.935</c:v>
                </c:pt>
                <c:pt idx="342">
                  <c:v>148015.084</c:v>
                </c:pt>
                <c:pt idx="343">
                  <c:v>148014.924</c:v>
                </c:pt>
                <c:pt idx="344">
                  <c:v>148014.924</c:v>
                </c:pt>
                <c:pt idx="345">
                  <c:v>148014.924</c:v>
                </c:pt>
                <c:pt idx="346">
                  <c:v>148014.93900000001</c:v>
                </c:pt>
                <c:pt idx="347">
                  <c:v>148014.924</c:v>
                </c:pt>
                <c:pt idx="348">
                  <c:v>148014.924</c:v>
                </c:pt>
                <c:pt idx="349">
                  <c:v>148014.924</c:v>
                </c:pt>
                <c:pt idx="350">
                  <c:v>148014.924</c:v>
                </c:pt>
                <c:pt idx="351">
                  <c:v>148014.924</c:v>
                </c:pt>
                <c:pt idx="352">
                  <c:v>148014.924</c:v>
                </c:pt>
                <c:pt idx="353">
                  <c:v>148014.924</c:v>
                </c:pt>
                <c:pt idx="354">
                  <c:v>148014.924</c:v>
                </c:pt>
                <c:pt idx="355">
                  <c:v>148014.924</c:v>
                </c:pt>
                <c:pt idx="356">
                  <c:v>148014.924</c:v>
                </c:pt>
                <c:pt idx="357">
                  <c:v>148014.924</c:v>
                </c:pt>
                <c:pt idx="358">
                  <c:v>148014.924</c:v>
                </c:pt>
                <c:pt idx="359">
                  <c:v>148014.924</c:v>
                </c:pt>
                <c:pt idx="360">
                  <c:v>148014.924</c:v>
                </c:pt>
                <c:pt idx="361">
                  <c:v>148014.924</c:v>
                </c:pt>
                <c:pt idx="362">
                  <c:v>148014.924</c:v>
                </c:pt>
                <c:pt idx="363">
                  <c:v>148014.924</c:v>
                </c:pt>
                <c:pt idx="364">
                  <c:v>148014.924</c:v>
                </c:pt>
                <c:pt idx="365">
                  <c:v>148028.95199999999</c:v>
                </c:pt>
                <c:pt idx="366">
                  <c:v>149537.06299999999</c:v>
                </c:pt>
                <c:pt idx="367">
                  <c:v>163609.35500000001</c:v>
                </c:pt>
                <c:pt idx="368">
                  <c:v>148028.95199999999</c:v>
                </c:pt>
                <c:pt idx="369">
                  <c:v>148430</c:v>
                </c:pt>
                <c:pt idx="370">
                  <c:v>148028.95199999999</c:v>
                </c:pt>
                <c:pt idx="371">
                  <c:v>148028.95199999999</c:v>
                </c:pt>
                <c:pt idx="372">
                  <c:v>148028.95199999999</c:v>
                </c:pt>
                <c:pt idx="373">
                  <c:v>155551.04999999999</c:v>
                </c:pt>
                <c:pt idx="374">
                  <c:v>183123.93699999998</c:v>
                </c:pt>
                <c:pt idx="375">
                  <c:v>220999.91099999999</c:v>
                </c:pt>
                <c:pt idx="376">
                  <c:v>173236.31</c:v>
                </c:pt>
                <c:pt idx="377">
                  <c:v>173466.133</c:v>
                </c:pt>
                <c:pt idx="378">
                  <c:v>156049.76800000001</c:v>
                </c:pt>
                <c:pt idx="379">
                  <c:v>163784.16899999999</c:v>
                </c:pt>
                <c:pt idx="380">
                  <c:v>162989.55600000001</c:v>
                </c:pt>
                <c:pt idx="381">
                  <c:v>192044.18099999998</c:v>
                </c:pt>
                <c:pt idx="382">
                  <c:v>201737.33100000001</c:v>
                </c:pt>
                <c:pt idx="383">
                  <c:v>178021.9</c:v>
                </c:pt>
                <c:pt idx="384">
                  <c:v>201388.47700000001</c:v>
                </c:pt>
                <c:pt idx="385">
                  <c:v>157780.239</c:v>
                </c:pt>
                <c:pt idx="386">
                  <c:v>159631.84</c:v>
                </c:pt>
                <c:pt idx="387">
                  <c:v>169065.908</c:v>
                </c:pt>
                <c:pt idx="388">
                  <c:v>174999.98800000001</c:v>
                </c:pt>
                <c:pt idx="389">
                  <c:v>159947.592</c:v>
                </c:pt>
                <c:pt idx="390">
                  <c:v>206080.598</c:v>
                </c:pt>
                <c:pt idx="391">
                  <c:v>187729.91199999998</c:v>
                </c:pt>
                <c:pt idx="392">
                  <c:v>148028.95199999999</c:v>
                </c:pt>
                <c:pt idx="393">
                  <c:v>151836.576</c:v>
                </c:pt>
                <c:pt idx="394">
                  <c:v>165072.109</c:v>
                </c:pt>
                <c:pt idx="395">
                  <c:v>158054.95199999999</c:v>
                </c:pt>
                <c:pt idx="396">
                  <c:v>148028.95199999999</c:v>
                </c:pt>
                <c:pt idx="397">
                  <c:v>148028.95199999999</c:v>
                </c:pt>
                <c:pt idx="398">
                  <c:v>148028.95199999999</c:v>
                </c:pt>
                <c:pt idx="399">
                  <c:v>148028.95199999999</c:v>
                </c:pt>
                <c:pt idx="400">
                  <c:v>148028.95199999999</c:v>
                </c:pt>
                <c:pt idx="401">
                  <c:v>148028.95199999999</c:v>
                </c:pt>
                <c:pt idx="402">
                  <c:v>148028.95199999999</c:v>
                </c:pt>
                <c:pt idx="403">
                  <c:v>148028.95199999999</c:v>
                </c:pt>
                <c:pt idx="404">
                  <c:v>148028.95199999999</c:v>
                </c:pt>
                <c:pt idx="405">
                  <c:v>148028.95199999999</c:v>
                </c:pt>
                <c:pt idx="406">
                  <c:v>148028.95199999999</c:v>
                </c:pt>
                <c:pt idx="407">
                  <c:v>148028.95199999999</c:v>
                </c:pt>
                <c:pt idx="408">
                  <c:v>148028.95199999999</c:v>
                </c:pt>
                <c:pt idx="409">
                  <c:v>148028.95199999999</c:v>
                </c:pt>
                <c:pt idx="410">
                  <c:v>148028.95199999999</c:v>
                </c:pt>
                <c:pt idx="411">
                  <c:v>148028.95199999999</c:v>
                </c:pt>
                <c:pt idx="412">
                  <c:v>148028.95199999999</c:v>
                </c:pt>
                <c:pt idx="413">
                  <c:v>148028.95199999999</c:v>
                </c:pt>
                <c:pt idx="414">
                  <c:v>148028.95199999999</c:v>
                </c:pt>
                <c:pt idx="415">
                  <c:v>148028.95199999999</c:v>
                </c:pt>
                <c:pt idx="416">
                  <c:v>148028.95199999999</c:v>
                </c:pt>
                <c:pt idx="417">
                  <c:v>148028.95199999999</c:v>
                </c:pt>
                <c:pt idx="418">
                  <c:v>148028.95199999999</c:v>
                </c:pt>
                <c:pt idx="419">
                  <c:v>148028.95199999999</c:v>
                </c:pt>
                <c:pt idx="420">
                  <c:v>148028.95199999999</c:v>
                </c:pt>
                <c:pt idx="421">
                  <c:v>148028.95199999999</c:v>
                </c:pt>
                <c:pt idx="422">
                  <c:v>148028.95199999999</c:v>
                </c:pt>
                <c:pt idx="423">
                  <c:v>148028.95199999999</c:v>
                </c:pt>
                <c:pt idx="424">
                  <c:v>148028.95199999999</c:v>
                </c:pt>
                <c:pt idx="425">
                  <c:v>148028.95199999999</c:v>
                </c:pt>
                <c:pt idx="426">
                  <c:v>148028.95199999999</c:v>
                </c:pt>
                <c:pt idx="427">
                  <c:v>148028.95199999999</c:v>
                </c:pt>
                <c:pt idx="428">
                  <c:v>157390.519</c:v>
                </c:pt>
                <c:pt idx="429">
                  <c:v>148028.95199999999</c:v>
                </c:pt>
                <c:pt idx="430">
                  <c:v>148028.95199999999</c:v>
                </c:pt>
                <c:pt idx="431">
                  <c:v>149933.9</c:v>
                </c:pt>
                <c:pt idx="432">
                  <c:v>148028.96400000001</c:v>
                </c:pt>
                <c:pt idx="433">
                  <c:v>148028.95199999999</c:v>
                </c:pt>
                <c:pt idx="434">
                  <c:v>148028.95199999999</c:v>
                </c:pt>
                <c:pt idx="435">
                  <c:v>148028.95199999999</c:v>
                </c:pt>
                <c:pt idx="436">
                  <c:v>148028.95199999999</c:v>
                </c:pt>
                <c:pt idx="437">
                  <c:v>148028.95199999999</c:v>
                </c:pt>
                <c:pt idx="438">
                  <c:v>148028.95199999999</c:v>
                </c:pt>
                <c:pt idx="439">
                  <c:v>148028.95199999999</c:v>
                </c:pt>
                <c:pt idx="440">
                  <c:v>148028.95199999999</c:v>
                </c:pt>
                <c:pt idx="441">
                  <c:v>148028.95199999999</c:v>
                </c:pt>
                <c:pt idx="442">
                  <c:v>148028.95199999999</c:v>
                </c:pt>
                <c:pt idx="443">
                  <c:v>148028.95199999999</c:v>
                </c:pt>
                <c:pt idx="444">
                  <c:v>155343.921</c:v>
                </c:pt>
                <c:pt idx="445">
                  <c:v>148028.95199999999</c:v>
                </c:pt>
                <c:pt idx="446">
                  <c:v>154317.25899999999</c:v>
                </c:pt>
                <c:pt idx="447">
                  <c:v>150610.64600000001</c:v>
                </c:pt>
                <c:pt idx="448">
                  <c:v>150786.10200000001</c:v>
                </c:pt>
                <c:pt idx="449">
                  <c:v>148028.95199999999</c:v>
                </c:pt>
                <c:pt idx="450">
                  <c:v>150535.853</c:v>
                </c:pt>
                <c:pt idx="451">
                  <c:v>148028.95199999999</c:v>
                </c:pt>
                <c:pt idx="452">
                  <c:v>148028.95199999999</c:v>
                </c:pt>
                <c:pt idx="453">
                  <c:v>148028.95199999999</c:v>
                </c:pt>
                <c:pt idx="454">
                  <c:v>148028.95199999999</c:v>
                </c:pt>
                <c:pt idx="455">
                  <c:v>148028.95199999999</c:v>
                </c:pt>
                <c:pt idx="456">
                  <c:v>148028.95199999999</c:v>
                </c:pt>
                <c:pt idx="457">
                  <c:v>148028.95199999999</c:v>
                </c:pt>
                <c:pt idx="458">
                  <c:v>148028.95199999999</c:v>
                </c:pt>
                <c:pt idx="459">
                  <c:v>148028.95199999999</c:v>
                </c:pt>
                <c:pt idx="460">
                  <c:v>148028.95199999999</c:v>
                </c:pt>
                <c:pt idx="461">
                  <c:v>148028.95199999999</c:v>
                </c:pt>
                <c:pt idx="462">
                  <c:v>148028.95199999999</c:v>
                </c:pt>
                <c:pt idx="463">
                  <c:v>148028.95199999999</c:v>
                </c:pt>
                <c:pt idx="464">
                  <c:v>153941.49900000001</c:v>
                </c:pt>
                <c:pt idx="465">
                  <c:v>148028.95199999999</c:v>
                </c:pt>
                <c:pt idx="466">
                  <c:v>148040.98300000001</c:v>
                </c:pt>
                <c:pt idx="467">
                  <c:v>148028.95199999999</c:v>
                </c:pt>
                <c:pt idx="468">
                  <c:v>148028.95199999999</c:v>
                </c:pt>
                <c:pt idx="469">
                  <c:v>148028.95199999999</c:v>
                </c:pt>
                <c:pt idx="470">
                  <c:v>148028.95199999999</c:v>
                </c:pt>
                <c:pt idx="471">
                  <c:v>148028.95199999999</c:v>
                </c:pt>
                <c:pt idx="472">
                  <c:v>148028.95199999999</c:v>
                </c:pt>
                <c:pt idx="473">
                  <c:v>148028.95199999999</c:v>
                </c:pt>
                <c:pt idx="474">
                  <c:v>148028.95199999999</c:v>
                </c:pt>
                <c:pt idx="475">
                  <c:v>148028.95199999999</c:v>
                </c:pt>
                <c:pt idx="476">
                  <c:v>148028.95199999999</c:v>
                </c:pt>
                <c:pt idx="477">
                  <c:v>148028.95199999999</c:v>
                </c:pt>
                <c:pt idx="478">
                  <c:v>148028.95199999999</c:v>
                </c:pt>
                <c:pt idx="479">
                  <c:v>148028.95199999999</c:v>
                </c:pt>
                <c:pt idx="480">
                  <c:v>148028.95199999999</c:v>
                </c:pt>
                <c:pt idx="481">
                  <c:v>148028.95199999999</c:v>
                </c:pt>
                <c:pt idx="482">
                  <c:v>148028.95199999999</c:v>
                </c:pt>
                <c:pt idx="483">
                  <c:v>148028.95199999999</c:v>
                </c:pt>
                <c:pt idx="484">
                  <c:v>148028.95199999999</c:v>
                </c:pt>
                <c:pt idx="485">
                  <c:v>148028.95199999999</c:v>
                </c:pt>
                <c:pt idx="486">
                  <c:v>148028.95199999999</c:v>
                </c:pt>
                <c:pt idx="487">
                  <c:v>150435.19200000001</c:v>
                </c:pt>
                <c:pt idx="488">
                  <c:v>152841.432</c:v>
                </c:pt>
                <c:pt idx="489">
                  <c:v>154044.552</c:v>
                </c:pt>
                <c:pt idx="490">
                  <c:v>151289.40599999999</c:v>
                </c:pt>
                <c:pt idx="491">
                  <c:v>150122.38</c:v>
                </c:pt>
                <c:pt idx="492">
                  <c:v>159014.95600000001</c:v>
                </c:pt>
                <c:pt idx="493">
                  <c:v>157649.916</c:v>
                </c:pt>
                <c:pt idx="494">
                  <c:v>164999.99300000002</c:v>
                </c:pt>
                <c:pt idx="495">
                  <c:v>171352.46600000001</c:v>
                </c:pt>
                <c:pt idx="496">
                  <c:v>198326.44100000002</c:v>
                </c:pt>
                <c:pt idx="497">
                  <c:v>150122.38</c:v>
                </c:pt>
                <c:pt idx="498">
                  <c:v>150122.38</c:v>
                </c:pt>
                <c:pt idx="499">
                  <c:v>150122.38</c:v>
                </c:pt>
                <c:pt idx="500">
                  <c:v>148028.95199999999</c:v>
                </c:pt>
                <c:pt idx="501">
                  <c:v>148028.95199999999</c:v>
                </c:pt>
                <c:pt idx="502">
                  <c:v>148028.95199999999</c:v>
                </c:pt>
                <c:pt idx="503">
                  <c:v>148269.57500000001</c:v>
                </c:pt>
                <c:pt idx="504">
                  <c:v>148028.95199999999</c:v>
                </c:pt>
                <c:pt idx="505">
                  <c:v>148028.95199999999</c:v>
                </c:pt>
                <c:pt idx="506">
                  <c:v>148028.95199999999</c:v>
                </c:pt>
                <c:pt idx="507">
                  <c:v>148028.95199999999</c:v>
                </c:pt>
                <c:pt idx="508">
                  <c:v>148028.95199999999</c:v>
                </c:pt>
                <c:pt idx="509">
                  <c:v>148028.95199999999</c:v>
                </c:pt>
                <c:pt idx="510">
                  <c:v>148028.95199999999</c:v>
                </c:pt>
                <c:pt idx="511">
                  <c:v>148028.95199999999</c:v>
                </c:pt>
                <c:pt idx="512">
                  <c:v>148028.95199999999</c:v>
                </c:pt>
                <c:pt idx="513">
                  <c:v>148028.95199999999</c:v>
                </c:pt>
                <c:pt idx="514">
                  <c:v>148028.95199999999</c:v>
                </c:pt>
                <c:pt idx="515">
                  <c:v>148028.95199999999</c:v>
                </c:pt>
                <c:pt idx="516">
                  <c:v>148028.95199999999</c:v>
                </c:pt>
                <c:pt idx="517">
                  <c:v>148028.95199999999</c:v>
                </c:pt>
                <c:pt idx="518">
                  <c:v>148028.95199999999</c:v>
                </c:pt>
                <c:pt idx="519">
                  <c:v>148028.95199999999</c:v>
                </c:pt>
                <c:pt idx="520">
                  <c:v>148028.95199999999</c:v>
                </c:pt>
                <c:pt idx="521">
                  <c:v>148028.95199999999</c:v>
                </c:pt>
                <c:pt idx="522">
                  <c:v>151036.75200000001</c:v>
                </c:pt>
                <c:pt idx="523">
                  <c:v>160569.48000000001</c:v>
                </c:pt>
                <c:pt idx="524">
                  <c:v>148028.95199999999</c:v>
                </c:pt>
                <c:pt idx="525">
                  <c:v>148028.95199999999</c:v>
                </c:pt>
                <c:pt idx="526">
                  <c:v>148028.95199999999</c:v>
                </c:pt>
                <c:pt idx="527">
                  <c:v>148028.95199999999</c:v>
                </c:pt>
                <c:pt idx="528">
                  <c:v>148028.95199999999</c:v>
                </c:pt>
                <c:pt idx="529">
                  <c:v>148028.95199999999</c:v>
                </c:pt>
                <c:pt idx="530">
                  <c:v>148028.95199999999</c:v>
                </c:pt>
                <c:pt idx="531">
                  <c:v>148028.95199999999</c:v>
                </c:pt>
                <c:pt idx="532">
                  <c:v>148028.95199999999</c:v>
                </c:pt>
                <c:pt idx="533">
                  <c:v>148028.95199999999</c:v>
                </c:pt>
                <c:pt idx="534">
                  <c:v>148028.95199999999</c:v>
                </c:pt>
                <c:pt idx="535">
                  <c:v>148028.95199999999</c:v>
                </c:pt>
                <c:pt idx="536">
                  <c:v>148028.95199999999</c:v>
                </c:pt>
                <c:pt idx="537">
                  <c:v>148028.95199999999</c:v>
                </c:pt>
                <c:pt idx="538">
                  <c:v>148028.95199999999</c:v>
                </c:pt>
                <c:pt idx="539">
                  <c:v>148028.95199999999</c:v>
                </c:pt>
                <c:pt idx="540">
                  <c:v>148028.95199999999</c:v>
                </c:pt>
                <c:pt idx="541">
                  <c:v>148028.95199999999</c:v>
                </c:pt>
                <c:pt idx="542">
                  <c:v>148028.95199999999</c:v>
                </c:pt>
                <c:pt idx="543">
                  <c:v>148028.95199999999</c:v>
                </c:pt>
                <c:pt idx="544">
                  <c:v>148028.95199999999</c:v>
                </c:pt>
                <c:pt idx="545">
                  <c:v>148028.95199999999</c:v>
                </c:pt>
                <c:pt idx="546">
                  <c:v>148028.95199999999</c:v>
                </c:pt>
                <c:pt idx="547">
                  <c:v>148028.95199999999</c:v>
                </c:pt>
                <c:pt idx="548">
                  <c:v>148028.95199999999</c:v>
                </c:pt>
                <c:pt idx="549">
                  <c:v>148028.95199999999</c:v>
                </c:pt>
                <c:pt idx="550">
                  <c:v>148028.95199999999</c:v>
                </c:pt>
                <c:pt idx="551">
                  <c:v>148028.95199999999</c:v>
                </c:pt>
                <c:pt idx="552">
                  <c:v>148028.95199999999</c:v>
                </c:pt>
                <c:pt idx="553">
                  <c:v>148028.95199999999</c:v>
                </c:pt>
                <c:pt idx="554">
                  <c:v>148028.95199999999</c:v>
                </c:pt>
                <c:pt idx="555">
                  <c:v>148028.95199999999</c:v>
                </c:pt>
                <c:pt idx="556">
                  <c:v>148028.95199999999</c:v>
                </c:pt>
                <c:pt idx="557">
                  <c:v>148028.95199999999</c:v>
                </c:pt>
                <c:pt idx="558">
                  <c:v>148028.95199999999</c:v>
                </c:pt>
                <c:pt idx="559">
                  <c:v>148028.95199999999</c:v>
                </c:pt>
                <c:pt idx="560">
                  <c:v>148028.95199999999</c:v>
                </c:pt>
                <c:pt idx="561">
                  <c:v>148028.95199999999</c:v>
                </c:pt>
                <c:pt idx="562">
                  <c:v>148028.95199999999</c:v>
                </c:pt>
                <c:pt idx="563">
                  <c:v>148028.95199999999</c:v>
                </c:pt>
                <c:pt idx="564">
                  <c:v>148028.95199999999</c:v>
                </c:pt>
                <c:pt idx="565">
                  <c:v>148028.95199999999</c:v>
                </c:pt>
                <c:pt idx="566">
                  <c:v>148028.95199999999</c:v>
                </c:pt>
                <c:pt idx="567">
                  <c:v>148028.95199999999</c:v>
                </c:pt>
                <c:pt idx="568">
                  <c:v>148028.95199999999</c:v>
                </c:pt>
                <c:pt idx="569">
                  <c:v>148028.95199999999</c:v>
                </c:pt>
                <c:pt idx="570">
                  <c:v>148028.95199999999</c:v>
                </c:pt>
                <c:pt idx="571">
                  <c:v>148028.95199999999</c:v>
                </c:pt>
                <c:pt idx="572">
                  <c:v>148028.95199999999</c:v>
                </c:pt>
                <c:pt idx="573">
                  <c:v>148028.95199999999</c:v>
                </c:pt>
                <c:pt idx="574">
                  <c:v>148028.95199999999</c:v>
                </c:pt>
                <c:pt idx="575">
                  <c:v>148028.95199999999</c:v>
                </c:pt>
                <c:pt idx="576">
                  <c:v>148028.95199999999</c:v>
                </c:pt>
                <c:pt idx="577">
                  <c:v>148028.95199999999</c:v>
                </c:pt>
                <c:pt idx="578">
                  <c:v>148028.95199999999</c:v>
                </c:pt>
                <c:pt idx="579">
                  <c:v>148028.95199999999</c:v>
                </c:pt>
                <c:pt idx="580">
                  <c:v>148028.95199999999</c:v>
                </c:pt>
                <c:pt idx="581">
                  <c:v>148028.95199999999</c:v>
                </c:pt>
                <c:pt idx="582">
                  <c:v>148028.95199999999</c:v>
                </c:pt>
                <c:pt idx="583">
                  <c:v>148028.95199999999</c:v>
                </c:pt>
                <c:pt idx="584">
                  <c:v>148028.95199999999</c:v>
                </c:pt>
                <c:pt idx="585">
                  <c:v>148028.95199999999</c:v>
                </c:pt>
                <c:pt idx="586">
                  <c:v>148028.95199999999</c:v>
                </c:pt>
                <c:pt idx="587">
                  <c:v>148028.95199999999</c:v>
                </c:pt>
                <c:pt idx="588">
                  <c:v>148028.95199999999</c:v>
                </c:pt>
                <c:pt idx="589">
                  <c:v>148028.95199999999</c:v>
                </c:pt>
                <c:pt idx="590">
                  <c:v>148028.95199999999</c:v>
                </c:pt>
                <c:pt idx="591">
                  <c:v>148028.95199999999</c:v>
                </c:pt>
                <c:pt idx="592">
                  <c:v>148028.95199999999</c:v>
                </c:pt>
                <c:pt idx="593">
                  <c:v>148028.95199999999</c:v>
                </c:pt>
                <c:pt idx="594">
                  <c:v>148028.95199999999</c:v>
                </c:pt>
                <c:pt idx="595">
                  <c:v>148028.95199999999</c:v>
                </c:pt>
                <c:pt idx="596">
                  <c:v>148028.95199999999</c:v>
                </c:pt>
                <c:pt idx="597">
                  <c:v>148028.95199999999</c:v>
                </c:pt>
                <c:pt idx="598">
                  <c:v>148028.95199999999</c:v>
                </c:pt>
                <c:pt idx="599">
                  <c:v>148028.95199999999</c:v>
                </c:pt>
                <c:pt idx="600">
                  <c:v>148028.95199999999</c:v>
                </c:pt>
                <c:pt idx="601">
                  <c:v>148028.95199999999</c:v>
                </c:pt>
                <c:pt idx="602">
                  <c:v>148028.95199999999</c:v>
                </c:pt>
                <c:pt idx="603">
                  <c:v>148028.95199999999</c:v>
                </c:pt>
                <c:pt idx="604">
                  <c:v>148028.95199999999</c:v>
                </c:pt>
                <c:pt idx="605">
                  <c:v>148028.95199999999</c:v>
                </c:pt>
                <c:pt idx="606">
                  <c:v>148028.95199999999</c:v>
                </c:pt>
                <c:pt idx="607">
                  <c:v>148028.95199999999</c:v>
                </c:pt>
                <c:pt idx="608">
                  <c:v>148028.95199999999</c:v>
                </c:pt>
                <c:pt idx="609">
                  <c:v>148028.95199999999</c:v>
                </c:pt>
                <c:pt idx="610">
                  <c:v>148028.95199999999</c:v>
                </c:pt>
                <c:pt idx="611">
                  <c:v>148028.95199999999</c:v>
                </c:pt>
                <c:pt idx="612">
                  <c:v>148028.95199999999</c:v>
                </c:pt>
                <c:pt idx="613">
                  <c:v>148028.95199999999</c:v>
                </c:pt>
                <c:pt idx="614">
                  <c:v>148028.95199999999</c:v>
                </c:pt>
                <c:pt idx="615">
                  <c:v>148028.95199999999</c:v>
                </c:pt>
                <c:pt idx="616">
                  <c:v>148028.95199999999</c:v>
                </c:pt>
                <c:pt idx="617">
                  <c:v>148028.95199999999</c:v>
                </c:pt>
                <c:pt idx="618">
                  <c:v>148028.95199999999</c:v>
                </c:pt>
                <c:pt idx="619">
                  <c:v>148028.95199999999</c:v>
                </c:pt>
                <c:pt idx="620">
                  <c:v>148028.95199999999</c:v>
                </c:pt>
                <c:pt idx="621">
                  <c:v>148028.95199999999</c:v>
                </c:pt>
                <c:pt idx="622">
                  <c:v>148028.95199999999</c:v>
                </c:pt>
                <c:pt idx="623">
                  <c:v>148028.95199999999</c:v>
                </c:pt>
                <c:pt idx="624">
                  <c:v>148028.95199999999</c:v>
                </c:pt>
                <c:pt idx="625">
                  <c:v>148028.95199999999</c:v>
                </c:pt>
                <c:pt idx="626">
                  <c:v>148028.95199999999</c:v>
                </c:pt>
                <c:pt idx="627">
                  <c:v>148028.95199999999</c:v>
                </c:pt>
                <c:pt idx="628">
                  <c:v>148028.95199999999</c:v>
                </c:pt>
                <c:pt idx="629">
                  <c:v>148028.95199999999</c:v>
                </c:pt>
                <c:pt idx="630">
                  <c:v>148028.95199999999</c:v>
                </c:pt>
                <c:pt idx="631">
                  <c:v>148028.95199999999</c:v>
                </c:pt>
                <c:pt idx="632">
                  <c:v>148028.95199999999</c:v>
                </c:pt>
                <c:pt idx="633">
                  <c:v>148028.95199999999</c:v>
                </c:pt>
                <c:pt idx="634">
                  <c:v>148028.95199999999</c:v>
                </c:pt>
                <c:pt idx="635">
                  <c:v>148028.95199999999</c:v>
                </c:pt>
                <c:pt idx="636">
                  <c:v>148028.95199999999</c:v>
                </c:pt>
                <c:pt idx="637">
                  <c:v>148028.95199999999</c:v>
                </c:pt>
                <c:pt idx="638">
                  <c:v>148028.95199999999</c:v>
                </c:pt>
                <c:pt idx="639">
                  <c:v>148028.95199999999</c:v>
                </c:pt>
                <c:pt idx="640">
                  <c:v>148028.95199999999</c:v>
                </c:pt>
                <c:pt idx="641">
                  <c:v>148028.95199999999</c:v>
                </c:pt>
                <c:pt idx="642">
                  <c:v>148028.95199999999</c:v>
                </c:pt>
                <c:pt idx="643">
                  <c:v>148028.95199999999</c:v>
                </c:pt>
                <c:pt idx="644">
                  <c:v>148028.95199999999</c:v>
                </c:pt>
                <c:pt idx="645">
                  <c:v>148028.95199999999</c:v>
                </c:pt>
                <c:pt idx="646">
                  <c:v>148028.95199999999</c:v>
                </c:pt>
                <c:pt idx="647">
                  <c:v>148028.95199999999</c:v>
                </c:pt>
                <c:pt idx="648">
                  <c:v>148028.95199999999</c:v>
                </c:pt>
                <c:pt idx="649">
                  <c:v>148028.95199999999</c:v>
                </c:pt>
                <c:pt idx="650">
                  <c:v>148028.95199999999</c:v>
                </c:pt>
                <c:pt idx="651">
                  <c:v>148028.95199999999</c:v>
                </c:pt>
                <c:pt idx="652">
                  <c:v>148028.95199999999</c:v>
                </c:pt>
                <c:pt idx="653">
                  <c:v>148028.95199999999</c:v>
                </c:pt>
                <c:pt idx="654">
                  <c:v>148028.95199999999</c:v>
                </c:pt>
                <c:pt idx="655">
                  <c:v>148028.95199999999</c:v>
                </c:pt>
                <c:pt idx="656">
                  <c:v>148028.95199999999</c:v>
                </c:pt>
                <c:pt idx="657">
                  <c:v>148028.95199999999</c:v>
                </c:pt>
                <c:pt idx="658">
                  <c:v>148028.95199999999</c:v>
                </c:pt>
                <c:pt idx="659">
                  <c:v>148028.95199999999</c:v>
                </c:pt>
                <c:pt idx="660">
                  <c:v>148028.95199999999</c:v>
                </c:pt>
                <c:pt idx="661">
                  <c:v>148028.95199999999</c:v>
                </c:pt>
                <c:pt idx="662">
                  <c:v>148028.95199999999</c:v>
                </c:pt>
                <c:pt idx="663">
                  <c:v>148028.95199999999</c:v>
                </c:pt>
                <c:pt idx="664">
                  <c:v>148028.95199999999</c:v>
                </c:pt>
                <c:pt idx="665">
                  <c:v>148028.95199999999</c:v>
                </c:pt>
                <c:pt idx="666">
                  <c:v>148028.95199999999</c:v>
                </c:pt>
                <c:pt idx="667">
                  <c:v>148028.95199999999</c:v>
                </c:pt>
                <c:pt idx="668">
                  <c:v>148028.95199999999</c:v>
                </c:pt>
                <c:pt idx="669">
                  <c:v>148028.95199999999</c:v>
                </c:pt>
                <c:pt idx="670">
                  <c:v>148028.95199999999</c:v>
                </c:pt>
                <c:pt idx="671">
                  <c:v>148028.95199999999</c:v>
                </c:pt>
                <c:pt idx="672">
                  <c:v>148028.95199999999</c:v>
                </c:pt>
                <c:pt idx="673">
                  <c:v>148028.95199999999</c:v>
                </c:pt>
                <c:pt idx="674">
                  <c:v>148028.95199999999</c:v>
                </c:pt>
                <c:pt idx="675">
                  <c:v>148028.95199999999</c:v>
                </c:pt>
                <c:pt idx="676">
                  <c:v>148028.95199999999</c:v>
                </c:pt>
                <c:pt idx="677">
                  <c:v>148028.95199999999</c:v>
                </c:pt>
                <c:pt idx="678">
                  <c:v>148028.95199999999</c:v>
                </c:pt>
                <c:pt idx="679">
                  <c:v>148028.95199999999</c:v>
                </c:pt>
                <c:pt idx="680">
                  <c:v>148028.95199999999</c:v>
                </c:pt>
                <c:pt idx="681">
                  <c:v>148028.95199999999</c:v>
                </c:pt>
                <c:pt idx="682">
                  <c:v>148028.95199999999</c:v>
                </c:pt>
                <c:pt idx="683">
                  <c:v>148028.95199999999</c:v>
                </c:pt>
                <c:pt idx="684">
                  <c:v>148028.95199999999</c:v>
                </c:pt>
                <c:pt idx="685">
                  <c:v>148028.95199999999</c:v>
                </c:pt>
                <c:pt idx="686">
                  <c:v>148028.95199999999</c:v>
                </c:pt>
                <c:pt idx="687">
                  <c:v>148028.95199999999</c:v>
                </c:pt>
                <c:pt idx="688">
                  <c:v>148028.95199999999</c:v>
                </c:pt>
                <c:pt idx="689">
                  <c:v>148028.95199999999</c:v>
                </c:pt>
                <c:pt idx="690">
                  <c:v>148028.95199999999</c:v>
                </c:pt>
                <c:pt idx="691">
                  <c:v>148028.95199999999</c:v>
                </c:pt>
                <c:pt idx="692">
                  <c:v>148028.95199999999</c:v>
                </c:pt>
                <c:pt idx="693">
                  <c:v>148028.95199999999</c:v>
                </c:pt>
                <c:pt idx="694">
                  <c:v>148028.95199999999</c:v>
                </c:pt>
                <c:pt idx="695">
                  <c:v>148028.95199999999</c:v>
                </c:pt>
                <c:pt idx="696">
                  <c:v>148028.95199999999</c:v>
                </c:pt>
                <c:pt idx="697">
                  <c:v>148028.95199999999</c:v>
                </c:pt>
                <c:pt idx="698">
                  <c:v>148028.95199999999</c:v>
                </c:pt>
                <c:pt idx="699">
                  <c:v>148028.95199999999</c:v>
                </c:pt>
                <c:pt idx="700">
                  <c:v>155247.67199999999</c:v>
                </c:pt>
                <c:pt idx="701">
                  <c:v>155247.67199999999</c:v>
                </c:pt>
                <c:pt idx="702">
                  <c:v>155247.67199999999</c:v>
                </c:pt>
                <c:pt idx="703">
                  <c:v>155247.67199999999</c:v>
                </c:pt>
                <c:pt idx="704">
                  <c:v>155247.67199999999</c:v>
                </c:pt>
                <c:pt idx="705">
                  <c:v>155247.67199999999</c:v>
                </c:pt>
                <c:pt idx="706">
                  <c:v>155247.67199999999</c:v>
                </c:pt>
                <c:pt idx="707">
                  <c:v>155247.67199999999</c:v>
                </c:pt>
                <c:pt idx="708">
                  <c:v>155247.67199999999</c:v>
                </c:pt>
                <c:pt idx="709">
                  <c:v>155247.67199999999</c:v>
                </c:pt>
                <c:pt idx="710">
                  <c:v>155247.67199999999</c:v>
                </c:pt>
                <c:pt idx="711">
                  <c:v>155247.67199999999</c:v>
                </c:pt>
                <c:pt idx="712">
                  <c:v>155247.67199999999</c:v>
                </c:pt>
                <c:pt idx="713">
                  <c:v>155247.67199999999</c:v>
                </c:pt>
                <c:pt idx="714">
                  <c:v>155247.67199999999</c:v>
                </c:pt>
                <c:pt idx="715">
                  <c:v>155247.67199999999</c:v>
                </c:pt>
                <c:pt idx="716">
                  <c:v>155247.67199999999</c:v>
                </c:pt>
                <c:pt idx="717">
                  <c:v>155247.67199999999</c:v>
                </c:pt>
                <c:pt idx="718">
                  <c:v>155247.67199999999</c:v>
                </c:pt>
                <c:pt idx="719">
                  <c:v>155247.67199999999</c:v>
                </c:pt>
                <c:pt idx="720">
                  <c:v>155247.67199999999</c:v>
                </c:pt>
                <c:pt idx="721">
                  <c:v>155313.91500000001</c:v>
                </c:pt>
                <c:pt idx="722">
                  <c:v>155247.67199999999</c:v>
                </c:pt>
                <c:pt idx="723">
                  <c:v>155247.67199999999</c:v>
                </c:pt>
                <c:pt idx="724">
                  <c:v>155247.67199999999</c:v>
                </c:pt>
                <c:pt idx="725">
                  <c:v>155247.67199999999</c:v>
                </c:pt>
                <c:pt idx="726">
                  <c:v>155247.67199999999</c:v>
                </c:pt>
                <c:pt idx="727">
                  <c:v>155247.67199999999</c:v>
                </c:pt>
                <c:pt idx="728">
                  <c:v>155247.67199999999</c:v>
                </c:pt>
                <c:pt idx="729">
                  <c:v>155247.67199999999</c:v>
                </c:pt>
                <c:pt idx="730">
                  <c:v>164999.99400000001</c:v>
                </c:pt>
                <c:pt idx="731">
                  <c:v>164999.99400000001</c:v>
                </c:pt>
                <c:pt idx="732">
                  <c:v>164999.99400000001</c:v>
                </c:pt>
                <c:pt idx="733">
                  <c:v>164999.99400000001</c:v>
                </c:pt>
                <c:pt idx="734">
                  <c:v>164999.99400000001</c:v>
                </c:pt>
                <c:pt idx="735">
                  <c:v>164999.99400000001</c:v>
                </c:pt>
                <c:pt idx="736">
                  <c:v>164999.99400000001</c:v>
                </c:pt>
                <c:pt idx="737">
                  <c:v>164999.99400000001</c:v>
                </c:pt>
                <c:pt idx="738">
                  <c:v>164999.99400000001</c:v>
                </c:pt>
                <c:pt idx="739">
                  <c:v>164999.99400000001</c:v>
                </c:pt>
                <c:pt idx="740">
                  <c:v>164999.99400000001</c:v>
                </c:pt>
                <c:pt idx="741">
                  <c:v>164999.99400000001</c:v>
                </c:pt>
                <c:pt idx="742">
                  <c:v>164999.99400000001</c:v>
                </c:pt>
                <c:pt idx="743">
                  <c:v>164999.99400000001</c:v>
                </c:pt>
                <c:pt idx="744">
                  <c:v>164999.99400000001</c:v>
                </c:pt>
                <c:pt idx="745">
                  <c:v>164999.99400000001</c:v>
                </c:pt>
                <c:pt idx="746">
                  <c:v>164999.99400000001</c:v>
                </c:pt>
                <c:pt idx="747">
                  <c:v>164999.99400000001</c:v>
                </c:pt>
                <c:pt idx="748">
                  <c:v>164999.99400000001</c:v>
                </c:pt>
                <c:pt idx="749">
                  <c:v>164999.99400000001</c:v>
                </c:pt>
                <c:pt idx="750">
                  <c:v>164999.99400000001</c:v>
                </c:pt>
                <c:pt idx="751">
                  <c:v>164999.99400000001</c:v>
                </c:pt>
                <c:pt idx="752">
                  <c:v>164999.99400000001</c:v>
                </c:pt>
                <c:pt idx="753">
                  <c:v>164999.99400000001</c:v>
                </c:pt>
                <c:pt idx="754">
                  <c:v>164999.99400000001</c:v>
                </c:pt>
                <c:pt idx="755">
                  <c:v>164999.99400000001</c:v>
                </c:pt>
                <c:pt idx="756">
                  <c:v>164999.99400000001</c:v>
                </c:pt>
                <c:pt idx="757">
                  <c:v>164999.99400000001</c:v>
                </c:pt>
                <c:pt idx="758">
                  <c:v>164999.99400000001</c:v>
                </c:pt>
                <c:pt idx="759">
                  <c:v>171666.658</c:v>
                </c:pt>
                <c:pt idx="760">
                  <c:v>211659.05600000001</c:v>
                </c:pt>
                <c:pt idx="761">
                  <c:v>164999.99400000001</c:v>
                </c:pt>
                <c:pt idx="762">
                  <c:v>178026.07700000002</c:v>
                </c:pt>
                <c:pt idx="763">
                  <c:v>164999.99400000001</c:v>
                </c:pt>
                <c:pt idx="764">
                  <c:v>164999.99400000001</c:v>
                </c:pt>
                <c:pt idx="765">
                  <c:v>186340.33500000002</c:v>
                </c:pt>
                <c:pt idx="766">
                  <c:v>164999.99400000001</c:v>
                </c:pt>
                <c:pt idx="767">
                  <c:v>164999.99400000001</c:v>
                </c:pt>
                <c:pt idx="768">
                  <c:v>164999.99400000001</c:v>
                </c:pt>
                <c:pt idx="769">
                  <c:v>164999.99400000001</c:v>
                </c:pt>
                <c:pt idx="770">
                  <c:v>164999.99400000001</c:v>
                </c:pt>
                <c:pt idx="771">
                  <c:v>164999.99400000001</c:v>
                </c:pt>
                <c:pt idx="772">
                  <c:v>164999.99400000001</c:v>
                </c:pt>
                <c:pt idx="773">
                  <c:v>164999.99400000001</c:v>
                </c:pt>
                <c:pt idx="774">
                  <c:v>164999.99400000001</c:v>
                </c:pt>
                <c:pt idx="775">
                  <c:v>164999.99400000001</c:v>
                </c:pt>
                <c:pt idx="776">
                  <c:v>164999.99400000001</c:v>
                </c:pt>
                <c:pt idx="777">
                  <c:v>164999.99400000001</c:v>
                </c:pt>
                <c:pt idx="778">
                  <c:v>164999.99400000001</c:v>
                </c:pt>
                <c:pt idx="779">
                  <c:v>164999.99400000001</c:v>
                </c:pt>
                <c:pt idx="780">
                  <c:v>164999.99400000001</c:v>
                </c:pt>
                <c:pt idx="781">
                  <c:v>164999.99400000001</c:v>
                </c:pt>
                <c:pt idx="782">
                  <c:v>164999.99400000001</c:v>
                </c:pt>
                <c:pt idx="783">
                  <c:v>174621.39199999999</c:v>
                </c:pt>
                <c:pt idx="784">
                  <c:v>164999.99400000001</c:v>
                </c:pt>
                <c:pt idx="785">
                  <c:v>164999.99400000001</c:v>
                </c:pt>
                <c:pt idx="786">
                  <c:v>164999.99400000001</c:v>
                </c:pt>
                <c:pt idx="787">
                  <c:v>174218.443</c:v>
                </c:pt>
                <c:pt idx="788">
                  <c:v>168007.79399999999</c:v>
                </c:pt>
                <c:pt idx="789">
                  <c:v>170431.07</c:v>
                </c:pt>
                <c:pt idx="790">
                  <c:v>167506.50200000001</c:v>
                </c:pt>
                <c:pt idx="791">
                  <c:v>170702.78200000001</c:v>
                </c:pt>
                <c:pt idx="792">
                  <c:v>170702.78200000001</c:v>
                </c:pt>
                <c:pt idx="793">
                  <c:v>174060.11300000001</c:v>
                </c:pt>
                <c:pt idx="794">
                  <c:v>170702.78200000001</c:v>
                </c:pt>
                <c:pt idx="795">
                  <c:v>170702.78200000001</c:v>
                </c:pt>
                <c:pt idx="796">
                  <c:v>170702.78200000001</c:v>
                </c:pt>
                <c:pt idx="797">
                  <c:v>170702.78200000001</c:v>
                </c:pt>
                <c:pt idx="798">
                  <c:v>170797.035</c:v>
                </c:pt>
                <c:pt idx="799">
                  <c:v>170702.78200000001</c:v>
                </c:pt>
                <c:pt idx="800">
                  <c:v>173560.842</c:v>
                </c:pt>
                <c:pt idx="801">
                  <c:v>178237.29700000002</c:v>
                </c:pt>
                <c:pt idx="802">
                  <c:v>170702.78200000001</c:v>
                </c:pt>
                <c:pt idx="803">
                  <c:v>170702.78200000001</c:v>
                </c:pt>
                <c:pt idx="804">
                  <c:v>164999.99400000001</c:v>
                </c:pt>
                <c:pt idx="805">
                  <c:v>164999.99400000001</c:v>
                </c:pt>
                <c:pt idx="806">
                  <c:v>164999.99400000001</c:v>
                </c:pt>
                <c:pt idx="807">
                  <c:v>164999.99400000001</c:v>
                </c:pt>
                <c:pt idx="808">
                  <c:v>170702.78200000001</c:v>
                </c:pt>
                <c:pt idx="809">
                  <c:v>170702.78200000001</c:v>
                </c:pt>
                <c:pt idx="810">
                  <c:v>170702.78200000001</c:v>
                </c:pt>
                <c:pt idx="811">
                  <c:v>170702.78200000001</c:v>
                </c:pt>
                <c:pt idx="812">
                  <c:v>177031.19400000002</c:v>
                </c:pt>
                <c:pt idx="813">
                  <c:v>164999.99400000001</c:v>
                </c:pt>
                <c:pt idx="814">
                  <c:v>164999.99400000001</c:v>
                </c:pt>
                <c:pt idx="815">
                  <c:v>164999.99400000001</c:v>
                </c:pt>
                <c:pt idx="816">
                  <c:v>164999.99400000001</c:v>
                </c:pt>
                <c:pt idx="817">
                  <c:v>164999.99400000001</c:v>
                </c:pt>
                <c:pt idx="818">
                  <c:v>170702.78200000001</c:v>
                </c:pt>
                <c:pt idx="819">
                  <c:v>168171.22500000001</c:v>
                </c:pt>
                <c:pt idx="820">
                  <c:v>168782.79500000001</c:v>
                </c:pt>
                <c:pt idx="821">
                  <c:v>170702.78200000001</c:v>
                </c:pt>
                <c:pt idx="822">
                  <c:v>189543.64299999998</c:v>
                </c:pt>
                <c:pt idx="823">
                  <c:v>191550.44699999999</c:v>
                </c:pt>
                <c:pt idx="824">
                  <c:v>189543.64299999998</c:v>
                </c:pt>
                <c:pt idx="825">
                  <c:v>190024.87100000001</c:v>
                </c:pt>
                <c:pt idx="826">
                  <c:v>189543.59499999997</c:v>
                </c:pt>
                <c:pt idx="827">
                  <c:v>189543.59499999997</c:v>
                </c:pt>
                <c:pt idx="828">
                  <c:v>199370.679</c:v>
                </c:pt>
                <c:pt idx="829">
                  <c:v>197438.05899999998</c:v>
                </c:pt>
                <c:pt idx="830">
                  <c:v>193562.06299999999</c:v>
                </c:pt>
                <c:pt idx="831">
                  <c:v>223752.315</c:v>
                </c:pt>
                <c:pt idx="832">
                  <c:v>215263.82199999999</c:v>
                </c:pt>
                <c:pt idx="833">
                  <c:v>198612.95399999997</c:v>
                </c:pt>
                <c:pt idx="834">
                  <c:v>203213.58799999999</c:v>
                </c:pt>
                <c:pt idx="835">
                  <c:v>223151.549</c:v>
                </c:pt>
                <c:pt idx="836">
                  <c:v>224963.44699999999</c:v>
                </c:pt>
                <c:pt idx="837">
                  <c:v>224999.92499999999</c:v>
                </c:pt>
                <c:pt idx="838">
                  <c:v>224999.92499999999</c:v>
                </c:pt>
                <c:pt idx="839">
                  <c:v>200780.73499999999</c:v>
                </c:pt>
                <c:pt idx="840">
                  <c:v>189543.59499999997</c:v>
                </c:pt>
                <c:pt idx="841">
                  <c:v>189543.59499999997</c:v>
                </c:pt>
                <c:pt idx="842">
                  <c:v>224971.46</c:v>
                </c:pt>
                <c:pt idx="843">
                  <c:v>218947.84699999998</c:v>
                </c:pt>
                <c:pt idx="844">
                  <c:v>189543.59499999997</c:v>
                </c:pt>
                <c:pt idx="845">
                  <c:v>189543.61099999998</c:v>
                </c:pt>
                <c:pt idx="846">
                  <c:v>224964.65</c:v>
                </c:pt>
                <c:pt idx="847">
                  <c:v>189543.59499999997</c:v>
                </c:pt>
                <c:pt idx="848">
                  <c:v>189543.59499999997</c:v>
                </c:pt>
                <c:pt idx="849">
                  <c:v>200792.76499999998</c:v>
                </c:pt>
                <c:pt idx="850">
                  <c:v>199168.554</c:v>
                </c:pt>
                <c:pt idx="851">
                  <c:v>199770.114</c:v>
                </c:pt>
                <c:pt idx="852">
                  <c:v>189543.59499999997</c:v>
                </c:pt>
                <c:pt idx="853">
                  <c:v>190746.715</c:v>
                </c:pt>
                <c:pt idx="854">
                  <c:v>179544.079</c:v>
                </c:pt>
                <c:pt idx="855">
                  <c:v>190746.715</c:v>
                </c:pt>
                <c:pt idx="856">
                  <c:v>218950.91700000002</c:v>
                </c:pt>
                <c:pt idx="857">
                  <c:v>224999.97200000001</c:v>
                </c:pt>
                <c:pt idx="858">
                  <c:v>208069.78899999999</c:v>
                </c:pt>
                <c:pt idx="859">
                  <c:v>194428.26199999999</c:v>
                </c:pt>
                <c:pt idx="860">
                  <c:v>190746.715</c:v>
                </c:pt>
                <c:pt idx="861">
                  <c:v>190746.715</c:v>
                </c:pt>
                <c:pt idx="862">
                  <c:v>190746.715</c:v>
                </c:pt>
                <c:pt idx="863">
                  <c:v>203584.84699999998</c:v>
                </c:pt>
                <c:pt idx="864">
                  <c:v>201863.54299999998</c:v>
                </c:pt>
                <c:pt idx="865">
                  <c:v>195029.82199999999</c:v>
                </c:pt>
                <c:pt idx="866">
                  <c:v>208979.99799999999</c:v>
                </c:pt>
                <c:pt idx="867">
                  <c:v>198764.30599999998</c:v>
                </c:pt>
                <c:pt idx="868">
                  <c:v>190746.715</c:v>
                </c:pt>
                <c:pt idx="869">
                  <c:v>190746.715</c:v>
                </c:pt>
                <c:pt idx="870">
                  <c:v>210639.50899999999</c:v>
                </c:pt>
                <c:pt idx="871">
                  <c:v>224947.85399999999</c:v>
                </c:pt>
                <c:pt idx="872">
                  <c:v>220423.71399999998</c:v>
                </c:pt>
                <c:pt idx="873">
                  <c:v>198687.31900000002</c:v>
                </c:pt>
                <c:pt idx="874">
                  <c:v>215687.41800000001</c:v>
                </c:pt>
                <c:pt idx="875">
                  <c:v>198934.90899999999</c:v>
                </c:pt>
                <c:pt idx="876">
                  <c:v>199536.46899999998</c:v>
                </c:pt>
                <c:pt idx="877">
                  <c:v>224999.97200000001</c:v>
                </c:pt>
                <c:pt idx="878">
                  <c:v>206464.27399999998</c:v>
                </c:pt>
                <c:pt idx="879">
                  <c:v>190746.715</c:v>
                </c:pt>
                <c:pt idx="880">
                  <c:v>190746.715</c:v>
                </c:pt>
                <c:pt idx="881">
                  <c:v>197845.12299999999</c:v>
                </c:pt>
                <c:pt idx="882">
                  <c:v>183240.02399999998</c:v>
                </c:pt>
                <c:pt idx="883">
                  <c:v>189262.08600000001</c:v>
                </c:pt>
                <c:pt idx="884">
                  <c:v>199245.049</c:v>
                </c:pt>
                <c:pt idx="885">
                  <c:v>197845.12299999999</c:v>
                </c:pt>
                <c:pt idx="886">
                  <c:v>197845.12299999999</c:v>
                </c:pt>
                <c:pt idx="887">
                  <c:v>197845.141</c:v>
                </c:pt>
                <c:pt idx="888">
                  <c:v>210489.93900000001</c:v>
                </c:pt>
                <c:pt idx="889">
                  <c:v>197845.12299999999</c:v>
                </c:pt>
                <c:pt idx="890">
                  <c:v>197845.12299999999</c:v>
                </c:pt>
                <c:pt idx="891">
                  <c:v>197845.12299999999</c:v>
                </c:pt>
                <c:pt idx="892">
                  <c:v>208649.13999999998</c:v>
                </c:pt>
                <c:pt idx="893">
                  <c:v>197845.12299999999</c:v>
                </c:pt>
                <c:pt idx="894">
                  <c:v>201892.65899999999</c:v>
                </c:pt>
                <c:pt idx="895">
                  <c:v>220152.39600000001</c:v>
                </c:pt>
                <c:pt idx="896">
                  <c:v>197845.12299999999</c:v>
                </c:pt>
                <c:pt idx="897">
                  <c:v>193345.454</c:v>
                </c:pt>
                <c:pt idx="898">
                  <c:v>203499.78699999998</c:v>
                </c:pt>
                <c:pt idx="899">
                  <c:v>197845.12299999999</c:v>
                </c:pt>
                <c:pt idx="900">
                  <c:v>197845.147</c:v>
                </c:pt>
                <c:pt idx="901">
                  <c:v>199361.07199999999</c:v>
                </c:pt>
                <c:pt idx="902">
                  <c:v>224967.99399999998</c:v>
                </c:pt>
                <c:pt idx="903">
                  <c:v>197845.12299999999</c:v>
                </c:pt>
                <c:pt idx="904">
                  <c:v>197845.12299999999</c:v>
                </c:pt>
                <c:pt idx="905">
                  <c:v>199770.64399999997</c:v>
                </c:pt>
                <c:pt idx="906">
                  <c:v>197845.12299999999</c:v>
                </c:pt>
                <c:pt idx="907">
                  <c:v>197845.12299999999</c:v>
                </c:pt>
                <c:pt idx="908">
                  <c:v>197845.12299999999</c:v>
                </c:pt>
                <c:pt idx="909">
                  <c:v>197845.139</c:v>
                </c:pt>
                <c:pt idx="910">
                  <c:v>197845.139</c:v>
                </c:pt>
                <c:pt idx="911">
                  <c:v>197845.141</c:v>
                </c:pt>
                <c:pt idx="912">
                  <c:v>180768.83100000001</c:v>
                </c:pt>
                <c:pt idx="913">
                  <c:v>181833.71100000001</c:v>
                </c:pt>
                <c:pt idx="914">
                  <c:v>150490.32</c:v>
                </c:pt>
                <c:pt idx="915">
                  <c:v>178609.351</c:v>
                </c:pt>
                <c:pt idx="916">
                  <c:v>157949.66399999999</c:v>
                </c:pt>
                <c:pt idx="917">
                  <c:v>150490.32</c:v>
                </c:pt>
                <c:pt idx="918">
                  <c:v>150490.32</c:v>
                </c:pt>
                <c:pt idx="919">
                  <c:v>156906.96</c:v>
                </c:pt>
                <c:pt idx="920">
                  <c:v>165808.864</c:v>
                </c:pt>
                <c:pt idx="921">
                  <c:v>150490.32</c:v>
                </c:pt>
                <c:pt idx="922">
                  <c:v>166159.774</c:v>
                </c:pt>
                <c:pt idx="923">
                  <c:v>165729.83100000001</c:v>
                </c:pt>
                <c:pt idx="924">
                  <c:v>152764.217</c:v>
                </c:pt>
                <c:pt idx="925">
                  <c:v>150490.32</c:v>
                </c:pt>
                <c:pt idx="926">
                  <c:v>150490.32</c:v>
                </c:pt>
                <c:pt idx="927">
                  <c:v>150490.32</c:v>
                </c:pt>
                <c:pt idx="928">
                  <c:v>150490.32</c:v>
                </c:pt>
                <c:pt idx="929">
                  <c:v>150490.32</c:v>
                </c:pt>
                <c:pt idx="930">
                  <c:v>165633.943</c:v>
                </c:pt>
                <c:pt idx="931">
                  <c:v>150490.32</c:v>
                </c:pt>
                <c:pt idx="932">
                  <c:v>164779.375</c:v>
                </c:pt>
                <c:pt idx="933">
                  <c:v>166830.101</c:v>
                </c:pt>
                <c:pt idx="934">
                  <c:v>150490.32</c:v>
                </c:pt>
                <c:pt idx="935">
                  <c:v>150490.32</c:v>
                </c:pt>
                <c:pt idx="936">
                  <c:v>150490.32</c:v>
                </c:pt>
                <c:pt idx="937">
                  <c:v>160164.10999999999</c:v>
                </c:pt>
                <c:pt idx="938">
                  <c:v>150490.32</c:v>
                </c:pt>
                <c:pt idx="939">
                  <c:v>150490.32</c:v>
                </c:pt>
                <c:pt idx="940">
                  <c:v>170420.44500000001</c:v>
                </c:pt>
                <c:pt idx="941">
                  <c:v>187031.19100000002</c:v>
                </c:pt>
                <c:pt idx="942">
                  <c:v>150491.32999999999</c:v>
                </c:pt>
                <c:pt idx="943">
                  <c:v>150491.32999999999</c:v>
                </c:pt>
                <c:pt idx="944">
                  <c:v>150491.32999999999</c:v>
                </c:pt>
                <c:pt idx="945">
                  <c:v>150491.32999999999</c:v>
                </c:pt>
                <c:pt idx="946">
                  <c:v>150491.32999999999</c:v>
                </c:pt>
                <c:pt idx="947">
                  <c:v>150491.32999999999</c:v>
                </c:pt>
                <c:pt idx="948">
                  <c:v>150491.32999999999</c:v>
                </c:pt>
                <c:pt idx="949">
                  <c:v>150491.32999999999</c:v>
                </c:pt>
                <c:pt idx="950">
                  <c:v>150491.32999999999</c:v>
                </c:pt>
                <c:pt idx="951">
                  <c:v>150491.32999999999</c:v>
                </c:pt>
                <c:pt idx="952">
                  <c:v>150491.32999999999</c:v>
                </c:pt>
                <c:pt idx="953">
                  <c:v>150491.32999999999</c:v>
                </c:pt>
                <c:pt idx="954">
                  <c:v>150491.32999999999</c:v>
                </c:pt>
                <c:pt idx="955">
                  <c:v>150491.32999999999</c:v>
                </c:pt>
                <c:pt idx="956">
                  <c:v>150491.32999999999</c:v>
                </c:pt>
                <c:pt idx="957">
                  <c:v>150491.32999999999</c:v>
                </c:pt>
                <c:pt idx="958">
                  <c:v>150491.32999999999</c:v>
                </c:pt>
                <c:pt idx="959">
                  <c:v>150491.32999999999</c:v>
                </c:pt>
                <c:pt idx="960">
                  <c:v>150491.32999999999</c:v>
                </c:pt>
                <c:pt idx="961">
                  <c:v>150491.32999999999</c:v>
                </c:pt>
                <c:pt idx="962">
                  <c:v>150491.32999999999</c:v>
                </c:pt>
                <c:pt idx="963">
                  <c:v>150491.32999999999</c:v>
                </c:pt>
                <c:pt idx="964">
                  <c:v>150491.32999999999</c:v>
                </c:pt>
                <c:pt idx="965">
                  <c:v>150491.32999999999</c:v>
                </c:pt>
                <c:pt idx="966">
                  <c:v>150491.32999999999</c:v>
                </c:pt>
                <c:pt idx="967">
                  <c:v>150491.32999999999</c:v>
                </c:pt>
                <c:pt idx="968">
                  <c:v>160116.29</c:v>
                </c:pt>
                <c:pt idx="969">
                  <c:v>150491.32999999999</c:v>
                </c:pt>
                <c:pt idx="970">
                  <c:v>150491.32999999999</c:v>
                </c:pt>
                <c:pt idx="971">
                  <c:v>159462.96400000001</c:v>
                </c:pt>
                <c:pt idx="972">
                  <c:v>167846.33600000001</c:v>
                </c:pt>
                <c:pt idx="973">
                  <c:v>150490.32</c:v>
                </c:pt>
                <c:pt idx="974">
                  <c:v>150490.32</c:v>
                </c:pt>
                <c:pt idx="975">
                  <c:v>150490.32</c:v>
                </c:pt>
                <c:pt idx="976">
                  <c:v>150490.32</c:v>
                </c:pt>
                <c:pt idx="977">
                  <c:v>150490.32</c:v>
                </c:pt>
                <c:pt idx="978">
                  <c:v>150490.32</c:v>
                </c:pt>
                <c:pt idx="979">
                  <c:v>150490.32</c:v>
                </c:pt>
                <c:pt idx="980">
                  <c:v>150490.32</c:v>
                </c:pt>
                <c:pt idx="981">
                  <c:v>150490.32</c:v>
                </c:pt>
                <c:pt idx="982">
                  <c:v>150490.32</c:v>
                </c:pt>
                <c:pt idx="983">
                  <c:v>150490.32</c:v>
                </c:pt>
                <c:pt idx="984">
                  <c:v>150490.32</c:v>
                </c:pt>
                <c:pt idx="985">
                  <c:v>150490.32</c:v>
                </c:pt>
                <c:pt idx="986">
                  <c:v>150490.32</c:v>
                </c:pt>
                <c:pt idx="987">
                  <c:v>150490.32</c:v>
                </c:pt>
                <c:pt idx="988">
                  <c:v>150490.32</c:v>
                </c:pt>
                <c:pt idx="989">
                  <c:v>150490.32</c:v>
                </c:pt>
                <c:pt idx="990">
                  <c:v>150490.32</c:v>
                </c:pt>
                <c:pt idx="991">
                  <c:v>150490.32</c:v>
                </c:pt>
                <c:pt idx="992">
                  <c:v>150490.32</c:v>
                </c:pt>
                <c:pt idx="993">
                  <c:v>150490.32</c:v>
                </c:pt>
                <c:pt idx="994">
                  <c:v>150490.32</c:v>
                </c:pt>
                <c:pt idx="995">
                  <c:v>150490.32</c:v>
                </c:pt>
                <c:pt idx="996">
                  <c:v>150490.32</c:v>
                </c:pt>
                <c:pt idx="997">
                  <c:v>150490.32</c:v>
                </c:pt>
                <c:pt idx="998">
                  <c:v>150490.32</c:v>
                </c:pt>
                <c:pt idx="999">
                  <c:v>150490.32</c:v>
                </c:pt>
                <c:pt idx="1000">
                  <c:v>150490.32</c:v>
                </c:pt>
                <c:pt idx="1001">
                  <c:v>191843.671</c:v>
                </c:pt>
                <c:pt idx="1002">
                  <c:v>184927.872</c:v>
                </c:pt>
                <c:pt idx="1003">
                  <c:v>152655.93599999999</c:v>
                </c:pt>
                <c:pt idx="1004">
                  <c:v>152655.93599999999</c:v>
                </c:pt>
                <c:pt idx="1005">
                  <c:v>152655.93599999999</c:v>
                </c:pt>
                <c:pt idx="1006">
                  <c:v>152655.93599999999</c:v>
                </c:pt>
                <c:pt idx="1007">
                  <c:v>152655.93599999999</c:v>
                </c:pt>
                <c:pt idx="1008">
                  <c:v>152655.93599999999</c:v>
                </c:pt>
                <c:pt idx="1009">
                  <c:v>152655.93599999999</c:v>
                </c:pt>
                <c:pt idx="1010">
                  <c:v>152655.93599999999</c:v>
                </c:pt>
                <c:pt idx="1011">
                  <c:v>152655.93599999999</c:v>
                </c:pt>
                <c:pt idx="1012">
                  <c:v>152655.93599999999</c:v>
                </c:pt>
                <c:pt idx="1013">
                  <c:v>152655.93599999999</c:v>
                </c:pt>
                <c:pt idx="1014">
                  <c:v>152655.93599999999</c:v>
                </c:pt>
                <c:pt idx="1015">
                  <c:v>152655.93599999999</c:v>
                </c:pt>
                <c:pt idx="1016">
                  <c:v>152655.93599999999</c:v>
                </c:pt>
                <c:pt idx="1017">
                  <c:v>152655.93599999999</c:v>
                </c:pt>
                <c:pt idx="1018">
                  <c:v>152655.93599999999</c:v>
                </c:pt>
                <c:pt idx="1019">
                  <c:v>152655.93599999999</c:v>
                </c:pt>
                <c:pt idx="1020">
                  <c:v>152655.93599999999</c:v>
                </c:pt>
                <c:pt idx="1021">
                  <c:v>152655.93599999999</c:v>
                </c:pt>
                <c:pt idx="1022">
                  <c:v>152655.93599999999</c:v>
                </c:pt>
                <c:pt idx="1023">
                  <c:v>152655.93599999999</c:v>
                </c:pt>
                <c:pt idx="1024">
                  <c:v>152655.93599999999</c:v>
                </c:pt>
                <c:pt idx="1025">
                  <c:v>152655.93599999999</c:v>
                </c:pt>
                <c:pt idx="1026">
                  <c:v>152655.93599999999</c:v>
                </c:pt>
                <c:pt idx="1027">
                  <c:v>152655.93599999999</c:v>
                </c:pt>
                <c:pt idx="1028">
                  <c:v>152655.93599999999</c:v>
                </c:pt>
                <c:pt idx="1029">
                  <c:v>152655.93599999999</c:v>
                </c:pt>
                <c:pt idx="1030">
                  <c:v>152655.93599999999</c:v>
                </c:pt>
                <c:pt idx="1031">
                  <c:v>152655.93599999999</c:v>
                </c:pt>
                <c:pt idx="1032">
                  <c:v>152655.93599999999</c:v>
                </c:pt>
                <c:pt idx="1033">
                  <c:v>152655.93599999999</c:v>
                </c:pt>
                <c:pt idx="1034">
                  <c:v>152655.93599999999</c:v>
                </c:pt>
                <c:pt idx="1035">
                  <c:v>167750.087</c:v>
                </c:pt>
                <c:pt idx="1036">
                  <c:v>167750.087</c:v>
                </c:pt>
                <c:pt idx="1037">
                  <c:v>167750.087</c:v>
                </c:pt>
                <c:pt idx="1038">
                  <c:v>167750.087</c:v>
                </c:pt>
                <c:pt idx="1039">
                  <c:v>167750.087</c:v>
                </c:pt>
                <c:pt idx="1040">
                  <c:v>174999.99100000001</c:v>
                </c:pt>
                <c:pt idx="1041">
                  <c:v>174999.99100000001</c:v>
                </c:pt>
                <c:pt idx="1042">
                  <c:v>167750.087</c:v>
                </c:pt>
                <c:pt idx="1043">
                  <c:v>167750.087</c:v>
                </c:pt>
                <c:pt idx="1044">
                  <c:v>167750.087</c:v>
                </c:pt>
                <c:pt idx="1045">
                  <c:v>167750.087</c:v>
                </c:pt>
                <c:pt idx="1046">
                  <c:v>167750.087</c:v>
                </c:pt>
                <c:pt idx="1047">
                  <c:v>167750.087</c:v>
                </c:pt>
                <c:pt idx="1048">
                  <c:v>167750.087</c:v>
                </c:pt>
                <c:pt idx="1049">
                  <c:v>167750.087</c:v>
                </c:pt>
                <c:pt idx="1050">
                  <c:v>167750.087</c:v>
                </c:pt>
                <c:pt idx="1051">
                  <c:v>167750.087</c:v>
                </c:pt>
                <c:pt idx="1052">
                  <c:v>167750.087</c:v>
                </c:pt>
                <c:pt idx="1053">
                  <c:v>167750.087</c:v>
                </c:pt>
                <c:pt idx="1054">
                  <c:v>167750.087</c:v>
                </c:pt>
                <c:pt idx="1055">
                  <c:v>167750.087</c:v>
                </c:pt>
                <c:pt idx="1056">
                  <c:v>167750.087</c:v>
                </c:pt>
                <c:pt idx="1057">
                  <c:v>167750.087</c:v>
                </c:pt>
                <c:pt idx="1058">
                  <c:v>167750.087</c:v>
                </c:pt>
                <c:pt idx="1059">
                  <c:v>167750.087</c:v>
                </c:pt>
                <c:pt idx="1060">
                  <c:v>182218.71100000001</c:v>
                </c:pt>
                <c:pt idx="1061">
                  <c:v>189437.43100000001</c:v>
                </c:pt>
                <c:pt idx="1062">
                  <c:v>198517.834</c:v>
                </c:pt>
                <c:pt idx="1063">
                  <c:v>190890.07800000001</c:v>
                </c:pt>
                <c:pt idx="1064">
                  <c:v>167750.087</c:v>
                </c:pt>
                <c:pt idx="1065">
                  <c:v>150490.32</c:v>
                </c:pt>
                <c:pt idx="1066">
                  <c:v>150490.32</c:v>
                </c:pt>
                <c:pt idx="1067">
                  <c:v>161202.56700000001</c:v>
                </c:pt>
                <c:pt idx="1068">
                  <c:v>194249.91100000002</c:v>
                </c:pt>
                <c:pt idx="1069">
                  <c:v>150490.32</c:v>
                </c:pt>
                <c:pt idx="1070">
                  <c:v>150490.32</c:v>
                </c:pt>
                <c:pt idx="1071">
                  <c:v>150490.32</c:v>
                </c:pt>
                <c:pt idx="1072">
                  <c:v>150490.32</c:v>
                </c:pt>
                <c:pt idx="1073">
                  <c:v>150490.32</c:v>
                </c:pt>
                <c:pt idx="1074">
                  <c:v>150490.32</c:v>
                </c:pt>
                <c:pt idx="1075">
                  <c:v>150490.32</c:v>
                </c:pt>
                <c:pt idx="1076">
                  <c:v>150490.32</c:v>
                </c:pt>
                <c:pt idx="1077">
                  <c:v>150490.32</c:v>
                </c:pt>
                <c:pt idx="1078">
                  <c:v>150490.32</c:v>
                </c:pt>
                <c:pt idx="1079">
                  <c:v>150490.32</c:v>
                </c:pt>
                <c:pt idx="1080">
                  <c:v>156610.19399999999</c:v>
                </c:pt>
                <c:pt idx="1081">
                  <c:v>150490.32</c:v>
                </c:pt>
                <c:pt idx="1082">
                  <c:v>174999.99100000001</c:v>
                </c:pt>
                <c:pt idx="1083">
                  <c:v>174999.99100000001</c:v>
                </c:pt>
                <c:pt idx="1084">
                  <c:v>174999.99</c:v>
                </c:pt>
                <c:pt idx="1085">
                  <c:v>150490.32</c:v>
                </c:pt>
                <c:pt idx="1086">
                  <c:v>158912.16</c:v>
                </c:pt>
                <c:pt idx="1087">
                  <c:v>150490.32</c:v>
                </c:pt>
                <c:pt idx="1088">
                  <c:v>150490.32</c:v>
                </c:pt>
                <c:pt idx="1089">
                  <c:v>150490.32</c:v>
                </c:pt>
                <c:pt idx="1090">
                  <c:v>150490.32</c:v>
                </c:pt>
                <c:pt idx="1091">
                  <c:v>150490.32</c:v>
                </c:pt>
                <c:pt idx="1092">
                  <c:v>174999.99100000001</c:v>
                </c:pt>
                <c:pt idx="1093">
                  <c:v>174999.99100000001</c:v>
                </c:pt>
                <c:pt idx="1094">
                  <c:v>150490.32</c:v>
                </c:pt>
              </c:numCache>
            </c:numRef>
          </c:val>
          <c:extLst>
            <c:ext xmlns:c16="http://schemas.microsoft.com/office/drawing/2014/chart" uri="{C3380CC4-5D6E-409C-BE32-E72D297353CC}">
              <c16:uniqueId val="{00000000-9591-4B62-A8F7-8DB323489835}"/>
            </c:ext>
          </c:extLst>
        </c:ser>
        <c:dLbls>
          <c:showLegendKey val="0"/>
          <c:showVal val="0"/>
          <c:showCatName val="0"/>
          <c:showSerName val="0"/>
          <c:showPercent val="0"/>
          <c:showBubbleSize val="0"/>
        </c:dLbls>
        <c:gapWidth val="219"/>
        <c:overlap val="-27"/>
        <c:axId val="1106302864"/>
        <c:axId val="1106308848"/>
      </c:barChart>
      <c:lineChart>
        <c:grouping val="standard"/>
        <c:varyColors val="0"/>
        <c:ser>
          <c:idx val="0"/>
          <c:order val="0"/>
          <c:tx>
            <c:strRef>
              <c:f>PITTL!$B$1</c:f>
              <c:strCache>
                <c:ptCount val="1"/>
                <c:pt idx="0">
                  <c:v>Total Technical Capacity</c:v>
                </c:pt>
              </c:strCache>
            </c:strRef>
          </c:tx>
          <c:spPr>
            <a:ln w="28575" cap="rnd">
              <a:solidFill>
                <a:srgbClr val="0070C0"/>
              </a:solidFill>
              <a:prstDash val="sysDash"/>
              <a:round/>
            </a:ln>
            <a:effectLst/>
          </c:spPr>
          <c:marker>
            <c:symbol val="none"/>
          </c:marker>
          <c:cat>
            <c:numRef>
              <c:f>PITTL!$A$2:$A$1096</c:f>
              <c:numCache>
                <c:formatCode>m/d/yyyy</c:formatCode>
                <c:ptCount val="109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pt idx="365">
                  <c:v>43009</c:v>
                </c:pt>
                <c:pt idx="366">
                  <c:v>43010</c:v>
                </c:pt>
                <c:pt idx="367">
                  <c:v>43011</c:v>
                </c:pt>
                <c:pt idx="368">
                  <c:v>43012</c:v>
                </c:pt>
                <c:pt idx="369">
                  <c:v>43013</c:v>
                </c:pt>
                <c:pt idx="370">
                  <c:v>43014</c:v>
                </c:pt>
                <c:pt idx="371">
                  <c:v>43015</c:v>
                </c:pt>
                <c:pt idx="372">
                  <c:v>43016</c:v>
                </c:pt>
                <c:pt idx="373">
                  <c:v>43017</c:v>
                </c:pt>
                <c:pt idx="374">
                  <c:v>43018</c:v>
                </c:pt>
                <c:pt idx="375">
                  <c:v>43019</c:v>
                </c:pt>
                <c:pt idx="376">
                  <c:v>43020</c:v>
                </c:pt>
                <c:pt idx="377">
                  <c:v>43021</c:v>
                </c:pt>
                <c:pt idx="378">
                  <c:v>43022</c:v>
                </c:pt>
                <c:pt idx="379">
                  <c:v>43023</c:v>
                </c:pt>
                <c:pt idx="380">
                  <c:v>43024</c:v>
                </c:pt>
                <c:pt idx="381">
                  <c:v>43025</c:v>
                </c:pt>
                <c:pt idx="382">
                  <c:v>43026</c:v>
                </c:pt>
                <c:pt idx="383">
                  <c:v>43027</c:v>
                </c:pt>
                <c:pt idx="384">
                  <c:v>43028</c:v>
                </c:pt>
                <c:pt idx="385">
                  <c:v>43029</c:v>
                </c:pt>
                <c:pt idx="386">
                  <c:v>43030</c:v>
                </c:pt>
                <c:pt idx="387">
                  <c:v>43031</c:v>
                </c:pt>
                <c:pt idx="388">
                  <c:v>43032</c:v>
                </c:pt>
                <c:pt idx="389">
                  <c:v>43033</c:v>
                </c:pt>
                <c:pt idx="390">
                  <c:v>43034</c:v>
                </c:pt>
                <c:pt idx="391">
                  <c:v>43035</c:v>
                </c:pt>
                <c:pt idx="392">
                  <c:v>43036</c:v>
                </c:pt>
                <c:pt idx="393">
                  <c:v>43037</c:v>
                </c:pt>
                <c:pt idx="394">
                  <c:v>43038</c:v>
                </c:pt>
                <c:pt idx="395">
                  <c:v>43039</c:v>
                </c:pt>
                <c:pt idx="396">
                  <c:v>43040</c:v>
                </c:pt>
                <c:pt idx="397">
                  <c:v>43041</c:v>
                </c:pt>
                <c:pt idx="398">
                  <c:v>43042</c:v>
                </c:pt>
                <c:pt idx="399">
                  <c:v>43043</c:v>
                </c:pt>
                <c:pt idx="400">
                  <c:v>43044</c:v>
                </c:pt>
                <c:pt idx="401">
                  <c:v>43045</c:v>
                </c:pt>
                <c:pt idx="402">
                  <c:v>43046</c:v>
                </c:pt>
                <c:pt idx="403">
                  <c:v>43047</c:v>
                </c:pt>
                <c:pt idx="404">
                  <c:v>43048</c:v>
                </c:pt>
                <c:pt idx="405">
                  <c:v>43049</c:v>
                </c:pt>
                <c:pt idx="406">
                  <c:v>43050</c:v>
                </c:pt>
                <c:pt idx="407">
                  <c:v>43051</c:v>
                </c:pt>
                <c:pt idx="408">
                  <c:v>43052</c:v>
                </c:pt>
                <c:pt idx="409">
                  <c:v>43053</c:v>
                </c:pt>
                <c:pt idx="410">
                  <c:v>43054</c:v>
                </c:pt>
                <c:pt idx="411">
                  <c:v>43055</c:v>
                </c:pt>
                <c:pt idx="412">
                  <c:v>43056</c:v>
                </c:pt>
                <c:pt idx="413">
                  <c:v>43057</c:v>
                </c:pt>
                <c:pt idx="414">
                  <c:v>43058</c:v>
                </c:pt>
                <c:pt idx="415">
                  <c:v>43059</c:v>
                </c:pt>
                <c:pt idx="416">
                  <c:v>43060</c:v>
                </c:pt>
                <c:pt idx="417">
                  <c:v>43061</c:v>
                </c:pt>
                <c:pt idx="418">
                  <c:v>43062</c:v>
                </c:pt>
                <c:pt idx="419">
                  <c:v>43063</c:v>
                </c:pt>
                <c:pt idx="420">
                  <c:v>43064</c:v>
                </c:pt>
                <c:pt idx="421">
                  <c:v>43065</c:v>
                </c:pt>
                <c:pt idx="422">
                  <c:v>43066</c:v>
                </c:pt>
                <c:pt idx="423">
                  <c:v>43067</c:v>
                </c:pt>
                <c:pt idx="424">
                  <c:v>43068</c:v>
                </c:pt>
                <c:pt idx="425">
                  <c:v>43069</c:v>
                </c:pt>
                <c:pt idx="426">
                  <c:v>43070</c:v>
                </c:pt>
                <c:pt idx="427">
                  <c:v>43071</c:v>
                </c:pt>
                <c:pt idx="428">
                  <c:v>43072</c:v>
                </c:pt>
                <c:pt idx="429">
                  <c:v>43073</c:v>
                </c:pt>
                <c:pt idx="430">
                  <c:v>43074</c:v>
                </c:pt>
                <c:pt idx="431">
                  <c:v>43075</c:v>
                </c:pt>
                <c:pt idx="432">
                  <c:v>43076</c:v>
                </c:pt>
                <c:pt idx="433">
                  <c:v>43077</c:v>
                </c:pt>
                <c:pt idx="434">
                  <c:v>43078</c:v>
                </c:pt>
                <c:pt idx="435">
                  <c:v>43079</c:v>
                </c:pt>
                <c:pt idx="436">
                  <c:v>43080</c:v>
                </c:pt>
                <c:pt idx="437">
                  <c:v>43081</c:v>
                </c:pt>
                <c:pt idx="438">
                  <c:v>43082</c:v>
                </c:pt>
                <c:pt idx="439">
                  <c:v>43083</c:v>
                </c:pt>
                <c:pt idx="440">
                  <c:v>43084</c:v>
                </c:pt>
                <c:pt idx="441">
                  <c:v>43085</c:v>
                </c:pt>
                <c:pt idx="442">
                  <c:v>43086</c:v>
                </c:pt>
                <c:pt idx="443">
                  <c:v>43087</c:v>
                </c:pt>
                <c:pt idx="444">
                  <c:v>43088</c:v>
                </c:pt>
                <c:pt idx="445">
                  <c:v>43089</c:v>
                </c:pt>
                <c:pt idx="446">
                  <c:v>43090</c:v>
                </c:pt>
                <c:pt idx="447">
                  <c:v>43091</c:v>
                </c:pt>
                <c:pt idx="448">
                  <c:v>43092</c:v>
                </c:pt>
                <c:pt idx="449">
                  <c:v>43093</c:v>
                </c:pt>
                <c:pt idx="450">
                  <c:v>43094</c:v>
                </c:pt>
                <c:pt idx="451">
                  <c:v>43095</c:v>
                </c:pt>
                <c:pt idx="452">
                  <c:v>43096</c:v>
                </c:pt>
                <c:pt idx="453">
                  <c:v>43097</c:v>
                </c:pt>
                <c:pt idx="454">
                  <c:v>43098</c:v>
                </c:pt>
                <c:pt idx="455">
                  <c:v>43099</c:v>
                </c:pt>
                <c:pt idx="456">
                  <c:v>43100</c:v>
                </c:pt>
                <c:pt idx="457">
                  <c:v>43101</c:v>
                </c:pt>
                <c:pt idx="458">
                  <c:v>43102</c:v>
                </c:pt>
                <c:pt idx="459">
                  <c:v>43103</c:v>
                </c:pt>
                <c:pt idx="460">
                  <c:v>43104</c:v>
                </c:pt>
                <c:pt idx="461">
                  <c:v>43105</c:v>
                </c:pt>
                <c:pt idx="462">
                  <c:v>43106</c:v>
                </c:pt>
                <c:pt idx="463">
                  <c:v>43107</c:v>
                </c:pt>
                <c:pt idx="464">
                  <c:v>43108</c:v>
                </c:pt>
                <c:pt idx="465">
                  <c:v>43109</c:v>
                </c:pt>
                <c:pt idx="466">
                  <c:v>43110</c:v>
                </c:pt>
                <c:pt idx="467">
                  <c:v>43111</c:v>
                </c:pt>
                <c:pt idx="468">
                  <c:v>43112</c:v>
                </c:pt>
                <c:pt idx="469">
                  <c:v>43113</c:v>
                </c:pt>
                <c:pt idx="470">
                  <c:v>43114</c:v>
                </c:pt>
                <c:pt idx="471">
                  <c:v>43115</c:v>
                </c:pt>
                <c:pt idx="472">
                  <c:v>43116</c:v>
                </c:pt>
                <c:pt idx="473">
                  <c:v>43117</c:v>
                </c:pt>
                <c:pt idx="474">
                  <c:v>43118</c:v>
                </c:pt>
                <c:pt idx="475">
                  <c:v>43119</c:v>
                </c:pt>
                <c:pt idx="476">
                  <c:v>43120</c:v>
                </c:pt>
                <c:pt idx="477">
                  <c:v>43121</c:v>
                </c:pt>
                <c:pt idx="478">
                  <c:v>43122</c:v>
                </c:pt>
                <c:pt idx="479">
                  <c:v>43123</c:v>
                </c:pt>
                <c:pt idx="480">
                  <c:v>43124</c:v>
                </c:pt>
                <c:pt idx="481">
                  <c:v>43125</c:v>
                </c:pt>
                <c:pt idx="482">
                  <c:v>43126</c:v>
                </c:pt>
                <c:pt idx="483">
                  <c:v>43127</c:v>
                </c:pt>
                <c:pt idx="484">
                  <c:v>43128</c:v>
                </c:pt>
                <c:pt idx="485">
                  <c:v>43129</c:v>
                </c:pt>
                <c:pt idx="486">
                  <c:v>43130</c:v>
                </c:pt>
                <c:pt idx="487">
                  <c:v>43131</c:v>
                </c:pt>
                <c:pt idx="488">
                  <c:v>43132</c:v>
                </c:pt>
                <c:pt idx="489">
                  <c:v>43133</c:v>
                </c:pt>
                <c:pt idx="490">
                  <c:v>43134</c:v>
                </c:pt>
                <c:pt idx="491">
                  <c:v>43135</c:v>
                </c:pt>
                <c:pt idx="492">
                  <c:v>43136</c:v>
                </c:pt>
                <c:pt idx="493">
                  <c:v>43137</c:v>
                </c:pt>
                <c:pt idx="494">
                  <c:v>43138</c:v>
                </c:pt>
                <c:pt idx="495">
                  <c:v>43139</c:v>
                </c:pt>
                <c:pt idx="496">
                  <c:v>43140</c:v>
                </c:pt>
                <c:pt idx="497">
                  <c:v>43141</c:v>
                </c:pt>
                <c:pt idx="498">
                  <c:v>43142</c:v>
                </c:pt>
                <c:pt idx="499">
                  <c:v>43143</c:v>
                </c:pt>
                <c:pt idx="500">
                  <c:v>43144</c:v>
                </c:pt>
                <c:pt idx="501">
                  <c:v>43145</c:v>
                </c:pt>
                <c:pt idx="502">
                  <c:v>43146</c:v>
                </c:pt>
                <c:pt idx="503">
                  <c:v>43147</c:v>
                </c:pt>
                <c:pt idx="504">
                  <c:v>43148</c:v>
                </c:pt>
                <c:pt idx="505">
                  <c:v>43149</c:v>
                </c:pt>
                <c:pt idx="506">
                  <c:v>43150</c:v>
                </c:pt>
                <c:pt idx="507">
                  <c:v>43151</c:v>
                </c:pt>
                <c:pt idx="508">
                  <c:v>43152</c:v>
                </c:pt>
                <c:pt idx="509">
                  <c:v>43153</c:v>
                </c:pt>
                <c:pt idx="510">
                  <c:v>43154</c:v>
                </c:pt>
                <c:pt idx="511">
                  <c:v>43155</c:v>
                </c:pt>
                <c:pt idx="512">
                  <c:v>43156</c:v>
                </c:pt>
                <c:pt idx="513">
                  <c:v>43157</c:v>
                </c:pt>
                <c:pt idx="514">
                  <c:v>43158</c:v>
                </c:pt>
                <c:pt idx="515">
                  <c:v>43159</c:v>
                </c:pt>
                <c:pt idx="516">
                  <c:v>43160</c:v>
                </c:pt>
                <c:pt idx="517">
                  <c:v>43161</c:v>
                </c:pt>
                <c:pt idx="518">
                  <c:v>43162</c:v>
                </c:pt>
                <c:pt idx="519">
                  <c:v>43163</c:v>
                </c:pt>
                <c:pt idx="520">
                  <c:v>43164</c:v>
                </c:pt>
                <c:pt idx="521">
                  <c:v>43165</c:v>
                </c:pt>
                <c:pt idx="522">
                  <c:v>43166</c:v>
                </c:pt>
                <c:pt idx="523">
                  <c:v>43167</c:v>
                </c:pt>
                <c:pt idx="524">
                  <c:v>43168</c:v>
                </c:pt>
                <c:pt idx="525">
                  <c:v>43169</c:v>
                </c:pt>
                <c:pt idx="526">
                  <c:v>43170</c:v>
                </c:pt>
                <c:pt idx="527">
                  <c:v>43171</c:v>
                </c:pt>
                <c:pt idx="528">
                  <c:v>43172</c:v>
                </c:pt>
                <c:pt idx="529">
                  <c:v>43173</c:v>
                </c:pt>
                <c:pt idx="530">
                  <c:v>43174</c:v>
                </c:pt>
                <c:pt idx="531">
                  <c:v>43175</c:v>
                </c:pt>
                <c:pt idx="532">
                  <c:v>43176</c:v>
                </c:pt>
                <c:pt idx="533">
                  <c:v>43177</c:v>
                </c:pt>
                <c:pt idx="534">
                  <c:v>43178</c:v>
                </c:pt>
                <c:pt idx="535">
                  <c:v>43179</c:v>
                </c:pt>
                <c:pt idx="536">
                  <c:v>43180</c:v>
                </c:pt>
                <c:pt idx="537">
                  <c:v>43181</c:v>
                </c:pt>
                <c:pt idx="538">
                  <c:v>43182</c:v>
                </c:pt>
                <c:pt idx="539">
                  <c:v>43183</c:v>
                </c:pt>
                <c:pt idx="540">
                  <c:v>43184</c:v>
                </c:pt>
                <c:pt idx="541">
                  <c:v>43185</c:v>
                </c:pt>
                <c:pt idx="542">
                  <c:v>43186</c:v>
                </c:pt>
                <c:pt idx="543">
                  <c:v>43187</c:v>
                </c:pt>
                <c:pt idx="544">
                  <c:v>43188</c:v>
                </c:pt>
                <c:pt idx="545">
                  <c:v>43189</c:v>
                </c:pt>
                <c:pt idx="546">
                  <c:v>43190</c:v>
                </c:pt>
                <c:pt idx="547">
                  <c:v>43191</c:v>
                </c:pt>
                <c:pt idx="548">
                  <c:v>43192</c:v>
                </c:pt>
                <c:pt idx="549">
                  <c:v>43193</c:v>
                </c:pt>
                <c:pt idx="550">
                  <c:v>43194</c:v>
                </c:pt>
                <c:pt idx="551">
                  <c:v>43195</c:v>
                </c:pt>
                <c:pt idx="552">
                  <c:v>43196</c:v>
                </c:pt>
                <c:pt idx="553">
                  <c:v>43197</c:v>
                </c:pt>
                <c:pt idx="554">
                  <c:v>43198</c:v>
                </c:pt>
                <c:pt idx="555">
                  <c:v>43199</c:v>
                </c:pt>
                <c:pt idx="556">
                  <c:v>43200</c:v>
                </c:pt>
                <c:pt idx="557">
                  <c:v>43201</c:v>
                </c:pt>
                <c:pt idx="558">
                  <c:v>43202</c:v>
                </c:pt>
                <c:pt idx="559">
                  <c:v>43203</c:v>
                </c:pt>
                <c:pt idx="560">
                  <c:v>43204</c:v>
                </c:pt>
                <c:pt idx="561">
                  <c:v>43205</c:v>
                </c:pt>
                <c:pt idx="562">
                  <c:v>43206</c:v>
                </c:pt>
                <c:pt idx="563">
                  <c:v>43207</c:v>
                </c:pt>
                <c:pt idx="564">
                  <c:v>43208</c:v>
                </c:pt>
                <c:pt idx="565">
                  <c:v>43209</c:v>
                </c:pt>
                <c:pt idx="566">
                  <c:v>43210</c:v>
                </c:pt>
                <c:pt idx="567">
                  <c:v>43211</c:v>
                </c:pt>
                <c:pt idx="568">
                  <c:v>43212</c:v>
                </c:pt>
                <c:pt idx="569">
                  <c:v>43213</c:v>
                </c:pt>
                <c:pt idx="570">
                  <c:v>43214</c:v>
                </c:pt>
                <c:pt idx="571">
                  <c:v>43215</c:v>
                </c:pt>
                <c:pt idx="572">
                  <c:v>43216</c:v>
                </c:pt>
                <c:pt idx="573">
                  <c:v>43217</c:v>
                </c:pt>
                <c:pt idx="574">
                  <c:v>43218</c:v>
                </c:pt>
                <c:pt idx="575">
                  <c:v>43219</c:v>
                </c:pt>
                <c:pt idx="576">
                  <c:v>43220</c:v>
                </c:pt>
                <c:pt idx="577">
                  <c:v>43221</c:v>
                </c:pt>
                <c:pt idx="578">
                  <c:v>43222</c:v>
                </c:pt>
                <c:pt idx="579">
                  <c:v>43223</c:v>
                </c:pt>
                <c:pt idx="580">
                  <c:v>43224</c:v>
                </c:pt>
                <c:pt idx="581">
                  <c:v>43225</c:v>
                </c:pt>
                <c:pt idx="582">
                  <c:v>43226</c:v>
                </c:pt>
                <c:pt idx="583">
                  <c:v>43227</c:v>
                </c:pt>
                <c:pt idx="584">
                  <c:v>43228</c:v>
                </c:pt>
                <c:pt idx="585">
                  <c:v>43229</c:v>
                </c:pt>
                <c:pt idx="586">
                  <c:v>43230</c:v>
                </c:pt>
                <c:pt idx="587">
                  <c:v>43231</c:v>
                </c:pt>
                <c:pt idx="588">
                  <c:v>43232</c:v>
                </c:pt>
                <c:pt idx="589">
                  <c:v>43233</c:v>
                </c:pt>
                <c:pt idx="590">
                  <c:v>43234</c:v>
                </c:pt>
                <c:pt idx="591">
                  <c:v>43235</c:v>
                </c:pt>
                <c:pt idx="592">
                  <c:v>43236</c:v>
                </c:pt>
                <c:pt idx="593">
                  <c:v>43237</c:v>
                </c:pt>
                <c:pt idx="594">
                  <c:v>43238</c:v>
                </c:pt>
                <c:pt idx="595">
                  <c:v>43239</c:v>
                </c:pt>
                <c:pt idx="596">
                  <c:v>43240</c:v>
                </c:pt>
                <c:pt idx="597">
                  <c:v>43241</c:v>
                </c:pt>
                <c:pt idx="598">
                  <c:v>43242</c:v>
                </c:pt>
                <c:pt idx="599">
                  <c:v>43243</c:v>
                </c:pt>
                <c:pt idx="600">
                  <c:v>43244</c:v>
                </c:pt>
                <c:pt idx="601">
                  <c:v>43245</c:v>
                </c:pt>
                <c:pt idx="602">
                  <c:v>43246</c:v>
                </c:pt>
                <c:pt idx="603">
                  <c:v>43247</c:v>
                </c:pt>
                <c:pt idx="604">
                  <c:v>43248</c:v>
                </c:pt>
                <c:pt idx="605">
                  <c:v>43249</c:v>
                </c:pt>
                <c:pt idx="606">
                  <c:v>43250</c:v>
                </c:pt>
                <c:pt idx="607">
                  <c:v>43251</c:v>
                </c:pt>
                <c:pt idx="608">
                  <c:v>43252</c:v>
                </c:pt>
                <c:pt idx="609">
                  <c:v>43253</c:v>
                </c:pt>
                <c:pt idx="610">
                  <c:v>43254</c:v>
                </c:pt>
                <c:pt idx="611">
                  <c:v>43255</c:v>
                </c:pt>
                <c:pt idx="612">
                  <c:v>43256</c:v>
                </c:pt>
                <c:pt idx="613">
                  <c:v>43257</c:v>
                </c:pt>
                <c:pt idx="614">
                  <c:v>43258</c:v>
                </c:pt>
                <c:pt idx="615">
                  <c:v>43259</c:v>
                </c:pt>
                <c:pt idx="616">
                  <c:v>43260</c:v>
                </c:pt>
                <c:pt idx="617">
                  <c:v>43261</c:v>
                </c:pt>
                <c:pt idx="618">
                  <c:v>43262</c:v>
                </c:pt>
                <c:pt idx="619">
                  <c:v>43263</c:v>
                </c:pt>
                <c:pt idx="620">
                  <c:v>43264</c:v>
                </c:pt>
                <c:pt idx="621">
                  <c:v>43265</c:v>
                </c:pt>
                <c:pt idx="622">
                  <c:v>43266</c:v>
                </c:pt>
                <c:pt idx="623">
                  <c:v>43267</c:v>
                </c:pt>
                <c:pt idx="624">
                  <c:v>43268</c:v>
                </c:pt>
                <c:pt idx="625">
                  <c:v>43269</c:v>
                </c:pt>
                <c:pt idx="626">
                  <c:v>43270</c:v>
                </c:pt>
                <c:pt idx="627">
                  <c:v>43271</c:v>
                </c:pt>
                <c:pt idx="628">
                  <c:v>43272</c:v>
                </c:pt>
                <c:pt idx="629">
                  <c:v>43273</c:v>
                </c:pt>
                <c:pt idx="630">
                  <c:v>43274</c:v>
                </c:pt>
                <c:pt idx="631">
                  <c:v>43275</c:v>
                </c:pt>
                <c:pt idx="632">
                  <c:v>43276</c:v>
                </c:pt>
                <c:pt idx="633">
                  <c:v>43277</c:v>
                </c:pt>
                <c:pt idx="634">
                  <c:v>43278</c:v>
                </c:pt>
                <c:pt idx="635">
                  <c:v>43279</c:v>
                </c:pt>
                <c:pt idx="636">
                  <c:v>43280</c:v>
                </c:pt>
                <c:pt idx="637">
                  <c:v>43281</c:v>
                </c:pt>
                <c:pt idx="638">
                  <c:v>43282</c:v>
                </c:pt>
                <c:pt idx="639">
                  <c:v>43283</c:v>
                </c:pt>
                <c:pt idx="640">
                  <c:v>43284</c:v>
                </c:pt>
                <c:pt idx="641">
                  <c:v>43285</c:v>
                </c:pt>
                <c:pt idx="642">
                  <c:v>43286</c:v>
                </c:pt>
                <c:pt idx="643">
                  <c:v>43287</c:v>
                </c:pt>
                <c:pt idx="644">
                  <c:v>43288</c:v>
                </c:pt>
                <c:pt idx="645">
                  <c:v>43289</c:v>
                </c:pt>
                <c:pt idx="646">
                  <c:v>43290</c:v>
                </c:pt>
                <c:pt idx="647">
                  <c:v>43291</c:v>
                </c:pt>
                <c:pt idx="648">
                  <c:v>43292</c:v>
                </c:pt>
                <c:pt idx="649">
                  <c:v>43293</c:v>
                </c:pt>
                <c:pt idx="650">
                  <c:v>43294</c:v>
                </c:pt>
                <c:pt idx="651">
                  <c:v>43295</c:v>
                </c:pt>
                <c:pt idx="652">
                  <c:v>43296</c:v>
                </c:pt>
                <c:pt idx="653">
                  <c:v>43297</c:v>
                </c:pt>
                <c:pt idx="654">
                  <c:v>43298</c:v>
                </c:pt>
                <c:pt idx="655">
                  <c:v>43299</c:v>
                </c:pt>
                <c:pt idx="656">
                  <c:v>43300</c:v>
                </c:pt>
                <c:pt idx="657">
                  <c:v>43301</c:v>
                </c:pt>
                <c:pt idx="658">
                  <c:v>43302</c:v>
                </c:pt>
                <c:pt idx="659">
                  <c:v>43303</c:v>
                </c:pt>
                <c:pt idx="660">
                  <c:v>43304</c:v>
                </c:pt>
                <c:pt idx="661">
                  <c:v>43305</c:v>
                </c:pt>
                <c:pt idx="662">
                  <c:v>43306</c:v>
                </c:pt>
                <c:pt idx="663">
                  <c:v>43307</c:v>
                </c:pt>
                <c:pt idx="664">
                  <c:v>43308</c:v>
                </c:pt>
                <c:pt idx="665">
                  <c:v>43309</c:v>
                </c:pt>
                <c:pt idx="666">
                  <c:v>43310</c:v>
                </c:pt>
                <c:pt idx="667">
                  <c:v>43311</c:v>
                </c:pt>
                <c:pt idx="668">
                  <c:v>43312</c:v>
                </c:pt>
                <c:pt idx="669">
                  <c:v>43313</c:v>
                </c:pt>
                <c:pt idx="670">
                  <c:v>43314</c:v>
                </c:pt>
                <c:pt idx="671">
                  <c:v>43315</c:v>
                </c:pt>
                <c:pt idx="672">
                  <c:v>43316</c:v>
                </c:pt>
                <c:pt idx="673">
                  <c:v>43317</c:v>
                </c:pt>
                <c:pt idx="674">
                  <c:v>43318</c:v>
                </c:pt>
                <c:pt idx="675">
                  <c:v>43319</c:v>
                </c:pt>
                <c:pt idx="676">
                  <c:v>43320</c:v>
                </c:pt>
                <c:pt idx="677">
                  <c:v>43321</c:v>
                </c:pt>
                <c:pt idx="678">
                  <c:v>43322</c:v>
                </c:pt>
                <c:pt idx="679">
                  <c:v>43323</c:v>
                </c:pt>
                <c:pt idx="680">
                  <c:v>43324</c:v>
                </c:pt>
                <c:pt idx="681">
                  <c:v>43325</c:v>
                </c:pt>
                <c:pt idx="682">
                  <c:v>43326</c:v>
                </c:pt>
                <c:pt idx="683">
                  <c:v>43327</c:v>
                </c:pt>
                <c:pt idx="684">
                  <c:v>43328</c:v>
                </c:pt>
                <c:pt idx="685">
                  <c:v>43329</c:v>
                </c:pt>
                <c:pt idx="686">
                  <c:v>43330</c:v>
                </c:pt>
                <c:pt idx="687">
                  <c:v>43331</c:v>
                </c:pt>
                <c:pt idx="688">
                  <c:v>43332</c:v>
                </c:pt>
                <c:pt idx="689">
                  <c:v>43333</c:v>
                </c:pt>
                <c:pt idx="690">
                  <c:v>43334</c:v>
                </c:pt>
                <c:pt idx="691">
                  <c:v>43335</c:v>
                </c:pt>
                <c:pt idx="692">
                  <c:v>43336</c:v>
                </c:pt>
                <c:pt idx="693">
                  <c:v>43337</c:v>
                </c:pt>
                <c:pt idx="694">
                  <c:v>43338</c:v>
                </c:pt>
                <c:pt idx="695">
                  <c:v>43339</c:v>
                </c:pt>
                <c:pt idx="696">
                  <c:v>43340</c:v>
                </c:pt>
                <c:pt idx="697">
                  <c:v>43341</c:v>
                </c:pt>
                <c:pt idx="698">
                  <c:v>43342</c:v>
                </c:pt>
                <c:pt idx="699">
                  <c:v>43343</c:v>
                </c:pt>
                <c:pt idx="700">
                  <c:v>43344</c:v>
                </c:pt>
                <c:pt idx="701">
                  <c:v>43345</c:v>
                </c:pt>
                <c:pt idx="702">
                  <c:v>43346</c:v>
                </c:pt>
                <c:pt idx="703">
                  <c:v>43347</c:v>
                </c:pt>
                <c:pt idx="704">
                  <c:v>43348</c:v>
                </c:pt>
                <c:pt idx="705">
                  <c:v>43349</c:v>
                </c:pt>
                <c:pt idx="706">
                  <c:v>43350</c:v>
                </c:pt>
                <c:pt idx="707">
                  <c:v>43351</c:v>
                </c:pt>
                <c:pt idx="708">
                  <c:v>43352</c:v>
                </c:pt>
                <c:pt idx="709">
                  <c:v>43353</c:v>
                </c:pt>
                <c:pt idx="710">
                  <c:v>43354</c:v>
                </c:pt>
                <c:pt idx="711">
                  <c:v>43355</c:v>
                </c:pt>
                <c:pt idx="712">
                  <c:v>43356</c:v>
                </c:pt>
                <c:pt idx="713">
                  <c:v>43357</c:v>
                </c:pt>
                <c:pt idx="714">
                  <c:v>43358</c:v>
                </c:pt>
                <c:pt idx="715">
                  <c:v>43359</c:v>
                </c:pt>
                <c:pt idx="716">
                  <c:v>43360</c:v>
                </c:pt>
                <c:pt idx="717">
                  <c:v>43361</c:v>
                </c:pt>
                <c:pt idx="718">
                  <c:v>43362</c:v>
                </c:pt>
                <c:pt idx="719">
                  <c:v>43363</c:v>
                </c:pt>
                <c:pt idx="720">
                  <c:v>43364</c:v>
                </c:pt>
                <c:pt idx="721">
                  <c:v>43365</c:v>
                </c:pt>
                <c:pt idx="722">
                  <c:v>43366</c:v>
                </c:pt>
                <c:pt idx="723">
                  <c:v>43367</c:v>
                </c:pt>
                <c:pt idx="724">
                  <c:v>43368</c:v>
                </c:pt>
                <c:pt idx="725">
                  <c:v>43369</c:v>
                </c:pt>
                <c:pt idx="726">
                  <c:v>43370</c:v>
                </c:pt>
                <c:pt idx="727">
                  <c:v>43371</c:v>
                </c:pt>
                <c:pt idx="728">
                  <c:v>43372</c:v>
                </c:pt>
                <c:pt idx="729">
                  <c:v>43373</c:v>
                </c:pt>
                <c:pt idx="730">
                  <c:v>43374</c:v>
                </c:pt>
                <c:pt idx="731">
                  <c:v>43375</c:v>
                </c:pt>
                <c:pt idx="732">
                  <c:v>43376</c:v>
                </c:pt>
                <c:pt idx="733">
                  <c:v>43377</c:v>
                </c:pt>
                <c:pt idx="734">
                  <c:v>43378</c:v>
                </c:pt>
                <c:pt idx="735">
                  <c:v>43379</c:v>
                </c:pt>
                <c:pt idx="736">
                  <c:v>43380</c:v>
                </c:pt>
                <c:pt idx="737">
                  <c:v>43381</c:v>
                </c:pt>
                <c:pt idx="738">
                  <c:v>43382</c:v>
                </c:pt>
                <c:pt idx="739">
                  <c:v>43383</c:v>
                </c:pt>
                <c:pt idx="740">
                  <c:v>43384</c:v>
                </c:pt>
                <c:pt idx="741">
                  <c:v>43385</c:v>
                </c:pt>
                <c:pt idx="742">
                  <c:v>43386</c:v>
                </c:pt>
                <c:pt idx="743">
                  <c:v>43387</c:v>
                </c:pt>
                <c:pt idx="744">
                  <c:v>43388</c:v>
                </c:pt>
                <c:pt idx="745">
                  <c:v>43389</c:v>
                </c:pt>
                <c:pt idx="746">
                  <c:v>43390</c:v>
                </c:pt>
                <c:pt idx="747">
                  <c:v>43391</c:v>
                </c:pt>
                <c:pt idx="748">
                  <c:v>43392</c:v>
                </c:pt>
                <c:pt idx="749">
                  <c:v>43393</c:v>
                </c:pt>
                <c:pt idx="750">
                  <c:v>43394</c:v>
                </c:pt>
                <c:pt idx="751">
                  <c:v>43395</c:v>
                </c:pt>
                <c:pt idx="752">
                  <c:v>43396</c:v>
                </c:pt>
                <c:pt idx="753">
                  <c:v>43397</c:v>
                </c:pt>
                <c:pt idx="754">
                  <c:v>43398</c:v>
                </c:pt>
                <c:pt idx="755">
                  <c:v>43399</c:v>
                </c:pt>
                <c:pt idx="756">
                  <c:v>43400</c:v>
                </c:pt>
                <c:pt idx="757">
                  <c:v>43401</c:v>
                </c:pt>
                <c:pt idx="758">
                  <c:v>43402</c:v>
                </c:pt>
                <c:pt idx="759">
                  <c:v>43403</c:v>
                </c:pt>
                <c:pt idx="760">
                  <c:v>43404</c:v>
                </c:pt>
                <c:pt idx="761">
                  <c:v>43405</c:v>
                </c:pt>
                <c:pt idx="762">
                  <c:v>43406</c:v>
                </c:pt>
                <c:pt idx="763">
                  <c:v>43407</c:v>
                </c:pt>
                <c:pt idx="764">
                  <c:v>43408</c:v>
                </c:pt>
                <c:pt idx="765">
                  <c:v>43409</c:v>
                </c:pt>
                <c:pt idx="766">
                  <c:v>43410</c:v>
                </c:pt>
                <c:pt idx="767">
                  <c:v>43411</c:v>
                </c:pt>
                <c:pt idx="768">
                  <c:v>43412</c:v>
                </c:pt>
                <c:pt idx="769">
                  <c:v>43413</c:v>
                </c:pt>
                <c:pt idx="770">
                  <c:v>43414</c:v>
                </c:pt>
                <c:pt idx="771">
                  <c:v>43415</c:v>
                </c:pt>
                <c:pt idx="772">
                  <c:v>43416</c:v>
                </c:pt>
                <c:pt idx="773">
                  <c:v>43417</c:v>
                </c:pt>
                <c:pt idx="774">
                  <c:v>43418</c:v>
                </c:pt>
                <c:pt idx="775">
                  <c:v>43419</c:v>
                </c:pt>
                <c:pt idx="776">
                  <c:v>43420</c:v>
                </c:pt>
                <c:pt idx="777">
                  <c:v>43421</c:v>
                </c:pt>
                <c:pt idx="778">
                  <c:v>43422</c:v>
                </c:pt>
                <c:pt idx="779">
                  <c:v>43423</c:v>
                </c:pt>
                <c:pt idx="780">
                  <c:v>43424</c:v>
                </c:pt>
                <c:pt idx="781">
                  <c:v>43425</c:v>
                </c:pt>
                <c:pt idx="782">
                  <c:v>43426</c:v>
                </c:pt>
                <c:pt idx="783">
                  <c:v>43427</c:v>
                </c:pt>
                <c:pt idx="784">
                  <c:v>43428</c:v>
                </c:pt>
                <c:pt idx="785">
                  <c:v>43429</c:v>
                </c:pt>
                <c:pt idx="786">
                  <c:v>43430</c:v>
                </c:pt>
                <c:pt idx="787">
                  <c:v>43431</c:v>
                </c:pt>
                <c:pt idx="788">
                  <c:v>43432</c:v>
                </c:pt>
                <c:pt idx="789">
                  <c:v>43433</c:v>
                </c:pt>
                <c:pt idx="790">
                  <c:v>43434</c:v>
                </c:pt>
                <c:pt idx="791">
                  <c:v>43435</c:v>
                </c:pt>
                <c:pt idx="792">
                  <c:v>43436</c:v>
                </c:pt>
                <c:pt idx="793">
                  <c:v>43437</c:v>
                </c:pt>
                <c:pt idx="794">
                  <c:v>43438</c:v>
                </c:pt>
                <c:pt idx="795">
                  <c:v>43439</c:v>
                </c:pt>
                <c:pt idx="796">
                  <c:v>43440</c:v>
                </c:pt>
                <c:pt idx="797">
                  <c:v>43441</c:v>
                </c:pt>
                <c:pt idx="798">
                  <c:v>43442</c:v>
                </c:pt>
                <c:pt idx="799">
                  <c:v>43443</c:v>
                </c:pt>
                <c:pt idx="800">
                  <c:v>43444</c:v>
                </c:pt>
                <c:pt idx="801">
                  <c:v>43445</c:v>
                </c:pt>
                <c:pt idx="802">
                  <c:v>43446</c:v>
                </c:pt>
                <c:pt idx="803">
                  <c:v>43447</c:v>
                </c:pt>
                <c:pt idx="804">
                  <c:v>43448</c:v>
                </c:pt>
                <c:pt idx="805">
                  <c:v>43449</c:v>
                </c:pt>
                <c:pt idx="806">
                  <c:v>43450</c:v>
                </c:pt>
                <c:pt idx="807">
                  <c:v>43451</c:v>
                </c:pt>
                <c:pt idx="808">
                  <c:v>43452</c:v>
                </c:pt>
                <c:pt idx="809">
                  <c:v>43453</c:v>
                </c:pt>
                <c:pt idx="810">
                  <c:v>43454</c:v>
                </c:pt>
                <c:pt idx="811">
                  <c:v>43455</c:v>
                </c:pt>
                <c:pt idx="812">
                  <c:v>43456</c:v>
                </c:pt>
                <c:pt idx="813">
                  <c:v>43457</c:v>
                </c:pt>
                <c:pt idx="814">
                  <c:v>43458</c:v>
                </c:pt>
                <c:pt idx="815">
                  <c:v>43459</c:v>
                </c:pt>
                <c:pt idx="816">
                  <c:v>43460</c:v>
                </c:pt>
                <c:pt idx="817">
                  <c:v>43461</c:v>
                </c:pt>
                <c:pt idx="818">
                  <c:v>43462</c:v>
                </c:pt>
                <c:pt idx="819">
                  <c:v>43463</c:v>
                </c:pt>
                <c:pt idx="820">
                  <c:v>43464</c:v>
                </c:pt>
                <c:pt idx="821">
                  <c:v>43465</c:v>
                </c:pt>
                <c:pt idx="822">
                  <c:v>43466</c:v>
                </c:pt>
                <c:pt idx="823">
                  <c:v>43467</c:v>
                </c:pt>
                <c:pt idx="824">
                  <c:v>43468</c:v>
                </c:pt>
                <c:pt idx="825">
                  <c:v>43469</c:v>
                </c:pt>
                <c:pt idx="826">
                  <c:v>43470</c:v>
                </c:pt>
                <c:pt idx="827">
                  <c:v>43471</c:v>
                </c:pt>
                <c:pt idx="828">
                  <c:v>43472</c:v>
                </c:pt>
                <c:pt idx="829">
                  <c:v>43473</c:v>
                </c:pt>
                <c:pt idx="830">
                  <c:v>43474</c:v>
                </c:pt>
                <c:pt idx="831">
                  <c:v>43475</c:v>
                </c:pt>
                <c:pt idx="832">
                  <c:v>43476</c:v>
                </c:pt>
                <c:pt idx="833">
                  <c:v>43477</c:v>
                </c:pt>
                <c:pt idx="834">
                  <c:v>43478</c:v>
                </c:pt>
                <c:pt idx="835">
                  <c:v>43479</c:v>
                </c:pt>
                <c:pt idx="836">
                  <c:v>43480</c:v>
                </c:pt>
                <c:pt idx="837">
                  <c:v>43481</c:v>
                </c:pt>
                <c:pt idx="838">
                  <c:v>43482</c:v>
                </c:pt>
                <c:pt idx="839">
                  <c:v>43483</c:v>
                </c:pt>
                <c:pt idx="840">
                  <c:v>43484</c:v>
                </c:pt>
                <c:pt idx="841">
                  <c:v>43485</c:v>
                </c:pt>
                <c:pt idx="842">
                  <c:v>43486</c:v>
                </c:pt>
                <c:pt idx="843">
                  <c:v>43487</c:v>
                </c:pt>
                <c:pt idx="844">
                  <c:v>43488</c:v>
                </c:pt>
                <c:pt idx="845">
                  <c:v>43489</c:v>
                </c:pt>
                <c:pt idx="846">
                  <c:v>43490</c:v>
                </c:pt>
                <c:pt idx="847">
                  <c:v>43491</c:v>
                </c:pt>
                <c:pt idx="848">
                  <c:v>43492</c:v>
                </c:pt>
                <c:pt idx="849">
                  <c:v>43493</c:v>
                </c:pt>
                <c:pt idx="850">
                  <c:v>43494</c:v>
                </c:pt>
                <c:pt idx="851">
                  <c:v>43495</c:v>
                </c:pt>
                <c:pt idx="852">
                  <c:v>43496</c:v>
                </c:pt>
                <c:pt idx="853">
                  <c:v>43497</c:v>
                </c:pt>
                <c:pt idx="854">
                  <c:v>43498</c:v>
                </c:pt>
                <c:pt idx="855">
                  <c:v>43499</c:v>
                </c:pt>
                <c:pt idx="856">
                  <c:v>43500</c:v>
                </c:pt>
                <c:pt idx="857">
                  <c:v>43501</c:v>
                </c:pt>
                <c:pt idx="858">
                  <c:v>43502</c:v>
                </c:pt>
                <c:pt idx="859">
                  <c:v>43503</c:v>
                </c:pt>
                <c:pt idx="860">
                  <c:v>43504</c:v>
                </c:pt>
                <c:pt idx="861">
                  <c:v>43505</c:v>
                </c:pt>
                <c:pt idx="862">
                  <c:v>43506</c:v>
                </c:pt>
                <c:pt idx="863">
                  <c:v>43507</c:v>
                </c:pt>
                <c:pt idx="864">
                  <c:v>43508</c:v>
                </c:pt>
                <c:pt idx="865">
                  <c:v>43509</c:v>
                </c:pt>
                <c:pt idx="866">
                  <c:v>43510</c:v>
                </c:pt>
                <c:pt idx="867">
                  <c:v>43511</c:v>
                </c:pt>
                <c:pt idx="868">
                  <c:v>43512</c:v>
                </c:pt>
                <c:pt idx="869">
                  <c:v>43513</c:v>
                </c:pt>
                <c:pt idx="870">
                  <c:v>43514</c:v>
                </c:pt>
                <c:pt idx="871">
                  <c:v>43515</c:v>
                </c:pt>
                <c:pt idx="872">
                  <c:v>43516</c:v>
                </c:pt>
                <c:pt idx="873">
                  <c:v>43517</c:v>
                </c:pt>
                <c:pt idx="874">
                  <c:v>43518</c:v>
                </c:pt>
                <c:pt idx="875">
                  <c:v>43519</c:v>
                </c:pt>
                <c:pt idx="876">
                  <c:v>43520</c:v>
                </c:pt>
                <c:pt idx="877">
                  <c:v>43521</c:v>
                </c:pt>
                <c:pt idx="878">
                  <c:v>43522</c:v>
                </c:pt>
                <c:pt idx="879">
                  <c:v>43523</c:v>
                </c:pt>
                <c:pt idx="880">
                  <c:v>43524</c:v>
                </c:pt>
                <c:pt idx="881">
                  <c:v>43525</c:v>
                </c:pt>
                <c:pt idx="882">
                  <c:v>43526</c:v>
                </c:pt>
                <c:pt idx="883">
                  <c:v>43527</c:v>
                </c:pt>
                <c:pt idx="884">
                  <c:v>43528</c:v>
                </c:pt>
                <c:pt idx="885">
                  <c:v>43529</c:v>
                </c:pt>
                <c:pt idx="886">
                  <c:v>43530</c:v>
                </c:pt>
                <c:pt idx="887">
                  <c:v>43531</c:v>
                </c:pt>
                <c:pt idx="888">
                  <c:v>43532</c:v>
                </c:pt>
                <c:pt idx="889">
                  <c:v>43533</c:v>
                </c:pt>
                <c:pt idx="890">
                  <c:v>43534</c:v>
                </c:pt>
                <c:pt idx="891">
                  <c:v>43535</c:v>
                </c:pt>
                <c:pt idx="892">
                  <c:v>43536</c:v>
                </c:pt>
                <c:pt idx="893">
                  <c:v>43537</c:v>
                </c:pt>
                <c:pt idx="894">
                  <c:v>43538</c:v>
                </c:pt>
                <c:pt idx="895">
                  <c:v>43539</c:v>
                </c:pt>
                <c:pt idx="896">
                  <c:v>43540</c:v>
                </c:pt>
                <c:pt idx="897">
                  <c:v>43541</c:v>
                </c:pt>
                <c:pt idx="898">
                  <c:v>43542</c:v>
                </c:pt>
                <c:pt idx="899">
                  <c:v>43543</c:v>
                </c:pt>
                <c:pt idx="900">
                  <c:v>43544</c:v>
                </c:pt>
                <c:pt idx="901">
                  <c:v>43545</c:v>
                </c:pt>
                <c:pt idx="902">
                  <c:v>43546</c:v>
                </c:pt>
                <c:pt idx="903">
                  <c:v>43547</c:v>
                </c:pt>
                <c:pt idx="904">
                  <c:v>43548</c:v>
                </c:pt>
                <c:pt idx="905">
                  <c:v>43549</c:v>
                </c:pt>
                <c:pt idx="906">
                  <c:v>43550</c:v>
                </c:pt>
                <c:pt idx="907">
                  <c:v>43551</c:v>
                </c:pt>
                <c:pt idx="908">
                  <c:v>43552</c:v>
                </c:pt>
                <c:pt idx="909">
                  <c:v>43553</c:v>
                </c:pt>
                <c:pt idx="910">
                  <c:v>43554</c:v>
                </c:pt>
                <c:pt idx="911">
                  <c:v>43555</c:v>
                </c:pt>
                <c:pt idx="912">
                  <c:v>43556</c:v>
                </c:pt>
                <c:pt idx="913">
                  <c:v>43557</c:v>
                </c:pt>
                <c:pt idx="914">
                  <c:v>43558</c:v>
                </c:pt>
                <c:pt idx="915">
                  <c:v>43559</c:v>
                </c:pt>
                <c:pt idx="916">
                  <c:v>43560</c:v>
                </c:pt>
                <c:pt idx="917">
                  <c:v>43561</c:v>
                </c:pt>
                <c:pt idx="918">
                  <c:v>43562</c:v>
                </c:pt>
                <c:pt idx="919">
                  <c:v>43563</c:v>
                </c:pt>
                <c:pt idx="920">
                  <c:v>43564</c:v>
                </c:pt>
                <c:pt idx="921">
                  <c:v>43565</c:v>
                </c:pt>
                <c:pt idx="922">
                  <c:v>43566</c:v>
                </c:pt>
                <c:pt idx="923">
                  <c:v>43567</c:v>
                </c:pt>
                <c:pt idx="924">
                  <c:v>43568</c:v>
                </c:pt>
                <c:pt idx="925">
                  <c:v>43569</c:v>
                </c:pt>
                <c:pt idx="926">
                  <c:v>43570</c:v>
                </c:pt>
                <c:pt idx="927">
                  <c:v>43571</c:v>
                </c:pt>
                <c:pt idx="928">
                  <c:v>43572</c:v>
                </c:pt>
                <c:pt idx="929">
                  <c:v>43573</c:v>
                </c:pt>
                <c:pt idx="930">
                  <c:v>43574</c:v>
                </c:pt>
                <c:pt idx="931">
                  <c:v>43575</c:v>
                </c:pt>
                <c:pt idx="932">
                  <c:v>43576</c:v>
                </c:pt>
                <c:pt idx="933">
                  <c:v>43577</c:v>
                </c:pt>
                <c:pt idx="934">
                  <c:v>43578</c:v>
                </c:pt>
                <c:pt idx="935">
                  <c:v>43579</c:v>
                </c:pt>
                <c:pt idx="936">
                  <c:v>43580</c:v>
                </c:pt>
                <c:pt idx="937">
                  <c:v>43581</c:v>
                </c:pt>
                <c:pt idx="938">
                  <c:v>43582</c:v>
                </c:pt>
                <c:pt idx="939">
                  <c:v>43583</c:v>
                </c:pt>
                <c:pt idx="940">
                  <c:v>43584</c:v>
                </c:pt>
                <c:pt idx="941">
                  <c:v>43585</c:v>
                </c:pt>
                <c:pt idx="942">
                  <c:v>43586</c:v>
                </c:pt>
                <c:pt idx="943">
                  <c:v>43587</c:v>
                </c:pt>
                <c:pt idx="944">
                  <c:v>43588</c:v>
                </c:pt>
                <c:pt idx="945">
                  <c:v>43589</c:v>
                </c:pt>
                <c:pt idx="946">
                  <c:v>43590</c:v>
                </c:pt>
                <c:pt idx="947">
                  <c:v>43591</c:v>
                </c:pt>
                <c:pt idx="948">
                  <c:v>43592</c:v>
                </c:pt>
                <c:pt idx="949">
                  <c:v>43593</c:v>
                </c:pt>
                <c:pt idx="950">
                  <c:v>43594</c:v>
                </c:pt>
                <c:pt idx="951">
                  <c:v>43595</c:v>
                </c:pt>
                <c:pt idx="952">
                  <c:v>43596</c:v>
                </c:pt>
                <c:pt idx="953">
                  <c:v>43597</c:v>
                </c:pt>
                <c:pt idx="954">
                  <c:v>43598</c:v>
                </c:pt>
                <c:pt idx="955">
                  <c:v>43599</c:v>
                </c:pt>
                <c:pt idx="956">
                  <c:v>43600</c:v>
                </c:pt>
                <c:pt idx="957">
                  <c:v>43601</c:v>
                </c:pt>
                <c:pt idx="958">
                  <c:v>43602</c:v>
                </c:pt>
                <c:pt idx="959">
                  <c:v>43603</c:v>
                </c:pt>
                <c:pt idx="960">
                  <c:v>43604</c:v>
                </c:pt>
                <c:pt idx="961">
                  <c:v>43605</c:v>
                </c:pt>
                <c:pt idx="962">
                  <c:v>43606</c:v>
                </c:pt>
                <c:pt idx="963">
                  <c:v>43607</c:v>
                </c:pt>
                <c:pt idx="964">
                  <c:v>43608</c:v>
                </c:pt>
                <c:pt idx="965">
                  <c:v>43609</c:v>
                </c:pt>
                <c:pt idx="966">
                  <c:v>43610</c:v>
                </c:pt>
                <c:pt idx="967">
                  <c:v>43611</c:v>
                </c:pt>
                <c:pt idx="968">
                  <c:v>43612</c:v>
                </c:pt>
                <c:pt idx="969">
                  <c:v>43613</c:v>
                </c:pt>
                <c:pt idx="970">
                  <c:v>43614</c:v>
                </c:pt>
                <c:pt idx="971">
                  <c:v>43615</c:v>
                </c:pt>
                <c:pt idx="972">
                  <c:v>43616</c:v>
                </c:pt>
                <c:pt idx="973">
                  <c:v>43617</c:v>
                </c:pt>
                <c:pt idx="974">
                  <c:v>43618</c:v>
                </c:pt>
                <c:pt idx="975">
                  <c:v>43619</c:v>
                </c:pt>
                <c:pt idx="976">
                  <c:v>43620</c:v>
                </c:pt>
                <c:pt idx="977">
                  <c:v>43621</c:v>
                </c:pt>
                <c:pt idx="978">
                  <c:v>43622</c:v>
                </c:pt>
                <c:pt idx="979">
                  <c:v>43623</c:v>
                </c:pt>
                <c:pt idx="980">
                  <c:v>43624</c:v>
                </c:pt>
                <c:pt idx="981">
                  <c:v>43625</c:v>
                </c:pt>
                <c:pt idx="982">
                  <c:v>43626</c:v>
                </c:pt>
                <c:pt idx="983">
                  <c:v>43627</c:v>
                </c:pt>
                <c:pt idx="984">
                  <c:v>43628</c:v>
                </c:pt>
                <c:pt idx="985">
                  <c:v>43629</c:v>
                </c:pt>
                <c:pt idx="986">
                  <c:v>43630</c:v>
                </c:pt>
                <c:pt idx="987">
                  <c:v>43631</c:v>
                </c:pt>
                <c:pt idx="988">
                  <c:v>43632</c:v>
                </c:pt>
                <c:pt idx="989">
                  <c:v>43633</c:v>
                </c:pt>
                <c:pt idx="990">
                  <c:v>43634</c:v>
                </c:pt>
                <c:pt idx="991">
                  <c:v>43635</c:v>
                </c:pt>
                <c:pt idx="992">
                  <c:v>43636</c:v>
                </c:pt>
                <c:pt idx="993">
                  <c:v>43637</c:v>
                </c:pt>
                <c:pt idx="994">
                  <c:v>43638</c:v>
                </c:pt>
                <c:pt idx="995">
                  <c:v>43639</c:v>
                </c:pt>
                <c:pt idx="996">
                  <c:v>43640</c:v>
                </c:pt>
                <c:pt idx="997">
                  <c:v>43641</c:v>
                </c:pt>
                <c:pt idx="998">
                  <c:v>43642</c:v>
                </c:pt>
                <c:pt idx="999">
                  <c:v>43643</c:v>
                </c:pt>
                <c:pt idx="1000">
                  <c:v>43644</c:v>
                </c:pt>
                <c:pt idx="1001">
                  <c:v>43645</c:v>
                </c:pt>
                <c:pt idx="1002">
                  <c:v>43646</c:v>
                </c:pt>
                <c:pt idx="1003">
                  <c:v>43647</c:v>
                </c:pt>
                <c:pt idx="1004">
                  <c:v>43648</c:v>
                </c:pt>
                <c:pt idx="1005">
                  <c:v>43649</c:v>
                </c:pt>
                <c:pt idx="1006">
                  <c:v>43650</c:v>
                </c:pt>
                <c:pt idx="1007">
                  <c:v>43651</c:v>
                </c:pt>
                <c:pt idx="1008">
                  <c:v>43652</c:v>
                </c:pt>
                <c:pt idx="1009">
                  <c:v>43653</c:v>
                </c:pt>
                <c:pt idx="1010">
                  <c:v>43654</c:v>
                </c:pt>
                <c:pt idx="1011">
                  <c:v>43655</c:v>
                </c:pt>
                <c:pt idx="1012">
                  <c:v>43656</c:v>
                </c:pt>
                <c:pt idx="1013">
                  <c:v>43657</c:v>
                </c:pt>
                <c:pt idx="1014">
                  <c:v>43658</c:v>
                </c:pt>
                <c:pt idx="1015">
                  <c:v>43659</c:v>
                </c:pt>
                <c:pt idx="1016">
                  <c:v>43660</c:v>
                </c:pt>
                <c:pt idx="1017">
                  <c:v>43661</c:v>
                </c:pt>
                <c:pt idx="1018">
                  <c:v>43662</c:v>
                </c:pt>
                <c:pt idx="1019">
                  <c:v>43663</c:v>
                </c:pt>
                <c:pt idx="1020">
                  <c:v>43664</c:v>
                </c:pt>
                <c:pt idx="1021">
                  <c:v>43665</c:v>
                </c:pt>
                <c:pt idx="1022">
                  <c:v>43666</c:v>
                </c:pt>
                <c:pt idx="1023">
                  <c:v>43667</c:v>
                </c:pt>
                <c:pt idx="1024">
                  <c:v>43668</c:v>
                </c:pt>
                <c:pt idx="1025">
                  <c:v>43669</c:v>
                </c:pt>
                <c:pt idx="1026">
                  <c:v>43670</c:v>
                </c:pt>
                <c:pt idx="1027">
                  <c:v>43671</c:v>
                </c:pt>
                <c:pt idx="1028">
                  <c:v>43672</c:v>
                </c:pt>
                <c:pt idx="1029">
                  <c:v>43673</c:v>
                </c:pt>
                <c:pt idx="1030">
                  <c:v>43674</c:v>
                </c:pt>
                <c:pt idx="1031">
                  <c:v>43675</c:v>
                </c:pt>
                <c:pt idx="1032">
                  <c:v>43676</c:v>
                </c:pt>
                <c:pt idx="1033">
                  <c:v>43677</c:v>
                </c:pt>
                <c:pt idx="1034">
                  <c:v>43678</c:v>
                </c:pt>
                <c:pt idx="1035">
                  <c:v>43679</c:v>
                </c:pt>
                <c:pt idx="1036">
                  <c:v>43680</c:v>
                </c:pt>
                <c:pt idx="1037">
                  <c:v>43681</c:v>
                </c:pt>
                <c:pt idx="1038">
                  <c:v>43682</c:v>
                </c:pt>
                <c:pt idx="1039">
                  <c:v>43683</c:v>
                </c:pt>
                <c:pt idx="1040">
                  <c:v>43684</c:v>
                </c:pt>
                <c:pt idx="1041">
                  <c:v>43685</c:v>
                </c:pt>
                <c:pt idx="1042">
                  <c:v>43686</c:v>
                </c:pt>
                <c:pt idx="1043">
                  <c:v>43687</c:v>
                </c:pt>
                <c:pt idx="1044">
                  <c:v>43688</c:v>
                </c:pt>
                <c:pt idx="1045">
                  <c:v>43689</c:v>
                </c:pt>
                <c:pt idx="1046">
                  <c:v>43690</c:v>
                </c:pt>
                <c:pt idx="1047">
                  <c:v>43691</c:v>
                </c:pt>
                <c:pt idx="1048">
                  <c:v>43692</c:v>
                </c:pt>
                <c:pt idx="1049">
                  <c:v>43693</c:v>
                </c:pt>
                <c:pt idx="1050">
                  <c:v>43694</c:v>
                </c:pt>
                <c:pt idx="1051">
                  <c:v>43695</c:v>
                </c:pt>
                <c:pt idx="1052">
                  <c:v>43696</c:v>
                </c:pt>
                <c:pt idx="1053">
                  <c:v>43697</c:v>
                </c:pt>
                <c:pt idx="1054">
                  <c:v>43698</c:v>
                </c:pt>
                <c:pt idx="1055">
                  <c:v>43699</c:v>
                </c:pt>
                <c:pt idx="1056">
                  <c:v>43700</c:v>
                </c:pt>
                <c:pt idx="1057">
                  <c:v>43701</c:v>
                </c:pt>
                <c:pt idx="1058">
                  <c:v>43702</c:v>
                </c:pt>
                <c:pt idx="1059">
                  <c:v>43703</c:v>
                </c:pt>
                <c:pt idx="1060">
                  <c:v>43704</c:v>
                </c:pt>
                <c:pt idx="1061">
                  <c:v>43705</c:v>
                </c:pt>
                <c:pt idx="1062">
                  <c:v>43706</c:v>
                </c:pt>
                <c:pt idx="1063">
                  <c:v>43707</c:v>
                </c:pt>
                <c:pt idx="1064">
                  <c:v>43708</c:v>
                </c:pt>
                <c:pt idx="1065">
                  <c:v>43709</c:v>
                </c:pt>
                <c:pt idx="1066">
                  <c:v>43710</c:v>
                </c:pt>
                <c:pt idx="1067">
                  <c:v>43711</c:v>
                </c:pt>
                <c:pt idx="1068">
                  <c:v>43712</c:v>
                </c:pt>
                <c:pt idx="1069">
                  <c:v>43713</c:v>
                </c:pt>
                <c:pt idx="1070">
                  <c:v>43714</c:v>
                </c:pt>
                <c:pt idx="1071">
                  <c:v>43715</c:v>
                </c:pt>
                <c:pt idx="1072">
                  <c:v>43716</c:v>
                </c:pt>
                <c:pt idx="1073">
                  <c:v>43717</c:v>
                </c:pt>
                <c:pt idx="1074">
                  <c:v>43718</c:v>
                </c:pt>
                <c:pt idx="1075">
                  <c:v>43719</c:v>
                </c:pt>
                <c:pt idx="1076">
                  <c:v>43720</c:v>
                </c:pt>
                <c:pt idx="1077">
                  <c:v>43721</c:v>
                </c:pt>
                <c:pt idx="1078">
                  <c:v>43722</c:v>
                </c:pt>
                <c:pt idx="1079">
                  <c:v>43723</c:v>
                </c:pt>
                <c:pt idx="1080">
                  <c:v>43724</c:v>
                </c:pt>
                <c:pt idx="1081">
                  <c:v>43725</c:v>
                </c:pt>
                <c:pt idx="1082">
                  <c:v>43726</c:v>
                </c:pt>
                <c:pt idx="1083">
                  <c:v>43727</c:v>
                </c:pt>
                <c:pt idx="1084">
                  <c:v>43728</c:v>
                </c:pt>
                <c:pt idx="1085">
                  <c:v>43729</c:v>
                </c:pt>
                <c:pt idx="1086">
                  <c:v>43730</c:v>
                </c:pt>
                <c:pt idx="1087">
                  <c:v>43731</c:v>
                </c:pt>
                <c:pt idx="1088">
                  <c:v>43732</c:v>
                </c:pt>
                <c:pt idx="1089">
                  <c:v>43733</c:v>
                </c:pt>
                <c:pt idx="1090">
                  <c:v>43734</c:v>
                </c:pt>
                <c:pt idx="1091">
                  <c:v>43735</c:v>
                </c:pt>
                <c:pt idx="1092">
                  <c:v>43736</c:v>
                </c:pt>
                <c:pt idx="1093">
                  <c:v>43737</c:v>
                </c:pt>
                <c:pt idx="1094">
                  <c:v>43738</c:v>
                </c:pt>
              </c:numCache>
            </c:numRef>
          </c:cat>
          <c:val>
            <c:numRef>
              <c:f>PITTL!$B$2:$B$1096</c:f>
              <c:numCache>
                <c:formatCode>_-* #\ ##0\ _€_-;\-* #\ ##0\ _€_-;_-* "-"??\ _€_-;_-@_-</c:formatCode>
                <c:ptCount val="1095"/>
                <c:pt idx="0">
                  <c:v>235000</c:v>
                </c:pt>
                <c:pt idx="1">
                  <c:v>235000</c:v>
                </c:pt>
                <c:pt idx="2">
                  <c:v>235000</c:v>
                </c:pt>
                <c:pt idx="3">
                  <c:v>235000</c:v>
                </c:pt>
                <c:pt idx="4">
                  <c:v>235000</c:v>
                </c:pt>
                <c:pt idx="5">
                  <c:v>235000</c:v>
                </c:pt>
                <c:pt idx="6">
                  <c:v>235000</c:v>
                </c:pt>
                <c:pt idx="7">
                  <c:v>235000</c:v>
                </c:pt>
                <c:pt idx="8">
                  <c:v>235000</c:v>
                </c:pt>
                <c:pt idx="9">
                  <c:v>235000</c:v>
                </c:pt>
                <c:pt idx="10">
                  <c:v>235000</c:v>
                </c:pt>
                <c:pt idx="11">
                  <c:v>235000</c:v>
                </c:pt>
                <c:pt idx="12">
                  <c:v>235000</c:v>
                </c:pt>
                <c:pt idx="13">
                  <c:v>235000</c:v>
                </c:pt>
                <c:pt idx="14">
                  <c:v>235000</c:v>
                </c:pt>
                <c:pt idx="15">
                  <c:v>235000</c:v>
                </c:pt>
                <c:pt idx="16">
                  <c:v>235000</c:v>
                </c:pt>
                <c:pt idx="17">
                  <c:v>235000</c:v>
                </c:pt>
                <c:pt idx="18">
                  <c:v>235000</c:v>
                </c:pt>
                <c:pt idx="19">
                  <c:v>235000</c:v>
                </c:pt>
                <c:pt idx="20">
                  <c:v>235000</c:v>
                </c:pt>
                <c:pt idx="21">
                  <c:v>235000</c:v>
                </c:pt>
                <c:pt idx="22">
                  <c:v>235000</c:v>
                </c:pt>
                <c:pt idx="23">
                  <c:v>235000</c:v>
                </c:pt>
                <c:pt idx="24">
                  <c:v>235000</c:v>
                </c:pt>
                <c:pt idx="25">
                  <c:v>235000</c:v>
                </c:pt>
                <c:pt idx="26">
                  <c:v>235000</c:v>
                </c:pt>
                <c:pt idx="27">
                  <c:v>235000</c:v>
                </c:pt>
                <c:pt idx="28">
                  <c:v>235000</c:v>
                </c:pt>
                <c:pt idx="29">
                  <c:v>235000</c:v>
                </c:pt>
                <c:pt idx="30">
                  <c:v>235000</c:v>
                </c:pt>
                <c:pt idx="31">
                  <c:v>225000</c:v>
                </c:pt>
                <c:pt idx="32">
                  <c:v>225000</c:v>
                </c:pt>
                <c:pt idx="33">
                  <c:v>225000</c:v>
                </c:pt>
                <c:pt idx="34">
                  <c:v>225000</c:v>
                </c:pt>
                <c:pt idx="35">
                  <c:v>225000</c:v>
                </c:pt>
                <c:pt idx="36">
                  <c:v>225000</c:v>
                </c:pt>
                <c:pt idx="37">
                  <c:v>225000</c:v>
                </c:pt>
                <c:pt idx="38">
                  <c:v>225000</c:v>
                </c:pt>
                <c:pt idx="39">
                  <c:v>225000</c:v>
                </c:pt>
                <c:pt idx="40">
                  <c:v>225000</c:v>
                </c:pt>
                <c:pt idx="41">
                  <c:v>225000</c:v>
                </c:pt>
                <c:pt idx="42">
                  <c:v>225000</c:v>
                </c:pt>
                <c:pt idx="43">
                  <c:v>225000</c:v>
                </c:pt>
                <c:pt idx="44">
                  <c:v>225000</c:v>
                </c:pt>
                <c:pt idx="45">
                  <c:v>225000</c:v>
                </c:pt>
                <c:pt idx="46">
                  <c:v>225000</c:v>
                </c:pt>
                <c:pt idx="47">
                  <c:v>225000</c:v>
                </c:pt>
                <c:pt idx="48">
                  <c:v>225000</c:v>
                </c:pt>
                <c:pt idx="49">
                  <c:v>225000</c:v>
                </c:pt>
                <c:pt idx="50">
                  <c:v>225000</c:v>
                </c:pt>
                <c:pt idx="51">
                  <c:v>225000</c:v>
                </c:pt>
                <c:pt idx="52">
                  <c:v>225000</c:v>
                </c:pt>
                <c:pt idx="53">
                  <c:v>225000</c:v>
                </c:pt>
                <c:pt idx="54">
                  <c:v>225000</c:v>
                </c:pt>
                <c:pt idx="55">
                  <c:v>225000</c:v>
                </c:pt>
                <c:pt idx="56">
                  <c:v>225000</c:v>
                </c:pt>
                <c:pt idx="57">
                  <c:v>225000</c:v>
                </c:pt>
                <c:pt idx="58">
                  <c:v>225000</c:v>
                </c:pt>
                <c:pt idx="59">
                  <c:v>225000</c:v>
                </c:pt>
                <c:pt idx="60">
                  <c:v>225000</c:v>
                </c:pt>
                <c:pt idx="61">
                  <c:v>225000</c:v>
                </c:pt>
                <c:pt idx="62">
                  <c:v>225000</c:v>
                </c:pt>
                <c:pt idx="63">
                  <c:v>225000</c:v>
                </c:pt>
                <c:pt idx="64">
                  <c:v>225000</c:v>
                </c:pt>
                <c:pt idx="65">
                  <c:v>225000</c:v>
                </c:pt>
                <c:pt idx="66">
                  <c:v>225000</c:v>
                </c:pt>
                <c:pt idx="67">
                  <c:v>225000</c:v>
                </c:pt>
                <c:pt idx="68">
                  <c:v>225000</c:v>
                </c:pt>
                <c:pt idx="69">
                  <c:v>225000</c:v>
                </c:pt>
                <c:pt idx="70">
                  <c:v>225000</c:v>
                </c:pt>
                <c:pt idx="71">
                  <c:v>225000</c:v>
                </c:pt>
                <c:pt idx="72">
                  <c:v>225000</c:v>
                </c:pt>
                <c:pt idx="73">
                  <c:v>225000</c:v>
                </c:pt>
                <c:pt idx="74">
                  <c:v>225000</c:v>
                </c:pt>
                <c:pt idx="75">
                  <c:v>225000</c:v>
                </c:pt>
                <c:pt idx="76">
                  <c:v>225000</c:v>
                </c:pt>
                <c:pt idx="77">
                  <c:v>225000</c:v>
                </c:pt>
                <c:pt idx="78">
                  <c:v>225000</c:v>
                </c:pt>
                <c:pt idx="79">
                  <c:v>225000</c:v>
                </c:pt>
                <c:pt idx="80">
                  <c:v>225000</c:v>
                </c:pt>
                <c:pt idx="81">
                  <c:v>225000</c:v>
                </c:pt>
                <c:pt idx="82">
                  <c:v>225000</c:v>
                </c:pt>
                <c:pt idx="83">
                  <c:v>225000</c:v>
                </c:pt>
                <c:pt idx="84">
                  <c:v>225000</c:v>
                </c:pt>
                <c:pt idx="85">
                  <c:v>225000</c:v>
                </c:pt>
                <c:pt idx="86">
                  <c:v>225000</c:v>
                </c:pt>
                <c:pt idx="87">
                  <c:v>225000</c:v>
                </c:pt>
                <c:pt idx="88">
                  <c:v>225000</c:v>
                </c:pt>
                <c:pt idx="89">
                  <c:v>225000</c:v>
                </c:pt>
                <c:pt idx="90">
                  <c:v>225000</c:v>
                </c:pt>
                <c:pt idx="91">
                  <c:v>225000</c:v>
                </c:pt>
                <c:pt idx="92">
                  <c:v>225000</c:v>
                </c:pt>
                <c:pt idx="93">
                  <c:v>225000</c:v>
                </c:pt>
                <c:pt idx="94">
                  <c:v>225000</c:v>
                </c:pt>
                <c:pt idx="95">
                  <c:v>225000</c:v>
                </c:pt>
                <c:pt idx="96">
                  <c:v>225000</c:v>
                </c:pt>
                <c:pt idx="97">
                  <c:v>225000</c:v>
                </c:pt>
                <c:pt idx="98">
                  <c:v>225000</c:v>
                </c:pt>
                <c:pt idx="99">
                  <c:v>225000</c:v>
                </c:pt>
                <c:pt idx="100">
                  <c:v>225000</c:v>
                </c:pt>
                <c:pt idx="101">
                  <c:v>225000</c:v>
                </c:pt>
                <c:pt idx="102">
                  <c:v>225000</c:v>
                </c:pt>
                <c:pt idx="103">
                  <c:v>225000</c:v>
                </c:pt>
                <c:pt idx="104">
                  <c:v>225000</c:v>
                </c:pt>
                <c:pt idx="105">
                  <c:v>225000</c:v>
                </c:pt>
                <c:pt idx="106">
                  <c:v>225000</c:v>
                </c:pt>
                <c:pt idx="107">
                  <c:v>225000</c:v>
                </c:pt>
                <c:pt idx="108">
                  <c:v>225000</c:v>
                </c:pt>
                <c:pt idx="109">
                  <c:v>225000</c:v>
                </c:pt>
                <c:pt idx="110">
                  <c:v>225000</c:v>
                </c:pt>
                <c:pt idx="111">
                  <c:v>225000</c:v>
                </c:pt>
                <c:pt idx="112">
                  <c:v>225000</c:v>
                </c:pt>
                <c:pt idx="113">
                  <c:v>225000</c:v>
                </c:pt>
                <c:pt idx="114">
                  <c:v>225000</c:v>
                </c:pt>
                <c:pt idx="115">
                  <c:v>225000</c:v>
                </c:pt>
                <c:pt idx="116">
                  <c:v>225000</c:v>
                </c:pt>
                <c:pt idx="117">
                  <c:v>225000</c:v>
                </c:pt>
                <c:pt idx="118">
                  <c:v>225000</c:v>
                </c:pt>
                <c:pt idx="119">
                  <c:v>225000</c:v>
                </c:pt>
                <c:pt idx="120">
                  <c:v>225000</c:v>
                </c:pt>
                <c:pt idx="121">
                  <c:v>225000</c:v>
                </c:pt>
                <c:pt idx="122">
                  <c:v>225000</c:v>
                </c:pt>
                <c:pt idx="123">
                  <c:v>225000</c:v>
                </c:pt>
                <c:pt idx="124">
                  <c:v>225000</c:v>
                </c:pt>
                <c:pt idx="125">
                  <c:v>225000</c:v>
                </c:pt>
                <c:pt idx="126">
                  <c:v>225000</c:v>
                </c:pt>
                <c:pt idx="127">
                  <c:v>225000</c:v>
                </c:pt>
                <c:pt idx="128">
                  <c:v>225000</c:v>
                </c:pt>
                <c:pt idx="129">
                  <c:v>225000</c:v>
                </c:pt>
                <c:pt idx="130">
                  <c:v>225000</c:v>
                </c:pt>
                <c:pt idx="131">
                  <c:v>225000</c:v>
                </c:pt>
                <c:pt idx="132">
                  <c:v>225000</c:v>
                </c:pt>
                <c:pt idx="133">
                  <c:v>225000</c:v>
                </c:pt>
                <c:pt idx="134">
                  <c:v>225000</c:v>
                </c:pt>
                <c:pt idx="135">
                  <c:v>225000</c:v>
                </c:pt>
                <c:pt idx="136">
                  <c:v>225000</c:v>
                </c:pt>
                <c:pt idx="137">
                  <c:v>225000</c:v>
                </c:pt>
                <c:pt idx="138">
                  <c:v>225000</c:v>
                </c:pt>
                <c:pt idx="139">
                  <c:v>225000</c:v>
                </c:pt>
                <c:pt idx="140">
                  <c:v>225000</c:v>
                </c:pt>
                <c:pt idx="141">
                  <c:v>225000</c:v>
                </c:pt>
                <c:pt idx="142">
                  <c:v>225000</c:v>
                </c:pt>
                <c:pt idx="143">
                  <c:v>225000</c:v>
                </c:pt>
                <c:pt idx="144">
                  <c:v>225000</c:v>
                </c:pt>
                <c:pt idx="145">
                  <c:v>225000</c:v>
                </c:pt>
                <c:pt idx="146">
                  <c:v>225000</c:v>
                </c:pt>
                <c:pt idx="147">
                  <c:v>225000</c:v>
                </c:pt>
                <c:pt idx="148">
                  <c:v>225000</c:v>
                </c:pt>
                <c:pt idx="149">
                  <c:v>225000</c:v>
                </c:pt>
                <c:pt idx="150">
                  <c:v>225000</c:v>
                </c:pt>
                <c:pt idx="151">
                  <c:v>225000</c:v>
                </c:pt>
                <c:pt idx="152">
                  <c:v>225000</c:v>
                </c:pt>
                <c:pt idx="153">
                  <c:v>225000</c:v>
                </c:pt>
                <c:pt idx="154">
                  <c:v>225000</c:v>
                </c:pt>
                <c:pt idx="155">
                  <c:v>225000</c:v>
                </c:pt>
                <c:pt idx="156">
                  <c:v>225000</c:v>
                </c:pt>
                <c:pt idx="157">
                  <c:v>225000</c:v>
                </c:pt>
                <c:pt idx="158">
                  <c:v>225000</c:v>
                </c:pt>
                <c:pt idx="159">
                  <c:v>225000</c:v>
                </c:pt>
                <c:pt idx="160">
                  <c:v>225000</c:v>
                </c:pt>
                <c:pt idx="161">
                  <c:v>225000</c:v>
                </c:pt>
                <c:pt idx="162">
                  <c:v>225000</c:v>
                </c:pt>
                <c:pt idx="163">
                  <c:v>225000</c:v>
                </c:pt>
                <c:pt idx="164">
                  <c:v>225000</c:v>
                </c:pt>
                <c:pt idx="165">
                  <c:v>225000</c:v>
                </c:pt>
                <c:pt idx="166">
                  <c:v>225000</c:v>
                </c:pt>
                <c:pt idx="167">
                  <c:v>225000</c:v>
                </c:pt>
                <c:pt idx="168">
                  <c:v>225000</c:v>
                </c:pt>
                <c:pt idx="169">
                  <c:v>225000</c:v>
                </c:pt>
                <c:pt idx="170">
                  <c:v>225000</c:v>
                </c:pt>
                <c:pt idx="171">
                  <c:v>225000</c:v>
                </c:pt>
                <c:pt idx="172">
                  <c:v>225000</c:v>
                </c:pt>
                <c:pt idx="173">
                  <c:v>225000</c:v>
                </c:pt>
                <c:pt idx="174">
                  <c:v>225000</c:v>
                </c:pt>
                <c:pt idx="175">
                  <c:v>225000</c:v>
                </c:pt>
                <c:pt idx="176">
                  <c:v>225000</c:v>
                </c:pt>
                <c:pt idx="177">
                  <c:v>225000</c:v>
                </c:pt>
                <c:pt idx="178">
                  <c:v>225000</c:v>
                </c:pt>
                <c:pt idx="179">
                  <c:v>225000</c:v>
                </c:pt>
                <c:pt idx="180">
                  <c:v>225000</c:v>
                </c:pt>
                <c:pt idx="181">
                  <c:v>225000</c:v>
                </c:pt>
                <c:pt idx="182">
                  <c:v>235000</c:v>
                </c:pt>
                <c:pt idx="183">
                  <c:v>235000</c:v>
                </c:pt>
                <c:pt idx="184">
                  <c:v>235000</c:v>
                </c:pt>
                <c:pt idx="185">
                  <c:v>235000</c:v>
                </c:pt>
                <c:pt idx="186">
                  <c:v>235000</c:v>
                </c:pt>
                <c:pt idx="187">
                  <c:v>235000</c:v>
                </c:pt>
                <c:pt idx="188">
                  <c:v>235000</c:v>
                </c:pt>
                <c:pt idx="189">
                  <c:v>235000</c:v>
                </c:pt>
                <c:pt idx="190">
                  <c:v>235000</c:v>
                </c:pt>
                <c:pt idx="191">
                  <c:v>235000</c:v>
                </c:pt>
                <c:pt idx="192">
                  <c:v>235000</c:v>
                </c:pt>
                <c:pt idx="193">
                  <c:v>235000</c:v>
                </c:pt>
                <c:pt idx="194">
                  <c:v>235000</c:v>
                </c:pt>
                <c:pt idx="195">
                  <c:v>235000</c:v>
                </c:pt>
                <c:pt idx="196">
                  <c:v>235000</c:v>
                </c:pt>
                <c:pt idx="197">
                  <c:v>235000</c:v>
                </c:pt>
                <c:pt idx="198">
                  <c:v>235000</c:v>
                </c:pt>
                <c:pt idx="199">
                  <c:v>235000</c:v>
                </c:pt>
                <c:pt idx="200">
                  <c:v>235000</c:v>
                </c:pt>
                <c:pt idx="201">
                  <c:v>235000</c:v>
                </c:pt>
                <c:pt idx="202">
                  <c:v>235000</c:v>
                </c:pt>
                <c:pt idx="203">
                  <c:v>235000</c:v>
                </c:pt>
                <c:pt idx="204">
                  <c:v>235000</c:v>
                </c:pt>
                <c:pt idx="205">
                  <c:v>235000</c:v>
                </c:pt>
                <c:pt idx="206">
                  <c:v>235000</c:v>
                </c:pt>
                <c:pt idx="207">
                  <c:v>235000</c:v>
                </c:pt>
                <c:pt idx="208">
                  <c:v>235000</c:v>
                </c:pt>
                <c:pt idx="209">
                  <c:v>235000</c:v>
                </c:pt>
                <c:pt idx="210">
                  <c:v>235000</c:v>
                </c:pt>
                <c:pt idx="211">
                  <c:v>235000</c:v>
                </c:pt>
                <c:pt idx="212">
                  <c:v>235000</c:v>
                </c:pt>
                <c:pt idx="213">
                  <c:v>235000</c:v>
                </c:pt>
                <c:pt idx="214">
                  <c:v>235000</c:v>
                </c:pt>
                <c:pt idx="215">
                  <c:v>235000</c:v>
                </c:pt>
                <c:pt idx="216">
                  <c:v>235000</c:v>
                </c:pt>
                <c:pt idx="217">
                  <c:v>235000</c:v>
                </c:pt>
                <c:pt idx="218">
                  <c:v>235000</c:v>
                </c:pt>
                <c:pt idx="219">
                  <c:v>235000</c:v>
                </c:pt>
                <c:pt idx="220">
                  <c:v>235000</c:v>
                </c:pt>
                <c:pt idx="221">
                  <c:v>235000</c:v>
                </c:pt>
                <c:pt idx="222">
                  <c:v>235000</c:v>
                </c:pt>
                <c:pt idx="223">
                  <c:v>235000</c:v>
                </c:pt>
                <c:pt idx="224">
                  <c:v>235000</c:v>
                </c:pt>
                <c:pt idx="225">
                  <c:v>235000</c:v>
                </c:pt>
                <c:pt idx="226">
                  <c:v>235000</c:v>
                </c:pt>
                <c:pt idx="227">
                  <c:v>235000</c:v>
                </c:pt>
                <c:pt idx="228">
                  <c:v>235000</c:v>
                </c:pt>
                <c:pt idx="229">
                  <c:v>235000</c:v>
                </c:pt>
                <c:pt idx="230">
                  <c:v>235000</c:v>
                </c:pt>
                <c:pt idx="231">
                  <c:v>235000</c:v>
                </c:pt>
                <c:pt idx="232">
                  <c:v>235000</c:v>
                </c:pt>
                <c:pt idx="233">
                  <c:v>235000</c:v>
                </c:pt>
                <c:pt idx="234">
                  <c:v>235000</c:v>
                </c:pt>
                <c:pt idx="235">
                  <c:v>235000</c:v>
                </c:pt>
                <c:pt idx="236">
                  <c:v>235000</c:v>
                </c:pt>
                <c:pt idx="237">
                  <c:v>235000</c:v>
                </c:pt>
                <c:pt idx="238">
                  <c:v>235000</c:v>
                </c:pt>
                <c:pt idx="239">
                  <c:v>235000</c:v>
                </c:pt>
                <c:pt idx="240">
                  <c:v>235000</c:v>
                </c:pt>
                <c:pt idx="241">
                  <c:v>235000</c:v>
                </c:pt>
                <c:pt idx="242">
                  <c:v>235000</c:v>
                </c:pt>
                <c:pt idx="243">
                  <c:v>235000</c:v>
                </c:pt>
                <c:pt idx="244">
                  <c:v>235000</c:v>
                </c:pt>
                <c:pt idx="245">
                  <c:v>235000</c:v>
                </c:pt>
                <c:pt idx="246">
                  <c:v>235000</c:v>
                </c:pt>
                <c:pt idx="247">
                  <c:v>235000</c:v>
                </c:pt>
                <c:pt idx="248">
                  <c:v>235000</c:v>
                </c:pt>
                <c:pt idx="249">
                  <c:v>235000</c:v>
                </c:pt>
                <c:pt idx="250">
                  <c:v>235000</c:v>
                </c:pt>
                <c:pt idx="251">
                  <c:v>235000</c:v>
                </c:pt>
                <c:pt idx="252">
                  <c:v>235000</c:v>
                </c:pt>
                <c:pt idx="253">
                  <c:v>235000</c:v>
                </c:pt>
                <c:pt idx="254">
                  <c:v>235000</c:v>
                </c:pt>
                <c:pt idx="255">
                  <c:v>235000</c:v>
                </c:pt>
                <c:pt idx="256">
                  <c:v>235000</c:v>
                </c:pt>
                <c:pt idx="257">
                  <c:v>235000</c:v>
                </c:pt>
                <c:pt idx="258">
                  <c:v>235000</c:v>
                </c:pt>
                <c:pt idx="259">
                  <c:v>235000</c:v>
                </c:pt>
                <c:pt idx="260">
                  <c:v>235000</c:v>
                </c:pt>
                <c:pt idx="261">
                  <c:v>235000</c:v>
                </c:pt>
                <c:pt idx="262">
                  <c:v>235000</c:v>
                </c:pt>
                <c:pt idx="263">
                  <c:v>235000</c:v>
                </c:pt>
                <c:pt idx="264">
                  <c:v>235000</c:v>
                </c:pt>
                <c:pt idx="265">
                  <c:v>235000</c:v>
                </c:pt>
                <c:pt idx="266">
                  <c:v>235000</c:v>
                </c:pt>
                <c:pt idx="267">
                  <c:v>235000</c:v>
                </c:pt>
                <c:pt idx="268">
                  <c:v>235000</c:v>
                </c:pt>
                <c:pt idx="269">
                  <c:v>235000</c:v>
                </c:pt>
                <c:pt idx="270">
                  <c:v>235000</c:v>
                </c:pt>
                <c:pt idx="271">
                  <c:v>235000</c:v>
                </c:pt>
                <c:pt idx="272">
                  <c:v>235000</c:v>
                </c:pt>
                <c:pt idx="273">
                  <c:v>235000</c:v>
                </c:pt>
                <c:pt idx="274">
                  <c:v>235000</c:v>
                </c:pt>
                <c:pt idx="275">
                  <c:v>235000</c:v>
                </c:pt>
                <c:pt idx="276">
                  <c:v>235000</c:v>
                </c:pt>
                <c:pt idx="277">
                  <c:v>235000</c:v>
                </c:pt>
                <c:pt idx="278">
                  <c:v>235000</c:v>
                </c:pt>
                <c:pt idx="279">
                  <c:v>235000</c:v>
                </c:pt>
                <c:pt idx="280">
                  <c:v>235000</c:v>
                </c:pt>
                <c:pt idx="281">
                  <c:v>235000</c:v>
                </c:pt>
                <c:pt idx="282">
                  <c:v>235000</c:v>
                </c:pt>
                <c:pt idx="283">
                  <c:v>235000</c:v>
                </c:pt>
                <c:pt idx="284">
                  <c:v>235000</c:v>
                </c:pt>
                <c:pt idx="285">
                  <c:v>235000</c:v>
                </c:pt>
                <c:pt idx="286">
                  <c:v>235000</c:v>
                </c:pt>
                <c:pt idx="287">
                  <c:v>235000</c:v>
                </c:pt>
                <c:pt idx="288">
                  <c:v>235000</c:v>
                </c:pt>
                <c:pt idx="289">
                  <c:v>235000</c:v>
                </c:pt>
                <c:pt idx="290">
                  <c:v>235000</c:v>
                </c:pt>
                <c:pt idx="291">
                  <c:v>235000</c:v>
                </c:pt>
                <c:pt idx="292">
                  <c:v>235000</c:v>
                </c:pt>
                <c:pt idx="293">
                  <c:v>235000</c:v>
                </c:pt>
                <c:pt idx="294">
                  <c:v>235000</c:v>
                </c:pt>
                <c:pt idx="295">
                  <c:v>235000</c:v>
                </c:pt>
                <c:pt idx="296">
                  <c:v>235000</c:v>
                </c:pt>
                <c:pt idx="297">
                  <c:v>235000</c:v>
                </c:pt>
                <c:pt idx="298">
                  <c:v>235000</c:v>
                </c:pt>
                <c:pt idx="299">
                  <c:v>235000</c:v>
                </c:pt>
                <c:pt idx="300">
                  <c:v>235000</c:v>
                </c:pt>
                <c:pt idx="301">
                  <c:v>235000</c:v>
                </c:pt>
                <c:pt idx="302">
                  <c:v>235000</c:v>
                </c:pt>
                <c:pt idx="303">
                  <c:v>235000</c:v>
                </c:pt>
                <c:pt idx="304">
                  <c:v>235000</c:v>
                </c:pt>
                <c:pt idx="305">
                  <c:v>235000</c:v>
                </c:pt>
                <c:pt idx="306">
                  <c:v>235000</c:v>
                </c:pt>
                <c:pt idx="307">
                  <c:v>235000</c:v>
                </c:pt>
                <c:pt idx="308">
                  <c:v>235000</c:v>
                </c:pt>
                <c:pt idx="309">
                  <c:v>235000</c:v>
                </c:pt>
                <c:pt idx="310">
                  <c:v>235000</c:v>
                </c:pt>
                <c:pt idx="311">
                  <c:v>235000</c:v>
                </c:pt>
                <c:pt idx="312">
                  <c:v>235000</c:v>
                </c:pt>
                <c:pt idx="313">
                  <c:v>235000</c:v>
                </c:pt>
                <c:pt idx="314">
                  <c:v>235000</c:v>
                </c:pt>
                <c:pt idx="315">
                  <c:v>235000</c:v>
                </c:pt>
                <c:pt idx="316">
                  <c:v>235000</c:v>
                </c:pt>
                <c:pt idx="317">
                  <c:v>235000</c:v>
                </c:pt>
                <c:pt idx="318">
                  <c:v>235000</c:v>
                </c:pt>
                <c:pt idx="319">
                  <c:v>235000</c:v>
                </c:pt>
                <c:pt idx="320">
                  <c:v>235000</c:v>
                </c:pt>
                <c:pt idx="321">
                  <c:v>235000</c:v>
                </c:pt>
                <c:pt idx="322">
                  <c:v>235000</c:v>
                </c:pt>
                <c:pt idx="323">
                  <c:v>235000</c:v>
                </c:pt>
                <c:pt idx="324">
                  <c:v>235000</c:v>
                </c:pt>
                <c:pt idx="325">
                  <c:v>235000</c:v>
                </c:pt>
                <c:pt idx="326">
                  <c:v>235000</c:v>
                </c:pt>
                <c:pt idx="327">
                  <c:v>235000</c:v>
                </c:pt>
                <c:pt idx="328">
                  <c:v>235000</c:v>
                </c:pt>
                <c:pt idx="329">
                  <c:v>235000</c:v>
                </c:pt>
                <c:pt idx="330">
                  <c:v>235000</c:v>
                </c:pt>
                <c:pt idx="331">
                  <c:v>235000</c:v>
                </c:pt>
                <c:pt idx="332">
                  <c:v>235000</c:v>
                </c:pt>
                <c:pt idx="333">
                  <c:v>235000</c:v>
                </c:pt>
                <c:pt idx="334">
                  <c:v>235000</c:v>
                </c:pt>
                <c:pt idx="335">
                  <c:v>235000</c:v>
                </c:pt>
                <c:pt idx="336">
                  <c:v>235000</c:v>
                </c:pt>
                <c:pt idx="337">
                  <c:v>235000</c:v>
                </c:pt>
                <c:pt idx="338">
                  <c:v>235000</c:v>
                </c:pt>
                <c:pt idx="339">
                  <c:v>235000</c:v>
                </c:pt>
                <c:pt idx="340">
                  <c:v>235000</c:v>
                </c:pt>
                <c:pt idx="341">
                  <c:v>235000</c:v>
                </c:pt>
                <c:pt idx="342">
                  <c:v>235000</c:v>
                </c:pt>
                <c:pt idx="343">
                  <c:v>235000</c:v>
                </c:pt>
                <c:pt idx="344">
                  <c:v>235000</c:v>
                </c:pt>
                <c:pt idx="345">
                  <c:v>235000</c:v>
                </c:pt>
                <c:pt idx="346">
                  <c:v>235000</c:v>
                </c:pt>
                <c:pt idx="347">
                  <c:v>235000</c:v>
                </c:pt>
                <c:pt idx="348">
                  <c:v>235000</c:v>
                </c:pt>
                <c:pt idx="349">
                  <c:v>235000</c:v>
                </c:pt>
                <c:pt idx="350">
                  <c:v>235000</c:v>
                </c:pt>
                <c:pt idx="351">
                  <c:v>235000</c:v>
                </c:pt>
                <c:pt idx="352">
                  <c:v>235000</c:v>
                </c:pt>
                <c:pt idx="353">
                  <c:v>235000</c:v>
                </c:pt>
                <c:pt idx="354">
                  <c:v>235000</c:v>
                </c:pt>
                <c:pt idx="355">
                  <c:v>235000</c:v>
                </c:pt>
                <c:pt idx="356">
                  <c:v>235000</c:v>
                </c:pt>
                <c:pt idx="357">
                  <c:v>235000</c:v>
                </c:pt>
                <c:pt idx="358">
                  <c:v>235000</c:v>
                </c:pt>
                <c:pt idx="359">
                  <c:v>235000</c:v>
                </c:pt>
                <c:pt idx="360">
                  <c:v>235000</c:v>
                </c:pt>
                <c:pt idx="361">
                  <c:v>235000</c:v>
                </c:pt>
                <c:pt idx="362">
                  <c:v>235000</c:v>
                </c:pt>
                <c:pt idx="363">
                  <c:v>235000</c:v>
                </c:pt>
                <c:pt idx="364">
                  <c:v>235000</c:v>
                </c:pt>
                <c:pt idx="365">
                  <c:v>235000</c:v>
                </c:pt>
                <c:pt idx="366">
                  <c:v>235000</c:v>
                </c:pt>
                <c:pt idx="367">
                  <c:v>235000</c:v>
                </c:pt>
                <c:pt idx="368">
                  <c:v>235000</c:v>
                </c:pt>
                <c:pt idx="369">
                  <c:v>235000</c:v>
                </c:pt>
                <c:pt idx="370">
                  <c:v>235000</c:v>
                </c:pt>
                <c:pt idx="371">
                  <c:v>235000</c:v>
                </c:pt>
                <c:pt idx="372">
                  <c:v>235000</c:v>
                </c:pt>
                <c:pt idx="373">
                  <c:v>235000</c:v>
                </c:pt>
                <c:pt idx="374">
                  <c:v>235000</c:v>
                </c:pt>
                <c:pt idx="375">
                  <c:v>235000</c:v>
                </c:pt>
                <c:pt idx="376">
                  <c:v>235000</c:v>
                </c:pt>
                <c:pt idx="377">
                  <c:v>235000</c:v>
                </c:pt>
                <c:pt idx="378">
                  <c:v>235000</c:v>
                </c:pt>
                <c:pt idx="379">
                  <c:v>235000</c:v>
                </c:pt>
                <c:pt idx="380">
                  <c:v>235000</c:v>
                </c:pt>
                <c:pt idx="381">
                  <c:v>235000</c:v>
                </c:pt>
                <c:pt idx="382">
                  <c:v>235000</c:v>
                </c:pt>
                <c:pt idx="383">
                  <c:v>235000</c:v>
                </c:pt>
                <c:pt idx="384">
                  <c:v>235000</c:v>
                </c:pt>
                <c:pt idx="385">
                  <c:v>235000</c:v>
                </c:pt>
                <c:pt idx="386">
                  <c:v>235000</c:v>
                </c:pt>
                <c:pt idx="387">
                  <c:v>235000</c:v>
                </c:pt>
                <c:pt idx="388">
                  <c:v>235000</c:v>
                </c:pt>
                <c:pt idx="389">
                  <c:v>235000</c:v>
                </c:pt>
                <c:pt idx="390">
                  <c:v>235000</c:v>
                </c:pt>
                <c:pt idx="391">
                  <c:v>235000</c:v>
                </c:pt>
                <c:pt idx="392">
                  <c:v>235000</c:v>
                </c:pt>
                <c:pt idx="393">
                  <c:v>235000</c:v>
                </c:pt>
                <c:pt idx="394">
                  <c:v>235000</c:v>
                </c:pt>
                <c:pt idx="395">
                  <c:v>235000</c:v>
                </c:pt>
                <c:pt idx="396">
                  <c:v>225000</c:v>
                </c:pt>
                <c:pt idx="397">
                  <c:v>225000</c:v>
                </c:pt>
                <c:pt idx="398">
                  <c:v>225000</c:v>
                </c:pt>
                <c:pt idx="399">
                  <c:v>225000</c:v>
                </c:pt>
                <c:pt idx="400">
                  <c:v>225000</c:v>
                </c:pt>
                <c:pt idx="401">
                  <c:v>225000</c:v>
                </c:pt>
                <c:pt idx="402">
                  <c:v>225000</c:v>
                </c:pt>
                <c:pt idx="403">
                  <c:v>225000</c:v>
                </c:pt>
                <c:pt idx="404">
                  <c:v>225000</c:v>
                </c:pt>
                <c:pt idx="405">
                  <c:v>225000</c:v>
                </c:pt>
                <c:pt idx="406">
                  <c:v>225000</c:v>
                </c:pt>
                <c:pt idx="407">
                  <c:v>225000</c:v>
                </c:pt>
                <c:pt idx="408">
                  <c:v>225000</c:v>
                </c:pt>
                <c:pt idx="409">
                  <c:v>225000</c:v>
                </c:pt>
                <c:pt idx="410">
                  <c:v>225000</c:v>
                </c:pt>
                <c:pt idx="411">
                  <c:v>225000</c:v>
                </c:pt>
                <c:pt idx="412">
                  <c:v>225000</c:v>
                </c:pt>
                <c:pt idx="413">
                  <c:v>225000</c:v>
                </c:pt>
                <c:pt idx="414">
                  <c:v>225000</c:v>
                </c:pt>
                <c:pt idx="415">
                  <c:v>225000</c:v>
                </c:pt>
                <c:pt idx="416">
                  <c:v>225000</c:v>
                </c:pt>
                <c:pt idx="417">
                  <c:v>225000</c:v>
                </c:pt>
                <c:pt idx="418">
                  <c:v>225000</c:v>
                </c:pt>
                <c:pt idx="419">
                  <c:v>225000</c:v>
                </c:pt>
                <c:pt idx="420">
                  <c:v>225000</c:v>
                </c:pt>
                <c:pt idx="421">
                  <c:v>225000</c:v>
                </c:pt>
                <c:pt idx="422">
                  <c:v>225000</c:v>
                </c:pt>
                <c:pt idx="423">
                  <c:v>225000</c:v>
                </c:pt>
                <c:pt idx="424">
                  <c:v>225000</c:v>
                </c:pt>
                <c:pt idx="425">
                  <c:v>225000</c:v>
                </c:pt>
                <c:pt idx="426">
                  <c:v>225000</c:v>
                </c:pt>
                <c:pt idx="427">
                  <c:v>225000</c:v>
                </c:pt>
                <c:pt idx="428">
                  <c:v>225000</c:v>
                </c:pt>
                <c:pt idx="429">
                  <c:v>225000</c:v>
                </c:pt>
                <c:pt idx="430">
                  <c:v>225000</c:v>
                </c:pt>
                <c:pt idx="431">
                  <c:v>225000</c:v>
                </c:pt>
                <c:pt idx="432">
                  <c:v>225000</c:v>
                </c:pt>
                <c:pt idx="433">
                  <c:v>225000</c:v>
                </c:pt>
                <c:pt idx="434">
                  <c:v>225000</c:v>
                </c:pt>
                <c:pt idx="435">
                  <c:v>225000</c:v>
                </c:pt>
                <c:pt idx="436">
                  <c:v>225000</c:v>
                </c:pt>
                <c:pt idx="437">
                  <c:v>225000</c:v>
                </c:pt>
                <c:pt idx="438">
                  <c:v>225000</c:v>
                </c:pt>
                <c:pt idx="439">
                  <c:v>225000</c:v>
                </c:pt>
                <c:pt idx="440">
                  <c:v>225000</c:v>
                </c:pt>
                <c:pt idx="441">
                  <c:v>225000</c:v>
                </c:pt>
                <c:pt idx="442">
                  <c:v>225000</c:v>
                </c:pt>
                <c:pt idx="443">
                  <c:v>225000</c:v>
                </c:pt>
                <c:pt idx="444">
                  <c:v>225000</c:v>
                </c:pt>
                <c:pt idx="445">
                  <c:v>225000</c:v>
                </c:pt>
                <c:pt idx="446">
                  <c:v>225000</c:v>
                </c:pt>
                <c:pt idx="447">
                  <c:v>225000</c:v>
                </c:pt>
                <c:pt idx="448">
                  <c:v>225000</c:v>
                </c:pt>
                <c:pt idx="449">
                  <c:v>225000</c:v>
                </c:pt>
                <c:pt idx="450">
                  <c:v>225000</c:v>
                </c:pt>
                <c:pt idx="451">
                  <c:v>225000</c:v>
                </c:pt>
                <c:pt idx="452">
                  <c:v>225000</c:v>
                </c:pt>
                <c:pt idx="453">
                  <c:v>225000</c:v>
                </c:pt>
                <c:pt idx="454">
                  <c:v>225000</c:v>
                </c:pt>
                <c:pt idx="455">
                  <c:v>225000</c:v>
                </c:pt>
                <c:pt idx="456">
                  <c:v>225000</c:v>
                </c:pt>
                <c:pt idx="457">
                  <c:v>225000</c:v>
                </c:pt>
                <c:pt idx="458">
                  <c:v>225000</c:v>
                </c:pt>
                <c:pt idx="459">
                  <c:v>225000</c:v>
                </c:pt>
                <c:pt idx="460">
                  <c:v>225000</c:v>
                </c:pt>
                <c:pt idx="461">
                  <c:v>225000</c:v>
                </c:pt>
                <c:pt idx="462">
                  <c:v>225000</c:v>
                </c:pt>
                <c:pt idx="463">
                  <c:v>225000</c:v>
                </c:pt>
                <c:pt idx="464">
                  <c:v>225000</c:v>
                </c:pt>
                <c:pt idx="465">
                  <c:v>225000</c:v>
                </c:pt>
                <c:pt idx="466">
                  <c:v>225000</c:v>
                </c:pt>
                <c:pt idx="467">
                  <c:v>225000</c:v>
                </c:pt>
                <c:pt idx="468">
                  <c:v>225000</c:v>
                </c:pt>
                <c:pt idx="469">
                  <c:v>225000</c:v>
                </c:pt>
                <c:pt idx="470">
                  <c:v>225000</c:v>
                </c:pt>
                <c:pt idx="471">
                  <c:v>225000</c:v>
                </c:pt>
                <c:pt idx="472">
                  <c:v>225000</c:v>
                </c:pt>
                <c:pt idx="473">
                  <c:v>225000</c:v>
                </c:pt>
                <c:pt idx="474">
                  <c:v>225000</c:v>
                </c:pt>
                <c:pt idx="475">
                  <c:v>225000</c:v>
                </c:pt>
                <c:pt idx="476">
                  <c:v>225000</c:v>
                </c:pt>
                <c:pt idx="477">
                  <c:v>225000</c:v>
                </c:pt>
                <c:pt idx="478">
                  <c:v>225000</c:v>
                </c:pt>
                <c:pt idx="479">
                  <c:v>225000</c:v>
                </c:pt>
                <c:pt idx="480">
                  <c:v>225000</c:v>
                </c:pt>
                <c:pt idx="481">
                  <c:v>225000</c:v>
                </c:pt>
                <c:pt idx="482">
                  <c:v>225000</c:v>
                </c:pt>
                <c:pt idx="483">
                  <c:v>225000</c:v>
                </c:pt>
                <c:pt idx="484">
                  <c:v>225000</c:v>
                </c:pt>
                <c:pt idx="485">
                  <c:v>225000</c:v>
                </c:pt>
                <c:pt idx="486">
                  <c:v>225000</c:v>
                </c:pt>
                <c:pt idx="487">
                  <c:v>225000</c:v>
                </c:pt>
                <c:pt idx="488">
                  <c:v>225000</c:v>
                </c:pt>
                <c:pt idx="489">
                  <c:v>225000</c:v>
                </c:pt>
                <c:pt idx="490">
                  <c:v>225000</c:v>
                </c:pt>
                <c:pt idx="491">
                  <c:v>225000</c:v>
                </c:pt>
                <c:pt idx="492">
                  <c:v>225000</c:v>
                </c:pt>
                <c:pt idx="493">
                  <c:v>225000</c:v>
                </c:pt>
                <c:pt idx="494">
                  <c:v>225000</c:v>
                </c:pt>
                <c:pt idx="495">
                  <c:v>225000</c:v>
                </c:pt>
                <c:pt idx="496">
                  <c:v>225000</c:v>
                </c:pt>
                <c:pt idx="497">
                  <c:v>225000</c:v>
                </c:pt>
                <c:pt idx="498">
                  <c:v>225000</c:v>
                </c:pt>
                <c:pt idx="499">
                  <c:v>225000</c:v>
                </c:pt>
                <c:pt idx="500">
                  <c:v>225000</c:v>
                </c:pt>
                <c:pt idx="501">
                  <c:v>225000</c:v>
                </c:pt>
                <c:pt idx="502">
                  <c:v>225000</c:v>
                </c:pt>
                <c:pt idx="503">
                  <c:v>225000</c:v>
                </c:pt>
                <c:pt idx="504">
                  <c:v>225000</c:v>
                </c:pt>
                <c:pt idx="505">
                  <c:v>225000</c:v>
                </c:pt>
                <c:pt idx="506">
                  <c:v>225000</c:v>
                </c:pt>
                <c:pt idx="507">
                  <c:v>225000</c:v>
                </c:pt>
                <c:pt idx="508">
                  <c:v>225000</c:v>
                </c:pt>
                <c:pt idx="509">
                  <c:v>225000</c:v>
                </c:pt>
                <c:pt idx="510">
                  <c:v>225000</c:v>
                </c:pt>
                <c:pt idx="511">
                  <c:v>225000</c:v>
                </c:pt>
                <c:pt idx="512">
                  <c:v>225000</c:v>
                </c:pt>
                <c:pt idx="513">
                  <c:v>225000</c:v>
                </c:pt>
                <c:pt idx="514">
                  <c:v>225000</c:v>
                </c:pt>
                <c:pt idx="515">
                  <c:v>225000</c:v>
                </c:pt>
                <c:pt idx="516">
                  <c:v>225000</c:v>
                </c:pt>
                <c:pt idx="517">
                  <c:v>225000</c:v>
                </c:pt>
                <c:pt idx="518">
                  <c:v>225000</c:v>
                </c:pt>
                <c:pt idx="519">
                  <c:v>225000</c:v>
                </c:pt>
                <c:pt idx="520">
                  <c:v>225000</c:v>
                </c:pt>
                <c:pt idx="521">
                  <c:v>225000</c:v>
                </c:pt>
                <c:pt idx="522">
                  <c:v>225000</c:v>
                </c:pt>
                <c:pt idx="523">
                  <c:v>225000</c:v>
                </c:pt>
                <c:pt idx="524">
                  <c:v>225000</c:v>
                </c:pt>
                <c:pt idx="525">
                  <c:v>225000</c:v>
                </c:pt>
                <c:pt idx="526">
                  <c:v>225000</c:v>
                </c:pt>
                <c:pt idx="527">
                  <c:v>225000</c:v>
                </c:pt>
                <c:pt idx="528">
                  <c:v>225000</c:v>
                </c:pt>
                <c:pt idx="529">
                  <c:v>225000</c:v>
                </c:pt>
                <c:pt idx="530">
                  <c:v>225000</c:v>
                </c:pt>
                <c:pt idx="531">
                  <c:v>225000</c:v>
                </c:pt>
                <c:pt idx="532">
                  <c:v>225000</c:v>
                </c:pt>
                <c:pt idx="533">
                  <c:v>225000</c:v>
                </c:pt>
                <c:pt idx="534">
                  <c:v>225000</c:v>
                </c:pt>
                <c:pt idx="535">
                  <c:v>225000</c:v>
                </c:pt>
                <c:pt idx="536">
                  <c:v>225000</c:v>
                </c:pt>
                <c:pt idx="537">
                  <c:v>225000</c:v>
                </c:pt>
                <c:pt idx="538">
                  <c:v>225000</c:v>
                </c:pt>
                <c:pt idx="539">
                  <c:v>225000</c:v>
                </c:pt>
                <c:pt idx="540">
                  <c:v>225000</c:v>
                </c:pt>
                <c:pt idx="541">
                  <c:v>225000</c:v>
                </c:pt>
                <c:pt idx="542">
                  <c:v>225000</c:v>
                </c:pt>
                <c:pt idx="543">
                  <c:v>225000</c:v>
                </c:pt>
                <c:pt idx="544">
                  <c:v>225000</c:v>
                </c:pt>
                <c:pt idx="545">
                  <c:v>225000</c:v>
                </c:pt>
                <c:pt idx="546">
                  <c:v>225000</c:v>
                </c:pt>
                <c:pt idx="547">
                  <c:v>235000</c:v>
                </c:pt>
                <c:pt idx="548">
                  <c:v>235000</c:v>
                </c:pt>
                <c:pt idx="549">
                  <c:v>235000</c:v>
                </c:pt>
                <c:pt idx="550">
                  <c:v>235000</c:v>
                </c:pt>
                <c:pt idx="551">
                  <c:v>235000</c:v>
                </c:pt>
                <c:pt idx="552">
                  <c:v>235000</c:v>
                </c:pt>
                <c:pt idx="553">
                  <c:v>235000</c:v>
                </c:pt>
                <c:pt idx="554">
                  <c:v>235000</c:v>
                </c:pt>
                <c:pt idx="555">
                  <c:v>235000</c:v>
                </c:pt>
                <c:pt idx="556">
                  <c:v>235000</c:v>
                </c:pt>
                <c:pt idx="557">
                  <c:v>235000</c:v>
                </c:pt>
                <c:pt idx="558">
                  <c:v>235000</c:v>
                </c:pt>
                <c:pt idx="559">
                  <c:v>235000</c:v>
                </c:pt>
                <c:pt idx="560">
                  <c:v>235000</c:v>
                </c:pt>
                <c:pt idx="561">
                  <c:v>235000</c:v>
                </c:pt>
                <c:pt idx="562">
                  <c:v>235000</c:v>
                </c:pt>
                <c:pt idx="563">
                  <c:v>235000</c:v>
                </c:pt>
                <c:pt idx="564">
                  <c:v>235000</c:v>
                </c:pt>
                <c:pt idx="565">
                  <c:v>235000</c:v>
                </c:pt>
                <c:pt idx="566">
                  <c:v>235000</c:v>
                </c:pt>
                <c:pt idx="567">
                  <c:v>235000</c:v>
                </c:pt>
                <c:pt idx="568">
                  <c:v>235000</c:v>
                </c:pt>
                <c:pt idx="569">
                  <c:v>235000</c:v>
                </c:pt>
                <c:pt idx="570">
                  <c:v>235000</c:v>
                </c:pt>
                <c:pt idx="571">
                  <c:v>235000</c:v>
                </c:pt>
                <c:pt idx="572">
                  <c:v>235000</c:v>
                </c:pt>
                <c:pt idx="573">
                  <c:v>235000</c:v>
                </c:pt>
                <c:pt idx="574">
                  <c:v>235000</c:v>
                </c:pt>
                <c:pt idx="575">
                  <c:v>235000</c:v>
                </c:pt>
                <c:pt idx="576">
                  <c:v>235000</c:v>
                </c:pt>
                <c:pt idx="577">
                  <c:v>235000</c:v>
                </c:pt>
                <c:pt idx="578">
                  <c:v>235000</c:v>
                </c:pt>
                <c:pt idx="579">
                  <c:v>235000</c:v>
                </c:pt>
                <c:pt idx="580">
                  <c:v>235000</c:v>
                </c:pt>
                <c:pt idx="581">
                  <c:v>235000</c:v>
                </c:pt>
                <c:pt idx="582">
                  <c:v>235000</c:v>
                </c:pt>
                <c:pt idx="583">
                  <c:v>235000</c:v>
                </c:pt>
                <c:pt idx="584">
                  <c:v>235000</c:v>
                </c:pt>
                <c:pt idx="585">
                  <c:v>235000</c:v>
                </c:pt>
                <c:pt idx="586">
                  <c:v>235000</c:v>
                </c:pt>
                <c:pt idx="587">
                  <c:v>235000</c:v>
                </c:pt>
                <c:pt idx="588">
                  <c:v>235000</c:v>
                </c:pt>
                <c:pt idx="589">
                  <c:v>235000</c:v>
                </c:pt>
                <c:pt idx="590">
                  <c:v>235000</c:v>
                </c:pt>
                <c:pt idx="591">
                  <c:v>235000</c:v>
                </c:pt>
                <c:pt idx="592">
                  <c:v>235000</c:v>
                </c:pt>
                <c:pt idx="593">
                  <c:v>235000</c:v>
                </c:pt>
                <c:pt idx="594">
                  <c:v>235000</c:v>
                </c:pt>
                <c:pt idx="595">
                  <c:v>235000</c:v>
                </c:pt>
                <c:pt idx="596">
                  <c:v>235000</c:v>
                </c:pt>
                <c:pt idx="597">
                  <c:v>235000</c:v>
                </c:pt>
                <c:pt idx="598">
                  <c:v>235000</c:v>
                </c:pt>
                <c:pt idx="599">
                  <c:v>235000</c:v>
                </c:pt>
                <c:pt idx="600">
                  <c:v>235000</c:v>
                </c:pt>
                <c:pt idx="601">
                  <c:v>235000</c:v>
                </c:pt>
                <c:pt idx="602">
                  <c:v>235000</c:v>
                </c:pt>
                <c:pt idx="603">
                  <c:v>235000</c:v>
                </c:pt>
                <c:pt idx="604">
                  <c:v>235000</c:v>
                </c:pt>
                <c:pt idx="605">
                  <c:v>235000</c:v>
                </c:pt>
                <c:pt idx="606">
                  <c:v>235000</c:v>
                </c:pt>
                <c:pt idx="607">
                  <c:v>235000</c:v>
                </c:pt>
                <c:pt idx="608">
                  <c:v>235000</c:v>
                </c:pt>
                <c:pt idx="609">
                  <c:v>235000</c:v>
                </c:pt>
                <c:pt idx="610">
                  <c:v>235000</c:v>
                </c:pt>
                <c:pt idx="611">
                  <c:v>235000</c:v>
                </c:pt>
                <c:pt idx="612">
                  <c:v>235000</c:v>
                </c:pt>
                <c:pt idx="613">
                  <c:v>235000</c:v>
                </c:pt>
                <c:pt idx="614">
                  <c:v>235000</c:v>
                </c:pt>
                <c:pt idx="615">
                  <c:v>235000</c:v>
                </c:pt>
                <c:pt idx="616">
                  <c:v>235000</c:v>
                </c:pt>
                <c:pt idx="617">
                  <c:v>235000</c:v>
                </c:pt>
                <c:pt idx="618">
                  <c:v>235000</c:v>
                </c:pt>
                <c:pt idx="619">
                  <c:v>235000</c:v>
                </c:pt>
                <c:pt idx="620">
                  <c:v>235000</c:v>
                </c:pt>
                <c:pt idx="621">
                  <c:v>235000</c:v>
                </c:pt>
                <c:pt idx="622">
                  <c:v>235000</c:v>
                </c:pt>
                <c:pt idx="623">
                  <c:v>235000</c:v>
                </c:pt>
                <c:pt idx="624">
                  <c:v>235000</c:v>
                </c:pt>
                <c:pt idx="625">
                  <c:v>235000</c:v>
                </c:pt>
                <c:pt idx="626">
                  <c:v>235000</c:v>
                </c:pt>
                <c:pt idx="627">
                  <c:v>235000</c:v>
                </c:pt>
                <c:pt idx="628">
                  <c:v>235000</c:v>
                </c:pt>
                <c:pt idx="629">
                  <c:v>235000</c:v>
                </c:pt>
                <c:pt idx="630">
                  <c:v>235000</c:v>
                </c:pt>
                <c:pt idx="631">
                  <c:v>235000</c:v>
                </c:pt>
                <c:pt idx="632">
                  <c:v>235000</c:v>
                </c:pt>
                <c:pt idx="633">
                  <c:v>235000</c:v>
                </c:pt>
                <c:pt idx="634">
                  <c:v>235000</c:v>
                </c:pt>
                <c:pt idx="635">
                  <c:v>235000</c:v>
                </c:pt>
                <c:pt idx="636">
                  <c:v>235000</c:v>
                </c:pt>
                <c:pt idx="637">
                  <c:v>235000</c:v>
                </c:pt>
                <c:pt idx="638">
                  <c:v>235000</c:v>
                </c:pt>
                <c:pt idx="639">
                  <c:v>235000</c:v>
                </c:pt>
                <c:pt idx="640">
                  <c:v>235000</c:v>
                </c:pt>
                <c:pt idx="641">
                  <c:v>235000</c:v>
                </c:pt>
                <c:pt idx="642">
                  <c:v>235000</c:v>
                </c:pt>
                <c:pt idx="643">
                  <c:v>235000</c:v>
                </c:pt>
                <c:pt idx="644">
                  <c:v>235000</c:v>
                </c:pt>
                <c:pt idx="645">
                  <c:v>235000</c:v>
                </c:pt>
                <c:pt idx="646">
                  <c:v>235000</c:v>
                </c:pt>
                <c:pt idx="647">
                  <c:v>235000</c:v>
                </c:pt>
                <c:pt idx="648">
                  <c:v>235000</c:v>
                </c:pt>
                <c:pt idx="649">
                  <c:v>235000</c:v>
                </c:pt>
                <c:pt idx="650">
                  <c:v>235000</c:v>
                </c:pt>
                <c:pt idx="651">
                  <c:v>235000</c:v>
                </c:pt>
                <c:pt idx="652">
                  <c:v>235000</c:v>
                </c:pt>
                <c:pt idx="653">
                  <c:v>235000</c:v>
                </c:pt>
                <c:pt idx="654">
                  <c:v>235000</c:v>
                </c:pt>
                <c:pt idx="655">
                  <c:v>235000</c:v>
                </c:pt>
                <c:pt idx="656">
                  <c:v>235000</c:v>
                </c:pt>
                <c:pt idx="657">
                  <c:v>235000</c:v>
                </c:pt>
                <c:pt idx="658">
                  <c:v>235000</c:v>
                </c:pt>
                <c:pt idx="659">
                  <c:v>235000</c:v>
                </c:pt>
                <c:pt idx="660">
                  <c:v>235000</c:v>
                </c:pt>
                <c:pt idx="661">
                  <c:v>235000</c:v>
                </c:pt>
                <c:pt idx="662">
                  <c:v>235000</c:v>
                </c:pt>
                <c:pt idx="663">
                  <c:v>235000</c:v>
                </c:pt>
                <c:pt idx="664">
                  <c:v>235000</c:v>
                </c:pt>
                <c:pt idx="665">
                  <c:v>235000</c:v>
                </c:pt>
                <c:pt idx="666">
                  <c:v>235000</c:v>
                </c:pt>
                <c:pt idx="667">
                  <c:v>235000</c:v>
                </c:pt>
                <c:pt idx="668">
                  <c:v>235000</c:v>
                </c:pt>
                <c:pt idx="669">
                  <c:v>235000</c:v>
                </c:pt>
                <c:pt idx="670">
                  <c:v>235000</c:v>
                </c:pt>
                <c:pt idx="671">
                  <c:v>235000</c:v>
                </c:pt>
                <c:pt idx="672">
                  <c:v>235000</c:v>
                </c:pt>
                <c:pt idx="673">
                  <c:v>235000</c:v>
                </c:pt>
                <c:pt idx="674">
                  <c:v>235000</c:v>
                </c:pt>
                <c:pt idx="675">
                  <c:v>235000</c:v>
                </c:pt>
                <c:pt idx="676">
                  <c:v>235000</c:v>
                </c:pt>
                <c:pt idx="677">
                  <c:v>235000</c:v>
                </c:pt>
                <c:pt idx="678">
                  <c:v>235000</c:v>
                </c:pt>
                <c:pt idx="679">
                  <c:v>235000</c:v>
                </c:pt>
                <c:pt idx="680">
                  <c:v>235000</c:v>
                </c:pt>
                <c:pt idx="681">
                  <c:v>235000</c:v>
                </c:pt>
                <c:pt idx="682">
                  <c:v>235000</c:v>
                </c:pt>
                <c:pt idx="683">
                  <c:v>235000</c:v>
                </c:pt>
                <c:pt idx="684">
                  <c:v>235000</c:v>
                </c:pt>
                <c:pt idx="685">
                  <c:v>235000</c:v>
                </c:pt>
                <c:pt idx="686">
                  <c:v>235000</c:v>
                </c:pt>
                <c:pt idx="687">
                  <c:v>235000</c:v>
                </c:pt>
                <c:pt idx="688">
                  <c:v>235000</c:v>
                </c:pt>
                <c:pt idx="689">
                  <c:v>235000</c:v>
                </c:pt>
                <c:pt idx="690">
                  <c:v>235000</c:v>
                </c:pt>
                <c:pt idx="691">
                  <c:v>235000</c:v>
                </c:pt>
                <c:pt idx="692">
                  <c:v>235000</c:v>
                </c:pt>
                <c:pt idx="693">
                  <c:v>235000</c:v>
                </c:pt>
                <c:pt idx="694">
                  <c:v>235000</c:v>
                </c:pt>
                <c:pt idx="695">
                  <c:v>235000</c:v>
                </c:pt>
                <c:pt idx="696">
                  <c:v>235000</c:v>
                </c:pt>
                <c:pt idx="697">
                  <c:v>235000</c:v>
                </c:pt>
                <c:pt idx="698">
                  <c:v>235000</c:v>
                </c:pt>
                <c:pt idx="699">
                  <c:v>235000</c:v>
                </c:pt>
                <c:pt idx="700">
                  <c:v>235000</c:v>
                </c:pt>
                <c:pt idx="701">
                  <c:v>235000</c:v>
                </c:pt>
                <c:pt idx="702">
                  <c:v>235000</c:v>
                </c:pt>
                <c:pt idx="703">
                  <c:v>235000</c:v>
                </c:pt>
                <c:pt idx="704">
                  <c:v>235000</c:v>
                </c:pt>
                <c:pt idx="705">
                  <c:v>235000</c:v>
                </c:pt>
                <c:pt idx="706">
                  <c:v>235000</c:v>
                </c:pt>
                <c:pt idx="707">
                  <c:v>235000</c:v>
                </c:pt>
                <c:pt idx="708">
                  <c:v>235000</c:v>
                </c:pt>
                <c:pt idx="709">
                  <c:v>235000</c:v>
                </c:pt>
                <c:pt idx="710">
                  <c:v>235000</c:v>
                </c:pt>
                <c:pt idx="711">
                  <c:v>235000</c:v>
                </c:pt>
                <c:pt idx="712">
                  <c:v>235000</c:v>
                </c:pt>
                <c:pt idx="713">
                  <c:v>235000</c:v>
                </c:pt>
                <c:pt idx="714">
                  <c:v>235000</c:v>
                </c:pt>
                <c:pt idx="715">
                  <c:v>235000</c:v>
                </c:pt>
                <c:pt idx="716">
                  <c:v>235000</c:v>
                </c:pt>
                <c:pt idx="717">
                  <c:v>235000</c:v>
                </c:pt>
                <c:pt idx="718">
                  <c:v>235000</c:v>
                </c:pt>
                <c:pt idx="719">
                  <c:v>235000</c:v>
                </c:pt>
                <c:pt idx="720">
                  <c:v>235000</c:v>
                </c:pt>
                <c:pt idx="721">
                  <c:v>235000</c:v>
                </c:pt>
                <c:pt idx="722">
                  <c:v>235000</c:v>
                </c:pt>
                <c:pt idx="723">
                  <c:v>235000</c:v>
                </c:pt>
                <c:pt idx="724">
                  <c:v>235000</c:v>
                </c:pt>
                <c:pt idx="725">
                  <c:v>235000</c:v>
                </c:pt>
                <c:pt idx="726">
                  <c:v>235000</c:v>
                </c:pt>
                <c:pt idx="727">
                  <c:v>235000</c:v>
                </c:pt>
                <c:pt idx="728">
                  <c:v>235000</c:v>
                </c:pt>
                <c:pt idx="729">
                  <c:v>235000</c:v>
                </c:pt>
                <c:pt idx="730">
                  <c:v>235000</c:v>
                </c:pt>
                <c:pt idx="731">
                  <c:v>235000</c:v>
                </c:pt>
                <c:pt idx="732">
                  <c:v>235000</c:v>
                </c:pt>
                <c:pt idx="733">
                  <c:v>235000</c:v>
                </c:pt>
                <c:pt idx="734">
                  <c:v>235000</c:v>
                </c:pt>
                <c:pt idx="735">
                  <c:v>235000</c:v>
                </c:pt>
                <c:pt idx="736">
                  <c:v>235000</c:v>
                </c:pt>
                <c:pt idx="737">
                  <c:v>235000</c:v>
                </c:pt>
                <c:pt idx="738">
                  <c:v>235000</c:v>
                </c:pt>
                <c:pt idx="739">
                  <c:v>235000</c:v>
                </c:pt>
                <c:pt idx="740">
                  <c:v>235000</c:v>
                </c:pt>
                <c:pt idx="741">
                  <c:v>235000</c:v>
                </c:pt>
                <c:pt idx="742">
                  <c:v>235000</c:v>
                </c:pt>
                <c:pt idx="743">
                  <c:v>235000</c:v>
                </c:pt>
                <c:pt idx="744">
                  <c:v>235000</c:v>
                </c:pt>
                <c:pt idx="745">
                  <c:v>235000</c:v>
                </c:pt>
                <c:pt idx="746">
                  <c:v>235000</c:v>
                </c:pt>
                <c:pt idx="747">
                  <c:v>235000</c:v>
                </c:pt>
                <c:pt idx="748">
                  <c:v>235000</c:v>
                </c:pt>
                <c:pt idx="749">
                  <c:v>235000</c:v>
                </c:pt>
                <c:pt idx="750">
                  <c:v>235000</c:v>
                </c:pt>
                <c:pt idx="751">
                  <c:v>235000</c:v>
                </c:pt>
                <c:pt idx="752">
                  <c:v>235000</c:v>
                </c:pt>
                <c:pt idx="753">
                  <c:v>235000</c:v>
                </c:pt>
                <c:pt idx="754">
                  <c:v>235000</c:v>
                </c:pt>
                <c:pt idx="755">
                  <c:v>235000</c:v>
                </c:pt>
                <c:pt idx="756">
                  <c:v>235000</c:v>
                </c:pt>
                <c:pt idx="757">
                  <c:v>235000</c:v>
                </c:pt>
                <c:pt idx="758">
                  <c:v>235000</c:v>
                </c:pt>
                <c:pt idx="759">
                  <c:v>235000</c:v>
                </c:pt>
                <c:pt idx="760">
                  <c:v>235000</c:v>
                </c:pt>
                <c:pt idx="761">
                  <c:v>225000</c:v>
                </c:pt>
                <c:pt idx="762">
                  <c:v>225000</c:v>
                </c:pt>
                <c:pt idx="763">
                  <c:v>225000</c:v>
                </c:pt>
                <c:pt idx="764">
                  <c:v>225000</c:v>
                </c:pt>
                <c:pt idx="765">
                  <c:v>225000</c:v>
                </c:pt>
                <c:pt idx="766">
                  <c:v>225000</c:v>
                </c:pt>
                <c:pt idx="767">
                  <c:v>225000</c:v>
                </c:pt>
                <c:pt idx="768">
                  <c:v>225000</c:v>
                </c:pt>
                <c:pt idx="769">
                  <c:v>225000</c:v>
                </c:pt>
                <c:pt idx="770">
                  <c:v>225000</c:v>
                </c:pt>
                <c:pt idx="771">
                  <c:v>225000</c:v>
                </c:pt>
                <c:pt idx="772">
                  <c:v>225000</c:v>
                </c:pt>
                <c:pt idx="773">
                  <c:v>225000</c:v>
                </c:pt>
                <c:pt idx="774">
                  <c:v>225000</c:v>
                </c:pt>
                <c:pt idx="775">
                  <c:v>225000</c:v>
                </c:pt>
                <c:pt idx="776">
                  <c:v>225000</c:v>
                </c:pt>
                <c:pt idx="777">
                  <c:v>225000</c:v>
                </c:pt>
                <c:pt idx="778">
                  <c:v>225000</c:v>
                </c:pt>
                <c:pt idx="779">
                  <c:v>225000</c:v>
                </c:pt>
                <c:pt idx="780">
                  <c:v>225000</c:v>
                </c:pt>
                <c:pt idx="781">
                  <c:v>225000</c:v>
                </c:pt>
                <c:pt idx="782">
                  <c:v>225000</c:v>
                </c:pt>
                <c:pt idx="783">
                  <c:v>225000</c:v>
                </c:pt>
                <c:pt idx="784">
                  <c:v>225000</c:v>
                </c:pt>
                <c:pt idx="785">
                  <c:v>225000</c:v>
                </c:pt>
                <c:pt idx="786">
                  <c:v>225000</c:v>
                </c:pt>
                <c:pt idx="787">
                  <c:v>225000</c:v>
                </c:pt>
                <c:pt idx="788">
                  <c:v>225000</c:v>
                </c:pt>
                <c:pt idx="789">
                  <c:v>225000</c:v>
                </c:pt>
                <c:pt idx="790">
                  <c:v>225000</c:v>
                </c:pt>
                <c:pt idx="791">
                  <c:v>225000</c:v>
                </c:pt>
                <c:pt idx="792">
                  <c:v>225000</c:v>
                </c:pt>
                <c:pt idx="793">
                  <c:v>225000</c:v>
                </c:pt>
                <c:pt idx="794">
                  <c:v>225000</c:v>
                </c:pt>
                <c:pt idx="795">
                  <c:v>225000</c:v>
                </c:pt>
                <c:pt idx="796">
                  <c:v>225000</c:v>
                </c:pt>
                <c:pt idx="797">
                  <c:v>225000</c:v>
                </c:pt>
                <c:pt idx="798">
                  <c:v>225000</c:v>
                </c:pt>
                <c:pt idx="799">
                  <c:v>225000</c:v>
                </c:pt>
                <c:pt idx="800">
                  <c:v>225000</c:v>
                </c:pt>
                <c:pt idx="801">
                  <c:v>225000</c:v>
                </c:pt>
                <c:pt idx="802">
                  <c:v>225000</c:v>
                </c:pt>
                <c:pt idx="803">
                  <c:v>225000</c:v>
                </c:pt>
                <c:pt idx="804">
                  <c:v>225000</c:v>
                </c:pt>
                <c:pt idx="805">
                  <c:v>225000</c:v>
                </c:pt>
                <c:pt idx="806">
                  <c:v>225000</c:v>
                </c:pt>
                <c:pt idx="807">
                  <c:v>225000</c:v>
                </c:pt>
                <c:pt idx="808">
                  <c:v>225000</c:v>
                </c:pt>
                <c:pt idx="809">
                  <c:v>225000</c:v>
                </c:pt>
                <c:pt idx="810">
                  <c:v>225000</c:v>
                </c:pt>
                <c:pt idx="811">
                  <c:v>225000</c:v>
                </c:pt>
                <c:pt idx="812">
                  <c:v>225000</c:v>
                </c:pt>
                <c:pt idx="813">
                  <c:v>225000</c:v>
                </c:pt>
                <c:pt idx="814">
                  <c:v>225000</c:v>
                </c:pt>
                <c:pt idx="815">
                  <c:v>225000</c:v>
                </c:pt>
                <c:pt idx="816">
                  <c:v>225000</c:v>
                </c:pt>
                <c:pt idx="817">
                  <c:v>225000</c:v>
                </c:pt>
                <c:pt idx="818">
                  <c:v>225000</c:v>
                </c:pt>
                <c:pt idx="819">
                  <c:v>225000</c:v>
                </c:pt>
                <c:pt idx="820">
                  <c:v>225000</c:v>
                </c:pt>
                <c:pt idx="821">
                  <c:v>225000</c:v>
                </c:pt>
                <c:pt idx="822">
                  <c:v>225000</c:v>
                </c:pt>
                <c:pt idx="823">
                  <c:v>225000</c:v>
                </c:pt>
                <c:pt idx="824">
                  <c:v>225000</c:v>
                </c:pt>
                <c:pt idx="825">
                  <c:v>225000</c:v>
                </c:pt>
                <c:pt idx="826">
                  <c:v>225000</c:v>
                </c:pt>
                <c:pt idx="827">
                  <c:v>225000</c:v>
                </c:pt>
                <c:pt idx="828">
                  <c:v>225000</c:v>
                </c:pt>
                <c:pt idx="829">
                  <c:v>225000</c:v>
                </c:pt>
                <c:pt idx="830">
                  <c:v>225000</c:v>
                </c:pt>
                <c:pt idx="831">
                  <c:v>225000</c:v>
                </c:pt>
                <c:pt idx="832">
                  <c:v>225000</c:v>
                </c:pt>
                <c:pt idx="833">
                  <c:v>225000</c:v>
                </c:pt>
                <c:pt idx="834">
                  <c:v>225000</c:v>
                </c:pt>
                <c:pt idx="835">
                  <c:v>225000</c:v>
                </c:pt>
                <c:pt idx="836">
                  <c:v>225000</c:v>
                </c:pt>
                <c:pt idx="837">
                  <c:v>225000</c:v>
                </c:pt>
                <c:pt idx="838">
                  <c:v>225000</c:v>
                </c:pt>
                <c:pt idx="839">
                  <c:v>225000</c:v>
                </c:pt>
                <c:pt idx="840">
                  <c:v>225000</c:v>
                </c:pt>
                <c:pt idx="841">
                  <c:v>225000</c:v>
                </c:pt>
                <c:pt idx="842">
                  <c:v>225000</c:v>
                </c:pt>
                <c:pt idx="843">
                  <c:v>225000</c:v>
                </c:pt>
                <c:pt idx="844">
                  <c:v>225000</c:v>
                </c:pt>
                <c:pt idx="845">
                  <c:v>225000</c:v>
                </c:pt>
                <c:pt idx="846">
                  <c:v>225000</c:v>
                </c:pt>
                <c:pt idx="847">
                  <c:v>225000</c:v>
                </c:pt>
                <c:pt idx="848">
                  <c:v>225000</c:v>
                </c:pt>
                <c:pt idx="849">
                  <c:v>225000</c:v>
                </c:pt>
                <c:pt idx="850">
                  <c:v>225000</c:v>
                </c:pt>
                <c:pt idx="851">
                  <c:v>225000</c:v>
                </c:pt>
                <c:pt idx="852">
                  <c:v>225000</c:v>
                </c:pt>
                <c:pt idx="853">
                  <c:v>225000</c:v>
                </c:pt>
                <c:pt idx="854">
                  <c:v>225000</c:v>
                </c:pt>
                <c:pt idx="855">
                  <c:v>225000</c:v>
                </c:pt>
                <c:pt idx="856">
                  <c:v>225000</c:v>
                </c:pt>
                <c:pt idx="857">
                  <c:v>225000</c:v>
                </c:pt>
                <c:pt idx="858">
                  <c:v>225000</c:v>
                </c:pt>
                <c:pt idx="859">
                  <c:v>225000</c:v>
                </c:pt>
                <c:pt idx="860">
                  <c:v>225000</c:v>
                </c:pt>
                <c:pt idx="861">
                  <c:v>225000</c:v>
                </c:pt>
                <c:pt idx="862">
                  <c:v>225000</c:v>
                </c:pt>
                <c:pt idx="863">
                  <c:v>225000</c:v>
                </c:pt>
                <c:pt idx="864">
                  <c:v>225000</c:v>
                </c:pt>
                <c:pt idx="865">
                  <c:v>225000</c:v>
                </c:pt>
                <c:pt idx="866">
                  <c:v>225000</c:v>
                </c:pt>
                <c:pt idx="867">
                  <c:v>225000</c:v>
                </c:pt>
                <c:pt idx="868">
                  <c:v>225000</c:v>
                </c:pt>
                <c:pt idx="869">
                  <c:v>225000</c:v>
                </c:pt>
                <c:pt idx="870">
                  <c:v>225000</c:v>
                </c:pt>
                <c:pt idx="871">
                  <c:v>225000</c:v>
                </c:pt>
                <c:pt idx="872">
                  <c:v>225000</c:v>
                </c:pt>
                <c:pt idx="873">
                  <c:v>225000</c:v>
                </c:pt>
                <c:pt idx="874">
                  <c:v>225000</c:v>
                </c:pt>
                <c:pt idx="875">
                  <c:v>225000</c:v>
                </c:pt>
                <c:pt idx="876">
                  <c:v>225000</c:v>
                </c:pt>
                <c:pt idx="877">
                  <c:v>225000</c:v>
                </c:pt>
                <c:pt idx="878">
                  <c:v>225000</c:v>
                </c:pt>
                <c:pt idx="879">
                  <c:v>225000</c:v>
                </c:pt>
                <c:pt idx="880">
                  <c:v>225000</c:v>
                </c:pt>
                <c:pt idx="881">
                  <c:v>225000</c:v>
                </c:pt>
                <c:pt idx="882">
                  <c:v>225000</c:v>
                </c:pt>
                <c:pt idx="883">
                  <c:v>225000</c:v>
                </c:pt>
                <c:pt idx="884">
                  <c:v>225000</c:v>
                </c:pt>
                <c:pt idx="885">
                  <c:v>225000</c:v>
                </c:pt>
                <c:pt idx="886">
                  <c:v>225000</c:v>
                </c:pt>
                <c:pt idx="887">
                  <c:v>225000</c:v>
                </c:pt>
                <c:pt idx="888">
                  <c:v>225000</c:v>
                </c:pt>
                <c:pt idx="889">
                  <c:v>225000</c:v>
                </c:pt>
                <c:pt idx="890">
                  <c:v>225000</c:v>
                </c:pt>
                <c:pt idx="891">
                  <c:v>225000</c:v>
                </c:pt>
                <c:pt idx="892">
                  <c:v>225000</c:v>
                </c:pt>
                <c:pt idx="893">
                  <c:v>225000</c:v>
                </c:pt>
                <c:pt idx="894">
                  <c:v>225000</c:v>
                </c:pt>
                <c:pt idx="895">
                  <c:v>225000</c:v>
                </c:pt>
                <c:pt idx="896">
                  <c:v>225000</c:v>
                </c:pt>
                <c:pt idx="897">
                  <c:v>225000</c:v>
                </c:pt>
                <c:pt idx="898">
                  <c:v>225000</c:v>
                </c:pt>
                <c:pt idx="899">
                  <c:v>225000</c:v>
                </c:pt>
                <c:pt idx="900">
                  <c:v>225000</c:v>
                </c:pt>
                <c:pt idx="901">
                  <c:v>225000</c:v>
                </c:pt>
                <c:pt idx="902">
                  <c:v>225000</c:v>
                </c:pt>
                <c:pt idx="903">
                  <c:v>225000</c:v>
                </c:pt>
                <c:pt idx="904">
                  <c:v>225000</c:v>
                </c:pt>
                <c:pt idx="905">
                  <c:v>225000</c:v>
                </c:pt>
                <c:pt idx="906">
                  <c:v>225000</c:v>
                </c:pt>
                <c:pt idx="907">
                  <c:v>225000</c:v>
                </c:pt>
                <c:pt idx="908">
                  <c:v>225000</c:v>
                </c:pt>
                <c:pt idx="909">
                  <c:v>225000</c:v>
                </c:pt>
                <c:pt idx="910">
                  <c:v>225000</c:v>
                </c:pt>
                <c:pt idx="911">
                  <c:v>225000</c:v>
                </c:pt>
                <c:pt idx="912">
                  <c:v>235000</c:v>
                </c:pt>
                <c:pt idx="913">
                  <c:v>235000</c:v>
                </c:pt>
                <c:pt idx="914">
                  <c:v>235000</c:v>
                </c:pt>
                <c:pt idx="915">
                  <c:v>235000</c:v>
                </c:pt>
                <c:pt idx="916">
                  <c:v>235000</c:v>
                </c:pt>
                <c:pt idx="917">
                  <c:v>235000</c:v>
                </c:pt>
                <c:pt idx="918">
                  <c:v>235000</c:v>
                </c:pt>
                <c:pt idx="919">
                  <c:v>235000</c:v>
                </c:pt>
                <c:pt idx="920">
                  <c:v>235000</c:v>
                </c:pt>
                <c:pt idx="921">
                  <c:v>235000</c:v>
                </c:pt>
                <c:pt idx="922">
                  <c:v>235000</c:v>
                </c:pt>
                <c:pt idx="923">
                  <c:v>235000</c:v>
                </c:pt>
                <c:pt idx="924">
                  <c:v>235000</c:v>
                </c:pt>
                <c:pt idx="925">
                  <c:v>235000</c:v>
                </c:pt>
                <c:pt idx="926">
                  <c:v>235000</c:v>
                </c:pt>
                <c:pt idx="927">
                  <c:v>235000</c:v>
                </c:pt>
                <c:pt idx="928">
                  <c:v>235000</c:v>
                </c:pt>
                <c:pt idx="929">
                  <c:v>235000</c:v>
                </c:pt>
                <c:pt idx="930">
                  <c:v>235000</c:v>
                </c:pt>
                <c:pt idx="931">
                  <c:v>235000</c:v>
                </c:pt>
                <c:pt idx="932">
                  <c:v>235000</c:v>
                </c:pt>
                <c:pt idx="933">
                  <c:v>235000</c:v>
                </c:pt>
                <c:pt idx="934">
                  <c:v>235000</c:v>
                </c:pt>
                <c:pt idx="935">
                  <c:v>235000</c:v>
                </c:pt>
                <c:pt idx="936">
                  <c:v>235000</c:v>
                </c:pt>
                <c:pt idx="937">
                  <c:v>235000</c:v>
                </c:pt>
                <c:pt idx="938">
                  <c:v>235000</c:v>
                </c:pt>
                <c:pt idx="939">
                  <c:v>235000</c:v>
                </c:pt>
                <c:pt idx="940">
                  <c:v>235000</c:v>
                </c:pt>
                <c:pt idx="941">
                  <c:v>235000</c:v>
                </c:pt>
                <c:pt idx="942">
                  <c:v>235000</c:v>
                </c:pt>
                <c:pt idx="943">
                  <c:v>235000</c:v>
                </c:pt>
                <c:pt idx="944">
                  <c:v>235000</c:v>
                </c:pt>
                <c:pt idx="945">
                  <c:v>235000</c:v>
                </c:pt>
                <c:pt idx="946">
                  <c:v>235000</c:v>
                </c:pt>
                <c:pt idx="947">
                  <c:v>235000</c:v>
                </c:pt>
                <c:pt idx="948">
                  <c:v>235000</c:v>
                </c:pt>
                <c:pt idx="949">
                  <c:v>235000</c:v>
                </c:pt>
                <c:pt idx="950">
                  <c:v>235000</c:v>
                </c:pt>
                <c:pt idx="951">
                  <c:v>235000</c:v>
                </c:pt>
                <c:pt idx="952">
                  <c:v>235000</c:v>
                </c:pt>
                <c:pt idx="953">
                  <c:v>235000</c:v>
                </c:pt>
                <c:pt idx="954">
                  <c:v>235000</c:v>
                </c:pt>
                <c:pt idx="955">
                  <c:v>235000</c:v>
                </c:pt>
                <c:pt idx="956">
                  <c:v>235000</c:v>
                </c:pt>
                <c:pt idx="957">
                  <c:v>235000</c:v>
                </c:pt>
                <c:pt idx="958">
                  <c:v>235000</c:v>
                </c:pt>
                <c:pt idx="959">
                  <c:v>235000</c:v>
                </c:pt>
                <c:pt idx="960">
                  <c:v>235000</c:v>
                </c:pt>
                <c:pt idx="961">
                  <c:v>235000</c:v>
                </c:pt>
                <c:pt idx="962">
                  <c:v>235000</c:v>
                </c:pt>
                <c:pt idx="963">
                  <c:v>235000</c:v>
                </c:pt>
                <c:pt idx="964">
                  <c:v>235000</c:v>
                </c:pt>
                <c:pt idx="965">
                  <c:v>235000</c:v>
                </c:pt>
                <c:pt idx="966">
                  <c:v>235000</c:v>
                </c:pt>
                <c:pt idx="967">
                  <c:v>235000</c:v>
                </c:pt>
                <c:pt idx="968">
                  <c:v>235000</c:v>
                </c:pt>
                <c:pt idx="969">
                  <c:v>235000</c:v>
                </c:pt>
                <c:pt idx="970">
                  <c:v>235000</c:v>
                </c:pt>
                <c:pt idx="971">
                  <c:v>235000</c:v>
                </c:pt>
                <c:pt idx="972">
                  <c:v>235000</c:v>
                </c:pt>
                <c:pt idx="973">
                  <c:v>235000</c:v>
                </c:pt>
                <c:pt idx="974">
                  <c:v>235000</c:v>
                </c:pt>
                <c:pt idx="975">
                  <c:v>235000</c:v>
                </c:pt>
                <c:pt idx="976">
                  <c:v>235000</c:v>
                </c:pt>
                <c:pt idx="977">
                  <c:v>235000</c:v>
                </c:pt>
                <c:pt idx="978">
                  <c:v>235000</c:v>
                </c:pt>
                <c:pt idx="979">
                  <c:v>235000</c:v>
                </c:pt>
                <c:pt idx="980">
                  <c:v>235000</c:v>
                </c:pt>
                <c:pt idx="981">
                  <c:v>235000</c:v>
                </c:pt>
                <c:pt idx="982">
                  <c:v>235000</c:v>
                </c:pt>
                <c:pt idx="983">
                  <c:v>235000</c:v>
                </c:pt>
                <c:pt idx="984">
                  <c:v>235000</c:v>
                </c:pt>
                <c:pt idx="985">
                  <c:v>235000</c:v>
                </c:pt>
                <c:pt idx="986">
                  <c:v>235000</c:v>
                </c:pt>
                <c:pt idx="987">
                  <c:v>235000</c:v>
                </c:pt>
                <c:pt idx="988">
                  <c:v>235000</c:v>
                </c:pt>
                <c:pt idx="989">
                  <c:v>235000</c:v>
                </c:pt>
                <c:pt idx="990">
                  <c:v>235000</c:v>
                </c:pt>
                <c:pt idx="991">
                  <c:v>235000</c:v>
                </c:pt>
                <c:pt idx="992">
                  <c:v>235000</c:v>
                </c:pt>
                <c:pt idx="993">
                  <c:v>235000</c:v>
                </c:pt>
                <c:pt idx="994">
                  <c:v>235000</c:v>
                </c:pt>
                <c:pt idx="995">
                  <c:v>235000</c:v>
                </c:pt>
                <c:pt idx="996">
                  <c:v>235000</c:v>
                </c:pt>
                <c:pt idx="997">
                  <c:v>235000</c:v>
                </c:pt>
                <c:pt idx="998">
                  <c:v>235000</c:v>
                </c:pt>
                <c:pt idx="999">
                  <c:v>235000</c:v>
                </c:pt>
                <c:pt idx="1000">
                  <c:v>235000</c:v>
                </c:pt>
                <c:pt idx="1001">
                  <c:v>235000</c:v>
                </c:pt>
                <c:pt idx="1002">
                  <c:v>235000</c:v>
                </c:pt>
                <c:pt idx="1003">
                  <c:v>235000</c:v>
                </c:pt>
                <c:pt idx="1004">
                  <c:v>235000</c:v>
                </c:pt>
                <c:pt idx="1005">
                  <c:v>235000</c:v>
                </c:pt>
                <c:pt idx="1006">
                  <c:v>235000</c:v>
                </c:pt>
                <c:pt idx="1007">
                  <c:v>235000</c:v>
                </c:pt>
                <c:pt idx="1008">
                  <c:v>235000</c:v>
                </c:pt>
                <c:pt idx="1009">
                  <c:v>235000</c:v>
                </c:pt>
                <c:pt idx="1010">
                  <c:v>235000</c:v>
                </c:pt>
                <c:pt idx="1011">
                  <c:v>235000</c:v>
                </c:pt>
                <c:pt idx="1012">
                  <c:v>235000</c:v>
                </c:pt>
                <c:pt idx="1013">
                  <c:v>235000</c:v>
                </c:pt>
                <c:pt idx="1014">
                  <c:v>235000</c:v>
                </c:pt>
                <c:pt idx="1015">
                  <c:v>235000</c:v>
                </c:pt>
                <c:pt idx="1016">
                  <c:v>235000</c:v>
                </c:pt>
                <c:pt idx="1017">
                  <c:v>235000</c:v>
                </c:pt>
                <c:pt idx="1018">
                  <c:v>235000</c:v>
                </c:pt>
                <c:pt idx="1019">
                  <c:v>235000</c:v>
                </c:pt>
                <c:pt idx="1020">
                  <c:v>235000</c:v>
                </c:pt>
                <c:pt idx="1021">
                  <c:v>235000</c:v>
                </c:pt>
                <c:pt idx="1022">
                  <c:v>235000</c:v>
                </c:pt>
                <c:pt idx="1023">
                  <c:v>235000</c:v>
                </c:pt>
                <c:pt idx="1024">
                  <c:v>235000</c:v>
                </c:pt>
                <c:pt idx="1025">
                  <c:v>235000</c:v>
                </c:pt>
                <c:pt idx="1026">
                  <c:v>235000</c:v>
                </c:pt>
                <c:pt idx="1027">
                  <c:v>235000</c:v>
                </c:pt>
                <c:pt idx="1028">
                  <c:v>235000</c:v>
                </c:pt>
                <c:pt idx="1029">
                  <c:v>235000</c:v>
                </c:pt>
                <c:pt idx="1030">
                  <c:v>235000</c:v>
                </c:pt>
                <c:pt idx="1031">
                  <c:v>235000</c:v>
                </c:pt>
                <c:pt idx="1032">
                  <c:v>235000</c:v>
                </c:pt>
                <c:pt idx="1033">
                  <c:v>235000</c:v>
                </c:pt>
                <c:pt idx="1034">
                  <c:v>235000</c:v>
                </c:pt>
                <c:pt idx="1035">
                  <c:v>235000</c:v>
                </c:pt>
                <c:pt idx="1036">
                  <c:v>235000</c:v>
                </c:pt>
                <c:pt idx="1037">
                  <c:v>235000</c:v>
                </c:pt>
                <c:pt idx="1038">
                  <c:v>235000</c:v>
                </c:pt>
                <c:pt idx="1039">
                  <c:v>235000</c:v>
                </c:pt>
                <c:pt idx="1040">
                  <c:v>235000</c:v>
                </c:pt>
                <c:pt idx="1041">
                  <c:v>235000</c:v>
                </c:pt>
                <c:pt idx="1042">
                  <c:v>235000</c:v>
                </c:pt>
                <c:pt idx="1043">
                  <c:v>235000</c:v>
                </c:pt>
                <c:pt idx="1044">
                  <c:v>235000</c:v>
                </c:pt>
                <c:pt idx="1045">
                  <c:v>235000</c:v>
                </c:pt>
                <c:pt idx="1046">
                  <c:v>235000</c:v>
                </c:pt>
                <c:pt idx="1047">
                  <c:v>235000</c:v>
                </c:pt>
                <c:pt idx="1048">
                  <c:v>235000</c:v>
                </c:pt>
                <c:pt idx="1049">
                  <c:v>235000</c:v>
                </c:pt>
                <c:pt idx="1050">
                  <c:v>235000</c:v>
                </c:pt>
                <c:pt idx="1051">
                  <c:v>235000</c:v>
                </c:pt>
                <c:pt idx="1052">
                  <c:v>235000</c:v>
                </c:pt>
                <c:pt idx="1053">
                  <c:v>235000</c:v>
                </c:pt>
                <c:pt idx="1054">
                  <c:v>235000</c:v>
                </c:pt>
                <c:pt idx="1055">
                  <c:v>235000</c:v>
                </c:pt>
                <c:pt idx="1056">
                  <c:v>235000</c:v>
                </c:pt>
                <c:pt idx="1057">
                  <c:v>235000</c:v>
                </c:pt>
                <c:pt idx="1058">
                  <c:v>235000</c:v>
                </c:pt>
                <c:pt idx="1059">
                  <c:v>235000</c:v>
                </c:pt>
                <c:pt idx="1060">
                  <c:v>235000</c:v>
                </c:pt>
                <c:pt idx="1061">
                  <c:v>235000</c:v>
                </c:pt>
                <c:pt idx="1062">
                  <c:v>235000</c:v>
                </c:pt>
                <c:pt idx="1063">
                  <c:v>235000</c:v>
                </c:pt>
                <c:pt idx="1064">
                  <c:v>235000</c:v>
                </c:pt>
                <c:pt idx="1065">
                  <c:v>235000</c:v>
                </c:pt>
                <c:pt idx="1066">
                  <c:v>235000</c:v>
                </c:pt>
                <c:pt idx="1067">
                  <c:v>235000</c:v>
                </c:pt>
                <c:pt idx="1068">
                  <c:v>235000</c:v>
                </c:pt>
                <c:pt idx="1069">
                  <c:v>235000</c:v>
                </c:pt>
                <c:pt idx="1070">
                  <c:v>235000</c:v>
                </c:pt>
                <c:pt idx="1071">
                  <c:v>235000</c:v>
                </c:pt>
                <c:pt idx="1072">
                  <c:v>235000</c:v>
                </c:pt>
                <c:pt idx="1073">
                  <c:v>235000</c:v>
                </c:pt>
                <c:pt idx="1074">
                  <c:v>235000</c:v>
                </c:pt>
                <c:pt idx="1075">
                  <c:v>235000</c:v>
                </c:pt>
                <c:pt idx="1076">
                  <c:v>235000</c:v>
                </c:pt>
                <c:pt idx="1077">
                  <c:v>235000</c:v>
                </c:pt>
                <c:pt idx="1078">
                  <c:v>235000</c:v>
                </c:pt>
                <c:pt idx="1079">
                  <c:v>235000</c:v>
                </c:pt>
                <c:pt idx="1080">
                  <c:v>235000</c:v>
                </c:pt>
                <c:pt idx="1081">
                  <c:v>235000</c:v>
                </c:pt>
                <c:pt idx="1082">
                  <c:v>235000</c:v>
                </c:pt>
                <c:pt idx="1083">
                  <c:v>235000</c:v>
                </c:pt>
                <c:pt idx="1084">
                  <c:v>235000</c:v>
                </c:pt>
                <c:pt idx="1085">
                  <c:v>235000</c:v>
                </c:pt>
                <c:pt idx="1086">
                  <c:v>235000</c:v>
                </c:pt>
                <c:pt idx="1087">
                  <c:v>235000</c:v>
                </c:pt>
                <c:pt idx="1088">
                  <c:v>235000</c:v>
                </c:pt>
                <c:pt idx="1089">
                  <c:v>235000</c:v>
                </c:pt>
                <c:pt idx="1090">
                  <c:v>235000</c:v>
                </c:pt>
                <c:pt idx="1091">
                  <c:v>235000</c:v>
                </c:pt>
                <c:pt idx="1092">
                  <c:v>235000</c:v>
                </c:pt>
                <c:pt idx="1093">
                  <c:v>235000</c:v>
                </c:pt>
                <c:pt idx="1094">
                  <c:v>235000</c:v>
                </c:pt>
              </c:numCache>
            </c:numRef>
          </c:val>
          <c:smooth val="0"/>
          <c:extLst>
            <c:ext xmlns:c16="http://schemas.microsoft.com/office/drawing/2014/chart" uri="{C3380CC4-5D6E-409C-BE32-E72D297353CC}">
              <c16:uniqueId val="{00000001-9591-4B62-A8F7-8DB323489835}"/>
            </c:ext>
          </c:extLst>
        </c:ser>
        <c:ser>
          <c:idx val="3"/>
          <c:order val="3"/>
          <c:tx>
            <c:strRef>
              <c:f>PITTL!$V$1</c:f>
              <c:strCache>
                <c:ptCount val="1"/>
                <c:pt idx="0">
                  <c:v>Allocated capacity</c:v>
                </c:pt>
              </c:strCache>
            </c:strRef>
          </c:tx>
          <c:spPr>
            <a:ln w="12700" cap="rnd">
              <a:solidFill>
                <a:schemeClr val="accent1"/>
              </a:solidFill>
              <a:round/>
            </a:ln>
            <a:effectLst/>
          </c:spPr>
          <c:marker>
            <c:symbol val="none"/>
          </c:marker>
          <c:cat>
            <c:numRef>
              <c:f>PITTL!$A$2:$A$1096</c:f>
              <c:numCache>
                <c:formatCode>m/d/yyyy</c:formatCode>
                <c:ptCount val="109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pt idx="365">
                  <c:v>43009</c:v>
                </c:pt>
                <c:pt idx="366">
                  <c:v>43010</c:v>
                </c:pt>
                <c:pt idx="367">
                  <c:v>43011</c:v>
                </c:pt>
                <c:pt idx="368">
                  <c:v>43012</c:v>
                </c:pt>
                <c:pt idx="369">
                  <c:v>43013</c:v>
                </c:pt>
                <c:pt idx="370">
                  <c:v>43014</c:v>
                </c:pt>
                <c:pt idx="371">
                  <c:v>43015</c:v>
                </c:pt>
                <c:pt idx="372">
                  <c:v>43016</c:v>
                </c:pt>
                <c:pt idx="373">
                  <c:v>43017</c:v>
                </c:pt>
                <c:pt idx="374">
                  <c:v>43018</c:v>
                </c:pt>
                <c:pt idx="375">
                  <c:v>43019</c:v>
                </c:pt>
                <c:pt idx="376">
                  <c:v>43020</c:v>
                </c:pt>
                <c:pt idx="377">
                  <c:v>43021</c:v>
                </c:pt>
                <c:pt idx="378">
                  <c:v>43022</c:v>
                </c:pt>
                <c:pt idx="379">
                  <c:v>43023</c:v>
                </c:pt>
                <c:pt idx="380">
                  <c:v>43024</c:v>
                </c:pt>
                <c:pt idx="381">
                  <c:v>43025</c:v>
                </c:pt>
                <c:pt idx="382">
                  <c:v>43026</c:v>
                </c:pt>
                <c:pt idx="383">
                  <c:v>43027</c:v>
                </c:pt>
                <c:pt idx="384">
                  <c:v>43028</c:v>
                </c:pt>
                <c:pt idx="385">
                  <c:v>43029</c:v>
                </c:pt>
                <c:pt idx="386">
                  <c:v>43030</c:v>
                </c:pt>
                <c:pt idx="387">
                  <c:v>43031</c:v>
                </c:pt>
                <c:pt idx="388">
                  <c:v>43032</c:v>
                </c:pt>
                <c:pt idx="389">
                  <c:v>43033</c:v>
                </c:pt>
                <c:pt idx="390">
                  <c:v>43034</c:v>
                </c:pt>
                <c:pt idx="391">
                  <c:v>43035</c:v>
                </c:pt>
                <c:pt idx="392">
                  <c:v>43036</c:v>
                </c:pt>
                <c:pt idx="393">
                  <c:v>43037</c:v>
                </c:pt>
                <c:pt idx="394">
                  <c:v>43038</c:v>
                </c:pt>
                <c:pt idx="395">
                  <c:v>43039</c:v>
                </c:pt>
                <c:pt idx="396">
                  <c:v>43040</c:v>
                </c:pt>
                <c:pt idx="397">
                  <c:v>43041</c:v>
                </c:pt>
                <c:pt idx="398">
                  <c:v>43042</c:v>
                </c:pt>
                <c:pt idx="399">
                  <c:v>43043</c:v>
                </c:pt>
                <c:pt idx="400">
                  <c:v>43044</c:v>
                </c:pt>
                <c:pt idx="401">
                  <c:v>43045</c:v>
                </c:pt>
                <c:pt idx="402">
                  <c:v>43046</c:v>
                </c:pt>
                <c:pt idx="403">
                  <c:v>43047</c:v>
                </c:pt>
                <c:pt idx="404">
                  <c:v>43048</c:v>
                </c:pt>
                <c:pt idx="405">
                  <c:v>43049</c:v>
                </c:pt>
                <c:pt idx="406">
                  <c:v>43050</c:v>
                </c:pt>
                <c:pt idx="407">
                  <c:v>43051</c:v>
                </c:pt>
                <c:pt idx="408">
                  <c:v>43052</c:v>
                </c:pt>
                <c:pt idx="409">
                  <c:v>43053</c:v>
                </c:pt>
                <c:pt idx="410">
                  <c:v>43054</c:v>
                </c:pt>
                <c:pt idx="411">
                  <c:v>43055</c:v>
                </c:pt>
                <c:pt idx="412">
                  <c:v>43056</c:v>
                </c:pt>
                <c:pt idx="413">
                  <c:v>43057</c:v>
                </c:pt>
                <c:pt idx="414">
                  <c:v>43058</c:v>
                </c:pt>
                <c:pt idx="415">
                  <c:v>43059</c:v>
                </c:pt>
                <c:pt idx="416">
                  <c:v>43060</c:v>
                </c:pt>
                <c:pt idx="417">
                  <c:v>43061</c:v>
                </c:pt>
                <c:pt idx="418">
                  <c:v>43062</c:v>
                </c:pt>
                <c:pt idx="419">
                  <c:v>43063</c:v>
                </c:pt>
                <c:pt idx="420">
                  <c:v>43064</c:v>
                </c:pt>
                <c:pt idx="421">
                  <c:v>43065</c:v>
                </c:pt>
                <c:pt idx="422">
                  <c:v>43066</c:v>
                </c:pt>
                <c:pt idx="423">
                  <c:v>43067</c:v>
                </c:pt>
                <c:pt idx="424">
                  <c:v>43068</c:v>
                </c:pt>
                <c:pt idx="425">
                  <c:v>43069</c:v>
                </c:pt>
                <c:pt idx="426">
                  <c:v>43070</c:v>
                </c:pt>
                <c:pt idx="427">
                  <c:v>43071</c:v>
                </c:pt>
                <c:pt idx="428">
                  <c:v>43072</c:v>
                </c:pt>
                <c:pt idx="429">
                  <c:v>43073</c:v>
                </c:pt>
                <c:pt idx="430">
                  <c:v>43074</c:v>
                </c:pt>
                <c:pt idx="431">
                  <c:v>43075</c:v>
                </c:pt>
                <c:pt idx="432">
                  <c:v>43076</c:v>
                </c:pt>
                <c:pt idx="433">
                  <c:v>43077</c:v>
                </c:pt>
                <c:pt idx="434">
                  <c:v>43078</c:v>
                </c:pt>
                <c:pt idx="435">
                  <c:v>43079</c:v>
                </c:pt>
                <c:pt idx="436">
                  <c:v>43080</c:v>
                </c:pt>
                <c:pt idx="437">
                  <c:v>43081</c:v>
                </c:pt>
                <c:pt idx="438">
                  <c:v>43082</c:v>
                </c:pt>
                <c:pt idx="439">
                  <c:v>43083</c:v>
                </c:pt>
                <c:pt idx="440">
                  <c:v>43084</c:v>
                </c:pt>
                <c:pt idx="441">
                  <c:v>43085</c:v>
                </c:pt>
                <c:pt idx="442">
                  <c:v>43086</c:v>
                </c:pt>
                <c:pt idx="443">
                  <c:v>43087</c:v>
                </c:pt>
                <c:pt idx="444">
                  <c:v>43088</c:v>
                </c:pt>
                <c:pt idx="445">
                  <c:v>43089</c:v>
                </c:pt>
                <c:pt idx="446">
                  <c:v>43090</c:v>
                </c:pt>
                <c:pt idx="447">
                  <c:v>43091</c:v>
                </c:pt>
                <c:pt idx="448">
                  <c:v>43092</c:v>
                </c:pt>
                <c:pt idx="449">
                  <c:v>43093</c:v>
                </c:pt>
                <c:pt idx="450">
                  <c:v>43094</c:v>
                </c:pt>
                <c:pt idx="451">
                  <c:v>43095</c:v>
                </c:pt>
                <c:pt idx="452">
                  <c:v>43096</c:v>
                </c:pt>
                <c:pt idx="453">
                  <c:v>43097</c:v>
                </c:pt>
                <c:pt idx="454">
                  <c:v>43098</c:v>
                </c:pt>
                <c:pt idx="455">
                  <c:v>43099</c:v>
                </c:pt>
                <c:pt idx="456">
                  <c:v>43100</c:v>
                </c:pt>
                <c:pt idx="457">
                  <c:v>43101</c:v>
                </c:pt>
                <c:pt idx="458">
                  <c:v>43102</c:v>
                </c:pt>
                <c:pt idx="459">
                  <c:v>43103</c:v>
                </c:pt>
                <c:pt idx="460">
                  <c:v>43104</c:v>
                </c:pt>
                <c:pt idx="461">
                  <c:v>43105</c:v>
                </c:pt>
                <c:pt idx="462">
                  <c:v>43106</c:v>
                </c:pt>
                <c:pt idx="463">
                  <c:v>43107</c:v>
                </c:pt>
                <c:pt idx="464">
                  <c:v>43108</c:v>
                </c:pt>
                <c:pt idx="465">
                  <c:v>43109</c:v>
                </c:pt>
                <c:pt idx="466">
                  <c:v>43110</c:v>
                </c:pt>
                <c:pt idx="467">
                  <c:v>43111</c:v>
                </c:pt>
                <c:pt idx="468">
                  <c:v>43112</c:v>
                </c:pt>
                <c:pt idx="469">
                  <c:v>43113</c:v>
                </c:pt>
                <c:pt idx="470">
                  <c:v>43114</c:v>
                </c:pt>
                <c:pt idx="471">
                  <c:v>43115</c:v>
                </c:pt>
                <c:pt idx="472">
                  <c:v>43116</c:v>
                </c:pt>
                <c:pt idx="473">
                  <c:v>43117</c:v>
                </c:pt>
                <c:pt idx="474">
                  <c:v>43118</c:v>
                </c:pt>
                <c:pt idx="475">
                  <c:v>43119</c:v>
                </c:pt>
                <c:pt idx="476">
                  <c:v>43120</c:v>
                </c:pt>
                <c:pt idx="477">
                  <c:v>43121</c:v>
                </c:pt>
                <c:pt idx="478">
                  <c:v>43122</c:v>
                </c:pt>
                <c:pt idx="479">
                  <c:v>43123</c:v>
                </c:pt>
                <c:pt idx="480">
                  <c:v>43124</c:v>
                </c:pt>
                <c:pt idx="481">
                  <c:v>43125</c:v>
                </c:pt>
                <c:pt idx="482">
                  <c:v>43126</c:v>
                </c:pt>
                <c:pt idx="483">
                  <c:v>43127</c:v>
                </c:pt>
                <c:pt idx="484">
                  <c:v>43128</c:v>
                </c:pt>
                <c:pt idx="485">
                  <c:v>43129</c:v>
                </c:pt>
                <c:pt idx="486">
                  <c:v>43130</c:v>
                </c:pt>
                <c:pt idx="487">
                  <c:v>43131</c:v>
                </c:pt>
                <c:pt idx="488">
                  <c:v>43132</c:v>
                </c:pt>
                <c:pt idx="489">
                  <c:v>43133</c:v>
                </c:pt>
                <c:pt idx="490">
                  <c:v>43134</c:v>
                </c:pt>
                <c:pt idx="491">
                  <c:v>43135</c:v>
                </c:pt>
                <c:pt idx="492">
                  <c:v>43136</c:v>
                </c:pt>
                <c:pt idx="493">
                  <c:v>43137</c:v>
                </c:pt>
                <c:pt idx="494">
                  <c:v>43138</c:v>
                </c:pt>
                <c:pt idx="495">
                  <c:v>43139</c:v>
                </c:pt>
                <c:pt idx="496">
                  <c:v>43140</c:v>
                </c:pt>
                <c:pt idx="497">
                  <c:v>43141</c:v>
                </c:pt>
                <c:pt idx="498">
                  <c:v>43142</c:v>
                </c:pt>
                <c:pt idx="499">
                  <c:v>43143</c:v>
                </c:pt>
                <c:pt idx="500">
                  <c:v>43144</c:v>
                </c:pt>
                <c:pt idx="501">
                  <c:v>43145</c:v>
                </c:pt>
                <c:pt idx="502">
                  <c:v>43146</c:v>
                </c:pt>
                <c:pt idx="503">
                  <c:v>43147</c:v>
                </c:pt>
                <c:pt idx="504">
                  <c:v>43148</c:v>
                </c:pt>
                <c:pt idx="505">
                  <c:v>43149</c:v>
                </c:pt>
                <c:pt idx="506">
                  <c:v>43150</c:v>
                </c:pt>
                <c:pt idx="507">
                  <c:v>43151</c:v>
                </c:pt>
                <c:pt idx="508">
                  <c:v>43152</c:v>
                </c:pt>
                <c:pt idx="509">
                  <c:v>43153</c:v>
                </c:pt>
                <c:pt idx="510">
                  <c:v>43154</c:v>
                </c:pt>
                <c:pt idx="511">
                  <c:v>43155</c:v>
                </c:pt>
                <c:pt idx="512">
                  <c:v>43156</c:v>
                </c:pt>
                <c:pt idx="513">
                  <c:v>43157</c:v>
                </c:pt>
                <c:pt idx="514">
                  <c:v>43158</c:v>
                </c:pt>
                <c:pt idx="515">
                  <c:v>43159</c:v>
                </c:pt>
                <c:pt idx="516">
                  <c:v>43160</c:v>
                </c:pt>
                <c:pt idx="517">
                  <c:v>43161</c:v>
                </c:pt>
                <c:pt idx="518">
                  <c:v>43162</c:v>
                </c:pt>
                <c:pt idx="519">
                  <c:v>43163</c:v>
                </c:pt>
                <c:pt idx="520">
                  <c:v>43164</c:v>
                </c:pt>
                <c:pt idx="521">
                  <c:v>43165</c:v>
                </c:pt>
                <c:pt idx="522">
                  <c:v>43166</c:v>
                </c:pt>
                <c:pt idx="523">
                  <c:v>43167</c:v>
                </c:pt>
                <c:pt idx="524">
                  <c:v>43168</c:v>
                </c:pt>
                <c:pt idx="525">
                  <c:v>43169</c:v>
                </c:pt>
                <c:pt idx="526">
                  <c:v>43170</c:v>
                </c:pt>
                <c:pt idx="527">
                  <c:v>43171</c:v>
                </c:pt>
                <c:pt idx="528">
                  <c:v>43172</c:v>
                </c:pt>
                <c:pt idx="529">
                  <c:v>43173</c:v>
                </c:pt>
                <c:pt idx="530">
                  <c:v>43174</c:v>
                </c:pt>
                <c:pt idx="531">
                  <c:v>43175</c:v>
                </c:pt>
                <c:pt idx="532">
                  <c:v>43176</c:v>
                </c:pt>
                <c:pt idx="533">
                  <c:v>43177</c:v>
                </c:pt>
                <c:pt idx="534">
                  <c:v>43178</c:v>
                </c:pt>
                <c:pt idx="535">
                  <c:v>43179</c:v>
                </c:pt>
                <c:pt idx="536">
                  <c:v>43180</c:v>
                </c:pt>
                <c:pt idx="537">
                  <c:v>43181</c:v>
                </c:pt>
                <c:pt idx="538">
                  <c:v>43182</c:v>
                </c:pt>
                <c:pt idx="539">
                  <c:v>43183</c:v>
                </c:pt>
                <c:pt idx="540">
                  <c:v>43184</c:v>
                </c:pt>
                <c:pt idx="541">
                  <c:v>43185</c:v>
                </c:pt>
                <c:pt idx="542">
                  <c:v>43186</c:v>
                </c:pt>
                <c:pt idx="543">
                  <c:v>43187</c:v>
                </c:pt>
                <c:pt idx="544">
                  <c:v>43188</c:v>
                </c:pt>
                <c:pt idx="545">
                  <c:v>43189</c:v>
                </c:pt>
                <c:pt idx="546">
                  <c:v>43190</c:v>
                </c:pt>
                <c:pt idx="547">
                  <c:v>43191</c:v>
                </c:pt>
                <c:pt idx="548">
                  <c:v>43192</c:v>
                </c:pt>
                <c:pt idx="549">
                  <c:v>43193</c:v>
                </c:pt>
                <c:pt idx="550">
                  <c:v>43194</c:v>
                </c:pt>
                <c:pt idx="551">
                  <c:v>43195</c:v>
                </c:pt>
                <c:pt idx="552">
                  <c:v>43196</c:v>
                </c:pt>
                <c:pt idx="553">
                  <c:v>43197</c:v>
                </c:pt>
                <c:pt idx="554">
                  <c:v>43198</c:v>
                </c:pt>
                <c:pt idx="555">
                  <c:v>43199</c:v>
                </c:pt>
                <c:pt idx="556">
                  <c:v>43200</c:v>
                </c:pt>
                <c:pt idx="557">
                  <c:v>43201</c:v>
                </c:pt>
                <c:pt idx="558">
                  <c:v>43202</c:v>
                </c:pt>
                <c:pt idx="559">
                  <c:v>43203</c:v>
                </c:pt>
                <c:pt idx="560">
                  <c:v>43204</c:v>
                </c:pt>
                <c:pt idx="561">
                  <c:v>43205</c:v>
                </c:pt>
                <c:pt idx="562">
                  <c:v>43206</c:v>
                </c:pt>
                <c:pt idx="563">
                  <c:v>43207</c:v>
                </c:pt>
                <c:pt idx="564">
                  <c:v>43208</c:v>
                </c:pt>
                <c:pt idx="565">
                  <c:v>43209</c:v>
                </c:pt>
                <c:pt idx="566">
                  <c:v>43210</c:v>
                </c:pt>
                <c:pt idx="567">
                  <c:v>43211</c:v>
                </c:pt>
                <c:pt idx="568">
                  <c:v>43212</c:v>
                </c:pt>
                <c:pt idx="569">
                  <c:v>43213</c:v>
                </c:pt>
                <c:pt idx="570">
                  <c:v>43214</c:v>
                </c:pt>
                <c:pt idx="571">
                  <c:v>43215</c:v>
                </c:pt>
                <c:pt idx="572">
                  <c:v>43216</c:v>
                </c:pt>
                <c:pt idx="573">
                  <c:v>43217</c:v>
                </c:pt>
                <c:pt idx="574">
                  <c:v>43218</c:v>
                </c:pt>
                <c:pt idx="575">
                  <c:v>43219</c:v>
                </c:pt>
                <c:pt idx="576">
                  <c:v>43220</c:v>
                </c:pt>
                <c:pt idx="577">
                  <c:v>43221</c:v>
                </c:pt>
                <c:pt idx="578">
                  <c:v>43222</c:v>
                </c:pt>
                <c:pt idx="579">
                  <c:v>43223</c:v>
                </c:pt>
                <c:pt idx="580">
                  <c:v>43224</c:v>
                </c:pt>
                <c:pt idx="581">
                  <c:v>43225</c:v>
                </c:pt>
                <c:pt idx="582">
                  <c:v>43226</c:v>
                </c:pt>
                <c:pt idx="583">
                  <c:v>43227</c:v>
                </c:pt>
                <c:pt idx="584">
                  <c:v>43228</c:v>
                </c:pt>
                <c:pt idx="585">
                  <c:v>43229</c:v>
                </c:pt>
                <c:pt idx="586">
                  <c:v>43230</c:v>
                </c:pt>
                <c:pt idx="587">
                  <c:v>43231</c:v>
                </c:pt>
                <c:pt idx="588">
                  <c:v>43232</c:v>
                </c:pt>
                <c:pt idx="589">
                  <c:v>43233</c:v>
                </c:pt>
                <c:pt idx="590">
                  <c:v>43234</c:v>
                </c:pt>
                <c:pt idx="591">
                  <c:v>43235</c:v>
                </c:pt>
                <c:pt idx="592">
                  <c:v>43236</c:v>
                </c:pt>
                <c:pt idx="593">
                  <c:v>43237</c:v>
                </c:pt>
                <c:pt idx="594">
                  <c:v>43238</c:v>
                </c:pt>
                <c:pt idx="595">
                  <c:v>43239</c:v>
                </c:pt>
                <c:pt idx="596">
                  <c:v>43240</c:v>
                </c:pt>
                <c:pt idx="597">
                  <c:v>43241</c:v>
                </c:pt>
                <c:pt idx="598">
                  <c:v>43242</c:v>
                </c:pt>
                <c:pt idx="599">
                  <c:v>43243</c:v>
                </c:pt>
                <c:pt idx="600">
                  <c:v>43244</c:v>
                </c:pt>
                <c:pt idx="601">
                  <c:v>43245</c:v>
                </c:pt>
                <c:pt idx="602">
                  <c:v>43246</c:v>
                </c:pt>
                <c:pt idx="603">
                  <c:v>43247</c:v>
                </c:pt>
                <c:pt idx="604">
                  <c:v>43248</c:v>
                </c:pt>
                <c:pt idx="605">
                  <c:v>43249</c:v>
                </c:pt>
                <c:pt idx="606">
                  <c:v>43250</c:v>
                </c:pt>
                <c:pt idx="607">
                  <c:v>43251</c:v>
                </c:pt>
                <c:pt idx="608">
                  <c:v>43252</c:v>
                </c:pt>
                <c:pt idx="609">
                  <c:v>43253</c:v>
                </c:pt>
                <c:pt idx="610">
                  <c:v>43254</c:v>
                </c:pt>
                <c:pt idx="611">
                  <c:v>43255</c:v>
                </c:pt>
                <c:pt idx="612">
                  <c:v>43256</c:v>
                </c:pt>
                <c:pt idx="613">
                  <c:v>43257</c:v>
                </c:pt>
                <c:pt idx="614">
                  <c:v>43258</c:v>
                </c:pt>
                <c:pt idx="615">
                  <c:v>43259</c:v>
                </c:pt>
                <c:pt idx="616">
                  <c:v>43260</c:v>
                </c:pt>
                <c:pt idx="617">
                  <c:v>43261</c:v>
                </c:pt>
                <c:pt idx="618">
                  <c:v>43262</c:v>
                </c:pt>
                <c:pt idx="619">
                  <c:v>43263</c:v>
                </c:pt>
                <c:pt idx="620">
                  <c:v>43264</c:v>
                </c:pt>
                <c:pt idx="621">
                  <c:v>43265</c:v>
                </c:pt>
                <c:pt idx="622">
                  <c:v>43266</c:v>
                </c:pt>
                <c:pt idx="623">
                  <c:v>43267</c:v>
                </c:pt>
                <c:pt idx="624">
                  <c:v>43268</c:v>
                </c:pt>
                <c:pt idx="625">
                  <c:v>43269</c:v>
                </c:pt>
                <c:pt idx="626">
                  <c:v>43270</c:v>
                </c:pt>
                <c:pt idx="627">
                  <c:v>43271</c:v>
                </c:pt>
                <c:pt idx="628">
                  <c:v>43272</c:v>
                </c:pt>
                <c:pt idx="629">
                  <c:v>43273</c:v>
                </c:pt>
                <c:pt idx="630">
                  <c:v>43274</c:v>
                </c:pt>
                <c:pt idx="631">
                  <c:v>43275</c:v>
                </c:pt>
                <c:pt idx="632">
                  <c:v>43276</c:v>
                </c:pt>
                <c:pt idx="633">
                  <c:v>43277</c:v>
                </c:pt>
                <c:pt idx="634">
                  <c:v>43278</c:v>
                </c:pt>
                <c:pt idx="635">
                  <c:v>43279</c:v>
                </c:pt>
                <c:pt idx="636">
                  <c:v>43280</c:v>
                </c:pt>
                <c:pt idx="637">
                  <c:v>43281</c:v>
                </c:pt>
                <c:pt idx="638">
                  <c:v>43282</c:v>
                </c:pt>
                <c:pt idx="639">
                  <c:v>43283</c:v>
                </c:pt>
                <c:pt idx="640">
                  <c:v>43284</c:v>
                </c:pt>
                <c:pt idx="641">
                  <c:v>43285</c:v>
                </c:pt>
                <c:pt idx="642">
                  <c:v>43286</c:v>
                </c:pt>
                <c:pt idx="643">
                  <c:v>43287</c:v>
                </c:pt>
                <c:pt idx="644">
                  <c:v>43288</c:v>
                </c:pt>
                <c:pt idx="645">
                  <c:v>43289</c:v>
                </c:pt>
                <c:pt idx="646">
                  <c:v>43290</c:v>
                </c:pt>
                <c:pt idx="647">
                  <c:v>43291</c:v>
                </c:pt>
                <c:pt idx="648">
                  <c:v>43292</c:v>
                </c:pt>
                <c:pt idx="649">
                  <c:v>43293</c:v>
                </c:pt>
                <c:pt idx="650">
                  <c:v>43294</c:v>
                </c:pt>
                <c:pt idx="651">
                  <c:v>43295</c:v>
                </c:pt>
                <c:pt idx="652">
                  <c:v>43296</c:v>
                </c:pt>
                <c:pt idx="653">
                  <c:v>43297</c:v>
                </c:pt>
                <c:pt idx="654">
                  <c:v>43298</c:v>
                </c:pt>
                <c:pt idx="655">
                  <c:v>43299</c:v>
                </c:pt>
                <c:pt idx="656">
                  <c:v>43300</c:v>
                </c:pt>
                <c:pt idx="657">
                  <c:v>43301</c:v>
                </c:pt>
                <c:pt idx="658">
                  <c:v>43302</c:v>
                </c:pt>
                <c:pt idx="659">
                  <c:v>43303</c:v>
                </c:pt>
                <c:pt idx="660">
                  <c:v>43304</c:v>
                </c:pt>
                <c:pt idx="661">
                  <c:v>43305</c:v>
                </c:pt>
                <c:pt idx="662">
                  <c:v>43306</c:v>
                </c:pt>
                <c:pt idx="663">
                  <c:v>43307</c:v>
                </c:pt>
                <c:pt idx="664">
                  <c:v>43308</c:v>
                </c:pt>
                <c:pt idx="665">
                  <c:v>43309</c:v>
                </c:pt>
                <c:pt idx="666">
                  <c:v>43310</c:v>
                </c:pt>
                <c:pt idx="667">
                  <c:v>43311</c:v>
                </c:pt>
                <c:pt idx="668">
                  <c:v>43312</c:v>
                </c:pt>
                <c:pt idx="669">
                  <c:v>43313</c:v>
                </c:pt>
                <c:pt idx="670">
                  <c:v>43314</c:v>
                </c:pt>
                <c:pt idx="671">
                  <c:v>43315</c:v>
                </c:pt>
                <c:pt idx="672">
                  <c:v>43316</c:v>
                </c:pt>
                <c:pt idx="673">
                  <c:v>43317</c:v>
                </c:pt>
                <c:pt idx="674">
                  <c:v>43318</c:v>
                </c:pt>
                <c:pt idx="675">
                  <c:v>43319</c:v>
                </c:pt>
                <c:pt idx="676">
                  <c:v>43320</c:v>
                </c:pt>
                <c:pt idx="677">
                  <c:v>43321</c:v>
                </c:pt>
                <c:pt idx="678">
                  <c:v>43322</c:v>
                </c:pt>
                <c:pt idx="679">
                  <c:v>43323</c:v>
                </c:pt>
                <c:pt idx="680">
                  <c:v>43324</c:v>
                </c:pt>
                <c:pt idx="681">
                  <c:v>43325</c:v>
                </c:pt>
                <c:pt idx="682">
                  <c:v>43326</c:v>
                </c:pt>
                <c:pt idx="683">
                  <c:v>43327</c:v>
                </c:pt>
                <c:pt idx="684">
                  <c:v>43328</c:v>
                </c:pt>
                <c:pt idx="685">
                  <c:v>43329</c:v>
                </c:pt>
                <c:pt idx="686">
                  <c:v>43330</c:v>
                </c:pt>
                <c:pt idx="687">
                  <c:v>43331</c:v>
                </c:pt>
                <c:pt idx="688">
                  <c:v>43332</c:v>
                </c:pt>
                <c:pt idx="689">
                  <c:v>43333</c:v>
                </c:pt>
                <c:pt idx="690">
                  <c:v>43334</c:v>
                </c:pt>
                <c:pt idx="691">
                  <c:v>43335</c:v>
                </c:pt>
                <c:pt idx="692">
                  <c:v>43336</c:v>
                </c:pt>
                <c:pt idx="693">
                  <c:v>43337</c:v>
                </c:pt>
                <c:pt idx="694">
                  <c:v>43338</c:v>
                </c:pt>
                <c:pt idx="695">
                  <c:v>43339</c:v>
                </c:pt>
                <c:pt idx="696">
                  <c:v>43340</c:v>
                </c:pt>
                <c:pt idx="697">
                  <c:v>43341</c:v>
                </c:pt>
                <c:pt idx="698">
                  <c:v>43342</c:v>
                </c:pt>
                <c:pt idx="699">
                  <c:v>43343</c:v>
                </c:pt>
                <c:pt idx="700">
                  <c:v>43344</c:v>
                </c:pt>
                <c:pt idx="701">
                  <c:v>43345</c:v>
                </c:pt>
                <c:pt idx="702">
                  <c:v>43346</c:v>
                </c:pt>
                <c:pt idx="703">
                  <c:v>43347</c:v>
                </c:pt>
                <c:pt idx="704">
                  <c:v>43348</c:v>
                </c:pt>
                <c:pt idx="705">
                  <c:v>43349</c:v>
                </c:pt>
                <c:pt idx="706">
                  <c:v>43350</c:v>
                </c:pt>
                <c:pt idx="707">
                  <c:v>43351</c:v>
                </c:pt>
                <c:pt idx="708">
                  <c:v>43352</c:v>
                </c:pt>
                <c:pt idx="709">
                  <c:v>43353</c:v>
                </c:pt>
                <c:pt idx="710">
                  <c:v>43354</c:v>
                </c:pt>
                <c:pt idx="711">
                  <c:v>43355</c:v>
                </c:pt>
                <c:pt idx="712">
                  <c:v>43356</c:v>
                </c:pt>
                <c:pt idx="713">
                  <c:v>43357</c:v>
                </c:pt>
                <c:pt idx="714">
                  <c:v>43358</c:v>
                </c:pt>
                <c:pt idx="715">
                  <c:v>43359</c:v>
                </c:pt>
                <c:pt idx="716">
                  <c:v>43360</c:v>
                </c:pt>
                <c:pt idx="717">
                  <c:v>43361</c:v>
                </c:pt>
                <c:pt idx="718">
                  <c:v>43362</c:v>
                </c:pt>
                <c:pt idx="719">
                  <c:v>43363</c:v>
                </c:pt>
                <c:pt idx="720">
                  <c:v>43364</c:v>
                </c:pt>
                <c:pt idx="721">
                  <c:v>43365</c:v>
                </c:pt>
                <c:pt idx="722">
                  <c:v>43366</c:v>
                </c:pt>
                <c:pt idx="723">
                  <c:v>43367</c:v>
                </c:pt>
                <c:pt idx="724">
                  <c:v>43368</c:v>
                </c:pt>
                <c:pt idx="725">
                  <c:v>43369</c:v>
                </c:pt>
                <c:pt idx="726">
                  <c:v>43370</c:v>
                </c:pt>
                <c:pt idx="727">
                  <c:v>43371</c:v>
                </c:pt>
                <c:pt idx="728">
                  <c:v>43372</c:v>
                </c:pt>
                <c:pt idx="729">
                  <c:v>43373</c:v>
                </c:pt>
                <c:pt idx="730">
                  <c:v>43374</c:v>
                </c:pt>
                <c:pt idx="731">
                  <c:v>43375</c:v>
                </c:pt>
                <c:pt idx="732">
                  <c:v>43376</c:v>
                </c:pt>
                <c:pt idx="733">
                  <c:v>43377</c:v>
                </c:pt>
                <c:pt idx="734">
                  <c:v>43378</c:v>
                </c:pt>
                <c:pt idx="735">
                  <c:v>43379</c:v>
                </c:pt>
                <c:pt idx="736">
                  <c:v>43380</c:v>
                </c:pt>
                <c:pt idx="737">
                  <c:v>43381</c:v>
                </c:pt>
                <c:pt idx="738">
                  <c:v>43382</c:v>
                </c:pt>
                <c:pt idx="739">
                  <c:v>43383</c:v>
                </c:pt>
                <c:pt idx="740">
                  <c:v>43384</c:v>
                </c:pt>
                <c:pt idx="741">
                  <c:v>43385</c:v>
                </c:pt>
                <c:pt idx="742">
                  <c:v>43386</c:v>
                </c:pt>
                <c:pt idx="743">
                  <c:v>43387</c:v>
                </c:pt>
                <c:pt idx="744">
                  <c:v>43388</c:v>
                </c:pt>
                <c:pt idx="745">
                  <c:v>43389</c:v>
                </c:pt>
                <c:pt idx="746">
                  <c:v>43390</c:v>
                </c:pt>
                <c:pt idx="747">
                  <c:v>43391</c:v>
                </c:pt>
                <c:pt idx="748">
                  <c:v>43392</c:v>
                </c:pt>
                <c:pt idx="749">
                  <c:v>43393</c:v>
                </c:pt>
                <c:pt idx="750">
                  <c:v>43394</c:v>
                </c:pt>
                <c:pt idx="751">
                  <c:v>43395</c:v>
                </c:pt>
                <c:pt idx="752">
                  <c:v>43396</c:v>
                </c:pt>
                <c:pt idx="753">
                  <c:v>43397</c:v>
                </c:pt>
                <c:pt idx="754">
                  <c:v>43398</c:v>
                </c:pt>
                <c:pt idx="755">
                  <c:v>43399</c:v>
                </c:pt>
                <c:pt idx="756">
                  <c:v>43400</c:v>
                </c:pt>
                <c:pt idx="757">
                  <c:v>43401</c:v>
                </c:pt>
                <c:pt idx="758">
                  <c:v>43402</c:v>
                </c:pt>
                <c:pt idx="759">
                  <c:v>43403</c:v>
                </c:pt>
                <c:pt idx="760">
                  <c:v>43404</c:v>
                </c:pt>
                <c:pt idx="761">
                  <c:v>43405</c:v>
                </c:pt>
                <c:pt idx="762">
                  <c:v>43406</c:v>
                </c:pt>
                <c:pt idx="763">
                  <c:v>43407</c:v>
                </c:pt>
                <c:pt idx="764">
                  <c:v>43408</c:v>
                </c:pt>
                <c:pt idx="765">
                  <c:v>43409</c:v>
                </c:pt>
                <c:pt idx="766">
                  <c:v>43410</c:v>
                </c:pt>
                <c:pt idx="767">
                  <c:v>43411</c:v>
                </c:pt>
                <c:pt idx="768">
                  <c:v>43412</c:v>
                </c:pt>
                <c:pt idx="769">
                  <c:v>43413</c:v>
                </c:pt>
                <c:pt idx="770">
                  <c:v>43414</c:v>
                </c:pt>
                <c:pt idx="771">
                  <c:v>43415</c:v>
                </c:pt>
                <c:pt idx="772">
                  <c:v>43416</c:v>
                </c:pt>
                <c:pt idx="773">
                  <c:v>43417</c:v>
                </c:pt>
                <c:pt idx="774">
                  <c:v>43418</c:v>
                </c:pt>
                <c:pt idx="775">
                  <c:v>43419</c:v>
                </c:pt>
                <c:pt idx="776">
                  <c:v>43420</c:v>
                </c:pt>
                <c:pt idx="777">
                  <c:v>43421</c:v>
                </c:pt>
                <c:pt idx="778">
                  <c:v>43422</c:v>
                </c:pt>
                <c:pt idx="779">
                  <c:v>43423</c:v>
                </c:pt>
                <c:pt idx="780">
                  <c:v>43424</c:v>
                </c:pt>
                <c:pt idx="781">
                  <c:v>43425</c:v>
                </c:pt>
                <c:pt idx="782">
                  <c:v>43426</c:v>
                </c:pt>
                <c:pt idx="783">
                  <c:v>43427</c:v>
                </c:pt>
                <c:pt idx="784">
                  <c:v>43428</c:v>
                </c:pt>
                <c:pt idx="785">
                  <c:v>43429</c:v>
                </c:pt>
                <c:pt idx="786">
                  <c:v>43430</c:v>
                </c:pt>
                <c:pt idx="787">
                  <c:v>43431</c:v>
                </c:pt>
                <c:pt idx="788">
                  <c:v>43432</c:v>
                </c:pt>
                <c:pt idx="789">
                  <c:v>43433</c:v>
                </c:pt>
                <c:pt idx="790">
                  <c:v>43434</c:v>
                </c:pt>
                <c:pt idx="791">
                  <c:v>43435</c:v>
                </c:pt>
                <c:pt idx="792">
                  <c:v>43436</c:v>
                </c:pt>
                <c:pt idx="793">
                  <c:v>43437</c:v>
                </c:pt>
                <c:pt idx="794">
                  <c:v>43438</c:v>
                </c:pt>
                <c:pt idx="795">
                  <c:v>43439</c:v>
                </c:pt>
                <c:pt idx="796">
                  <c:v>43440</c:v>
                </c:pt>
                <c:pt idx="797">
                  <c:v>43441</c:v>
                </c:pt>
                <c:pt idx="798">
                  <c:v>43442</c:v>
                </c:pt>
                <c:pt idx="799">
                  <c:v>43443</c:v>
                </c:pt>
                <c:pt idx="800">
                  <c:v>43444</c:v>
                </c:pt>
                <c:pt idx="801">
                  <c:v>43445</c:v>
                </c:pt>
                <c:pt idx="802">
                  <c:v>43446</c:v>
                </c:pt>
                <c:pt idx="803">
                  <c:v>43447</c:v>
                </c:pt>
                <c:pt idx="804">
                  <c:v>43448</c:v>
                </c:pt>
                <c:pt idx="805">
                  <c:v>43449</c:v>
                </c:pt>
                <c:pt idx="806">
                  <c:v>43450</c:v>
                </c:pt>
                <c:pt idx="807">
                  <c:v>43451</c:v>
                </c:pt>
                <c:pt idx="808">
                  <c:v>43452</c:v>
                </c:pt>
                <c:pt idx="809">
                  <c:v>43453</c:v>
                </c:pt>
                <c:pt idx="810">
                  <c:v>43454</c:v>
                </c:pt>
                <c:pt idx="811">
                  <c:v>43455</c:v>
                </c:pt>
                <c:pt idx="812">
                  <c:v>43456</c:v>
                </c:pt>
                <c:pt idx="813">
                  <c:v>43457</c:v>
                </c:pt>
                <c:pt idx="814">
                  <c:v>43458</c:v>
                </c:pt>
                <c:pt idx="815">
                  <c:v>43459</c:v>
                </c:pt>
                <c:pt idx="816">
                  <c:v>43460</c:v>
                </c:pt>
                <c:pt idx="817">
                  <c:v>43461</c:v>
                </c:pt>
                <c:pt idx="818">
                  <c:v>43462</c:v>
                </c:pt>
                <c:pt idx="819">
                  <c:v>43463</c:v>
                </c:pt>
                <c:pt idx="820">
                  <c:v>43464</c:v>
                </c:pt>
                <c:pt idx="821">
                  <c:v>43465</c:v>
                </c:pt>
                <c:pt idx="822">
                  <c:v>43466</c:v>
                </c:pt>
                <c:pt idx="823">
                  <c:v>43467</c:v>
                </c:pt>
                <c:pt idx="824">
                  <c:v>43468</c:v>
                </c:pt>
                <c:pt idx="825">
                  <c:v>43469</c:v>
                </c:pt>
                <c:pt idx="826">
                  <c:v>43470</c:v>
                </c:pt>
                <c:pt idx="827">
                  <c:v>43471</c:v>
                </c:pt>
                <c:pt idx="828">
                  <c:v>43472</c:v>
                </c:pt>
                <c:pt idx="829">
                  <c:v>43473</c:v>
                </c:pt>
                <c:pt idx="830">
                  <c:v>43474</c:v>
                </c:pt>
                <c:pt idx="831">
                  <c:v>43475</c:v>
                </c:pt>
                <c:pt idx="832">
                  <c:v>43476</c:v>
                </c:pt>
                <c:pt idx="833">
                  <c:v>43477</c:v>
                </c:pt>
                <c:pt idx="834">
                  <c:v>43478</c:v>
                </c:pt>
                <c:pt idx="835">
                  <c:v>43479</c:v>
                </c:pt>
                <c:pt idx="836">
                  <c:v>43480</c:v>
                </c:pt>
                <c:pt idx="837">
                  <c:v>43481</c:v>
                </c:pt>
                <c:pt idx="838">
                  <c:v>43482</c:v>
                </c:pt>
                <c:pt idx="839">
                  <c:v>43483</c:v>
                </c:pt>
                <c:pt idx="840">
                  <c:v>43484</c:v>
                </c:pt>
                <c:pt idx="841">
                  <c:v>43485</c:v>
                </c:pt>
                <c:pt idx="842">
                  <c:v>43486</c:v>
                </c:pt>
                <c:pt idx="843">
                  <c:v>43487</c:v>
                </c:pt>
                <c:pt idx="844">
                  <c:v>43488</c:v>
                </c:pt>
                <c:pt idx="845">
                  <c:v>43489</c:v>
                </c:pt>
                <c:pt idx="846">
                  <c:v>43490</c:v>
                </c:pt>
                <c:pt idx="847">
                  <c:v>43491</c:v>
                </c:pt>
                <c:pt idx="848">
                  <c:v>43492</c:v>
                </c:pt>
                <c:pt idx="849">
                  <c:v>43493</c:v>
                </c:pt>
                <c:pt idx="850">
                  <c:v>43494</c:v>
                </c:pt>
                <c:pt idx="851">
                  <c:v>43495</c:v>
                </c:pt>
                <c:pt idx="852">
                  <c:v>43496</c:v>
                </c:pt>
                <c:pt idx="853">
                  <c:v>43497</c:v>
                </c:pt>
                <c:pt idx="854">
                  <c:v>43498</c:v>
                </c:pt>
                <c:pt idx="855">
                  <c:v>43499</c:v>
                </c:pt>
                <c:pt idx="856">
                  <c:v>43500</c:v>
                </c:pt>
                <c:pt idx="857">
                  <c:v>43501</c:v>
                </c:pt>
                <c:pt idx="858">
                  <c:v>43502</c:v>
                </c:pt>
                <c:pt idx="859">
                  <c:v>43503</c:v>
                </c:pt>
                <c:pt idx="860">
                  <c:v>43504</c:v>
                </c:pt>
                <c:pt idx="861">
                  <c:v>43505</c:v>
                </c:pt>
                <c:pt idx="862">
                  <c:v>43506</c:v>
                </c:pt>
                <c:pt idx="863">
                  <c:v>43507</c:v>
                </c:pt>
                <c:pt idx="864">
                  <c:v>43508</c:v>
                </c:pt>
                <c:pt idx="865">
                  <c:v>43509</c:v>
                </c:pt>
                <c:pt idx="866">
                  <c:v>43510</c:v>
                </c:pt>
                <c:pt idx="867">
                  <c:v>43511</c:v>
                </c:pt>
                <c:pt idx="868">
                  <c:v>43512</c:v>
                </c:pt>
                <c:pt idx="869">
                  <c:v>43513</c:v>
                </c:pt>
                <c:pt idx="870">
                  <c:v>43514</c:v>
                </c:pt>
                <c:pt idx="871">
                  <c:v>43515</c:v>
                </c:pt>
                <c:pt idx="872">
                  <c:v>43516</c:v>
                </c:pt>
                <c:pt idx="873">
                  <c:v>43517</c:v>
                </c:pt>
                <c:pt idx="874">
                  <c:v>43518</c:v>
                </c:pt>
                <c:pt idx="875">
                  <c:v>43519</c:v>
                </c:pt>
                <c:pt idx="876">
                  <c:v>43520</c:v>
                </c:pt>
                <c:pt idx="877">
                  <c:v>43521</c:v>
                </c:pt>
                <c:pt idx="878">
                  <c:v>43522</c:v>
                </c:pt>
                <c:pt idx="879">
                  <c:v>43523</c:v>
                </c:pt>
                <c:pt idx="880">
                  <c:v>43524</c:v>
                </c:pt>
                <c:pt idx="881">
                  <c:v>43525</c:v>
                </c:pt>
                <c:pt idx="882">
                  <c:v>43526</c:v>
                </c:pt>
                <c:pt idx="883">
                  <c:v>43527</c:v>
                </c:pt>
                <c:pt idx="884">
                  <c:v>43528</c:v>
                </c:pt>
                <c:pt idx="885">
                  <c:v>43529</c:v>
                </c:pt>
                <c:pt idx="886">
                  <c:v>43530</c:v>
                </c:pt>
                <c:pt idx="887">
                  <c:v>43531</c:v>
                </c:pt>
                <c:pt idx="888">
                  <c:v>43532</c:v>
                </c:pt>
                <c:pt idx="889">
                  <c:v>43533</c:v>
                </c:pt>
                <c:pt idx="890">
                  <c:v>43534</c:v>
                </c:pt>
                <c:pt idx="891">
                  <c:v>43535</c:v>
                </c:pt>
                <c:pt idx="892">
                  <c:v>43536</c:v>
                </c:pt>
                <c:pt idx="893">
                  <c:v>43537</c:v>
                </c:pt>
                <c:pt idx="894">
                  <c:v>43538</c:v>
                </c:pt>
                <c:pt idx="895">
                  <c:v>43539</c:v>
                </c:pt>
                <c:pt idx="896">
                  <c:v>43540</c:v>
                </c:pt>
                <c:pt idx="897">
                  <c:v>43541</c:v>
                </c:pt>
                <c:pt idx="898">
                  <c:v>43542</c:v>
                </c:pt>
                <c:pt idx="899">
                  <c:v>43543</c:v>
                </c:pt>
                <c:pt idx="900">
                  <c:v>43544</c:v>
                </c:pt>
                <c:pt idx="901">
                  <c:v>43545</c:v>
                </c:pt>
                <c:pt idx="902">
                  <c:v>43546</c:v>
                </c:pt>
                <c:pt idx="903">
                  <c:v>43547</c:v>
                </c:pt>
                <c:pt idx="904">
                  <c:v>43548</c:v>
                </c:pt>
                <c:pt idx="905">
                  <c:v>43549</c:v>
                </c:pt>
                <c:pt idx="906">
                  <c:v>43550</c:v>
                </c:pt>
                <c:pt idx="907">
                  <c:v>43551</c:v>
                </c:pt>
                <c:pt idx="908">
                  <c:v>43552</c:v>
                </c:pt>
                <c:pt idx="909">
                  <c:v>43553</c:v>
                </c:pt>
                <c:pt idx="910">
                  <c:v>43554</c:v>
                </c:pt>
                <c:pt idx="911">
                  <c:v>43555</c:v>
                </c:pt>
                <c:pt idx="912">
                  <c:v>43556</c:v>
                </c:pt>
                <c:pt idx="913">
                  <c:v>43557</c:v>
                </c:pt>
                <c:pt idx="914">
                  <c:v>43558</c:v>
                </c:pt>
                <c:pt idx="915">
                  <c:v>43559</c:v>
                </c:pt>
                <c:pt idx="916">
                  <c:v>43560</c:v>
                </c:pt>
                <c:pt idx="917">
                  <c:v>43561</c:v>
                </c:pt>
                <c:pt idx="918">
                  <c:v>43562</c:v>
                </c:pt>
                <c:pt idx="919">
                  <c:v>43563</c:v>
                </c:pt>
                <c:pt idx="920">
                  <c:v>43564</c:v>
                </c:pt>
                <c:pt idx="921">
                  <c:v>43565</c:v>
                </c:pt>
                <c:pt idx="922">
                  <c:v>43566</c:v>
                </c:pt>
                <c:pt idx="923">
                  <c:v>43567</c:v>
                </c:pt>
                <c:pt idx="924">
                  <c:v>43568</c:v>
                </c:pt>
                <c:pt idx="925">
                  <c:v>43569</c:v>
                </c:pt>
                <c:pt idx="926">
                  <c:v>43570</c:v>
                </c:pt>
                <c:pt idx="927">
                  <c:v>43571</c:v>
                </c:pt>
                <c:pt idx="928">
                  <c:v>43572</c:v>
                </c:pt>
                <c:pt idx="929">
                  <c:v>43573</c:v>
                </c:pt>
                <c:pt idx="930">
                  <c:v>43574</c:v>
                </c:pt>
                <c:pt idx="931">
                  <c:v>43575</c:v>
                </c:pt>
                <c:pt idx="932">
                  <c:v>43576</c:v>
                </c:pt>
                <c:pt idx="933">
                  <c:v>43577</c:v>
                </c:pt>
                <c:pt idx="934">
                  <c:v>43578</c:v>
                </c:pt>
                <c:pt idx="935">
                  <c:v>43579</c:v>
                </c:pt>
                <c:pt idx="936">
                  <c:v>43580</c:v>
                </c:pt>
                <c:pt idx="937">
                  <c:v>43581</c:v>
                </c:pt>
                <c:pt idx="938">
                  <c:v>43582</c:v>
                </c:pt>
                <c:pt idx="939">
                  <c:v>43583</c:v>
                </c:pt>
                <c:pt idx="940">
                  <c:v>43584</c:v>
                </c:pt>
                <c:pt idx="941">
                  <c:v>43585</c:v>
                </c:pt>
                <c:pt idx="942">
                  <c:v>43586</c:v>
                </c:pt>
                <c:pt idx="943">
                  <c:v>43587</c:v>
                </c:pt>
                <c:pt idx="944">
                  <c:v>43588</c:v>
                </c:pt>
                <c:pt idx="945">
                  <c:v>43589</c:v>
                </c:pt>
                <c:pt idx="946">
                  <c:v>43590</c:v>
                </c:pt>
                <c:pt idx="947">
                  <c:v>43591</c:v>
                </c:pt>
                <c:pt idx="948">
                  <c:v>43592</c:v>
                </c:pt>
                <c:pt idx="949">
                  <c:v>43593</c:v>
                </c:pt>
                <c:pt idx="950">
                  <c:v>43594</c:v>
                </c:pt>
                <c:pt idx="951">
                  <c:v>43595</c:v>
                </c:pt>
                <c:pt idx="952">
                  <c:v>43596</c:v>
                </c:pt>
                <c:pt idx="953">
                  <c:v>43597</c:v>
                </c:pt>
                <c:pt idx="954">
                  <c:v>43598</c:v>
                </c:pt>
                <c:pt idx="955">
                  <c:v>43599</c:v>
                </c:pt>
                <c:pt idx="956">
                  <c:v>43600</c:v>
                </c:pt>
                <c:pt idx="957">
                  <c:v>43601</c:v>
                </c:pt>
                <c:pt idx="958">
                  <c:v>43602</c:v>
                </c:pt>
                <c:pt idx="959">
                  <c:v>43603</c:v>
                </c:pt>
                <c:pt idx="960">
                  <c:v>43604</c:v>
                </c:pt>
                <c:pt idx="961">
                  <c:v>43605</c:v>
                </c:pt>
                <c:pt idx="962">
                  <c:v>43606</c:v>
                </c:pt>
                <c:pt idx="963">
                  <c:v>43607</c:v>
                </c:pt>
                <c:pt idx="964">
                  <c:v>43608</c:v>
                </c:pt>
                <c:pt idx="965">
                  <c:v>43609</c:v>
                </c:pt>
                <c:pt idx="966">
                  <c:v>43610</c:v>
                </c:pt>
                <c:pt idx="967">
                  <c:v>43611</c:v>
                </c:pt>
                <c:pt idx="968">
                  <c:v>43612</c:v>
                </c:pt>
                <c:pt idx="969">
                  <c:v>43613</c:v>
                </c:pt>
                <c:pt idx="970">
                  <c:v>43614</c:v>
                </c:pt>
                <c:pt idx="971">
                  <c:v>43615</c:v>
                </c:pt>
                <c:pt idx="972">
                  <c:v>43616</c:v>
                </c:pt>
                <c:pt idx="973">
                  <c:v>43617</c:v>
                </c:pt>
                <c:pt idx="974">
                  <c:v>43618</c:v>
                </c:pt>
                <c:pt idx="975">
                  <c:v>43619</c:v>
                </c:pt>
                <c:pt idx="976">
                  <c:v>43620</c:v>
                </c:pt>
                <c:pt idx="977">
                  <c:v>43621</c:v>
                </c:pt>
                <c:pt idx="978">
                  <c:v>43622</c:v>
                </c:pt>
                <c:pt idx="979">
                  <c:v>43623</c:v>
                </c:pt>
                <c:pt idx="980">
                  <c:v>43624</c:v>
                </c:pt>
                <c:pt idx="981">
                  <c:v>43625</c:v>
                </c:pt>
                <c:pt idx="982">
                  <c:v>43626</c:v>
                </c:pt>
                <c:pt idx="983">
                  <c:v>43627</c:v>
                </c:pt>
                <c:pt idx="984">
                  <c:v>43628</c:v>
                </c:pt>
                <c:pt idx="985">
                  <c:v>43629</c:v>
                </c:pt>
                <c:pt idx="986">
                  <c:v>43630</c:v>
                </c:pt>
                <c:pt idx="987">
                  <c:v>43631</c:v>
                </c:pt>
                <c:pt idx="988">
                  <c:v>43632</c:v>
                </c:pt>
                <c:pt idx="989">
                  <c:v>43633</c:v>
                </c:pt>
                <c:pt idx="990">
                  <c:v>43634</c:v>
                </c:pt>
                <c:pt idx="991">
                  <c:v>43635</c:v>
                </c:pt>
                <c:pt idx="992">
                  <c:v>43636</c:v>
                </c:pt>
                <c:pt idx="993">
                  <c:v>43637</c:v>
                </c:pt>
                <c:pt idx="994">
                  <c:v>43638</c:v>
                </c:pt>
                <c:pt idx="995">
                  <c:v>43639</c:v>
                </c:pt>
                <c:pt idx="996">
                  <c:v>43640</c:v>
                </c:pt>
                <c:pt idx="997">
                  <c:v>43641</c:v>
                </c:pt>
                <c:pt idx="998">
                  <c:v>43642</c:v>
                </c:pt>
                <c:pt idx="999">
                  <c:v>43643</c:v>
                </c:pt>
                <c:pt idx="1000">
                  <c:v>43644</c:v>
                </c:pt>
                <c:pt idx="1001">
                  <c:v>43645</c:v>
                </c:pt>
                <c:pt idx="1002">
                  <c:v>43646</c:v>
                </c:pt>
                <c:pt idx="1003">
                  <c:v>43647</c:v>
                </c:pt>
                <c:pt idx="1004">
                  <c:v>43648</c:v>
                </c:pt>
                <c:pt idx="1005">
                  <c:v>43649</c:v>
                </c:pt>
                <c:pt idx="1006">
                  <c:v>43650</c:v>
                </c:pt>
                <c:pt idx="1007">
                  <c:v>43651</c:v>
                </c:pt>
                <c:pt idx="1008">
                  <c:v>43652</c:v>
                </c:pt>
                <c:pt idx="1009">
                  <c:v>43653</c:v>
                </c:pt>
                <c:pt idx="1010">
                  <c:v>43654</c:v>
                </c:pt>
                <c:pt idx="1011">
                  <c:v>43655</c:v>
                </c:pt>
                <c:pt idx="1012">
                  <c:v>43656</c:v>
                </c:pt>
                <c:pt idx="1013">
                  <c:v>43657</c:v>
                </c:pt>
                <c:pt idx="1014">
                  <c:v>43658</c:v>
                </c:pt>
                <c:pt idx="1015">
                  <c:v>43659</c:v>
                </c:pt>
                <c:pt idx="1016">
                  <c:v>43660</c:v>
                </c:pt>
                <c:pt idx="1017">
                  <c:v>43661</c:v>
                </c:pt>
                <c:pt idx="1018">
                  <c:v>43662</c:v>
                </c:pt>
                <c:pt idx="1019">
                  <c:v>43663</c:v>
                </c:pt>
                <c:pt idx="1020">
                  <c:v>43664</c:v>
                </c:pt>
                <c:pt idx="1021">
                  <c:v>43665</c:v>
                </c:pt>
                <c:pt idx="1022">
                  <c:v>43666</c:v>
                </c:pt>
                <c:pt idx="1023">
                  <c:v>43667</c:v>
                </c:pt>
                <c:pt idx="1024">
                  <c:v>43668</c:v>
                </c:pt>
                <c:pt idx="1025">
                  <c:v>43669</c:v>
                </c:pt>
                <c:pt idx="1026">
                  <c:v>43670</c:v>
                </c:pt>
                <c:pt idx="1027">
                  <c:v>43671</c:v>
                </c:pt>
                <c:pt idx="1028">
                  <c:v>43672</c:v>
                </c:pt>
                <c:pt idx="1029">
                  <c:v>43673</c:v>
                </c:pt>
                <c:pt idx="1030">
                  <c:v>43674</c:v>
                </c:pt>
                <c:pt idx="1031">
                  <c:v>43675</c:v>
                </c:pt>
                <c:pt idx="1032">
                  <c:v>43676</c:v>
                </c:pt>
                <c:pt idx="1033">
                  <c:v>43677</c:v>
                </c:pt>
                <c:pt idx="1034">
                  <c:v>43678</c:v>
                </c:pt>
                <c:pt idx="1035">
                  <c:v>43679</c:v>
                </c:pt>
                <c:pt idx="1036">
                  <c:v>43680</c:v>
                </c:pt>
                <c:pt idx="1037">
                  <c:v>43681</c:v>
                </c:pt>
                <c:pt idx="1038">
                  <c:v>43682</c:v>
                </c:pt>
                <c:pt idx="1039">
                  <c:v>43683</c:v>
                </c:pt>
                <c:pt idx="1040">
                  <c:v>43684</c:v>
                </c:pt>
                <c:pt idx="1041">
                  <c:v>43685</c:v>
                </c:pt>
                <c:pt idx="1042">
                  <c:v>43686</c:v>
                </c:pt>
                <c:pt idx="1043">
                  <c:v>43687</c:v>
                </c:pt>
                <c:pt idx="1044">
                  <c:v>43688</c:v>
                </c:pt>
                <c:pt idx="1045">
                  <c:v>43689</c:v>
                </c:pt>
                <c:pt idx="1046">
                  <c:v>43690</c:v>
                </c:pt>
                <c:pt idx="1047">
                  <c:v>43691</c:v>
                </c:pt>
                <c:pt idx="1048">
                  <c:v>43692</c:v>
                </c:pt>
                <c:pt idx="1049">
                  <c:v>43693</c:v>
                </c:pt>
                <c:pt idx="1050">
                  <c:v>43694</c:v>
                </c:pt>
                <c:pt idx="1051">
                  <c:v>43695</c:v>
                </c:pt>
                <c:pt idx="1052">
                  <c:v>43696</c:v>
                </c:pt>
                <c:pt idx="1053">
                  <c:v>43697</c:v>
                </c:pt>
                <c:pt idx="1054">
                  <c:v>43698</c:v>
                </c:pt>
                <c:pt idx="1055">
                  <c:v>43699</c:v>
                </c:pt>
                <c:pt idx="1056">
                  <c:v>43700</c:v>
                </c:pt>
                <c:pt idx="1057">
                  <c:v>43701</c:v>
                </c:pt>
                <c:pt idx="1058">
                  <c:v>43702</c:v>
                </c:pt>
                <c:pt idx="1059">
                  <c:v>43703</c:v>
                </c:pt>
                <c:pt idx="1060">
                  <c:v>43704</c:v>
                </c:pt>
                <c:pt idx="1061">
                  <c:v>43705</c:v>
                </c:pt>
                <c:pt idx="1062">
                  <c:v>43706</c:v>
                </c:pt>
                <c:pt idx="1063">
                  <c:v>43707</c:v>
                </c:pt>
                <c:pt idx="1064">
                  <c:v>43708</c:v>
                </c:pt>
                <c:pt idx="1065">
                  <c:v>43709</c:v>
                </c:pt>
                <c:pt idx="1066">
                  <c:v>43710</c:v>
                </c:pt>
                <c:pt idx="1067">
                  <c:v>43711</c:v>
                </c:pt>
                <c:pt idx="1068">
                  <c:v>43712</c:v>
                </c:pt>
                <c:pt idx="1069">
                  <c:v>43713</c:v>
                </c:pt>
                <c:pt idx="1070">
                  <c:v>43714</c:v>
                </c:pt>
                <c:pt idx="1071">
                  <c:v>43715</c:v>
                </c:pt>
                <c:pt idx="1072">
                  <c:v>43716</c:v>
                </c:pt>
                <c:pt idx="1073">
                  <c:v>43717</c:v>
                </c:pt>
                <c:pt idx="1074">
                  <c:v>43718</c:v>
                </c:pt>
                <c:pt idx="1075">
                  <c:v>43719</c:v>
                </c:pt>
                <c:pt idx="1076">
                  <c:v>43720</c:v>
                </c:pt>
                <c:pt idx="1077">
                  <c:v>43721</c:v>
                </c:pt>
                <c:pt idx="1078">
                  <c:v>43722</c:v>
                </c:pt>
                <c:pt idx="1079">
                  <c:v>43723</c:v>
                </c:pt>
                <c:pt idx="1080">
                  <c:v>43724</c:v>
                </c:pt>
                <c:pt idx="1081">
                  <c:v>43725</c:v>
                </c:pt>
                <c:pt idx="1082">
                  <c:v>43726</c:v>
                </c:pt>
                <c:pt idx="1083">
                  <c:v>43727</c:v>
                </c:pt>
                <c:pt idx="1084">
                  <c:v>43728</c:v>
                </c:pt>
                <c:pt idx="1085">
                  <c:v>43729</c:v>
                </c:pt>
                <c:pt idx="1086">
                  <c:v>43730</c:v>
                </c:pt>
                <c:pt idx="1087">
                  <c:v>43731</c:v>
                </c:pt>
                <c:pt idx="1088">
                  <c:v>43732</c:v>
                </c:pt>
                <c:pt idx="1089">
                  <c:v>43733</c:v>
                </c:pt>
                <c:pt idx="1090">
                  <c:v>43734</c:v>
                </c:pt>
                <c:pt idx="1091">
                  <c:v>43735</c:v>
                </c:pt>
                <c:pt idx="1092">
                  <c:v>43736</c:v>
                </c:pt>
                <c:pt idx="1093">
                  <c:v>43737</c:v>
                </c:pt>
                <c:pt idx="1094">
                  <c:v>43738</c:v>
                </c:pt>
              </c:numCache>
            </c:numRef>
          </c:cat>
          <c:val>
            <c:numRef>
              <c:f>PITTL!$V$2:$V$1096</c:f>
              <c:numCache>
                <c:formatCode>General</c:formatCode>
                <c:ptCount val="1095"/>
                <c:pt idx="0">
                  <c:v>97265.657000000007</c:v>
                </c:pt>
                <c:pt idx="1">
                  <c:v>97269.868000000002</c:v>
                </c:pt>
                <c:pt idx="2">
                  <c:v>95961.15</c:v>
                </c:pt>
                <c:pt idx="3">
                  <c:v>112375.77099999999</c:v>
                </c:pt>
                <c:pt idx="4">
                  <c:v>108867.315</c:v>
                </c:pt>
                <c:pt idx="5">
                  <c:v>118284.609</c:v>
                </c:pt>
                <c:pt idx="6">
                  <c:v>107855.535</c:v>
                </c:pt>
                <c:pt idx="7">
                  <c:v>102021.289</c:v>
                </c:pt>
                <c:pt idx="8">
                  <c:v>99023.514999999999</c:v>
                </c:pt>
                <c:pt idx="9">
                  <c:v>113880.398</c:v>
                </c:pt>
                <c:pt idx="10">
                  <c:v>109899.895</c:v>
                </c:pt>
                <c:pt idx="11">
                  <c:v>103074.325</c:v>
                </c:pt>
                <c:pt idx="12">
                  <c:v>111043.753</c:v>
                </c:pt>
                <c:pt idx="13">
                  <c:v>101700.41499999999</c:v>
                </c:pt>
                <c:pt idx="14">
                  <c:v>97022.195999999996</c:v>
                </c:pt>
                <c:pt idx="15">
                  <c:v>97022.195999999996</c:v>
                </c:pt>
                <c:pt idx="16">
                  <c:v>119167.946</c:v>
                </c:pt>
                <c:pt idx="17">
                  <c:v>120397.84600000001</c:v>
                </c:pt>
                <c:pt idx="18">
                  <c:v>121782.533</c:v>
                </c:pt>
                <c:pt idx="19">
                  <c:v>131711.818</c:v>
                </c:pt>
                <c:pt idx="20">
                  <c:v>139439.951</c:v>
                </c:pt>
                <c:pt idx="21">
                  <c:v>106690.94</c:v>
                </c:pt>
                <c:pt idx="22">
                  <c:v>106690.94</c:v>
                </c:pt>
                <c:pt idx="23">
                  <c:v>128752.269</c:v>
                </c:pt>
                <c:pt idx="24">
                  <c:v>158481.391</c:v>
                </c:pt>
                <c:pt idx="25">
                  <c:v>140933.83300000001</c:v>
                </c:pt>
                <c:pt idx="26">
                  <c:v>126419.88400000001</c:v>
                </c:pt>
                <c:pt idx="27">
                  <c:v>111580.224</c:v>
                </c:pt>
                <c:pt idx="28">
                  <c:v>107443.27099999999</c:v>
                </c:pt>
                <c:pt idx="29">
                  <c:v>105286.72100000001</c:v>
                </c:pt>
                <c:pt idx="30">
                  <c:v>106288.917</c:v>
                </c:pt>
                <c:pt idx="31">
                  <c:v>97443.498000000007</c:v>
                </c:pt>
                <c:pt idx="32">
                  <c:v>115979.984</c:v>
                </c:pt>
                <c:pt idx="33">
                  <c:v>114968.939</c:v>
                </c:pt>
                <c:pt idx="34">
                  <c:v>104858.336</c:v>
                </c:pt>
                <c:pt idx="35">
                  <c:v>95789.320999999996</c:v>
                </c:pt>
                <c:pt idx="36">
                  <c:v>95789.320999999996</c:v>
                </c:pt>
                <c:pt idx="37">
                  <c:v>105933.735</c:v>
                </c:pt>
                <c:pt idx="38">
                  <c:v>105204.484</c:v>
                </c:pt>
                <c:pt idx="39">
                  <c:v>105908.804</c:v>
                </c:pt>
                <c:pt idx="40">
                  <c:v>105136.79</c:v>
                </c:pt>
                <c:pt idx="41">
                  <c:v>105627.94500000001</c:v>
                </c:pt>
                <c:pt idx="42">
                  <c:v>98921.725000000006</c:v>
                </c:pt>
                <c:pt idx="43">
                  <c:v>98811.308000000005</c:v>
                </c:pt>
                <c:pt idx="44">
                  <c:v>104731.33199999999</c:v>
                </c:pt>
                <c:pt idx="45">
                  <c:v>103929.73</c:v>
                </c:pt>
                <c:pt idx="46">
                  <c:v>105933.73699999999</c:v>
                </c:pt>
                <c:pt idx="47">
                  <c:v>108939.761</c:v>
                </c:pt>
                <c:pt idx="48">
                  <c:v>107737.356</c:v>
                </c:pt>
                <c:pt idx="49">
                  <c:v>102927.736</c:v>
                </c:pt>
                <c:pt idx="50">
                  <c:v>99921.724000000002</c:v>
                </c:pt>
                <c:pt idx="51">
                  <c:v>109942.27</c:v>
                </c:pt>
                <c:pt idx="52">
                  <c:v>119967.15</c:v>
                </c:pt>
                <c:pt idx="53">
                  <c:v>114954.166</c:v>
                </c:pt>
                <c:pt idx="54">
                  <c:v>116955.792</c:v>
                </c:pt>
                <c:pt idx="55">
                  <c:v>116955.792</c:v>
                </c:pt>
                <c:pt idx="56">
                  <c:v>110280.442</c:v>
                </c:pt>
                <c:pt idx="57">
                  <c:v>107279.16800000001</c:v>
                </c:pt>
                <c:pt idx="58">
                  <c:v>118452.64599999999</c:v>
                </c:pt>
                <c:pt idx="59">
                  <c:v>132990.24100000001</c:v>
                </c:pt>
                <c:pt idx="60">
                  <c:v>111945.76700000001</c:v>
                </c:pt>
                <c:pt idx="61">
                  <c:v>115343.484</c:v>
                </c:pt>
                <c:pt idx="62">
                  <c:v>122277.158</c:v>
                </c:pt>
                <c:pt idx="63">
                  <c:v>113760.124</c:v>
                </c:pt>
                <c:pt idx="64">
                  <c:v>113760.124</c:v>
                </c:pt>
                <c:pt idx="65">
                  <c:v>116268.136</c:v>
                </c:pt>
                <c:pt idx="66">
                  <c:v>131023.4</c:v>
                </c:pt>
                <c:pt idx="67">
                  <c:v>135240.47700000001</c:v>
                </c:pt>
                <c:pt idx="68">
                  <c:v>129621.989</c:v>
                </c:pt>
                <c:pt idx="69">
                  <c:v>131305.23199999999</c:v>
                </c:pt>
                <c:pt idx="70">
                  <c:v>116265.128</c:v>
                </c:pt>
                <c:pt idx="71">
                  <c:v>116265.128</c:v>
                </c:pt>
                <c:pt idx="72">
                  <c:v>131071.152</c:v>
                </c:pt>
                <c:pt idx="73">
                  <c:v>164999.99600000001</c:v>
                </c:pt>
                <c:pt idx="74">
                  <c:v>163336.516</c:v>
                </c:pt>
                <c:pt idx="75">
                  <c:v>156542.15299999999</c:v>
                </c:pt>
                <c:pt idx="76">
                  <c:v>160306.92600000001</c:v>
                </c:pt>
                <c:pt idx="77">
                  <c:v>154373.01500000001</c:v>
                </c:pt>
                <c:pt idx="78">
                  <c:v>131981.72200000001</c:v>
                </c:pt>
                <c:pt idx="79">
                  <c:v>143248.04300000001</c:v>
                </c:pt>
                <c:pt idx="80">
                  <c:v>133296.818</c:v>
                </c:pt>
                <c:pt idx="81">
                  <c:v>143012.48699999999</c:v>
                </c:pt>
                <c:pt idx="82">
                  <c:v>153314.44500000001</c:v>
                </c:pt>
                <c:pt idx="83">
                  <c:v>135807.47899999999</c:v>
                </c:pt>
                <c:pt idx="84">
                  <c:v>130293.179</c:v>
                </c:pt>
                <c:pt idx="85">
                  <c:v>147336.628</c:v>
                </c:pt>
                <c:pt idx="86">
                  <c:v>130152.815</c:v>
                </c:pt>
                <c:pt idx="87">
                  <c:v>125702.15399999999</c:v>
                </c:pt>
                <c:pt idx="88">
                  <c:v>131296.29300000001</c:v>
                </c:pt>
                <c:pt idx="89">
                  <c:v>125283.171</c:v>
                </c:pt>
                <c:pt idx="90">
                  <c:v>128267.927</c:v>
                </c:pt>
                <c:pt idx="91">
                  <c:v>110813</c:v>
                </c:pt>
                <c:pt idx="92">
                  <c:v>108902.452</c:v>
                </c:pt>
                <c:pt idx="93">
                  <c:v>123290.43700000001</c:v>
                </c:pt>
                <c:pt idx="94">
                  <c:v>168666.83799999999</c:v>
                </c:pt>
                <c:pt idx="95">
                  <c:v>162432.24400000001</c:v>
                </c:pt>
                <c:pt idx="96">
                  <c:v>170650.13500000001</c:v>
                </c:pt>
                <c:pt idx="97">
                  <c:v>147747.37299999999</c:v>
                </c:pt>
                <c:pt idx="98">
                  <c:v>155043.81099999999</c:v>
                </c:pt>
                <c:pt idx="99">
                  <c:v>181340.31700000001</c:v>
                </c:pt>
                <c:pt idx="100">
                  <c:v>190563.84</c:v>
                </c:pt>
                <c:pt idx="101">
                  <c:v>181616.31200000001</c:v>
                </c:pt>
                <c:pt idx="102">
                  <c:v>188911.67</c:v>
                </c:pt>
                <c:pt idx="103">
                  <c:v>162951.29399999999</c:v>
                </c:pt>
                <c:pt idx="104">
                  <c:v>131494.05499999999</c:v>
                </c:pt>
                <c:pt idx="105">
                  <c:v>114920.524</c:v>
                </c:pt>
                <c:pt idx="106">
                  <c:v>115320.524</c:v>
                </c:pt>
                <c:pt idx="107">
                  <c:v>118889.929</c:v>
                </c:pt>
                <c:pt idx="108">
                  <c:v>129780.357</c:v>
                </c:pt>
                <c:pt idx="109">
                  <c:v>132480.35999999999</c:v>
                </c:pt>
                <c:pt idx="110">
                  <c:v>158597.83799999999</c:v>
                </c:pt>
                <c:pt idx="111">
                  <c:v>153269.23300000001</c:v>
                </c:pt>
                <c:pt idx="112">
                  <c:v>120791.622</c:v>
                </c:pt>
                <c:pt idx="113">
                  <c:v>125501.622</c:v>
                </c:pt>
                <c:pt idx="114">
                  <c:v>136535.20300000001</c:v>
                </c:pt>
                <c:pt idx="115">
                  <c:v>133152.622</c:v>
                </c:pt>
                <c:pt idx="116">
                  <c:v>122951.622</c:v>
                </c:pt>
                <c:pt idx="117">
                  <c:v>126811.622</c:v>
                </c:pt>
                <c:pt idx="118">
                  <c:v>149169.136</c:v>
                </c:pt>
                <c:pt idx="119">
                  <c:v>170122.40900000001</c:v>
                </c:pt>
                <c:pt idx="120">
                  <c:v>155667.16200000001</c:v>
                </c:pt>
                <c:pt idx="121">
                  <c:v>167771.008</c:v>
                </c:pt>
                <c:pt idx="122">
                  <c:v>166663.89300000001</c:v>
                </c:pt>
                <c:pt idx="123">
                  <c:v>121723.556</c:v>
                </c:pt>
                <c:pt idx="124">
                  <c:v>110223.557</c:v>
                </c:pt>
                <c:pt idx="125">
                  <c:v>108614.224</c:v>
                </c:pt>
                <c:pt idx="126">
                  <c:v>100166.136</c:v>
                </c:pt>
                <c:pt idx="127">
                  <c:v>100166.136</c:v>
                </c:pt>
                <c:pt idx="128">
                  <c:v>106291.379</c:v>
                </c:pt>
                <c:pt idx="129">
                  <c:v>108723.557</c:v>
                </c:pt>
                <c:pt idx="130">
                  <c:v>109669.9</c:v>
                </c:pt>
                <c:pt idx="131">
                  <c:v>107639.56</c:v>
                </c:pt>
                <c:pt idx="132">
                  <c:v>103327.24800000001</c:v>
                </c:pt>
                <c:pt idx="133">
                  <c:v>109383.557</c:v>
                </c:pt>
                <c:pt idx="134">
                  <c:v>109883.557</c:v>
                </c:pt>
                <c:pt idx="135">
                  <c:v>110072.557</c:v>
                </c:pt>
                <c:pt idx="136">
                  <c:v>111723.557</c:v>
                </c:pt>
                <c:pt idx="137">
                  <c:v>111430.011</c:v>
                </c:pt>
                <c:pt idx="138">
                  <c:v>105253.56299999999</c:v>
                </c:pt>
                <c:pt idx="139">
                  <c:v>111713.56299999999</c:v>
                </c:pt>
                <c:pt idx="140">
                  <c:v>97923.557000000001</c:v>
                </c:pt>
                <c:pt idx="141">
                  <c:v>99423.557000000001</c:v>
                </c:pt>
                <c:pt idx="142">
                  <c:v>103033.54300000001</c:v>
                </c:pt>
                <c:pt idx="143">
                  <c:v>103363.55100000001</c:v>
                </c:pt>
                <c:pt idx="144">
                  <c:v>102683.557</c:v>
                </c:pt>
                <c:pt idx="145">
                  <c:v>98841.933999999994</c:v>
                </c:pt>
                <c:pt idx="146">
                  <c:v>85393.543000000005</c:v>
                </c:pt>
                <c:pt idx="147">
                  <c:v>106046.15</c:v>
                </c:pt>
                <c:pt idx="148">
                  <c:v>109486.15</c:v>
                </c:pt>
                <c:pt idx="149">
                  <c:v>106875.647</c:v>
                </c:pt>
                <c:pt idx="150">
                  <c:v>95623.282999999996</c:v>
                </c:pt>
                <c:pt idx="151">
                  <c:v>69166.667000000001</c:v>
                </c:pt>
                <c:pt idx="152">
                  <c:v>70972.633000000002</c:v>
                </c:pt>
                <c:pt idx="153">
                  <c:v>65222.680999999997</c:v>
                </c:pt>
                <c:pt idx="154">
                  <c:v>59622.285000000003</c:v>
                </c:pt>
                <c:pt idx="155">
                  <c:v>63872.285000000003</c:v>
                </c:pt>
                <c:pt idx="156">
                  <c:v>59204.167000000001</c:v>
                </c:pt>
                <c:pt idx="157">
                  <c:v>53741.667000000001</c:v>
                </c:pt>
                <c:pt idx="158">
                  <c:v>65284.167000000001</c:v>
                </c:pt>
                <c:pt idx="159">
                  <c:v>61002.285000000003</c:v>
                </c:pt>
                <c:pt idx="160">
                  <c:v>66644.167000000001</c:v>
                </c:pt>
                <c:pt idx="161">
                  <c:v>60876.76</c:v>
                </c:pt>
                <c:pt idx="162">
                  <c:v>62216.76</c:v>
                </c:pt>
                <c:pt idx="163">
                  <c:v>65094.167000000001</c:v>
                </c:pt>
                <c:pt idx="164">
                  <c:v>70095.046000000002</c:v>
                </c:pt>
                <c:pt idx="165">
                  <c:v>70528.422999999995</c:v>
                </c:pt>
                <c:pt idx="166">
                  <c:v>71072.285000000003</c:v>
                </c:pt>
                <c:pt idx="167">
                  <c:v>71084.625</c:v>
                </c:pt>
                <c:pt idx="168">
                  <c:v>70392.978000000003</c:v>
                </c:pt>
                <c:pt idx="169">
                  <c:v>70392.978000000003</c:v>
                </c:pt>
                <c:pt idx="170">
                  <c:v>70492.725000000006</c:v>
                </c:pt>
                <c:pt idx="171">
                  <c:v>61168.553999999996</c:v>
                </c:pt>
                <c:pt idx="172">
                  <c:v>52456.328999999998</c:v>
                </c:pt>
                <c:pt idx="173">
                  <c:v>61188.911999999997</c:v>
                </c:pt>
                <c:pt idx="174">
                  <c:v>64028.103999999999</c:v>
                </c:pt>
                <c:pt idx="175">
                  <c:v>59697.27</c:v>
                </c:pt>
                <c:pt idx="176">
                  <c:v>61188.167000000001</c:v>
                </c:pt>
                <c:pt idx="177">
                  <c:v>66208.167000000001</c:v>
                </c:pt>
                <c:pt idx="178">
                  <c:v>60319.695</c:v>
                </c:pt>
                <c:pt idx="179">
                  <c:v>59470.201000000001</c:v>
                </c:pt>
                <c:pt idx="180">
                  <c:v>60270.826000000001</c:v>
                </c:pt>
                <c:pt idx="181">
                  <c:v>61208.167000000001</c:v>
                </c:pt>
                <c:pt idx="182">
                  <c:v>99311.232999999993</c:v>
                </c:pt>
                <c:pt idx="183">
                  <c:v>99311.232999999993</c:v>
                </c:pt>
                <c:pt idx="184">
                  <c:v>103310.637</c:v>
                </c:pt>
                <c:pt idx="185">
                  <c:v>103611.042</c:v>
                </c:pt>
                <c:pt idx="186">
                  <c:v>102310.632</c:v>
                </c:pt>
                <c:pt idx="187">
                  <c:v>102810.46</c:v>
                </c:pt>
                <c:pt idx="188">
                  <c:v>104811.827</c:v>
                </c:pt>
                <c:pt idx="189">
                  <c:v>102429.59699999999</c:v>
                </c:pt>
                <c:pt idx="190">
                  <c:v>102429.59699999999</c:v>
                </c:pt>
                <c:pt idx="191">
                  <c:v>109811.451</c:v>
                </c:pt>
                <c:pt idx="192">
                  <c:v>111314.32799999999</c:v>
                </c:pt>
                <c:pt idx="193">
                  <c:v>109313.227</c:v>
                </c:pt>
                <c:pt idx="194">
                  <c:v>112309.66899999999</c:v>
                </c:pt>
                <c:pt idx="195">
                  <c:v>106313.227</c:v>
                </c:pt>
                <c:pt idx="196">
                  <c:v>106313.227</c:v>
                </c:pt>
                <c:pt idx="197">
                  <c:v>106313.227</c:v>
                </c:pt>
                <c:pt idx="198">
                  <c:v>106313.227</c:v>
                </c:pt>
                <c:pt idx="199">
                  <c:v>109198.253</c:v>
                </c:pt>
                <c:pt idx="200">
                  <c:v>110302.197</c:v>
                </c:pt>
                <c:pt idx="201">
                  <c:v>107303.38499999999</c:v>
                </c:pt>
                <c:pt idx="202">
                  <c:v>106554.22</c:v>
                </c:pt>
                <c:pt idx="203">
                  <c:v>106563.474</c:v>
                </c:pt>
                <c:pt idx="204">
                  <c:v>106563.474</c:v>
                </c:pt>
                <c:pt idx="205">
                  <c:v>106563.474</c:v>
                </c:pt>
                <c:pt idx="206">
                  <c:v>106533.552</c:v>
                </c:pt>
                <c:pt idx="207">
                  <c:v>106533.552</c:v>
                </c:pt>
                <c:pt idx="208">
                  <c:v>109131.32799999999</c:v>
                </c:pt>
                <c:pt idx="209">
                  <c:v>110561.105</c:v>
                </c:pt>
                <c:pt idx="210">
                  <c:v>106563.033</c:v>
                </c:pt>
                <c:pt idx="211">
                  <c:v>105567.178</c:v>
                </c:pt>
                <c:pt idx="212">
                  <c:v>117621.656</c:v>
                </c:pt>
                <c:pt idx="213">
                  <c:v>119635.959</c:v>
                </c:pt>
                <c:pt idx="214">
                  <c:v>126215.046</c:v>
                </c:pt>
                <c:pt idx="215">
                  <c:v>124526.086</c:v>
                </c:pt>
                <c:pt idx="216">
                  <c:v>122705.99</c:v>
                </c:pt>
                <c:pt idx="217">
                  <c:v>119709.656</c:v>
                </c:pt>
                <c:pt idx="218">
                  <c:v>119718.91</c:v>
                </c:pt>
                <c:pt idx="219">
                  <c:v>119718.91</c:v>
                </c:pt>
                <c:pt idx="220">
                  <c:v>119718.91</c:v>
                </c:pt>
                <c:pt idx="221">
                  <c:v>119716.91099999999</c:v>
                </c:pt>
                <c:pt idx="222">
                  <c:v>119716.91099999999</c:v>
                </c:pt>
                <c:pt idx="223">
                  <c:v>123967.158</c:v>
                </c:pt>
                <c:pt idx="224">
                  <c:v>126967.37300000001</c:v>
                </c:pt>
                <c:pt idx="225">
                  <c:v>126967.37300000001</c:v>
                </c:pt>
                <c:pt idx="226">
                  <c:v>122715.12699999999</c:v>
                </c:pt>
                <c:pt idx="227">
                  <c:v>125715.34299999999</c:v>
                </c:pt>
                <c:pt idx="228">
                  <c:v>122715.12699999999</c:v>
                </c:pt>
                <c:pt idx="229">
                  <c:v>123716.52099999999</c:v>
                </c:pt>
                <c:pt idx="230">
                  <c:v>125715.34299999999</c:v>
                </c:pt>
                <c:pt idx="231">
                  <c:v>126297.126</c:v>
                </c:pt>
                <c:pt idx="232">
                  <c:v>126297.126</c:v>
                </c:pt>
                <c:pt idx="233">
                  <c:v>133267.976</c:v>
                </c:pt>
                <c:pt idx="234">
                  <c:v>129410.936</c:v>
                </c:pt>
                <c:pt idx="235">
                  <c:v>131427.99600000001</c:v>
                </c:pt>
                <c:pt idx="236">
                  <c:v>131066.174</c:v>
                </c:pt>
                <c:pt idx="237">
                  <c:v>129416.18</c:v>
                </c:pt>
                <c:pt idx="238">
                  <c:v>125966.18</c:v>
                </c:pt>
                <c:pt idx="239">
                  <c:v>125966.18</c:v>
                </c:pt>
                <c:pt idx="240">
                  <c:v>128131.084</c:v>
                </c:pt>
                <c:pt idx="241">
                  <c:v>136261.421</c:v>
                </c:pt>
                <c:pt idx="242">
                  <c:v>142757.52799999999</c:v>
                </c:pt>
                <c:pt idx="243">
                  <c:v>133853.565</c:v>
                </c:pt>
                <c:pt idx="244">
                  <c:v>137072.489</c:v>
                </c:pt>
                <c:pt idx="245">
                  <c:v>141012.56899999999</c:v>
                </c:pt>
                <c:pt idx="246">
                  <c:v>138850.56899999999</c:v>
                </c:pt>
                <c:pt idx="247">
                  <c:v>136934.772</c:v>
                </c:pt>
                <c:pt idx="248">
                  <c:v>132943.32500000001</c:v>
                </c:pt>
                <c:pt idx="249">
                  <c:v>144309.345</c:v>
                </c:pt>
                <c:pt idx="250">
                  <c:v>145144.84</c:v>
                </c:pt>
                <c:pt idx="251">
                  <c:v>136603.12299999999</c:v>
                </c:pt>
                <c:pt idx="252">
                  <c:v>137843.378</c:v>
                </c:pt>
                <c:pt idx="253">
                  <c:v>139642.30799999999</c:v>
                </c:pt>
                <c:pt idx="254">
                  <c:v>135853.56899999999</c:v>
                </c:pt>
                <c:pt idx="255">
                  <c:v>131356.24400000001</c:v>
                </c:pt>
                <c:pt idx="256">
                  <c:v>143563.56899999999</c:v>
                </c:pt>
                <c:pt idx="257">
                  <c:v>144548.41200000001</c:v>
                </c:pt>
                <c:pt idx="258">
                  <c:v>146508.54999999999</c:v>
                </c:pt>
                <c:pt idx="259">
                  <c:v>123984.649</c:v>
                </c:pt>
                <c:pt idx="260">
                  <c:v>126498.325</c:v>
                </c:pt>
                <c:pt idx="261">
                  <c:v>133855.859</c:v>
                </c:pt>
                <c:pt idx="262">
                  <c:v>136854.076</c:v>
                </c:pt>
                <c:pt idx="263">
                  <c:v>149189.94099999999</c:v>
                </c:pt>
                <c:pt idx="264">
                  <c:v>141761.236</c:v>
                </c:pt>
                <c:pt idx="265">
                  <c:v>147840.64199999999</c:v>
                </c:pt>
                <c:pt idx="266">
                  <c:v>128551.076</c:v>
                </c:pt>
                <c:pt idx="267">
                  <c:v>130856.537</c:v>
                </c:pt>
                <c:pt idx="268">
                  <c:v>129857.125</c:v>
                </c:pt>
                <c:pt idx="269">
                  <c:v>127858.325</c:v>
                </c:pt>
                <c:pt idx="270">
                  <c:v>125858.325</c:v>
                </c:pt>
                <c:pt idx="271">
                  <c:v>135353.56700000001</c:v>
                </c:pt>
                <c:pt idx="272">
                  <c:v>147846.42199999999</c:v>
                </c:pt>
                <c:pt idx="273">
                  <c:v>138529.28</c:v>
                </c:pt>
                <c:pt idx="274">
                  <c:v>138529.28</c:v>
                </c:pt>
                <c:pt idx="275">
                  <c:v>140429.28</c:v>
                </c:pt>
                <c:pt idx="276">
                  <c:v>138529.28</c:v>
                </c:pt>
                <c:pt idx="277">
                  <c:v>140479.28</c:v>
                </c:pt>
                <c:pt idx="278">
                  <c:v>140479.28</c:v>
                </c:pt>
                <c:pt idx="279">
                  <c:v>143477.49299999999</c:v>
                </c:pt>
                <c:pt idx="280">
                  <c:v>138529.28</c:v>
                </c:pt>
                <c:pt idx="281">
                  <c:v>138529.28</c:v>
                </c:pt>
                <c:pt idx="282">
                  <c:v>139529.28</c:v>
                </c:pt>
                <c:pt idx="283">
                  <c:v>140479.28</c:v>
                </c:pt>
                <c:pt idx="284">
                  <c:v>140479.28</c:v>
                </c:pt>
                <c:pt idx="285">
                  <c:v>144885.77499999999</c:v>
                </c:pt>
                <c:pt idx="286">
                  <c:v>148474.52499999999</c:v>
                </c:pt>
                <c:pt idx="287">
                  <c:v>148474.52499999999</c:v>
                </c:pt>
                <c:pt idx="288">
                  <c:v>148474.52499999999</c:v>
                </c:pt>
                <c:pt idx="289">
                  <c:v>148474.52499999999</c:v>
                </c:pt>
                <c:pt idx="290">
                  <c:v>140479.28</c:v>
                </c:pt>
                <c:pt idx="291">
                  <c:v>140479.28</c:v>
                </c:pt>
                <c:pt idx="292">
                  <c:v>144288.50599999999</c:v>
                </c:pt>
                <c:pt idx="293">
                  <c:v>148474.52499999999</c:v>
                </c:pt>
                <c:pt idx="294">
                  <c:v>140823.07699999999</c:v>
                </c:pt>
                <c:pt idx="295">
                  <c:v>140823.07699999999</c:v>
                </c:pt>
                <c:pt idx="296">
                  <c:v>140479.28</c:v>
                </c:pt>
                <c:pt idx="297">
                  <c:v>140479.28</c:v>
                </c:pt>
                <c:pt idx="298">
                  <c:v>143727.34599999999</c:v>
                </c:pt>
                <c:pt idx="299">
                  <c:v>147934.84599999999</c:v>
                </c:pt>
                <c:pt idx="300">
                  <c:v>143477.497</c:v>
                </c:pt>
                <c:pt idx="301">
                  <c:v>148474.52499999999</c:v>
                </c:pt>
                <c:pt idx="302">
                  <c:v>148474.52499999999</c:v>
                </c:pt>
                <c:pt idx="303">
                  <c:v>140479.28</c:v>
                </c:pt>
                <c:pt idx="304">
                  <c:v>147718.54300000001</c:v>
                </c:pt>
                <c:pt idx="305">
                  <c:v>148468.10200000001</c:v>
                </c:pt>
                <c:pt idx="306">
                  <c:v>158460.08600000001</c:v>
                </c:pt>
                <c:pt idx="307">
                  <c:v>147082.37700000001</c:v>
                </c:pt>
                <c:pt idx="308">
                  <c:v>144020.47899999999</c:v>
                </c:pt>
                <c:pt idx="309">
                  <c:v>144470.47899999999</c:v>
                </c:pt>
                <c:pt idx="310">
                  <c:v>144413.93900000001</c:v>
                </c:pt>
                <c:pt idx="311">
                  <c:v>144470.46299999999</c:v>
                </c:pt>
                <c:pt idx="312">
                  <c:v>142270.46299999999</c:v>
                </c:pt>
                <c:pt idx="313">
                  <c:v>141120.05600000001</c:v>
                </c:pt>
                <c:pt idx="314">
                  <c:v>140188.802</c:v>
                </c:pt>
                <c:pt idx="315">
                  <c:v>134948.802</c:v>
                </c:pt>
                <c:pt idx="316">
                  <c:v>135449.90299999999</c:v>
                </c:pt>
                <c:pt idx="317">
                  <c:v>138393.07199999999</c:v>
                </c:pt>
                <c:pt idx="318">
                  <c:v>141523.07199999999</c:v>
                </c:pt>
                <c:pt idx="319">
                  <c:v>141523.07199999999</c:v>
                </c:pt>
                <c:pt idx="320">
                  <c:v>140991.22200000001</c:v>
                </c:pt>
                <c:pt idx="321">
                  <c:v>133651.62400000001</c:v>
                </c:pt>
                <c:pt idx="322">
                  <c:v>129183.802</c:v>
                </c:pt>
                <c:pt idx="323">
                  <c:v>129194.852</c:v>
                </c:pt>
                <c:pt idx="324">
                  <c:v>141523.07199999999</c:v>
                </c:pt>
                <c:pt idx="325">
                  <c:v>146080.68900000001</c:v>
                </c:pt>
                <c:pt idx="326">
                  <c:v>143285.29199999999</c:v>
                </c:pt>
                <c:pt idx="327">
                  <c:v>142845.29199999999</c:v>
                </c:pt>
                <c:pt idx="328">
                  <c:v>142520.47899999999</c:v>
                </c:pt>
                <c:pt idx="329">
                  <c:v>141171.22500000001</c:v>
                </c:pt>
                <c:pt idx="330">
                  <c:v>141171.22500000001</c:v>
                </c:pt>
                <c:pt idx="331">
                  <c:v>142070.728</c:v>
                </c:pt>
                <c:pt idx="332">
                  <c:v>148717.50700000001</c:v>
                </c:pt>
                <c:pt idx="333">
                  <c:v>144470.47899999999</c:v>
                </c:pt>
                <c:pt idx="334">
                  <c:v>144470.47899999999</c:v>
                </c:pt>
                <c:pt idx="335">
                  <c:v>119983.148</c:v>
                </c:pt>
                <c:pt idx="336">
                  <c:v>99790.985000000001</c:v>
                </c:pt>
                <c:pt idx="337">
                  <c:v>99790.985000000001</c:v>
                </c:pt>
                <c:pt idx="338">
                  <c:v>125216.33</c:v>
                </c:pt>
                <c:pt idx="339">
                  <c:v>115843.802</c:v>
                </c:pt>
                <c:pt idx="340">
                  <c:v>105386.864</c:v>
                </c:pt>
                <c:pt idx="341">
                  <c:v>99313.619000000006</c:v>
                </c:pt>
                <c:pt idx="342">
                  <c:v>110721.961</c:v>
                </c:pt>
                <c:pt idx="343">
                  <c:v>94403.619000000006</c:v>
                </c:pt>
                <c:pt idx="344">
                  <c:v>94016.4</c:v>
                </c:pt>
                <c:pt idx="345">
                  <c:v>103788.177</c:v>
                </c:pt>
                <c:pt idx="346">
                  <c:v>99238.494999999995</c:v>
                </c:pt>
                <c:pt idx="347">
                  <c:v>97169.96</c:v>
                </c:pt>
                <c:pt idx="348">
                  <c:v>92255.801999999996</c:v>
                </c:pt>
                <c:pt idx="349">
                  <c:v>96275.801999999996</c:v>
                </c:pt>
                <c:pt idx="350">
                  <c:v>114356.72500000001</c:v>
                </c:pt>
                <c:pt idx="351">
                  <c:v>110856.72500000001</c:v>
                </c:pt>
                <c:pt idx="352">
                  <c:v>115689.802</c:v>
                </c:pt>
                <c:pt idx="353">
                  <c:v>123014.99</c:v>
                </c:pt>
                <c:pt idx="354">
                  <c:v>139636.41</c:v>
                </c:pt>
                <c:pt idx="355">
                  <c:v>142219.27499999999</c:v>
                </c:pt>
                <c:pt idx="356">
                  <c:v>140220.06299999999</c:v>
                </c:pt>
                <c:pt idx="357">
                  <c:v>140220.06299999999</c:v>
                </c:pt>
                <c:pt idx="358">
                  <c:v>140220.06299999999</c:v>
                </c:pt>
                <c:pt idx="359">
                  <c:v>140220.06299999999</c:v>
                </c:pt>
                <c:pt idx="360">
                  <c:v>138632.989</c:v>
                </c:pt>
                <c:pt idx="361">
                  <c:v>142788.16899999999</c:v>
                </c:pt>
                <c:pt idx="362">
                  <c:v>143368.584</c:v>
                </c:pt>
                <c:pt idx="363">
                  <c:v>145217.49100000001</c:v>
                </c:pt>
                <c:pt idx="364">
                  <c:v>135650.209</c:v>
                </c:pt>
                <c:pt idx="365">
                  <c:v>94051.676000000007</c:v>
                </c:pt>
                <c:pt idx="366">
                  <c:v>114799.30100000001</c:v>
                </c:pt>
                <c:pt idx="367">
                  <c:v>146353.829</c:v>
                </c:pt>
                <c:pt idx="368">
                  <c:v>126841.375</c:v>
                </c:pt>
                <c:pt idx="369">
                  <c:v>133687.304</c:v>
                </c:pt>
                <c:pt idx="370">
                  <c:v>109751.51</c:v>
                </c:pt>
                <c:pt idx="371">
                  <c:v>113749.133</c:v>
                </c:pt>
                <c:pt idx="372">
                  <c:v>113749.133</c:v>
                </c:pt>
                <c:pt idx="373">
                  <c:v>133745.62100000001</c:v>
                </c:pt>
                <c:pt idx="374">
                  <c:v>179733.29399999999</c:v>
                </c:pt>
                <c:pt idx="375">
                  <c:v>183471.299</c:v>
                </c:pt>
                <c:pt idx="376">
                  <c:v>149863.67199999999</c:v>
                </c:pt>
                <c:pt idx="377">
                  <c:v>139624.13</c:v>
                </c:pt>
                <c:pt idx="378">
                  <c:v>120751.087</c:v>
                </c:pt>
                <c:pt idx="379">
                  <c:v>128469.019</c:v>
                </c:pt>
                <c:pt idx="380">
                  <c:v>120679.936</c:v>
                </c:pt>
                <c:pt idx="381">
                  <c:v>149635.98800000001</c:v>
                </c:pt>
                <c:pt idx="382">
                  <c:v>171805.11900000001</c:v>
                </c:pt>
                <c:pt idx="383">
                  <c:v>158276.33199999999</c:v>
                </c:pt>
                <c:pt idx="384">
                  <c:v>162579.83900000001</c:v>
                </c:pt>
                <c:pt idx="385">
                  <c:v>124972.38400000001</c:v>
                </c:pt>
                <c:pt idx="386">
                  <c:v>126819.753</c:v>
                </c:pt>
                <c:pt idx="387">
                  <c:v>140648.43599999999</c:v>
                </c:pt>
                <c:pt idx="388">
                  <c:v>144652.00099999999</c:v>
                </c:pt>
                <c:pt idx="389">
                  <c:v>134766.53599999999</c:v>
                </c:pt>
                <c:pt idx="390">
                  <c:v>174150.18700000001</c:v>
                </c:pt>
                <c:pt idx="391">
                  <c:v>146352.24900000001</c:v>
                </c:pt>
                <c:pt idx="392">
                  <c:v>105945.30100000001</c:v>
                </c:pt>
                <c:pt idx="393">
                  <c:v>108406.565</c:v>
                </c:pt>
                <c:pt idx="394">
                  <c:v>122749.84600000001</c:v>
                </c:pt>
                <c:pt idx="395">
                  <c:v>133748.11499999999</c:v>
                </c:pt>
                <c:pt idx="396">
                  <c:v>113664.046</c:v>
                </c:pt>
                <c:pt idx="397">
                  <c:v>118561.66099999999</c:v>
                </c:pt>
                <c:pt idx="398">
                  <c:v>113564.641</c:v>
                </c:pt>
                <c:pt idx="399">
                  <c:v>113564.641</c:v>
                </c:pt>
                <c:pt idx="400">
                  <c:v>113564.641</c:v>
                </c:pt>
                <c:pt idx="401">
                  <c:v>113564.641</c:v>
                </c:pt>
                <c:pt idx="402">
                  <c:v>87462.98</c:v>
                </c:pt>
                <c:pt idx="403">
                  <c:v>80004.381999999998</c:v>
                </c:pt>
                <c:pt idx="404">
                  <c:v>92694.293000000005</c:v>
                </c:pt>
                <c:pt idx="405">
                  <c:v>101459.523</c:v>
                </c:pt>
                <c:pt idx="406">
                  <c:v>79180.861999999994</c:v>
                </c:pt>
                <c:pt idx="407">
                  <c:v>88550.861000000004</c:v>
                </c:pt>
                <c:pt idx="408">
                  <c:v>76798.899999999994</c:v>
                </c:pt>
                <c:pt idx="409">
                  <c:v>82642.396999999997</c:v>
                </c:pt>
                <c:pt idx="410">
                  <c:v>97096.203999999998</c:v>
                </c:pt>
                <c:pt idx="411">
                  <c:v>99530.879000000001</c:v>
                </c:pt>
                <c:pt idx="412">
                  <c:v>91788.214999999997</c:v>
                </c:pt>
                <c:pt idx="413">
                  <c:v>77046.39</c:v>
                </c:pt>
                <c:pt idx="414">
                  <c:v>77046.39</c:v>
                </c:pt>
                <c:pt idx="415">
                  <c:v>113673.876</c:v>
                </c:pt>
                <c:pt idx="416">
                  <c:v>115563.452</c:v>
                </c:pt>
                <c:pt idx="417">
                  <c:v>100083.49400000001</c:v>
                </c:pt>
                <c:pt idx="418">
                  <c:v>109873.45</c:v>
                </c:pt>
                <c:pt idx="419">
                  <c:v>106455.00599999999</c:v>
                </c:pt>
                <c:pt idx="420">
                  <c:v>82199.376000000004</c:v>
                </c:pt>
                <c:pt idx="421">
                  <c:v>86694.398000000001</c:v>
                </c:pt>
                <c:pt idx="422">
                  <c:v>97084.46</c:v>
                </c:pt>
                <c:pt idx="423">
                  <c:v>113564.633</c:v>
                </c:pt>
                <c:pt idx="424">
                  <c:v>112698.45</c:v>
                </c:pt>
                <c:pt idx="425">
                  <c:v>115572.25900000001</c:v>
                </c:pt>
                <c:pt idx="426">
                  <c:v>111367.511</c:v>
                </c:pt>
                <c:pt idx="427">
                  <c:v>111368.76</c:v>
                </c:pt>
                <c:pt idx="428">
                  <c:v>128273.31200000001</c:v>
                </c:pt>
                <c:pt idx="429">
                  <c:v>112266.594</c:v>
                </c:pt>
                <c:pt idx="430">
                  <c:v>121163.01300000001</c:v>
                </c:pt>
                <c:pt idx="431">
                  <c:v>111198.719</c:v>
                </c:pt>
                <c:pt idx="432">
                  <c:v>109789.806</c:v>
                </c:pt>
                <c:pt idx="433">
                  <c:v>110169.79399999999</c:v>
                </c:pt>
                <c:pt idx="434">
                  <c:v>107877.16499999999</c:v>
                </c:pt>
                <c:pt idx="435">
                  <c:v>105727.16499999999</c:v>
                </c:pt>
                <c:pt idx="436">
                  <c:v>112168.609</c:v>
                </c:pt>
                <c:pt idx="437">
                  <c:v>114206.409</c:v>
                </c:pt>
                <c:pt idx="438">
                  <c:v>110112.942</c:v>
                </c:pt>
                <c:pt idx="439">
                  <c:v>120590.1</c:v>
                </c:pt>
                <c:pt idx="440">
                  <c:v>112168.609</c:v>
                </c:pt>
                <c:pt idx="441">
                  <c:v>110185.05899999999</c:v>
                </c:pt>
                <c:pt idx="442">
                  <c:v>110669.5</c:v>
                </c:pt>
                <c:pt idx="443">
                  <c:v>110169.79399999999</c:v>
                </c:pt>
                <c:pt idx="444">
                  <c:v>117465.458</c:v>
                </c:pt>
                <c:pt idx="445">
                  <c:v>119164.448</c:v>
                </c:pt>
                <c:pt idx="446">
                  <c:v>124425.96400000001</c:v>
                </c:pt>
                <c:pt idx="447">
                  <c:v>123316.46400000001</c:v>
                </c:pt>
                <c:pt idx="448">
                  <c:v>133907.315</c:v>
                </c:pt>
                <c:pt idx="449">
                  <c:v>131157.315</c:v>
                </c:pt>
                <c:pt idx="450">
                  <c:v>133657.315</c:v>
                </c:pt>
                <c:pt idx="451">
                  <c:v>131157.315</c:v>
                </c:pt>
                <c:pt idx="452">
                  <c:v>111169.198</c:v>
                </c:pt>
                <c:pt idx="453">
                  <c:v>139241.005</c:v>
                </c:pt>
                <c:pt idx="454">
                  <c:v>128159.09</c:v>
                </c:pt>
                <c:pt idx="455">
                  <c:v>124161.466</c:v>
                </c:pt>
                <c:pt idx="456">
                  <c:v>124161.454</c:v>
                </c:pt>
                <c:pt idx="457">
                  <c:v>130001.432</c:v>
                </c:pt>
                <c:pt idx="458">
                  <c:v>116009.758</c:v>
                </c:pt>
                <c:pt idx="459">
                  <c:v>116009.758</c:v>
                </c:pt>
                <c:pt idx="460">
                  <c:v>100680.723</c:v>
                </c:pt>
                <c:pt idx="461">
                  <c:v>116009.758</c:v>
                </c:pt>
                <c:pt idx="462">
                  <c:v>116009.758</c:v>
                </c:pt>
                <c:pt idx="463">
                  <c:v>116009.758</c:v>
                </c:pt>
                <c:pt idx="464">
                  <c:v>132250.755</c:v>
                </c:pt>
                <c:pt idx="465">
                  <c:v>116009.758</c:v>
                </c:pt>
                <c:pt idx="466">
                  <c:v>119019.94</c:v>
                </c:pt>
                <c:pt idx="467">
                  <c:v>122380.07799999999</c:v>
                </c:pt>
                <c:pt idx="468">
                  <c:v>134815.37299999999</c:v>
                </c:pt>
                <c:pt idx="469">
                  <c:v>122006.183</c:v>
                </c:pt>
                <c:pt idx="470">
                  <c:v>118008.55899999999</c:v>
                </c:pt>
                <c:pt idx="471">
                  <c:v>127003.213</c:v>
                </c:pt>
                <c:pt idx="472">
                  <c:v>117390.041</c:v>
                </c:pt>
                <c:pt idx="473">
                  <c:v>118008.55899999999</c:v>
                </c:pt>
                <c:pt idx="474">
                  <c:v>118008.55899999999</c:v>
                </c:pt>
                <c:pt idx="475">
                  <c:v>118008.55899999999</c:v>
                </c:pt>
                <c:pt idx="476">
                  <c:v>118507.38099999999</c:v>
                </c:pt>
                <c:pt idx="477">
                  <c:v>118007.38099999999</c:v>
                </c:pt>
                <c:pt idx="478">
                  <c:v>123855.09</c:v>
                </c:pt>
                <c:pt idx="479">
                  <c:v>146991.329</c:v>
                </c:pt>
                <c:pt idx="480">
                  <c:v>128002.61500000001</c:v>
                </c:pt>
                <c:pt idx="481">
                  <c:v>125504.111</c:v>
                </c:pt>
                <c:pt idx="482">
                  <c:v>120786.90700000001</c:v>
                </c:pt>
                <c:pt idx="483">
                  <c:v>118008.55899999999</c:v>
                </c:pt>
                <c:pt idx="484">
                  <c:v>118008.55899999999</c:v>
                </c:pt>
                <c:pt idx="485">
                  <c:v>127003.212</c:v>
                </c:pt>
                <c:pt idx="486">
                  <c:v>137347.06700000001</c:v>
                </c:pt>
                <c:pt idx="487">
                  <c:v>145389.59599999999</c:v>
                </c:pt>
                <c:pt idx="488">
                  <c:v>152182.84599999999</c:v>
                </c:pt>
                <c:pt idx="489">
                  <c:v>153380.83499999999</c:v>
                </c:pt>
                <c:pt idx="490">
                  <c:v>150536.00599999999</c:v>
                </c:pt>
                <c:pt idx="491">
                  <c:v>149372.00599999999</c:v>
                </c:pt>
                <c:pt idx="492">
                  <c:v>161625.55900000001</c:v>
                </c:pt>
                <c:pt idx="493">
                  <c:v>155771.31299999999</c:v>
                </c:pt>
                <c:pt idx="494">
                  <c:v>166291.18</c:v>
                </c:pt>
                <c:pt idx="495">
                  <c:v>169623.51699999999</c:v>
                </c:pt>
                <c:pt idx="496">
                  <c:v>193920.58300000001</c:v>
                </c:pt>
                <c:pt idx="497">
                  <c:v>149370.65900000001</c:v>
                </c:pt>
                <c:pt idx="498">
                  <c:v>149370.65900000001</c:v>
                </c:pt>
                <c:pt idx="499">
                  <c:v>145872.728</c:v>
                </c:pt>
                <c:pt idx="500">
                  <c:v>145657.87400000001</c:v>
                </c:pt>
                <c:pt idx="501">
                  <c:v>143784.72899999999</c:v>
                </c:pt>
                <c:pt idx="502">
                  <c:v>147282.66</c:v>
                </c:pt>
                <c:pt idx="503">
                  <c:v>147522.65900000001</c:v>
                </c:pt>
                <c:pt idx="504">
                  <c:v>143784.72899999999</c:v>
                </c:pt>
                <c:pt idx="505">
                  <c:v>143784.72899999999</c:v>
                </c:pt>
                <c:pt idx="506">
                  <c:v>138914.72899999999</c:v>
                </c:pt>
                <c:pt idx="507">
                  <c:v>143236.155</c:v>
                </c:pt>
                <c:pt idx="508">
                  <c:v>120957.204</c:v>
                </c:pt>
                <c:pt idx="509">
                  <c:v>128657.334</c:v>
                </c:pt>
                <c:pt idx="510">
                  <c:v>135525.93</c:v>
                </c:pt>
                <c:pt idx="511">
                  <c:v>135522.44200000001</c:v>
                </c:pt>
                <c:pt idx="512">
                  <c:v>135917.334</c:v>
                </c:pt>
                <c:pt idx="513">
                  <c:v>87572.986000000004</c:v>
                </c:pt>
                <c:pt idx="514">
                  <c:v>100453.961</c:v>
                </c:pt>
                <c:pt idx="515">
                  <c:v>73488.320999999996</c:v>
                </c:pt>
                <c:pt idx="516">
                  <c:v>66335.667000000001</c:v>
                </c:pt>
                <c:pt idx="517">
                  <c:v>66334.667000000001</c:v>
                </c:pt>
                <c:pt idx="518">
                  <c:v>84037.506999999998</c:v>
                </c:pt>
                <c:pt idx="519">
                  <c:v>92037.506999999998</c:v>
                </c:pt>
                <c:pt idx="520">
                  <c:v>118244.503</c:v>
                </c:pt>
                <c:pt idx="521">
                  <c:v>123750.36199999999</c:v>
                </c:pt>
                <c:pt idx="522">
                  <c:v>123952.621</c:v>
                </c:pt>
                <c:pt idx="523">
                  <c:v>133452.367</c:v>
                </c:pt>
                <c:pt idx="524">
                  <c:v>131155.46900000001</c:v>
                </c:pt>
                <c:pt idx="525">
                  <c:v>121951.772</c:v>
                </c:pt>
                <c:pt idx="526">
                  <c:v>121951.772</c:v>
                </c:pt>
                <c:pt idx="527">
                  <c:v>114596.295</c:v>
                </c:pt>
                <c:pt idx="528">
                  <c:v>108108.11900000001</c:v>
                </c:pt>
                <c:pt idx="529">
                  <c:v>118953.556</c:v>
                </c:pt>
                <c:pt idx="530">
                  <c:v>118953.556</c:v>
                </c:pt>
                <c:pt idx="531">
                  <c:v>115273.99800000001</c:v>
                </c:pt>
                <c:pt idx="532">
                  <c:v>112569.556</c:v>
                </c:pt>
                <c:pt idx="533">
                  <c:v>112569.556</c:v>
                </c:pt>
                <c:pt idx="534">
                  <c:v>122286.584</c:v>
                </c:pt>
                <c:pt idx="535">
                  <c:v>128447.908</c:v>
                </c:pt>
                <c:pt idx="536">
                  <c:v>118953.556</c:v>
                </c:pt>
                <c:pt idx="537">
                  <c:v>122951.178</c:v>
                </c:pt>
                <c:pt idx="538">
                  <c:v>118037.746</c:v>
                </c:pt>
                <c:pt idx="539">
                  <c:v>116181.83500000001</c:v>
                </c:pt>
                <c:pt idx="540">
                  <c:v>118953.556</c:v>
                </c:pt>
                <c:pt idx="541">
                  <c:v>120352.723</c:v>
                </c:pt>
                <c:pt idx="542">
                  <c:v>123950.584</c:v>
                </c:pt>
                <c:pt idx="543">
                  <c:v>112433.651</c:v>
                </c:pt>
                <c:pt idx="544">
                  <c:v>103908.274</c:v>
                </c:pt>
                <c:pt idx="545">
                  <c:v>99317.149000000005</c:v>
                </c:pt>
                <c:pt idx="546">
                  <c:v>102757.149</c:v>
                </c:pt>
                <c:pt idx="547">
                  <c:v>87826.307000000001</c:v>
                </c:pt>
                <c:pt idx="548">
                  <c:v>91166.307000000001</c:v>
                </c:pt>
                <c:pt idx="549">
                  <c:v>88694.880999999994</c:v>
                </c:pt>
                <c:pt idx="550">
                  <c:v>86845.944000000003</c:v>
                </c:pt>
                <c:pt idx="551">
                  <c:v>74765.474000000002</c:v>
                </c:pt>
                <c:pt idx="552">
                  <c:v>73365.474000000002</c:v>
                </c:pt>
                <c:pt idx="553">
                  <c:v>74947.474000000002</c:v>
                </c:pt>
                <c:pt idx="554">
                  <c:v>75947.474000000002</c:v>
                </c:pt>
                <c:pt idx="555">
                  <c:v>84928.639999999999</c:v>
                </c:pt>
                <c:pt idx="556">
                  <c:v>87826.849000000002</c:v>
                </c:pt>
                <c:pt idx="557">
                  <c:v>78996.603000000003</c:v>
                </c:pt>
                <c:pt idx="558">
                  <c:v>79767.603000000003</c:v>
                </c:pt>
                <c:pt idx="559">
                  <c:v>99296.771999999997</c:v>
                </c:pt>
                <c:pt idx="560">
                  <c:v>87427.603000000003</c:v>
                </c:pt>
                <c:pt idx="561">
                  <c:v>87427.603000000003</c:v>
                </c:pt>
                <c:pt idx="562">
                  <c:v>85647.603000000003</c:v>
                </c:pt>
                <c:pt idx="563">
                  <c:v>93396.603000000003</c:v>
                </c:pt>
                <c:pt idx="564">
                  <c:v>88018.64</c:v>
                </c:pt>
                <c:pt idx="565">
                  <c:v>71209.226999999999</c:v>
                </c:pt>
                <c:pt idx="566">
                  <c:v>70881.786999999997</c:v>
                </c:pt>
                <c:pt idx="567">
                  <c:v>77627.603000000003</c:v>
                </c:pt>
                <c:pt idx="568">
                  <c:v>72577.603000000003</c:v>
                </c:pt>
                <c:pt idx="569">
                  <c:v>31757.23</c:v>
                </c:pt>
                <c:pt idx="570">
                  <c:v>26183.987000000001</c:v>
                </c:pt>
                <c:pt idx="571">
                  <c:v>27308.989000000001</c:v>
                </c:pt>
                <c:pt idx="572">
                  <c:v>27431.394</c:v>
                </c:pt>
                <c:pt idx="573">
                  <c:v>23689.822</c:v>
                </c:pt>
                <c:pt idx="574">
                  <c:v>63834.031000000003</c:v>
                </c:pt>
                <c:pt idx="575">
                  <c:v>63834.031000000003</c:v>
                </c:pt>
                <c:pt idx="576">
                  <c:v>58334.031000000003</c:v>
                </c:pt>
                <c:pt idx="577">
                  <c:v>58334.031000000003</c:v>
                </c:pt>
                <c:pt idx="578">
                  <c:v>61432.474999999999</c:v>
                </c:pt>
                <c:pt idx="579">
                  <c:v>62931.438000000002</c:v>
                </c:pt>
                <c:pt idx="580">
                  <c:v>64272.326000000001</c:v>
                </c:pt>
                <c:pt idx="581">
                  <c:v>63688.2</c:v>
                </c:pt>
                <c:pt idx="582">
                  <c:v>62776.2</c:v>
                </c:pt>
                <c:pt idx="583">
                  <c:v>70178.2</c:v>
                </c:pt>
                <c:pt idx="584">
                  <c:v>82961.361000000004</c:v>
                </c:pt>
                <c:pt idx="585">
                  <c:v>69491.032999999996</c:v>
                </c:pt>
                <c:pt idx="586">
                  <c:v>65864.326000000001</c:v>
                </c:pt>
                <c:pt idx="587">
                  <c:v>62655.989000000001</c:v>
                </c:pt>
                <c:pt idx="588">
                  <c:v>58334.031000000003</c:v>
                </c:pt>
                <c:pt idx="589">
                  <c:v>58334.031000000003</c:v>
                </c:pt>
                <c:pt idx="590">
                  <c:v>65319.512000000002</c:v>
                </c:pt>
                <c:pt idx="591">
                  <c:v>69260.326000000001</c:v>
                </c:pt>
                <c:pt idx="592">
                  <c:v>64527.826000000001</c:v>
                </c:pt>
                <c:pt idx="593">
                  <c:v>58334.031000000003</c:v>
                </c:pt>
                <c:pt idx="594">
                  <c:v>68376.031000000003</c:v>
                </c:pt>
                <c:pt idx="595">
                  <c:v>71044.197</c:v>
                </c:pt>
                <c:pt idx="596">
                  <c:v>71044.197</c:v>
                </c:pt>
                <c:pt idx="597">
                  <c:v>77044.197</c:v>
                </c:pt>
                <c:pt idx="598">
                  <c:v>85574.566000000006</c:v>
                </c:pt>
                <c:pt idx="599">
                  <c:v>93496.604000000007</c:v>
                </c:pt>
                <c:pt idx="600">
                  <c:v>83969.604000000007</c:v>
                </c:pt>
                <c:pt idx="601">
                  <c:v>71739.604000000007</c:v>
                </c:pt>
                <c:pt idx="602">
                  <c:v>73289.010999999999</c:v>
                </c:pt>
                <c:pt idx="603">
                  <c:v>71727.604000000007</c:v>
                </c:pt>
                <c:pt idx="604">
                  <c:v>69336.546000000002</c:v>
                </c:pt>
                <c:pt idx="605">
                  <c:v>64477.472999999998</c:v>
                </c:pt>
                <c:pt idx="606">
                  <c:v>75289.933999999994</c:v>
                </c:pt>
                <c:pt idx="607">
                  <c:v>68828.896999999997</c:v>
                </c:pt>
                <c:pt idx="608">
                  <c:v>69919.561000000002</c:v>
                </c:pt>
                <c:pt idx="609">
                  <c:v>67121.308999999994</c:v>
                </c:pt>
                <c:pt idx="610">
                  <c:v>67121.308999999994</c:v>
                </c:pt>
                <c:pt idx="611">
                  <c:v>70573.308999999994</c:v>
                </c:pt>
                <c:pt idx="612">
                  <c:v>67121.308999999994</c:v>
                </c:pt>
                <c:pt idx="613">
                  <c:v>67121.308999999994</c:v>
                </c:pt>
                <c:pt idx="614">
                  <c:v>72512.012000000002</c:v>
                </c:pt>
                <c:pt idx="615">
                  <c:v>77452.012000000002</c:v>
                </c:pt>
                <c:pt idx="616">
                  <c:v>73753.308999999994</c:v>
                </c:pt>
                <c:pt idx="617">
                  <c:v>74993.308999999994</c:v>
                </c:pt>
                <c:pt idx="618">
                  <c:v>76733.308999999994</c:v>
                </c:pt>
                <c:pt idx="619">
                  <c:v>67121.308999999994</c:v>
                </c:pt>
                <c:pt idx="620">
                  <c:v>67121.308999999994</c:v>
                </c:pt>
                <c:pt idx="621">
                  <c:v>67633.308999999994</c:v>
                </c:pt>
                <c:pt idx="622">
                  <c:v>67121.308999999994</c:v>
                </c:pt>
                <c:pt idx="623">
                  <c:v>67121.308999999994</c:v>
                </c:pt>
                <c:pt idx="624">
                  <c:v>67121.308999999994</c:v>
                </c:pt>
                <c:pt idx="625">
                  <c:v>67121.308999999994</c:v>
                </c:pt>
                <c:pt idx="626">
                  <c:v>67420.531000000003</c:v>
                </c:pt>
                <c:pt idx="627">
                  <c:v>67121.308999999994</c:v>
                </c:pt>
                <c:pt idx="628">
                  <c:v>67121.308999999994</c:v>
                </c:pt>
                <c:pt idx="629">
                  <c:v>70173.308999999994</c:v>
                </c:pt>
                <c:pt idx="630">
                  <c:v>67121.308999999994</c:v>
                </c:pt>
                <c:pt idx="631">
                  <c:v>67121.308999999994</c:v>
                </c:pt>
                <c:pt idx="632">
                  <c:v>67121.308999999994</c:v>
                </c:pt>
                <c:pt idx="633">
                  <c:v>68080.248999999996</c:v>
                </c:pt>
                <c:pt idx="634">
                  <c:v>67121.308999999994</c:v>
                </c:pt>
                <c:pt idx="635">
                  <c:v>67121.308999999994</c:v>
                </c:pt>
                <c:pt idx="636">
                  <c:v>67121.308999999994</c:v>
                </c:pt>
                <c:pt idx="637">
                  <c:v>67121.308999999994</c:v>
                </c:pt>
                <c:pt idx="638">
                  <c:v>67121.308999999994</c:v>
                </c:pt>
                <c:pt idx="639">
                  <c:v>67121.308999999994</c:v>
                </c:pt>
                <c:pt idx="640">
                  <c:v>73385.020999999993</c:v>
                </c:pt>
                <c:pt idx="641">
                  <c:v>67121.308999999994</c:v>
                </c:pt>
                <c:pt idx="642">
                  <c:v>74948.523000000001</c:v>
                </c:pt>
                <c:pt idx="643">
                  <c:v>69401.308999999994</c:v>
                </c:pt>
                <c:pt idx="644">
                  <c:v>68331.308999999994</c:v>
                </c:pt>
                <c:pt idx="645">
                  <c:v>67121.308999999994</c:v>
                </c:pt>
                <c:pt idx="646">
                  <c:v>67121.308999999994</c:v>
                </c:pt>
                <c:pt idx="647">
                  <c:v>67121.308999999994</c:v>
                </c:pt>
                <c:pt idx="648">
                  <c:v>67121.308999999994</c:v>
                </c:pt>
                <c:pt idx="649">
                  <c:v>69401.308999999994</c:v>
                </c:pt>
                <c:pt idx="650">
                  <c:v>67121.308999999994</c:v>
                </c:pt>
                <c:pt idx="651">
                  <c:v>67121.308999999994</c:v>
                </c:pt>
                <c:pt idx="652">
                  <c:v>68071.308999999994</c:v>
                </c:pt>
                <c:pt idx="653">
                  <c:v>67121.308999999994</c:v>
                </c:pt>
                <c:pt idx="654">
                  <c:v>70238.205000000002</c:v>
                </c:pt>
                <c:pt idx="655">
                  <c:v>69921.308999999994</c:v>
                </c:pt>
                <c:pt idx="656">
                  <c:v>67121.308999999994</c:v>
                </c:pt>
                <c:pt idx="657">
                  <c:v>67121.308999999994</c:v>
                </c:pt>
                <c:pt idx="658">
                  <c:v>67121.308999999994</c:v>
                </c:pt>
                <c:pt idx="659">
                  <c:v>67121.308999999994</c:v>
                </c:pt>
                <c:pt idx="660">
                  <c:v>67241.308999999994</c:v>
                </c:pt>
                <c:pt idx="661">
                  <c:v>67401.308999999994</c:v>
                </c:pt>
                <c:pt idx="662">
                  <c:v>73385.020999999993</c:v>
                </c:pt>
                <c:pt idx="663">
                  <c:v>77226.45</c:v>
                </c:pt>
                <c:pt idx="664">
                  <c:v>83505.020999999993</c:v>
                </c:pt>
                <c:pt idx="665">
                  <c:v>74361.308999999994</c:v>
                </c:pt>
                <c:pt idx="666">
                  <c:v>76481.308999999994</c:v>
                </c:pt>
                <c:pt idx="667">
                  <c:v>82707.990000000005</c:v>
                </c:pt>
                <c:pt idx="668">
                  <c:v>92990.396999999997</c:v>
                </c:pt>
                <c:pt idx="669">
                  <c:v>71100.308999999994</c:v>
                </c:pt>
                <c:pt idx="670">
                  <c:v>82383.012000000002</c:v>
                </c:pt>
                <c:pt idx="671">
                  <c:v>85028.716</c:v>
                </c:pt>
                <c:pt idx="672">
                  <c:v>70631.308999999994</c:v>
                </c:pt>
                <c:pt idx="673">
                  <c:v>70631.308999999994</c:v>
                </c:pt>
                <c:pt idx="674">
                  <c:v>80728.716</c:v>
                </c:pt>
                <c:pt idx="675">
                  <c:v>81367.97</c:v>
                </c:pt>
                <c:pt idx="676">
                  <c:v>71679.883000000002</c:v>
                </c:pt>
                <c:pt idx="677">
                  <c:v>68131.308999999994</c:v>
                </c:pt>
                <c:pt idx="678">
                  <c:v>68131.308999999994</c:v>
                </c:pt>
                <c:pt idx="679">
                  <c:v>67121.308999999994</c:v>
                </c:pt>
                <c:pt idx="680">
                  <c:v>67121.308999999994</c:v>
                </c:pt>
                <c:pt idx="681">
                  <c:v>67121.308999999994</c:v>
                </c:pt>
                <c:pt idx="682">
                  <c:v>67121.308999999994</c:v>
                </c:pt>
                <c:pt idx="683">
                  <c:v>67121.308999999994</c:v>
                </c:pt>
                <c:pt idx="684">
                  <c:v>69310.012000000002</c:v>
                </c:pt>
                <c:pt idx="685">
                  <c:v>67620.012000000002</c:v>
                </c:pt>
                <c:pt idx="686">
                  <c:v>67121.308999999994</c:v>
                </c:pt>
                <c:pt idx="687">
                  <c:v>67121.308999999994</c:v>
                </c:pt>
                <c:pt idx="688">
                  <c:v>67121.308999999994</c:v>
                </c:pt>
                <c:pt idx="689">
                  <c:v>67121.308999999994</c:v>
                </c:pt>
                <c:pt idx="690">
                  <c:v>75700.804999999993</c:v>
                </c:pt>
                <c:pt idx="691">
                  <c:v>68148.426000000007</c:v>
                </c:pt>
                <c:pt idx="692">
                  <c:v>70128.716</c:v>
                </c:pt>
                <c:pt idx="693">
                  <c:v>67121.308999999994</c:v>
                </c:pt>
                <c:pt idx="694">
                  <c:v>71411.308999999994</c:v>
                </c:pt>
                <c:pt idx="695">
                  <c:v>78289.596999999994</c:v>
                </c:pt>
                <c:pt idx="696">
                  <c:v>88628.716</c:v>
                </c:pt>
                <c:pt idx="697">
                  <c:v>93997.956000000006</c:v>
                </c:pt>
                <c:pt idx="698">
                  <c:v>91667.716</c:v>
                </c:pt>
                <c:pt idx="699">
                  <c:v>91998.819000000003</c:v>
                </c:pt>
                <c:pt idx="700">
                  <c:v>108169.64</c:v>
                </c:pt>
                <c:pt idx="701">
                  <c:v>108169.64</c:v>
                </c:pt>
                <c:pt idx="702">
                  <c:v>125170.128</c:v>
                </c:pt>
                <c:pt idx="703">
                  <c:v>120357.27099999999</c:v>
                </c:pt>
                <c:pt idx="704">
                  <c:v>123046.12300000001</c:v>
                </c:pt>
                <c:pt idx="705">
                  <c:v>123400.912</c:v>
                </c:pt>
                <c:pt idx="706">
                  <c:v>114471.124</c:v>
                </c:pt>
                <c:pt idx="707">
                  <c:v>121911.8</c:v>
                </c:pt>
                <c:pt idx="708">
                  <c:v>126898.83100000001</c:v>
                </c:pt>
                <c:pt idx="709">
                  <c:v>122161.879</c:v>
                </c:pt>
                <c:pt idx="710">
                  <c:v>92321.411999999997</c:v>
                </c:pt>
                <c:pt idx="711">
                  <c:v>98053.444000000003</c:v>
                </c:pt>
                <c:pt idx="712">
                  <c:v>118663.959</c:v>
                </c:pt>
                <c:pt idx="713">
                  <c:v>120622.79399999999</c:v>
                </c:pt>
                <c:pt idx="714">
                  <c:v>110169.012</c:v>
                </c:pt>
                <c:pt idx="715">
                  <c:v>110169.012</c:v>
                </c:pt>
                <c:pt idx="716">
                  <c:v>122661.58100000001</c:v>
                </c:pt>
                <c:pt idx="717">
                  <c:v>108662.891</c:v>
                </c:pt>
                <c:pt idx="718">
                  <c:v>119163.662</c:v>
                </c:pt>
                <c:pt idx="719">
                  <c:v>107170.796</c:v>
                </c:pt>
                <c:pt idx="720">
                  <c:v>106770.38</c:v>
                </c:pt>
                <c:pt idx="721">
                  <c:v>107004.841</c:v>
                </c:pt>
                <c:pt idx="722">
                  <c:v>104937.841</c:v>
                </c:pt>
                <c:pt idx="723">
                  <c:v>106752.541</c:v>
                </c:pt>
                <c:pt idx="724">
                  <c:v>96420.540999999997</c:v>
                </c:pt>
                <c:pt idx="725">
                  <c:v>101111.485</c:v>
                </c:pt>
                <c:pt idx="726">
                  <c:v>108100.541</c:v>
                </c:pt>
                <c:pt idx="727">
                  <c:v>112012.598</c:v>
                </c:pt>
                <c:pt idx="728">
                  <c:v>110329.541</c:v>
                </c:pt>
                <c:pt idx="729">
                  <c:v>109329.541</c:v>
                </c:pt>
                <c:pt idx="730">
                  <c:v>131162.435</c:v>
                </c:pt>
                <c:pt idx="731">
                  <c:v>108209.436</c:v>
                </c:pt>
                <c:pt idx="732">
                  <c:v>118958.435</c:v>
                </c:pt>
                <c:pt idx="733">
                  <c:v>143784.976</c:v>
                </c:pt>
                <c:pt idx="734">
                  <c:v>125819.731</c:v>
                </c:pt>
                <c:pt idx="735">
                  <c:v>116427.012</c:v>
                </c:pt>
                <c:pt idx="736">
                  <c:v>112176.012</c:v>
                </c:pt>
                <c:pt idx="737">
                  <c:v>136908.916</c:v>
                </c:pt>
                <c:pt idx="738">
                  <c:v>143310.057</c:v>
                </c:pt>
                <c:pt idx="739">
                  <c:v>140562.435</c:v>
                </c:pt>
                <c:pt idx="740">
                  <c:v>140062.42800000001</c:v>
                </c:pt>
                <c:pt idx="741">
                  <c:v>140473.87700000001</c:v>
                </c:pt>
                <c:pt idx="742">
                  <c:v>149690.28400000001</c:v>
                </c:pt>
                <c:pt idx="743">
                  <c:v>154480.69099999999</c:v>
                </c:pt>
                <c:pt idx="744">
                  <c:v>152846.367</c:v>
                </c:pt>
                <c:pt idx="745">
                  <c:v>166596.08799999999</c:v>
                </c:pt>
                <c:pt idx="746">
                  <c:v>145317.239</c:v>
                </c:pt>
                <c:pt idx="747">
                  <c:v>149856.90700000001</c:v>
                </c:pt>
                <c:pt idx="748">
                  <c:v>154819.65400000001</c:v>
                </c:pt>
                <c:pt idx="749">
                  <c:v>146306.49</c:v>
                </c:pt>
                <c:pt idx="750">
                  <c:v>146306.49</c:v>
                </c:pt>
                <c:pt idx="751">
                  <c:v>82102.744999999995</c:v>
                </c:pt>
                <c:pt idx="752">
                  <c:v>92571.838000000003</c:v>
                </c:pt>
                <c:pt idx="753">
                  <c:v>93722.838000000003</c:v>
                </c:pt>
                <c:pt idx="754">
                  <c:v>162649.29800000001</c:v>
                </c:pt>
                <c:pt idx="755">
                  <c:v>162549.35699999999</c:v>
                </c:pt>
                <c:pt idx="756">
                  <c:v>150441.03400000001</c:v>
                </c:pt>
                <c:pt idx="757">
                  <c:v>149557.08499999999</c:v>
                </c:pt>
                <c:pt idx="758">
                  <c:v>154554.11199999999</c:v>
                </c:pt>
                <c:pt idx="759">
                  <c:v>192829.22399999999</c:v>
                </c:pt>
                <c:pt idx="760">
                  <c:v>215422.72399999999</c:v>
                </c:pt>
                <c:pt idx="761">
                  <c:v>159783.55900000001</c:v>
                </c:pt>
                <c:pt idx="762">
                  <c:v>175774.04800000001</c:v>
                </c:pt>
                <c:pt idx="763">
                  <c:v>163681.24</c:v>
                </c:pt>
                <c:pt idx="764">
                  <c:v>163681.24</c:v>
                </c:pt>
                <c:pt idx="765">
                  <c:v>196068.55900000001</c:v>
                </c:pt>
                <c:pt idx="766">
                  <c:v>157694.08199999999</c:v>
                </c:pt>
                <c:pt idx="767">
                  <c:v>163461.372</c:v>
                </c:pt>
                <c:pt idx="768">
                  <c:v>161782.37</c:v>
                </c:pt>
                <c:pt idx="769">
                  <c:v>157684.807</c:v>
                </c:pt>
                <c:pt idx="770">
                  <c:v>146120.807</c:v>
                </c:pt>
                <c:pt idx="771">
                  <c:v>147800.807</c:v>
                </c:pt>
                <c:pt idx="772">
                  <c:v>161682.429</c:v>
                </c:pt>
                <c:pt idx="773">
                  <c:v>163431.389</c:v>
                </c:pt>
                <c:pt idx="774">
                  <c:v>163781.182</c:v>
                </c:pt>
                <c:pt idx="775">
                  <c:v>157684.807</c:v>
                </c:pt>
                <c:pt idx="776">
                  <c:v>157684.807</c:v>
                </c:pt>
                <c:pt idx="777">
                  <c:v>143838.39999999999</c:v>
                </c:pt>
                <c:pt idx="778">
                  <c:v>145876.84400000001</c:v>
                </c:pt>
                <c:pt idx="779">
                  <c:v>161383.073</c:v>
                </c:pt>
                <c:pt idx="780">
                  <c:v>163781.182</c:v>
                </c:pt>
                <c:pt idx="781">
                  <c:v>163781.182</c:v>
                </c:pt>
                <c:pt idx="782">
                  <c:v>166981.182</c:v>
                </c:pt>
                <c:pt idx="783">
                  <c:v>173377.62899999999</c:v>
                </c:pt>
                <c:pt idx="784">
                  <c:v>163781.182</c:v>
                </c:pt>
                <c:pt idx="785">
                  <c:v>163781.182</c:v>
                </c:pt>
                <c:pt idx="786">
                  <c:v>163781.182</c:v>
                </c:pt>
                <c:pt idx="787">
                  <c:v>172975.72500000001</c:v>
                </c:pt>
                <c:pt idx="788">
                  <c:v>162783.55900000001</c:v>
                </c:pt>
                <c:pt idx="789">
                  <c:v>170438.174</c:v>
                </c:pt>
                <c:pt idx="790">
                  <c:v>170281.78400000001</c:v>
                </c:pt>
                <c:pt idx="791">
                  <c:v>167231.261</c:v>
                </c:pt>
                <c:pt idx="792">
                  <c:v>167231.261</c:v>
                </c:pt>
                <c:pt idx="793">
                  <c:v>171386.981</c:v>
                </c:pt>
                <c:pt idx="794">
                  <c:v>167230.96400000001</c:v>
                </c:pt>
                <c:pt idx="795">
                  <c:v>169229.77499999999</c:v>
                </c:pt>
                <c:pt idx="796">
                  <c:v>166231.55799999999</c:v>
                </c:pt>
                <c:pt idx="797">
                  <c:v>166231.55799999999</c:v>
                </c:pt>
                <c:pt idx="798">
                  <c:v>169323.783</c:v>
                </c:pt>
                <c:pt idx="799">
                  <c:v>169229.77499999999</c:v>
                </c:pt>
                <c:pt idx="800">
                  <c:v>171081.01699999999</c:v>
                </c:pt>
                <c:pt idx="801">
                  <c:v>177244.45300000001</c:v>
                </c:pt>
                <c:pt idx="802">
                  <c:v>169729.478</c:v>
                </c:pt>
                <c:pt idx="803">
                  <c:v>169729.478</c:v>
                </c:pt>
                <c:pt idx="804">
                  <c:v>164041.47899999999</c:v>
                </c:pt>
                <c:pt idx="805">
                  <c:v>160544.024</c:v>
                </c:pt>
                <c:pt idx="806">
                  <c:v>160544.024</c:v>
                </c:pt>
                <c:pt idx="807">
                  <c:v>166401.084</c:v>
                </c:pt>
                <c:pt idx="808">
                  <c:v>169179.80499999999</c:v>
                </c:pt>
                <c:pt idx="809">
                  <c:v>170229.18100000001</c:v>
                </c:pt>
                <c:pt idx="810">
                  <c:v>170229.18100000001</c:v>
                </c:pt>
                <c:pt idx="811">
                  <c:v>168730.07199999999</c:v>
                </c:pt>
                <c:pt idx="812">
                  <c:v>198044.55900000001</c:v>
                </c:pt>
                <c:pt idx="813">
                  <c:v>191644.55900000001</c:v>
                </c:pt>
                <c:pt idx="814">
                  <c:v>207245.59599999999</c:v>
                </c:pt>
                <c:pt idx="815">
                  <c:v>200348.4</c:v>
                </c:pt>
                <c:pt idx="816">
                  <c:v>192947.36300000001</c:v>
                </c:pt>
                <c:pt idx="817">
                  <c:v>200545.807</c:v>
                </c:pt>
                <c:pt idx="818">
                  <c:v>169356.753</c:v>
                </c:pt>
                <c:pt idx="819">
                  <c:v>163703.56700000001</c:v>
                </c:pt>
                <c:pt idx="820">
                  <c:v>164313.55100000001</c:v>
                </c:pt>
                <c:pt idx="821">
                  <c:v>168330.774</c:v>
                </c:pt>
                <c:pt idx="822">
                  <c:v>172440.18100000001</c:v>
                </c:pt>
                <c:pt idx="823">
                  <c:v>183334.83100000001</c:v>
                </c:pt>
                <c:pt idx="824">
                  <c:v>187309.755</c:v>
                </c:pt>
                <c:pt idx="825">
                  <c:v>208549.285</c:v>
                </c:pt>
                <c:pt idx="826">
                  <c:v>184407.58499999999</c:v>
                </c:pt>
                <c:pt idx="827">
                  <c:v>184407.58499999999</c:v>
                </c:pt>
                <c:pt idx="828">
                  <c:v>204360.655</c:v>
                </c:pt>
                <c:pt idx="829">
                  <c:v>204725.63</c:v>
                </c:pt>
                <c:pt idx="830">
                  <c:v>211479.84899999999</c:v>
                </c:pt>
                <c:pt idx="831">
                  <c:v>224031.53099999999</c:v>
                </c:pt>
                <c:pt idx="832">
                  <c:v>216858.492</c:v>
                </c:pt>
                <c:pt idx="833">
                  <c:v>210007.55300000001</c:v>
                </c:pt>
                <c:pt idx="834">
                  <c:v>214596.25599999999</c:v>
                </c:pt>
                <c:pt idx="835">
                  <c:v>217800.32500000001</c:v>
                </c:pt>
                <c:pt idx="836">
                  <c:v>223745.03700000001</c:v>
                </c:pt>
                <c:pt idx="837">
                  <c:v>222345.94500000001</c:v>
                </c:pt>
                <c:pt idx="838">
                  <c:v>220479.66899999999</c:v>
                </c:pt>
                <c:pt idx="839">
                  <c:v>211152.28899999999</c:v>
                </c:pt>
                <c:pt idx="840">
                  <c:v>187896.39</c:v>
                </c:pt>
                <c:pt idx="841">
                  <c:v>181096.39</c:v>
                </c:pt>
                <c:pt idx="842">
                  <c:v>212931.07800000001</c:v>
                </c:pt>
                <c:pt idx="843">
                  <c:v>221421.41800000001</c:v>
                </c:pt>
                <c:pt idx="844">
                  <c:v>182595.49900000001</c:v>
                </c:pt>
                <c:pt idx="845">
                  <c:v>191146.52499999999</c:v>
                </c:pt>
                <c:pt idx="846">
                  <c:v>219793.25</c:v>
                </c:pt>
                <c:pt idx="847">
                  <c:v>177598.47099999999</c:v>
                </c:pt>
                <c:pt idx="848">
                  <c:v>177598.47099999999</c:v>
                </c:pt>
                <c:pt idx="849">
                  <c:v>193805.49799999999</c:v>
                </c:pt>
                <c:pt idx="850">
                  <c:v>198591.69399999999</c:v>
                </c:pt>
                <c:pt idx="851">
                  <c:v>199184.69399999999</c:v>
                </c:pt>
                <c:pt idx="852">
                  <c:v>186593.12599999999</c:v>
                </c:pt>
                <c:pt idx="853">
                  <c:v>183284.429</c:v>
                </c:pt>
                <c:pt idx="854">
                  <c:v>173110.15</c:v>
                </c:pt>
                <c:pt idx="855">
                  <c:v>184283.734</c:v>
                </c:pt>
                <c:pt idx="856">
                  <c:v>220546.61</c:v>
                </c:pt>
                <c:pt idx="857">
                  <c:v>223432.171</c:v>
                </c:pt>
                <c:pt idx="858">
                  <c:v>201561.88500000001</c:v>
                </c:pt>
                <c:pt idx="859">
                  <c:v>190454.24799999999</c:v>
                </c:pt>
                <c:pt idx="860">
                  <c:v>187931.56299999999</c:v>
                </c:pt>
                <c:pt idx="861">
                  <c:v>188281.356</c:v>
                </c:pt>
                <c:pt idx="862">
                  <c:v>188281.356</c:v>
                </c:pt>
                <c:pt idx="863">
                  <c:v>201985.394</c:v>
                </c:pt>
                <c:pt idx="864">
                  <c:v>200369.59400000001</c:v>
                </c:pt>
                <c:pt idx="865">
                  <c:v>193552.76199999999</c:v>
                </c:pt>
                <c:pt idx="866">
                  <c:v>207466.761</c:v>
                </c:pt>
                <c:pt idx="867">
                  <c:v>197277.56099999999</c:v>
                </c:pt>
                <c:pt idx="868">
                  <c:v>189280.76199999999</c:v>
                </c:pt>
                <c:pt idx="869">
                  <c:v>189280.76199999999</c:v>
                </c:pt>
                <c:pt idx="870">
                  <c:v>209121.96100000001</c:v>
                </c:pt>
                <c:pt idx="871">
                  <c:v>223392.818</c:v>
                </c:pt>
                <c:pt idx="872">
                  <c:v>219780.77</c:v>
                </c:pt>
                <c:pt idx="873">
                  <c:v>199160.76199999999</c:v>
                </c:pt>
                <c:pt idx="874">
                  <c:v>215056.77</c:v>
                </c:pt>
                <c:pt idx="875">
                  <c:v>198347.72200000001</c:v>
                </c:pt>
                <c:pt idx="876">
                  <c:v>198947.72200000001</c:v>
                </c:pt>
                <c:pt idx="877">
                  <c:v>224413.89</c:v>
                </c:pt>
                <c:pt idx="878">
                  <c:v>200832.533</c:v>
                </c:pt>
                <c:pt idx="879">
                  <c:v>190180.76199999999</c:v>
                </c:pt>
                <c:pt idx="880">
                  <c:v>189181.356</c:v>
                </c:pt>
                <c:pt idx="881">
                  <c:v>194101.503</c:v>
                </c:pt>
                <c:pt idx="882">
                  <c:v>174655.13699999999</c:v>
                </c:pt>
                <c:pt idx="883">
                  <c:v>179909.04500000001</c:v>
                </c:pt>
                <c:pt idx="884">
                  <c:v>197146.42</c:v>
                </c:pt>
                <c:pt idx="885">
                  <c:v>196500.21299999999</c:v>
                </c:pt>
                <c:pt idx="886">
                  <c:v>196500.21299999999</c:v>
                </c:pt>
                <c:pt idx="887">
                  <c:v>199712.84899999999</c:v>
                </c:pt>
                <c:pt idx="888">
                  <c:v>213102.74</c:v>
                </c:pt>
                <c:pt idx="889">
                  <c:v>197294.74100000001</c:v>
                </c:pt>
                <c:pt idx="890">
                  <c:v>197294.74100000001</c:v>
                </c:pt>
                <c:pt idx="891">
                  <c:v>197294.74100000001</c:v>
                </c:pt>
                <c:pt idx="892">
                  <c:v>207775.91500000001</c:v>
                </c:pt>
                <c:pt idx="893">
                  <c:v>197294.74100000001</c:v>
                </c:pt>
                <c:pt idx="894">
                  <c:v>201331.78</c:v>
                </c:pt>
                <c:pt idx="895">
                  <c:v>219542.14</c:v>
                </c:pt>
                <c:pt idx="896">
                  <c:v>191503.18599999999</c:v>
                </c:pt>
                <c:pt idx="897">
                  <c:v>185522.18599999999</c:v>
                </c:pt>
                <c:pt idx="898">
                  <c:v>202934.74100000001</c:v>
                </c:pt>
                <c:pt idx="899">
                  <c:v>195950.541</c:v>
                </c:pt>
                <c:pt idx="900">
                  <c:v>197294.76500000001</c:v>
                </c:pt>
                <c:pt idx="901">
                  <c:v>205504.74</c:v>
                </c:pt>
                <c:pt idx="902">
                  <c:v>221550.641</c:v>
                </c:pt>
                <c:pt idx="903">
                  <c:v>197294.74100000001</c:v>
                </c:pt>
                <c:pt idx="904">
                  <c:v>199282.74</c:v>
                </c:pt>
                <c:pt idx="905">
                  <c:v>199215.269</c:v>
                </c:pt>
                <c:pt idx="906">
                  <c:v>197294.74100000001</c:v>
                </c:pt>
                <c:pt idx="907">
                  <c:v>197294.74100000001</c:v>
                </c:pt>
                <c:pt idx="908">
                  <c:v>197294.74100000001</c:v>
                </c:pt>
                <c:pt idx="909">
                  <c:v>200041.601</c:v>
                </c:pt>
                <c:pt idx="910">
                  <c:v>190528.8</c:v>
                </c:pt>
                <c:pt idx="911">
                  <c:v>193505.18599999999</c:v>
                </c:pt>
                <c:pt idx="912">
                  <c:v>170739.128</c:v>
                </c:pt>
                <c:pt idx="913">
                  <c:v>174044.323</c:v>
                </c:pt>
                <c:pt idx="914">
                  <c:v>150046.24</c:v>
                </c:pt>
                <c:pt idx="915">
                  <c:v>178165.15100000001</c:v>
                </c:pt>
                <c:pt idx="916">
                  <c:v>153647.36199999999</c:v>
                </c:pt>
                <c:pt idx="917">
                  <c:v>139174.495</c:v>
                </c:pt>
                <c:pt idx="918">
                  <c:v>139174.495</c:v>
                </c:pt>
                <c:pt idx="919">
                  <c:v>148597.14799999999</c:v>
                </c:pt>
                <c:pt idx="920">
                  <c:v>186805.03899999999</c:v>
                </c:pt>
                <c:pt idx="921">
                  <c:v>147841.83100000001</c:v>
                </c:pt>
                <c:pt idx="922">
                  <c:v>192056.693</c:v>
                </c:pt>
                <c:pt idx="923">
                  <c:v>165285.75099999999</c:v>
                </c:pt>
                <c:pt idx="924">
                  <c:v>148963.42300000001</c:v>
                </c:pt>
                <c:pt idx="925">
                  <c:v>146689.527</c:v>
                </c:pt>
                <c:pt idx="926">
                  <c:v>136168.484</c:v>
                </c:pt>
                <c:pt idx="927">
                  <c:v>112211.716</c:v>
                </c:pt>
                <c:pt idx="928">
                  <c:v>97562.869000000006</c:v>
                </c:pt>
                <c:pt idx="929">
                  <c:v>108519.90700000001</c:v>
                </c:pt>
                <c:pt idx="930">
                  <c:v>116635.88099999999</c:v>
                </c:pt>
                <c:pt idx="931">
                  <c:v>111683.14</c:v>
                </c:pt>
                <c:pt idx="932">
                  <c:v>126553.60000000001</c:v>
                </c:pt>
                <c:pt idx="933">
                  <c:v>121230.966</c:v>
                </c:pt>
                <c:pt idx="934">
                  <c:v>129319.75599999999</c:v>
                </c:pt>
                <c:pt idx="935">
                  <c:v>137269.497</c:v>
                </c:pt>
                <c:pt idx="936">
                  <c:v>141158.26300000001</c:v>
                </c:pt>
                <c:pt idx="937">
                  <c:v>157695.07500000001</c:v>
                </c:pt>
                <c:pt idx="938">
                  <c:v>136248.443</c:v>
                </c:pt>
                <c:pt idx="939">
                  <c:v>136248.443</c:v>
                </c:pt>
                <c:pt idx="940">
                  <c:v>164997.39600000001</c:v>
                </c:pt>
                <c:pt idx="941">
                  <c:v>183511.94899999999</c:v>
                </c:pt>
                <c:pt idx="942">
                  <c:v>94839.240999999995</c:v>
                </c:pt>
                <c:pt idx="943">
                  <c:v>105543.016</c:v>
                </c:pt>
                <c:pt idx="944">
                  <c:v>110705.58100000001</c:v>
                </c:pt>
                <c:pt idx="945">
                  <c:v>99033.338000000003</c:v>
                </c:pt>
                <c:pt idx="946">
                  <c:v>96622.005000000005</c:v>
                </c:pt>
                <c:pt idx="947">
                  <c:v>135888.83799999999</c:v>
                </c:pt>
                <c:pt idx="948">
                  <c:v>136149.114</c:v>
                </c:pt>
                <c:pt idx="949">
                  <c:v>122951.613</c:v>
                </c:pt>
                <c:pt idx="950">
                  <c:v>132196.486</c:v>
                </c:pt>
                <c:pt idx="951">
                  <c:v>133201.47</c:v>
                </c:pt>
                <c:pt idx="952">
                  <c:v>128570.46</c:v>
                </c:pt>
                <c:pt idx="953">
                  <c:v>123226.602</c:v>
                </c:pt>
                <c:pt idx="954">
                  <c:v>133445.59700000001</c:v>
                </c:pt>
                <c:pt idx="955">
                  <c:v>145770.24600000001</c:v>
                </c:pt>
                <c:pt idx="956">
                  <c:v>146471.649</c:v>
                </c:pt>
                <c:pt idx="957">
                  <c:v>133445.59700000001</c:v>
                </c:pt>
                <c:pt idx="958">
                  <c:v>131976.788</c:v>
                </c:pt>
                <c:pt idx="959">
                  <c:v>133445.59700000001</c:v>
                </c:pt>
                <c:pt idx="960">
                  <c:v>133445.59700000001</c:v>
                </c:pt>
                <c:pt idx="961">
                  <c:v>139958.62299999999</c:v>
                </c:pt>
                <c:pt idx="962">
                  <c:v>140660.02499999999</c:v>
                </c:pt>
                <c:pt idx="963">
                  <c:v>142513.73300000001</c:v>
                </c:pt>
                <c:pt idx="964">
                  <c:v>142062.83100000001</c:v>
                </c:pt>
                <c:pt idx="965">
                  <c:v>135549.80499999999</c:v>
                </c:pt>
                <c:pt idx="966">
                  <c:v>133445.59700000001</c:v>
                </c:pt>
                <c:pt idx="967">
                  <c:v>130046.21799999999</c:v>
                </c:pt>
                <c:pt idx="968">
                  <c:v>115706.32399999999</c:v>
                </c:pt>
                <c:pt idx="969">
                  <c:v>124774.10799999999</c:v>
                </c:pt>
                <c:pt idx="970">
                  <c:v>117893.149</c:v>
                </c:pt>
                <c:pt idx="971">
                  <c:v>131341.60699999999</c:v>
                </c:pt>
                <c:pt idx="972">
                  <c:v>141780.929</c:v>
                </c:pt>
                <c:pt idx="973">
                  <c:v>113469.145</c:v>
                </c:pt>
                <c:pt idx="974">
                  <c:v>113140.423</c:v>
                </c:pt>
                <c:pt idx="975">
                  <c:v>106069.24099999999</c:v>
                </c:pt>
                <c:pt idx="976">
                  <c:v>113189.66</c:v>
                </c:pt>
                <c:pt idx="977">
                  <c:v>121556.217</c:v>
                </c:pt>
                <c:pt idx="978">
                  <c:v>116574.29700000001</c:v>
                </c:pt>
                <c:pt idx="979">
                  <c:v>118573.743</c:v>
                </c:pt>
                <c:pt idx="980">
                  <c:v>123940.931</c:v>
                </c:pt>
                <c:pt idx="981">
                  <c:v>123704.386</c:v>
                </c:pt>
                <c:pt idx="982">
                  <c:v>81039.531000000003</c:v>
                </c:pt>
                <c:pt idx="983">
                  <c:v>95647.718999999997</c:v>
                </c:pt>
                <c:pt idx="984">
                  <c:v>105642.639</c:v>
                </c:pt>
                <c:pt idx="985">
                  <c:v>89504.815000000002</c:v>
                </c:pt>
                <c:pt idx="986">
                  <c:v>91665.366999999998</c:v>
                </c:pt>
                <c:pt idx="987">
                  <c:v>73626.41</c:v>
                </c:pt>
                <c:pt idx="988">
                  <c:v>73480.031000000003</c:v>
                </c:pt>
                <c:pt idx="989">
                  <c:v>90079.023000000001</c:v>
                </c:pt>
                <c:pt idx="990">
                  <c:v>79956.122000000003</c:v>
                </c:pt>
                <c:pt idx="991">
                  <c:v>91458.126000000004</c:v>
                </c:pt>
                <c:pt idx="992">
                  <c:v>106501.796</c:v>
                </c:pt>
                <c:pt idx="993">
                  <c:v>89583.441999999995</c:v>
                </c:pt>
                <c:pt idx="994">
                  <c:v>95375.231</c:v>
                </c:pt>
                <c:pt idx="995">
                  <c:v>95055.096999999994</c:v>
                </c:pt>
                <c:pt idx="996">
                  <c:v>106666.234</c:v>
                </c:pt>
                <c:pt idx="997">
                  <c:v>109414.55100000001</c:v>
                </c:pt>
                <c:pt idx="998">
                  <c:v>107523.712</c:v>
                </c:pt>
                <c:pt idx="999">
                  <c:v>105673.223</c:v>
                </c:pt>
                <c:pt idx="1000">
                  <c:v>114960.246</c:v>
                </c:pt>
                <c:pt idx="1001">
                  <c:v>162095.43599999999</c:v>
                </c:pt>
                <c:pt idx="1002">
                  <c:v>155200.307</c:v>
                </c:pt>
                <c:pt idx="1003">
                  <c:v>101978.049</c:v>
                </c:pt>
                <c:pt idx="1004">
                  <c:v>115178.629</c:v>
                </c:pt>
                <c:pt idx="1005">
                  <c:v>112544.031</c:v>
                </c:pt>
                <c:pt idx="1006">
                  <c:v>122793.864</c:v>
                </c:pt>
                <c:pt idx="1007">
                  <c:v>128511.576</c:v>
                </c:pt>
                <c:pt idx="1008">
                  <c:v>95734.673999999999</c:v>
                </c:pt>
                <c:pt idx="1009">
                  <c:v>95734.673999999999</c:v>
                </c:pt>
                <c:pt idx="1010">
                  <c:v>128770.901</c:v>
                </c:pt>
                <c:pt idx="1011">
                  <c:v>130270.00900000001</c:v>
                </c:pt>
                <c:pt idx="1012">
                  <c:v>128990.33100000001</c:v>
                </c:pt>
                <c:pt idx="1013">
                  <c:v>128675.893</c:v>
                </c:pt>
                <c:pt idx="1014">
                  <c:v>134566.454</c:v>
                </c:pt>
                <c:pt idx="1015">
                  <c:v>128533.69899999999</c:v>
                </c:pt>
                <c:pt idx="1016">
                  <c:v>114925.408</c:v>
                </c:pt>
                <c:pt idx="1017">
                  <c:v>129269.605</c:v>
                </c:pt>
                <c:pt idx="1018">
                  <c:v>130868.65300000001</c:v>
                </c:pt>
                <c:pt idx="1019">
                  <c:v>131268.416</c:v>
                </c:pt>
                <c:pt idx="1020">
                  <c:v>129269.605</c:v>
                </c:pt>
                <c:pt idx="1021">
                  <c:v>129769.307</c:v>
                </c:pt>
                <c:pt idx="1022">
                  <c:v>134229.693</c:v>
                </c:pt>
                <c:pt idx="1023">
                  <c:v>134229.693</c:v>
                </c:pt>
                <c:pt idx="1024">
                  <c:v>129269.605</c:v>
                </c:pt>
                <c:pt idx="1025">
                  <c:v>129269.605</c:v>
                </c:pt>
                <c:pt idx="1026">
                  <c:v>129269.605</c:v>
                </c:pt>
                <c:pt idx="1027">
                  <c:v>131668.177</c:v>
                </c:pt>
                <c:pt idx="1028">
                  <c:v>134266.63200000001</c:v>
                </c:pt>
                <c:pt idx="1029">
                  <c:v>94134.625</c:v>
                </c:pt>
                <c:pt idx="1030">
                  <c:v>94134.625</c:v>
                </c:pt>
                <c:pt idx="1031">
                  <c:v>132167.88</c:v>
                </c:pt>
                <c:pt idx="1032">
                  <c:v>129269.605</c:v>
                </c:pt>
                <c:pt idx="1033">
                  <c:v>117269.605</c:v>
                </c:pt>
                <c:pt idx="1034">
                  <c:v>150051.59400000001</c:v>
                </c:pt>
                <c:pt idx="1035">
                  <c:v>162047.13500000001</c:v>
                </c:pt>
                <c:pt idx="1036">
                  <c:v>122216.38099999999</c:v>
                </c:pt>
                <c:pt idx="1037">
                  <c:v>122216.38099999999</c:v>
                </c:pt>
                <c:pt idx="1038">
                  <c:v>154051.891</c:v>
                </c:pt>
                <c:pt idx="1039">
                  <c:v>156649.533</c:v>
                </c:pt>
                <c:pt idx="1040">
                  <c:v>163880.636</c:v>
                </c:pt>
                <c:pt idx="1041">
                  <c:v>163873.47099999999</c:v>
                </c:pt>
                <c:pt idx="1042">
                  <c:v>156649.533</c:v>
                </c:pt>
                <c:pt idx="1043">
                  <c:v>134314.02299999999</c:v>
                </c:pt>
                <c:pt idx="1044">
                  <c:v>134314.02299999999</c:v>
                </c:pt>
                <c:pt idx="1045">
                  <c:v>152440.783</c:v>
                </c:pt>
                <c:pt idx="1046">
                  <c:v>154547.65700000001</c:v>
                </c:pt>
                <c:pt idx="1047">
                  <c:v>153044.837</c:v>
                </c:pt>
                <c:pt idx="1048">
                  <c:v>142549.296</c:v>
                </c:pt>
                <c:pt idx="1049">
                  <c:v>142049.59299999999</c:v>
                </c:pt>
                <c:pt idx="1050">
                  <c:v>117215.272</c:v>
                </c:pt>
                <c:pt idx="1051">
                  <c:v>117215.272</c:v>
                </c:pt>
                <c:pt idx="1052">
                  <c:v>137557.682</c:v>
                </c:pt>
                <c:pt idx="1053">
                  <c:v>136656.49299999999</c:v>
                </c:pt>
                <c:pt idx="1054">
                  <c:v>133143.978</c:v>
                </c:pt>
                <c:pt idx="1055">
                  <c:v>137557.682</c:v>
                </c:pt>
                <c:pt idx="1056">
                  <c:v>137557.682</c:v>
                </c:pt>
                <c:pt idx="1057">
                  <c:v>111722.17200000001</c:v>
                </c:pt>
                <c:pt idx="1058">
                  <c:v>111722.17200000001</c:v>
                </c:pt>
                <c:pt idx="1059">
                  <c:v>137557.682</c:v>
                </c:pt>
                <c:pt idx="1060">
                  <c:v>158988.785</c:v>
                </c:pt>
                <c:pt idx="1061">
                  <c:v>181783.67199999999</c:v>
                </c:pt>
                <c:pt idx="1062">
                  <c:v>194785.77100000001</c:v>
                </c:pt>
                <c:pt idx="1063">
                  <c:v>186223.666</c:v>
                </c:pt>
                <c:pt idx="1064">
                  <c:v>126820.923</c:v>
                </c:pt>
                <c:pt idx="1065">
                  <c:v>98475.898000000001</c:v>
                </c:pt>
                <c:pt idx="1066">
                  <c:v>139367.304</c:v>
                </c:pt>
                <c:pt idx="1067">
                  <c:v>163748.739</c:v>
                </c:pt>
                <c:pt idx="1068">
                  <c:v>185112.166</c:v>
                </c:pt>
                <c:pt idx="1069">
                  <c:v>141466.05499999999</c:v>
                </c:pt>
                <c:pt idx="1070">
                  <c:v>134184.33100000001</c:v>
                </c:pt>
                <c:pt idx="1071">
                  <c:v>88474.709000000003</c:v>
                </c:pt>
                <c:pt idx="1072">
                  <c:v>88474.709000000003</c:v>
                </c:pt>
                <c:pt idx="1073">
                  <c:v>135364.33100000001</c:v>
                </c:pt>
                <c:pt idx="1074">
                  <c:v>122506.304</c:v>
                </c:pt>
                <c:pt idx="1075">
                  <c:v>106565.304</c:v>
                </c:pt>
                <c:pt idx="1076">
                  <c:v>120326.304</c:v>
                </c:pt>
                <c:pt idx="1077">
                  <c:v>131495.57199999999</c:v>
                </c:pt>
                <c:pt idx="1078">
                  <c:v>78574.898000000001</c:v>
                </c:pt>
                <c:pt idx="1079">
                  <c:v>78574.898000000001</c:v>
                </c:pt>
                <c:pt idx="1080">
                  <c:v>153624.42199999999</c:v>
                </c:pt>
                <c:pt idx="1081">
                  <c:v>149261.41800000001</c:v>
                </c:pt>
                <c:pt idx="1082">
                  <c:v>170350.177</c:v>
                </c:pt>
                <c:pt idx="1083">
                  <c:v>174546.17</c:v>
                </c:pt>
                <c:pt idx="1084">
                  <c:v>174545.546</c:v>
                </c:pt>
                <c:pt idx="1085">
                  <c:v>124519.923</c:v>
                </c:pt>
                <c:pt idx="1086">
                  <c:v>132919.92300000001</c:v>
                </c:pt>
                <c:pt idx="1087">
                  <c:v>149771.329</c:v>
                </c:pt>
                <c:pt idx="1088">
                  <c:v>148730.73300000001</c:v>
                </c:pt>
                <c:pt idx="1089">
                  <c:v>158461.32800000001</c:v>
                </c:pt>
                <c:pt idx="1090">
                  <c:v>154710.329</c:v>
                </c:pt>
                <c:pt idx="1091">
                  <c:v>162204.29199999999</c:v>
                </c:pt>
                <c:pt idx="1092">
                  <c:v>158983.61199999999</c:v>
                </c:pt>
                <c:pt idx="1093">
                  <c:v>158969.50099999999</c:v>
                </c:pt>
                <c:pt idx="1094">
                  <c:v>158162.54800000001</c:v>
                </c:pt>
              </c:numCache>
            </c:numRef>
          </c:val>
          <c:smooth val="0"/>
          <c:extLst>
            <c:ext xmlns:c16="http://schemas.microsoft.com/office/drawing/2014/chart" uri="{C3380CC4-5D6E-409C-BE32-E72D297353CC}">
              <c16:uniqueId val="{00000002-9591-4B62-A8F7-8DB323489835}"/>
            </c:ext>
          </c:extLst>
        </c:ser>
        <c:ser>
          <c:idx val="4"/>
          <c:order val="4"/>
          <c:tx>
            <c:strRef>
              <c:f>PITTL!$C$1</c:f>
              <c:strCache>
                <c:ptCount val="1"/>
                <c:pt idx="0">
                  <c:v>Technical Firm Capacity</c:v>
                </c:pt>
              </c:strCache>
            </c:strRef>
          </c:tx>
          <c:spPr>
            <a:ln w="28575" cap="rnd">
              <a:solidFill>
                <a:schemeClr val="accent5"/>
              </a:solidFill>
              <a:round/>
            </a:ln>
            <a:effectLst/>
          </c:spPr>
          <c:marker>
            <c:symbol val="none"/>
          </c:marker>
          <c:val>
            <c:numRef>
              <c:f>PITTL!$C$2:$C$1096</c:f>
              <c:numCache>
                <c:formatCode>_-* #\ ##0\ _€_-;\-* #\ ##0\ _€_-;_-* "-"??\ _€_-;_-@_-</c:formatCode>
                <c:ptCount val="1095"/>
                <c:pt idx="0">
                  <c:v>175000</c:v>
                </c:pt>
                <c:pt idx="1">
                  <c:v>175000</c:v>
                </c:pt>
                <c:pt idx="2">
                  <c:v>175000</c:v>
                </c:pt>
                <c:pt idx="3">
                  <c:v>175000</c:v>
                </c:pt>
                <c:pt idx="4">
                  <c:v>175000</c:v>
                </c:pt>
                <c:pt idx="5">
                  <c:v>175000</c:v>
                </c:pt>
                <c:pt idx="6">
                  <c:v>175000</c:v>
                </c:pt>
                <c:pt idx="7">
                  <c:v>175000</c:v>
                </c:pt>
                <c:pt idx="8">
                  <c:v>175000</c:v>
                </c:pt>
                <c:pt idx="9">
                  <c:v>175000</c:v>
                </c:pt>
                <c:pt idx="10">
                  <c:v>175000</c:v>
                </c:pt>
                <c:pt idx="11">
                  <c:v>175000</c:v>
                </c:pt>
                <c:pt idx="12">
                  <c:v>175000</c:v>
                </c:pt>
                <c:pt idx="13">
                  <c:v>175000</c:v>
                </c:pt>
                <c:pt idx="14">
                  <c:v>175000</c:v>
                </c:pt>
                <c:pt idx="15">
                  <c:v>175000</c:v>
                </c:pt>
                <c:pt idx="16">
                  <c:v>175000</c:v>
                </c:pt>
                <c:pt idx="17">
                  <c:v>175000</c:v>
                </c:pt>
                <c:pt idx="18">
                  <c:v>175000</c:v>
                </c:pt>
                <c:pt idx="19">
                  <c:v>175000</c:v>
                </c:pt>
                <c:pt idx="20">
                  <c:v>175000</c:v>
                </c:pt>
                <c:pt idx="21">
                  <c:v>175000</c:v>
                </c:pt>
                <c:pt idx="22">
                  <c:v>175000</c:v>
                </c:pt>
                <c:pt idx="23">
                  <c:v>175000</c:v>
                </c:pt>
                <c:pt idx="24">
                  <c:v>175000</c:v>
                </c:pt>
                <c:pt idx="25">
                  <c:v>175000</c:v>
                </c:pt>
                <c:pt idx="26">
                  <c:v>175000</c:v>
                </c:pt>
                <c:pt idx="27">
                  <c:v>175000</c:v>
                </c:pt>
                <c:pt idx="28">
                  <c:v>175000</c:v>
                </c:pt>
                <c:pt idx="29">
                  <c:v>175000</c:v>
                </c:pt>
                <c:pt idx="30">
                  <c:v>175000</c:v>
                </c:pt>
                <c:pt idx="31">
                  <c:v>165000</c:v>
                </c:pt>
                <c:pt idx="32">
                  <c:v>165000</c:v>
                </c:pt>
                <c:pt idx="33">
                  <c:v>165000</c:v>
                </c:pt>
                <c:pt idx="34">
                  <c:v>165000</c:v>
                </c:pt>
                <c:pt idx="35">
                  <c:v>165000</c:v>
                </c:pt>
                <c:pt idx="36">
                  <c:v>165000</c:v>
                </c:pt>
                <c:pt idx="37">
                  <c:v>165000</c:v>
                </c:pt>
                <c:pt idx="38">
                  <c:v>165000</c:v>
                </c:pt>
                <c:pt idx="39">
                  <c:v>165000</c:v>
                </c:pt>
                <c:pt idx="40">
                  <c:v>165000</c:v>
                </c:pt>
                <c:pt idx="41">
                  <c:v>165000</c:v>
                </c:pt>
                <c:pt idx="42">
                  <c:v>165000</c:v>
                </c:pt>
                <c:pt idx="43">
                  <c:v>165000</c:v>
                </c:pt>
                <c:pt idx="44">
                  <c:v>165000</c:v>
                </c:pt>
                <c:pt idx="45">
                  <c:v>165000</c:v>
                </c:pt>
                <c:pt idx="46">
                  <c:v>165000</c:v>
                </c:pt>
                <c:pt idx="47">
                  <c:v>165000</c:v>
                </c:pt>
                <c:pt idx="48">
                  <c:v>165000</c:v>
                </c:pt>
                <c:pt idx="49">
                  <c:v>165000</c:v>
                </c:pt>
                <c:pt idx="50">
                  <c:v>165000</c:v>
                </c:pt>
                <c:pt idx="51">
                  <c:v>165000</c:v>
                </c:pt>
                <c:pt idx="52">
                  <c:v>165000</c:v>
                </c:pt>
                <c:pt idx="53">
                  <c:v>165000</c:v>
                </c:pt>
                <c:pt idx="54">
                  <c:v>165000</c:v>
                </c:pt>
                <c:pt idx="55">
                  <c:v>165000</c:v>
                </c:pt>
                <c:pt idx="56">
                  <c:v>165000</c:v>
                </c:pt>
                <c:pt idx="57">
                  <c:v>165000</c:v>
                </c:pt>
                <c:pt idx="58">
                  <c:v>165000</c:v>
                </c:pt>
                <c:pt idx="59">
                  <c:v>165000</c:v>
                </c:pt>
                <c:pt idx="60">
                  <c:v>165000</c:v>
                </c:pt>
                <c:pt idx="61">
                  <c:v>165000</c:v>
                </c:pt>
                <c:pt idx="62">
                  <c:v>165000</c:v>
                </c:pt>
                <c:pt idx="63">
                  <c:v>165000</c:v>
                </c:pt>
                <c:pt idx="64">
                  <c:v>165000</c:v>
                </c:pt>
                <c:pt idx="65">
                  <c:v>165000</c:v>
                </c:pt>
                <c:pt idx="66">
                  <c:v>165000</c:v>
                </c:pt>
                <c:pt idx="67">
                  <c:v>165000</c:v>
                </c:pt>
                <c:pt idx="68">
                  <c:v>165000</c:v>
                </c:pt>
                <c:pt idx="69">
                  <c:v>165000</c:v>
                </c:pt>
                <c:pt idx="70">
                  <c:v>165000</c:v>
                </c:pt>
                <c:pt idx="71">
                  <c:v>165000</c:v>
                </c:pt>
                <c:pt idx="72">
                  <c:v>165000</c:v>
                </c:pt>
                <c:pt idx="73">
                  <c:v>165000</c:v>
                </c:pt>
                <c:pt idx="74">
                  <c:v>165000</c:v>
                </c:pt>
                <c:pt idx="75">
                  <c:v>165000</c:v>
                </c:pt>
                <c:pt idx="76">
                  <c:v>165000</c:v>
                </c:pt>
                <c:pt idx="77">
                  <c:v>165000</c:v>
                </c:pt>
                <c:pt idx="78">
                  <c:v>165000</c:v>
                </c:pt>
                <c:pt idx="79">
                  <c:v>165000</c:v>
                </c:pt>
                <c:pt idx="80">
                  <c:v>165000</c:v>
                </c:pt>
                <c:pt idx="81">
                  <c:v>165000</c:v>
                </c:pt>
                <c:pt idx="82">
                  <c:v>165000</c:v>
                </c:pt>
                <c:pt idx="83">
                  <c:v>165000</c:v>
                </c:pt>
                <c:pt idx="84">
                  <c:v>165000</c:v>
                </c:pt>
                <c:pt idx="85">
                  <c:v>165000</c:v>
                </c:pt>
                <c:pt idx="86">
                  <c:v>165000</c:v>
                </c:pt>
                <c:pt idx="87">
                  <c:v>165000</c:v>
                </c:pt>
                <c:pt idx="88">
                  <c:v>165000</c:v>
                </c:pt>
                <c:pt idx="89">
                  <c:v>165000</c:v>
                </c:pt>
                <c:pt idx="90">
                  <c:v>165000</c:v>
                </c:pt>
                <c:pt idx="91">
                  <c:v>165000</c:v>
                </c:pt>
                <c:pt idx="92">
                  <c:v>165000</c:v>
                </c:pt>
                <c:pt idx="93">
                  <c:v>165000</c:v>
                </c:pt>
                <c:pt idx="94">
                  <c:v>165000</c:v>
                </c:pt>
                <c:pt idx="95">
                  <c:v>165000</c:v>
                </c:pt>
                <c:pt idx="96">
                  <c:v>165000</c:v>
                </c:pt>
                <c:pt idx="97">
                  <c:v>165000</c:v>
                </c:pt>
                <c:pt idx="98">
                  <c:v>165000</c:v>
                </c:pt>
                <c:pt idx="99">
                  <c:v>165000</c:v>
                </c:pt>
                <c:pt idx="100">
                  <c:v>165000</c:v>
                </c:pt>
                <c:pt idx="101">
                  <c:v>165000</c:v>
                </c:pt>
                <c:pt idx="102">
                  <c:v>165000</c:v>
                </c:pt>
                <c:pt idx="103">
                  <c:v>165000</c:v>
                </c:pt>
                <c:pt idx="104">
                  <c:v>165000</c:v>
                </c:pt>
                <c:pt idx="105">
                  <c:v>165000</c:v>
                </c:pt>
                <c:pt idx="106">
                  <c:v>165000</c:v>
                </c:pt>
                <c:pt idx="107">
                  <c:v>165000</c:v>
                </c:pt>
                <c:pt idx="108">
                  <c:v>165000</c:v>
                </c:pt>
                <c:pt idx="109">
                  <c:v>165000</c:v>
                </c:pt>
                <c:pt idx="110">
                  <c:v>165000</c:v>
                </c:pt>
                <c:pt idx="111">
                  <c:v>165000</c:v>
                </c:pt>
                <c:pt idx="112">
                  <c:v>165000</c:v>
                </c:pt>
                <c:pt idx="113">
                  <c:v>165000</c:v>
                </c:pt>
                <c:pt idx="114">
                  <c:v>165000</c:v>
                </c:pt>
                <c:pt idx="115">
                  <c:v>165000</c:v>
                </c:pt>
                <c:pt idx="116">
                  <c:v>165000</c:v>
                </c:pt>
                <c:pt idx="117">
                  <c:v>165000</c:v>
                </c:pt>
                <c:pt idx="118">
                  <c:v>165000</c:v>
                </c:pt>
                <c:pt idx="119">
                  <c:v>165000</c:v>
                </c:pt>
                <c:pt idx="120">
                  <c:v>165000</c:v>
                </c:pt>
                <c:pt idx="121">
                  <c:v>165000</c:v>
                </c:pt>
                <c:pt idx="122">
                  <c:v>165000</c:v>
                </c:pt>
                <c:pt idx="123">
                  <c:v>165000</c:v>
                </c:pt>
                <c:pt idx="124">
                  <c:v>165000</c:v>
                </c:pt>
                <c:pt idx="125">
                  <c:v>165000</c:v>
                </c:pt>
                <c:pt idx="126">
                  <c:v>165000</c:v>
                </c:pt>
                <c:pt idx="127">
                  <c:v>165000</c:v>
                </c:pt>
                <c:pt idx="128">
                  <c:v>165000</c:v>
                </c:pt>
                <c:pt idx="129">
                  <c:v>165000</c:v>
                </c:pt>
                <c:pt idx="130">
                  <c:v>165000</c:v>
                </c:pt>
                <c:pt idx="131">
                  <c:v>165000</c:v>
                </c:pt>
                <c:pt idx="132">
                  <c:v>165000</c:v>
                </c:pt>
                <c:pt idx="133">
                  <c:v>165000</c:v>
                </c:pt>
                <c:pt idx="134">
                  <c:v>165000</c:v>
                </c:pt>
                <c:pt idx="135">
                  <c:v>165000</c:v>
                </c:pt>
                <c:pt idx="136">
                  <c:v>165000</c:v>
                </c:pt>
                <c:pt idx="137">
                  <c:v>165000</c:v>
                </c:pt>
                <c:pt idx="138">
                  <c:v>165000</c:v>
                </c:pt>
                <c:pt idx="139">
                  <c:v>165000</c:v>
                </c:pt>
                <c:pt idx="140">
                  <c:v>165000</c:v>
                </c:pt>
                <c:pt idx="141">
                  <c:v>165000</c:v>
                </c:pt>
                <c:pt idx="142">
                  <c:v>165000</c:v>
                </c:pt>
                <c:pt idx="143">
                  <c:v>165000</c:v>
                </c:pt>
                <c:pt idx="144">
                  <c:v>165000</c:v>
                </c:pt>
                <c:pt idx="145">
                  <c:v>165000</c:v>
                </c:pt>
                <c:pt idx="146">
                  <c:v>165000</c:v>
                </c:pt>
                <c:pt idx="147">
                  <c:v>165000</c:v>
                </c:pt>
                <c:pt idx="148">
                  <c:v>165000</c:v>
                </c:pt>
                <c:pt idx="149">
                  <c:v>165000</c:v>
                </c:pt>
                <c:pt idx="150">
                  <c:v>165000</c:v>
                </c:pt>
                <c:pt idx="151">
                  <c:v>165000</c:v>
                </c:pt>
                <c:pt idx="152">
                  <c:v>165000</c:v>
                </c:pt>
                <c:pt idx="153">
                  <c:v>165000</c:v>
                </c:pt>
                <c:pt idx="154">
                  <c:v>165000</c:v>
                </c:pt>
                <c:pt idx="155">
                  <c:v>165000</c:v>
                </c:pt>
                <c:pt idx="156">
                  <c:v>165000</c:v>
                </c:pt>
                <c:pt idx="157">
                  <c:v>165000</c:v>
                </c:pt>
                <c:pt idx="158">
                  <c:v>165000</c:v>
                </c:pt>
                <c:pt idx="159">
                  <c:v>165000</c:v>
                </c:pt>
                <c:pt idx="160">
                  <c:v>165000</c:v>
                </c:pt>
                <c:pt idx="161">
                  <c:v>165000</c:v>
                </c:pt>
                <c:pt idx="162">
                  <c:v>165000</c:v>
                </c:pt>
                <c:pt idx="163">
                  <c:v>165000</c:v>
                </c:pt>
                <c:pt idx="164">
                  <c:v>165000</c:v>
                </c:pt>
                <c:pt idx="165">
                  <c:v>165000</c:v>
                </c:pt>
                <c:pt idx="166">
                  <c:v>165000</c:v>
                </c:pt>
                <c:pt idx="167">
                  <c:v>165000</c:v>
                </c:pt>
                <c:pt idx="168">
                  <c:v>165000</c:v>
                </c:pt>
                <c:pt idx="169">
                  <c:v>165000</c:v>
                </c:pt>
                <c:pt idx="170">
                  <c:v>165000</c:v>
                </c:pt>
                <c:pt idx="171">
                  <c:v>165000</c:v>
                </c:pt>
                <c:pt idx="172">
                  <c:v>165000</c:v>
                </c:pt>
                <c:pt idx="173">
                  <c:v>165000</c:v>
                </c:pt>
                <c:pt idx="174">
                  <c:v>165000</c:v>
                </c:pt>
                <c:pt idx="175">
                  <c:v>165000</c:v>
                </c:pt>
                <c:pt idx="176">
                  <c:v>165000</c:v>
                </c:pt>
                <c:pt idx="177">
                  <c:v>165000</c:v>
                </c:pt>
                <c:pt idx="178">
                  <c:v>165000</c:v>
                </c:pt>
                <c:pt idx="179">
                  <c:v>165000</c:v>
                </c:pt>
                <c:pt idx="180">
                  <c:v>165000</c:v>
                </c:pt>
                <c:pt idx="181">
                  <c:v>165000</c:v>
                </c:pt>
                <c:pt idx="182">
                  <c:v>175000</c:v>
                </c:pt>
                <c:pt idx="183">
                  <c:v>175000</c:v>
                </c:pt>
                <c:pt idx="184">
                  <c:v>175000</c:v>
                </c:pt>
                <c:pt idx="185">
                  <c:v>175000</c:v>
                </c:pt>
                <c:pt idx="186">
                  <c:v>175000</c:v>
                </c:pt>
                <c:pt idx="187">
                  <c:v>175000</c:v>
                </c:pt>
                <c:pt idx="188">
                  <c:v>175000</c:v>
                </c:pt>
                <c:pt idx="189">
                  <c:v>175000</c:v>
                </c:pt>
                <c:pt idx="190">
                  <c:v>175000</c:v>
                </c:pt>
                <c:pt idx="191">
                  <c:v>175000</c:v>
                </c:pt>
                <c:pt idx="192">
                  <c:v>175000</c:v>
                </c:pt>
                <c:pt idx="193">
                  <c:v>175000</c:v>
                </c:pt>
                <c:pt idx="194">
                  <c:v>175000</c:v>
                </c:pt>
                <c:pt idx="195">
                  <c:v>175000</c:v>
                </c:pt>
                <c:pt idx="196">
                  <c:v>175000</c:v>
                </c:pt>
                <c:pt idx="197">
                  <c:v>175000</c:v>
                </c:pt>
                <c:pt idx="198">
                  <c:v>175000</c:v>
                </c:pt>
                <c:pt idx="199">
                  <c:v>175000</c:v>
                </c:pt>
                <c:pt idx="200">
                  <c:v>175000</c:v>
                </c:pt>
                <c:pt idx="201">
                  <c:v>175000</c:v>
                </c:pt>
                <c:pt idx="202">
                  <c:v>175000</c:v>
                </c:pt>
                <c:pt idx="203">
                  <c:v>175000</c:v>
                </c:pt>
                <c:pt idx="204">
                  <c:v>175000</c:v>
                </c:pt>
                <c:pt idx="205">
                  <c:v>175000</c:v>
                </c:pt>
                <c:pt idx="206">
                  <c:v>175000</c:v>
                </c:pt>
                <c:pt idx="207">
                  <c:v>175000</c:v>
                </c:pt>
                <c:pt idx="208">
                  <c:v>175000</c:v>
                </c:pt>
                <c:pt idx="209">
                  <c:v>175000</c:v>
                </c:pt>
                <c:pt idx="210">
                  <c:v>175000</c:v>
                </c:pt>
                <c:pt idx="211">
                  <c:v>175000</c:v>
                </c:pt>
                <c:pt idx="212">
                  <c:v>175000</c:v>
                </c:pt>
                <c:pt idx="213">
                  <c:v>175000</c:v>
                </c:pt>
                <c:pt idx="214">
                  <c:v>175000</c:v>
                </c:pt>
                <c:pt idx="215">
                  <c:v>175000</c:v>
                </c:pt>
                <c:pt idx="216">
                  <c:v>175000</c:v>
                </c:pt>
                <c:pt idx="217">
                  <c:v>175000</c:v>
                </c:pt>
                <c:pt idx="218">
                  <c:v>175000</c:v>
                </c:pt>
                <c:pt idx="219">
                  <c:v>175000</c:v>
                </c:pt>
                <c:pt idx="220">
                  <c:v>175000</c:v>
                </c:pt>
                <c:pt idx="221">
                  <c:v>175000</c:v>
                </c:pt>
                <c:pt idx="222">
                  <c:v>175000</c:v>
                </c:pt>
                <c:pt idx="223">
                  <c:v>175000</c:v>
                </c:pt>
                <c:pt idx="224">
                  <c:v>175000</c:v>
                </c:pt>
                <c:pt idx="225">
                  <c:v>175000</c:v>
                </c:pt>
                <c:pt idx="226">
                  <c:v>175000</c:v>
                </c:pt>
                <c:pt idx="227">
                  <c:v>175000</c:v>
                </c:pt>
                <c:pt idx="228">
                  <c:v>175000</c:v>
                </c:pt>
                <c:pt idx="229">
                  <c:v>175000</c:v>
                </c:pt>
                <c:pt idx="230">
                  <c:v>175000</c:v>
                </c:pt>
                <c:pt idx="231">
                  <c:v>175000</c:v>
                </c:pt>
                <c:pt idx="232">
                  <c:v>175000</c:v>
                </c:pt>
                <c:pt idx="233">
                  <c:v>175000</c:v>
                </c:pt>
                <c:pt idx="234">
                  <c:v>175000</c:v>
                </c:pt>
                <c:pt idx="235">
                  <c:v>175000</c:v>
                </c:pt>
                <c:pt idx="236">
                  <c:v>175000</c:v>
                </c:pt>
                <c:pt idx="237">
                  <c:v>175000</c:v>
                </c:pt>
                <c:pt idx="238">
                  <c:v>175000</c:v>
                </c:pt>
                <c:pt idx="239">
                  <c:v>175000</c:v>
                </c:pt>
                <c:pt idx="240">
                  <c:v>175000</c:v>
                </c:pt>
                <c:pt idx="241">
                  <c:v>175000</c:v>
                </c:pt>
                <c:pt idx="242">
                  <c:v>175000</c:v>
                </c:pt>
                <c:pt idx="243">
                  <c:v>175000</c:v>
                </c:pt>
                <c:pt idx="244">
                  <c:v>175000</c:v>
                </c:pt>
                <c:pt idx="245">
                  <c:v>175000</c:v>
                </c:pt>
                <c:pt idx="246">
                  <c:v>175000</c:v>
                </c:pt>
                <c:pt idx="247">
                  <c:v>175000</c:v>
                </c:pt>
                <c:pt idx="248">
                  <c:v>175000</c:v>
                </c:pt>
                <c:pt idx="249">
                  <c:v>175000</c:v>
                </c:pt>
                <c:pt idx="250">
                  <c:v>175000</c:v>
                </c:pt>
                <c:pt idx="251">
                  <c:v>175000</c:v>
                </c:pt>
                <c:pt idx="252">
                  <c:v>175000</c:v>
                </c:pt>
                <c:pt idx="253">
                  <c:v>175000</c:v>
                </c:pt>
                <c:pt idx="254">
                  <c:v>175000</c:v>
                </c:pt>
                <c:pt idx="255">
                  <c:v>175000</c:v>
                </c:pt>
                <c:pt idx="256">
                  <c:v>175000</c:v>
                </c:pt>
                <c:pt idx="257">
                  <c:v>175000</c:v>
                </c:pt>
                <c:pt idx="258">
                  <c:v>175000</c:v>
                </c:pt>
                <c:pt idx="259">
                  <c:v>175000</c:v>
                </c:pt>
                <c:pt idx="260">
                  <c:v>175000</c:v>
                </c:pt>
                <c:pt idx="261">
                  <c:v>175000</c:v>
                </c:pt>
                <c:pt idx="262">
                  <c:v>175000</c:v>
                </c:pt>
                <c:pt idx="263">
                  <c:v>175000</c:v>
                </c:pt>
                <c:pt idx="264">
                  <c:v>175000</c:v>
                </c:pt>
                <c:pt idx="265">
                  <c:v>175000</c:v>
                </c:pt>
                <c:pt idx="266">
                  <c:v>175000</c:v>
                </c:pt>
                <c:pt idx="267">
                  <c:v>175000</c:v>
                </c:pt>
                <c:pt idx="268">
                  <c:v>175000</c:v>
                </c:pt>
                <c:pt idx="269">
                  <c:v>175000</c:v>
                </c:pt>
                <c:pt idx="270">
                  <c:v>175000</c:v>
                </c:pt>
                <c:pt idx="271">
                  <c:v>175000</c:v>
                </c:pt>
                <c:pt idx="272">
                  <c:v>175000</c:v>
                </c:pt>
                <c:pt idx="273">
                  <c:v>175000</c:v>
                </c:pt>
                <c:pt idx="274">
                  <c:v>175000</c:v>
                </c:pt>
                <c:pt idx="275">
                  <c:v>175000</c:v>
                </c:pt>
                <c:pt idx="276">
                  <c:v>175000</c:v>
                </c:pt>
                <c:pt idx="277">
                  <c:v>175000</c:v>
                </c:pt>
                <c:pt idx="278">
                  <c:v>175000</c:v>
                </c:pt>
                <c:pt idx="279">
                  <c:v>175000</c:v>
                </c:pt>
                <c:pt idx="280">
                  <c:v>175000</c:v>
                </c:pt>
                <c:pt idx="281">
                  <c:v>175000</c:v>
                </c:pt>
                <c:pt idx="282">
                  <c:v>175000</c:v>
                </c:pt>
                <c:pt idx="283">
                  <c:v>175000</c:v>
                </c:pt>
                <c:pt idx="284">
                  <c:v>175000</c:v>
                </c:pt>
                <c:pt idx="285">
                  <c:v>175000</c:v>
                </c:pt>
                <c:pt idx="286">
                  <c:v>175000</c:v>
                </c:pt>
                <c:pt idx="287">
                  <c:v>175000</c:v>
                </c:pt>
                <c:pt idx="288">
                  <c:v>175000</c:v>
                </c:pt>
                <c:pt idx="289">
                  <c:v>175000</c:v>
                </c:pt>
                <c:pt idx="290">
                  <c:v>175000</c:v>
                </c:pt>
                <c:pt idx="291">
                  <c:v>175000</c:v>
                </c:pt>
                <c:pt idx="292">
                  <c:v>175000</c:v>
                </c:pt>
                <c:pt idx="293">
                  <c:v>175000</c:v>
                </c:pt>
                <c:pt idx="294">
                  <c:v>175000</c:v>
                </c:pt>
                <c:pt idx="295">
                  <c:v>175000</c:v>
                </c:pt>
                <c:pt idx="296">
                  <c:v>175000</c:v>
                </c:pt>
                <c:pt idx="297">
                  <c:v>175000</c:v>
                </c:pt>
                <c:pt idx="298">
                  <c:v>175000</c:v>
                </c:pt>
                <c:pt idx="299">
                  <c:v>175000</c:v>
                </c:pt>
                <c:pt idx="300">
                  <c:v>175000</c:v>
                </c:pt>
                <c:pt idx="301">
                  <c:v>175000</c:v>
                </c:pt>
                <c:pt idx="302">
                  <c:v>175000</c:v>
                </c:pt>
                <c:pt idx="303">
                  <c:v>175000</c:v>
                </c:pt>
                <c:pt idx="304">
                  <c:v>175000</c:v>
                </c:pt>
                <c:pt idx="305">
                  <c:v>175000</c:v>
                </c:pt>
                <c:pt idx="306">
                  <c:v>175000</c:v>
                </c:pt>
                <c:pt idx="307">
                  <c:v>175000</c:v>
                </c:pt>
                <c:pt idx="308">
                  <c:v>175000</c:v>
                </c:pt>
                <c:pt idx="309">
                  <c:v>175000</c:v>
                </c:pt>
                <c:pt idx="310">
                  <c:v>175000</c:v>
                </c:pt>
                <c:pt idx="311">
                  <c:v>175000</c:v>
                </c:pt>
                <c:pt idx="312">
                  <c:v>175000</c:v>
                </c:pt>
                <c:pt idx="313">
                  <c:v>175000</c:v>
                </c:pt>
                <c:pt idx="314">
                  <c:v>175000</c:v>
                </c:pt>
                <c:pt idx="315">
                  <c:v>175000</c:v>
                </c:pt>
                <c:pt idx="316">
                  <c:v>175000</c:v>
                </c:pt>
                <c:pt idx="317">
                  <c:v>175000</c:v>
                </c:pt>
                <c:pt idx="318">
                  <c:v>175000</c:v>
                </c:pt>
                <c:pt idx="319">
                  <c:v>175000</c:v>
                </c:pt>
                <c:pt idx="320">
                  <c:v>175000</c:v>
                </c:pt>
                <c:pt idx="321">
                  <c:v>175000</c:v>
                </c:pt>
                <c:pt idx="322">
                  <c:v>175000</c:v>
                </c:pt>
                <c:pt idx="323">
                  <c:v>175000</c:v>
                </c:pt>
                <c:pt idx="324">
                  <c:v>175000</c:v>
                </c:pt>
                <c:pt idx="325">
                  <c:v>175000</c:v>
                </c:pt>
                <c:pt idx="326">
                  <c:v>175000</c:v>
                </c:pt>
                <c:pt idx="327">
                  <c:v>175000</c:v>
                </c:pt>
                <c:pt idx="328">
                  <c:v>175000</c:v>
                </c:pt>
                <c:pt idx="329">
                  <c:v>175000</c:v>
                </c:pt>
                <c:pt idx="330">
                  <c:v>175000</c:v>
                </c:pt>
                <c:pt idx="331">
                  <c:v>175000</c:v>
                </c:pt>
                <c:pt idx="332">
                  <c:v>175000</c:v>
                </c:pt>
                <c:pt idx="333">
                  <c:v>175000</c:v>
                </c:pt>
                <c:pt idx="334">
                  <c:v>175000</c:v>
                </c:pt>
                <c:pt idx="335">
                  <c:v>175000</c:v>
                </c:pt>
                <c:pt idx="336">
                  <c:v>175000</c:v>
                </c:pt>
                <c:pt idx="337">
                  <c:v>175000</c:v>
                </c:pt>
                <c:pt idx="338">
                  <c:v>175000</c:v>
                </c:pt>
                <c:pt idx="339">
                  <c:v>175000</c:v>
                </c:pt>
                <c:pt idx="340">
                  <c:v>175000</c:v>
                </c:pt>
                <c:pt idx="341">
                  <c:v>175000</c:v>
                </c:pt>
                <c:pt idx="342">
                  <c:v>175000</c:v>
                </c:pt>
                <c:pt idx="343">
                  <c:v>175000</c:v>
                </c:pt>
                <c:pt idx="344">
                  <c:v>175000</c:v>
                </c:pt>
                <c:pt idx="345">
                  <c:v>175000</c:v>
                </c:pt>
                <c:pt idx="346">
                  <c:v>175000</c:v>
                </c:pt>
                <c:pt idx="347">
                  <c:v>175000</c:v>
                </c:pt>
                <c:pt idx="348">
                  <c:v>175000</c:v>
                </c:pt>
                <c:pt idx="349">
                  <c:v>175000</c:v>
                </c:pt>
                <c:pt idx="350">
                  <c:v>175000</c:v>
                </c:pt>
                <c:pt idx="351">
                  <c:v>175000</c:v>
                </c:pt>
                <c:pt idx="352">
                  <c:v>175000</c:v>
                </c:pt>
                <c:pt idx="353">
                  <c:v>175000</c:v>
                </c:pt>
                <c:pt idx="354">
                  <c:v>175000</c:v>
                </c:pt>
                <c:pt idx="355">
                  <c:v>175000</c:v>
                </c:pt>
                <c:pt idx="356">
                  <c:v>175000</c:v>
                </c:pt>
                <c:pt idx="357">
                  <c:v>175000</c:v>
                </c:pt>
                <c:pt idx="358">
                  <c:v>175000</c:v>
                </c:pt>
                <c:pt idx="359">
                  <c:v>175000</c:v>
                </c:pt>
                <c:pt idx="360">
                  <c:v>175000</c:v>
                </c:pt>
                <c:pt idx="361">
                  <c:v>175000</c:v>
                </c:pt>
                <c:pt idx="362">
                  <c:v>175000</c:v>
                </c:pt>
                <c:pt idx="363">
                  <c:v>175000</c:v>
                </c:pt>
                <c:pt idx="364">
                  <c:v>175000</c:v>
                </c:pt>
                <c:pt idx="365">
                  <c:v>175000</c:v>
                </c:pt>
                <c:pt idx="366">
                  <c:v>175000</c:v>
                </c:pt>
                <c:pt idx="367">
                  <c:v>175000</c:v>
                </c:pt>
                <c:pt idx="368">
                  <c:v>175000</c:v>
                </c:pt>
                <c:pt idx="369">
                  <c:v>175000</c:v>
                </c:pt>
                <c:pt idx="370">
                  <c:v>175000</c:v>
                </c:pt>
                <c:pt idx="371">
                  <c:v>175000</c:v>
                </c:pt>
                <c:pt idx="372">
                  <c:v>175000</c:v>
                </c:pt>
                <c:pt idx="373">
                  <c:v>175000</c:v>
                </c:pt>
                <c:pt idx="374">
                  <c:v>175000</c:v>
                </c:pt>
                <c:pt idx="375">
                  <c:v>175000</c:v>
                </c:pt>
                <c:pt idx="376">
                  <c:v>175000</c:v>
                </c:pt>
                <c:pt idx="377">
                  <c:v>175000</c:v>
                </c:pt>
                <c:pt idx="378">
                  <c:v>175000</c:v>
                </c:pt>
                <c:pt idx="379">
                  <c:v>175000</c:v>
                </c:pt>
                <c:pt idx="380">
                  <c:v>175000</c:v>
                </c:pt>
                <c:pt idx="381">
                  <c:v>175000</c:v>
                </c:pt>
                <c:pt idx="382">
                  <c:v>175000</c:v>
                </c:pt>
                <c:pt idx="383">
                  <c:v>175000</c:v>
                </c:pt>
                <c:pt idx="384">
                  <c:v>175000</c:v>
                </c:pt>
                <c:pt idx="385">
                  <c:v>175000</c:v>
                </c:pt>
                <c:pt idx="386">
                  <c:v>175000</c:v>
                </c:pt>
                <c:pt idx="387">
                  <c:v>175000</c:v>
                </c:pt>
                <c:pt idx="388">
                  <c:v>175000</c:v>
                </c:pt>
                <c:pt idx="389">
                  <c:v>175000</c:v>
                </c:pt>
                <c:pt idx="390">
                  <c:v>175000</c:v>
                </c:pt>
                <c:pt idx="391">
                  <c:v>175000</c:v>
                </c:pt>
                <c:pt idx="392">
                  <c:v>175000</c:v>
                </c:pt>
                <c:pt idx="393">
                  <c:v>175000</c:v>
                </c:pt>
                <c:pt idx="394">
                  <c:v>175000</c:v>
                </c:pt>
                <c:pt idx="395">
                  <c:v>175000</c:v>
                </c:pt>
                <c:pt idx="396">
                  <c:v>165000</c:v>
                </c:pt>
                <c:pt idx="397">
                  <c:v>165000</c:v>
                </c:pt>
                <c:pt idx="398">
                  <c:v>165000</c:v>
                </c:pt>
                <c:pt idx="399">
                  <c:v>165000</c:v>
                </c:pt>
                <c:pt idx="400">
                  <c:v>165000</c:v>
                </c:pt>
                <c:pt idx="401">
                  <c:v>165000</c:v>
                </c:pt>
                <c:pt idx="402">
                  <c:v>165000</c:v>
                </c:pt>
                <c:pt idx="403">
                  <c:v>165000</c:v>
                </c:pt>
                <c:pt idx="404">
                  <c:v>165000</c:v>
                </c:pt>
                <c:pt idx="405">
                  <c:v>165000</c:v>
                </c:pt>
                <c:pt idx="406">
                  <c:v>165000</c:v>
                </c:pt>
                <c:pt idx="407">
                  <c:v>165000</c:v>
                </c:pt>
                <c:pt idx="408">
                  <c:v>165000</c:v>
                </c:pt>
                <c:pt idx="409">
                  <c:v>165000</c:v>
                </c:pt>
                <c:pt idx="410">
                  <c:v>165000</c:v>
                </c:pt>
                <c:pt idx="411">
                  <c:v>165000</c:v>
                </c:pt>
                <c:pt idx="412">
                  <c:v>165000</c:v>
                </c:pt>
                <c:pt idx="413">
                  <c:v>165000</c:v>
                </c:pt>
                <c:pt idx="414">
                  <c:v>165000</c:v>
                </c:pt>
                <c:pt idx="415">
                  <c:v>165000</c:v>
                </c:pt>
                <c:pt idx="416">
                  <c:v>165000</c:v>
                </c:pt>
                <c:pt idx="417">
                  <c:v>165000</c:v>
                </c:pt>
                <c:pt idx="418">
                  <c:v>165000</c:v>
                </c:pt>
                <c:pt idx="419">
                  <c:v>165000</c:v>
                </c:pt>
                <c:pt idx="420">
                  <c:v>165000</c:v>
                </c:pt>
                <c:pt idx="421">
                  <c:v>165000</c:v>
                </c:pt>
                <c:pt idx="422">
                  <c:v>165000</c:v>
                </c:pt>
                <c:pt idx="423">
                  <c:v>165000</c:v>
                </c:pt>
                <c:pt idx="424">
                  <c:v>165000</c:v>
                </c:pt>
                <c:pt idx="425">
                  <c:v>165000</c:v>
                </c:pt>
                <c:pt idx="426">
                  <c:v>165000</c:v>
                </c:pt>
                <c:pt idx="427">
                  <c:v>165000</c:v>
                </c:pt>
                <c:pt idx="428">
                  <c:v>165000</c:v>
                </c:pt>
                <c:pt idx="429">
                  <c:v>165000</c:v>
                </c:pt>
                <c:pt idx="430">
                  <c:v>165000</c:v>
                </c:pt>
                <c:pt idx="431">
                  <c:v>165000</c:v>
                </c:pt>
                <c:pt idx="432">
                  <c:v>165000</c:v>
                </c:pt>
                <c:pt idx="433">
                  <c:v>165000</c:v>
                </c:pt>
                <c:pt idx="434">
                  <c:v>165000</c:v>
                </c:pt>
                <c:pt idx="435">
                  <c:v>165000</c:v>
                </c:pt>
                <c:pt idx="436">
                  <c:v>165000</c:v>
                </c:pt>
                <c:pt idx="437">
                  <c:v>165000</c:v>
                </c:pt>
                <c:pt idx="438">
                  <c:v>165000</c:v>
                </c:pt>
                <c:pt idx="439">
                  <c:v>165000</c:v>
                </c:pt>
                <c:pt idx="440">
                  <c:v>165000</c:v>
                </c:pt>
                <c:pt idx="441">
                  <c:v>165000</c:v>
                </c:pt>
                <c:pt idx="442">
                  <c:v>165000</c:v>
                </c:pt>
                <c:pt idx="443">
                  <c:v>165000</c:v>
                </c:pt>
                <c:pt idx="444">
                  <c:v>165000</c:v>
                </c:pt>
                <c:pt idx="445">
                  <c:v>165000</c:v>
                </c:pt>
                <c:pt idx="446">
                  <c:v>165000</c:v>
                </c:pt>
                <c:pt idx="447">
                  <c:v>165000</c:v>
                </c:pt>
                <c:pt idx="448">
                  <c:v>165000</c:v>
                </c:pt>
                <c:pt idx="449">
                  <c:v>165000</c:v>
                </c:pt>
                <c:pt idx="450">
                  <c:v>165000</c:v>
                </c:pt>
                <c:pt idx="451">
                  <c:v>165000</c:v>
                </c:pt>
                <c:pt idx="452">
                  <c:v>165000</c:v>
                </c:pt>
                <c:pt idx="453">
                  <c:v>165000</c:v>
                </c:pt>
                <c:pt idx="454">
                  <c:v>165000</c:v>
                </c:pt>
                <c:pt idx="455">
                  <c:v>165000</c:v>
                </c:pt>
                <c:pt idx="456">
                  <c:v>165000</c:v>
                </c:pt>
                <c:pt idx="457">
                  <c:v>165000</c:v>
                </c:pt>
                <c:pt idx="458">
                  <c:v>165000</c:v>
                </c:pt>
                <c:pt idx="459">
                  <c:v>165000</c:v>
                </c:pt>
                <c:pt idx="460">
                  <c:v>165000</c:v>
                </c:pt>
                <c:pt idx="461">
                  <c:v>165000</c:v>
                </c:pt>
                <c:pt idx="462">
                  <c:v>165000</c:v>
                </c:pt>
                <c:pt idx="463">
                  <c:v>165000</c:v>
                </c:pt>
                <c:pt idx="464">
                  <c:v>165000</c:v>
                </c:pt>
                <c:pt idx="465">
                  <c:v>165000</c:v>
                </c:pt>
                <c:pt idx="466">
                  <c:v>165000</c:v>
                </c:pt>
                <c:pt idx="467">
                  <c:v>165000</c:v>
                </c:pt>
                <c:pt idx="468">
                  <c:v>165000</c:v>
                </c:pt>
                <c:pt idx="469">
                  <c:v>165000</c:v>
                </c:pt>
                <c:pt idx="470">
                  <c:v>165000</c:v>
                </c:pt>
                <c:pt idx="471">
                  <c:v>165000</c:v>
                </c:pt>
                <c:pt idx="472">
                  <c:v>165000</c:v>
                </c:pt>
                <c:pt idx="473">
                  <c:v>165000</c:v>
                </c:pt>
                <c:pt idx="474">
                  <c:v>165000</c:v>
                </c:pt>
                <c:pt idx="475">
                  <c:v>165000</c:v>
                </c:pt>
                <c:pt idx="476">
                  <c:v>165000</c:v>
                </c:pt>
                <c:pt idx="477">
                  <c:v>165000</c:v>
                </c:pt>
                <c:pt idx="478">
                  <c:v>165000</c:v>
                </c:pt>
                <c:pt idx="479">
                  <c:v>165000</c:v>
                </c:pt>
                <c:pt idx="480">
                  <c:v>165000</c:v>
                </c:pt>
                <c:pt idx="481">
                  <c:v>165000</c:v>
                </c:pt>
                <c:pt idx="482">
                  <c:v>165000</c:v>
                </c:pt>
                <c:pt idx="483">
                  <c:v>165000</c:v>
                </c:pt>
                <c:pt idx="484">
                  <c:v>165000</c:v>
                </c:pt>
                <c:pt idx="485">
                  <c:v>165000</c:v>
                </c:pt>
                <c:pt idx="486">
                  <c:v>165000</c:v>
                </c:pt>
                <c:pt idx="487">
                  <c:v>165000</c:v>
                </c:pt>
                <c:pt idx="488">
                  <c:v>165000</c:v>
                </c:pt>
                <c:pt idx="489">
                  <c:v>165000</c:v>
                </c:pt>
                <c:pt idx="490">
                  <c:v>165000</c:v>
                </c:pt>
                <c:pt idx="491">
                  <c:v>165000</c:v>
                </c:pt>
                <c:pt idx="492">
                  <c:v>165000</c:v>
                </c:pt>
                <c:pt idx="493">
                  <c:v>165000</c:v>
                </c:pt>
                <c:pt idx="494">
                  <c:v>165000</c:v>
                </c:pt>
                <c:pt idx="495">
                  <c:v>165000</c:v>
                </c:pt>
                <c:pt idx="496">
                  <c:v>165000</c:v>
                </c:pt>
                <c:pt idx="497">
                  <c:v>165000</c:v>
                </c:pt>
                <c:pt idx="498">
                  <c:v>165000</c:v>
                </c:pt>
                <c:pt idx="499">
                  <c:v>165000</c:v>
                </c:pt>
                <c:pt idx="500">
                  <c:v>165000</c:v>
                </c:pt>
                <c:pt idx="501">
                  <c:v>165000</c:v>
                </c:pt>
                <c:pt idx="502">
                  <c:v>165000</c:v>
                </c:pt>
                <c:pt idx="503">
                  <c:v>165000</c:v>
                </c:pt>
                <c:pt idx="504">
                  <c:v>165000</c:v>
                </c:pt>
                <c:pt idx="505">
                  <c:v>165000</c:v>
                </c:pt>
                <c:pt idx="506">
                  <c:v>165000</c:v>
                </c:pt>
                <c:pt idx="507">
                  <c:v>165000</c:v>
                </c:pt>
                <c:pt idx="508">
                  <c:v>165000</c:v>
                </c:pt>
                <c:pt idx="509">
                  <c:v>165000</c:v>
                </c:pt>
                <c:pt idx="510">
                  <c:v>165000</c:v>
                </c:pt>
                <c:pt idx="511">
                  <c:v>165000</c:v>
                </c:pt>
                <c:pt idx="512">
                  <c:v>165000</c:v>
                </c:pt>
                <c:pt idx="513">
                  <c:v>165000</c:v>
                </c:pt>
                <c:pt idx="514">
                  <c:v>165000</c:v>
                </c:pt>
                <c:pt idx="515">
                  <c:v>165000</c:v>
                </c:pt>
                <c:pt idx="516">
                  <c:v>165000</c:v>
                </c:pt>
                <c:pt idx="517">
                  <c:v>165000</c:v>
                </c:pt>
                <c:pt idx="518">
                  <c:v>165000</c:v>
                </c:pt>
                <c:pt idx="519">
                  <c:v>165000</c:v>
                </c:pt>
                <c:pt idx="520">
                  <c:v>165000</c:v>
                </c:pt>
                <c:pt idx="521">
                  <c:v>165000</c:v>
                </c:pt>
                <c:pt idx="522">
                  <c:v>165000</c:v>
                </c:pt>
                <c:pt idx="523">
                  <c:v>165000</c:v>
                </c:pt>
                <c:pt idx="524">
                  <c:v>165000</c:v>
                </c:pt>
                <c:pt idx="525">
                  <c:v>165000</c:v>
                </c:pt>
                <c:pt idx="526">
                  <c:v>165000</c:v>
                </c:pt>
                <c:pt idx="527">
                  <c:v>165000</c:v>
                </c:pt>
                <c:pt idx="528">
                  <c:v>165000</c:v>
                </c:pt>
                <c:pt idx="529">
                  <c:v>165000</c:v>
                </c:pt>
                <c:pt idx="530">
                  <c:v>165000</c:v>
                </c:pt>
                <c:pt idx="531">
                  <c:v>165000</c:v>
                </c:pt>
                <c:pt idx="532">
                  <c:v>165000</c:v>
                </c:pt>
                <c:pt idx="533">
                  <c:v>165000</c:v>
                </c:pt>
                <c:pt idx="534">
                  <c:v>165000</c:v>
                </c:pt>
                <c:pt idx="535">
                  <c:v>165000</c:v>
                </c:pt>
                <c:pt idx="536">
                  <c:v>165000</c:v>
                </c:pt>
                <c:pt idx="537">
                  <c:v>165000</c:v>
                </c:pt>
                <c:pt idx="538">
                  <c:v>165000</c:v>
                </c:pt>
                <c:pt idx="539">
                  <c:v>165000</c:v>
                </c:pt>
                <c:pt idx="540">
                  <c:v>165000</c:v>
                </c:pt>
                <c:pt idx="541">
                  <c:v>165000</c:v>
                </c:pt>
                <c:pt idx="542">
                  <c:v>165000</c:v>
                </c:pt>
                <c:pt idx="543">
                  <c:v>165000</c:v>
                </c:pt>
                <c:pt idx="544">
                  <c:v>165000</c:v>
                </c:pt>
                <c:pt idx="545">
                  <c:v>165000</c:v>
                </c:pt>
                <c:pt idx="546">
                  <c:v>165000</c:v>
                </c:pt>
                <c:pt idx="547">
                  <c:v>175000</c:v>
                </c:pt>
                <c:pt idx="548">
                  <c:v>175000</c:v>
                </c:pt>
                <c:pt idx="549">
                  <c:v>175000</c:v>
                </c:pt>
                <c:pt idx="550">
                  <c:v>175000</c:v>
                </c:pt>
                <c:pt idx="551">
                  <c:v>175000</c:v>
                </c:pt>
                <c:pt idx="552">
                  <c:v>175000</c:v>
                </c:pt>
                <c:pt idx="553">
                  <c:v>175000</c:v>
                </c:pt>
                <c:pt idx="554">
                  <c:v>175000</c:v>
                </c:pt>
                <c:pt idx="555">
                  <c:v>175000</c:v>
                </c:pt>
                <c:pt idx="556">
                  <c:v>175000</c:v>
                </c:pt>
                <c:pt idx="557">
                  <c:v>175000</c:v>
                </c:pt>
                <c:pt idx="558">
                  <c:v>175000</c:v>
                </c:pt>
                <c:pt idx="559">
                  <c:v>175000</c:v>
                </c:pt>
                <c:pt idx="560">
                  <c:v>175000</c:v>
                </c:pt>
                <c:pt idx="561">
                  <c:v>175000</c:v>
                </c:pt>
                <c:pt idx="562">
                  <c:v>175000</c:v>
                </c:pt>
                <c:pt idx="563">
                  <c:v>175000</c:v>
                </c:pt>
                <c:pt idx="564">
                  <c:v>175000</c:v>
                </c:pt>
                <c:pt idx="565">
                  <c:v>175000</c:v>
                </c:pt>
                <c:pt idx="566">
                  <c:v>175000</c:v>
                </c:pt>
                <c:pt idx="567">
                  <c:v>175000</c:v>
                </c:pt>
                <c:pt idx="568">
                  <c:v>175000</c:v>
                </c:pt>
                <c:pt idx="569">
                  <c:v>175000</c:v>
                </c:pt>
                <c:pt idx="570">
                  <c:v>175000</c:v>
                </c:pt>
                <c:pt idx="571">
                  <c:v>175000</c:v>
                </c:pt>
                <c:pt idx="572">
                  <c:v>175000</c:v>
                </c:pt>
                <c:pt idx="573">
                  <c:v>175000</c:v>
                </c:pt>
                <c:pt idx="574">
                  <c:v>175000</c:v>
                </c:pt>
                <c:pt idx="575">
                  <c:v>175000</c:v>
                </c:pt>
                <c:pt idx="576">
                  <c:v>175000</c:v>
                </c:pt>
                <c:pt idx="577">
                  <c:v>175000</c:v>
                </c:pt>
                <c:pt idx="578">
                  <c:v>175000</c:v>
                </c:pt>
                <c:pt idx="579">
                  <c:v>175000</c:v>
                </c:pt>
                <c:pt idx="580">
                  <c:v>175000</c:v>
                </c:pt>
                <c:pt idx="581">
                  <c:v>175000</c:v>
                </c:pt>
                <c:pt idx="582">
                  <c:v>175000</c:v>
                </c:pt>
                <c:pt idx="583">
                  <c:v>175000</c:v>
                </c:pt>
                <c:pt idx="584">
                  <c:v>175000</c:v>
                </c:pt>
                <c:pt idx="585">
                  <c:v>175000</c:v>
                </c:pt>
                <c:pt idx="586">
                  <c:v>175000</c:v>
                </c:pt>
                <c:pt idx="587">
                  <c:v>175000</c:v>
                </c:pt>
                <c:pt idx="588">
                  <c:v>175000</c:v>
                </c:pt>
                <c:pt idx="589">
                  <c:v>175000</c:v>
                </c:pt>
                <c:pt idx="590">
                  <c:v>175000</c:v>
                </c:pt>
                <c:pt idx="591">
                  <c:v>175000</c:v>
                </c:pt>
                <c:pt idx="592">
                  <c:v>175000</c:v>
                </c:pt>
                <c:pt idx="593">
                  <c:v>175000</c:v>
                </c:pt>
                <c:pt idx="594">
                  <c:v>175000</c:v>
                </c:pt>
                <c:pt idx="595">
                  <c:v>175000</c:v>
                </c:pt>
                <c:pt idx="596">
                  <c:v>175000</c:v>
                </c:pt>
                <c:pt idx="597">
                  <c:v>175000</c:v>
                </c:pt>
                <c:pt idx="598">
                  <c:v>175000</c:v>
                </c:pt>
                <c:pt idx="599">
                  <c:v>175000</c:v>
                </c:pt>
                <c:pt idx="600">
                  <c:v>175000</c:v>
                </c:pt>
                <c:pt idx="601">
                  <c:v>175000</c:v>
                </c:pt>
                <c:pt idx="602">
                  <c:v>175000</c:v>
                </c:pt>
                <c:pt idx="603">
                  <c:v>175000</c:v>
                </c:pt>
                <c:pt idx="604">
                  <c:v>175000</c:v>
                </c:pt>
                <c:pt idx="605">
                  <c:v>175000</c:v>
                </c:pt>
                <c:pt idx="606">
                  <c:v>175000</c:v>
                </c:pt>
                <c:pt idx="607">
                  <c:v>175000</c:v>
                </c:pt>
                <c:pt idx="608">
                  <c:v>175000</c:v>
                </c:pt>
                <c:pt idx="609">
                  <c:v>175000</c:v>
                </c:pt>
                <c:pt idx="610">
                  <c:v>175000</c:v>
                </c:pt>
                <c:pt idx="611">
                  <c:v>175000</c:v>
                </c:pt>
                <c:pt idx="612">
                  <c:v>175000</c:v>
                </c:pt>
                <c:pt idx="613">
                  <c:v>175000</c:v>
                </c:pt>
                <c:pt idx="614">
                  <c:v>175000</c:v>
                </c:pt>
                <c:pt idx="615">
                  <c:v>175000</c:v>
                </c:pt>
                <c:pt idx="616">
                  <c:v>175000</c:v>
                </c:pt>
                <c:pt idx="617">
                  <c:v>175000</c:v>
                </c:pt>
                <c:pt idx="618">
                  <c:v>175000</c:v>
                </c:pt>
                <c:pt idx="619">
                  <c:v>175000</c:v>
                </c:pt>
                <c:pt idx="620">
                  <c:v>175000</c:v>
                </c:pt>
                <c:pt idx="621">
                  <c:v>175000</c:v>
                </c:pt>
                <c:pt idx="622">
                  <c:v>175000</c:v>
                </c:pt>
                <c:pt idx="623">
                  <c:v>175000</c:v>
                </c:pt>
                <c:pt idx="624">
                  <c:v>175000</c:v>
                </c:pt>
                <c:pt idx="625">
                  <c:v>175000</c:v>
                </c:pt>
                <c:pt idx="626">
                  <c:v>175000</c:v>
                </c:pt>
                <c:pt idx="627">
                  <c:v>175000</c:v>
                </c:pt>
                <c:pt idx="628">
                  <c:v>175000</c:v>
                </c:pt>
                <c:pt idx="629">
                  <c:v>175000</c:v>
                </c:pt>
                <c:pt idx="630">
                  <c:v>175000</c:v>
                </c:pt>
                <c:pt idx="631">
                  <c:v>175000</c:v>
                </c:pt>
                <c:pt idx="632">
                  <c:v>175000</c:v>
                </c:pt>
                <c:pt idx="633">
                  <c:v>175000</c:v>
                </c:pt>
                <c:pt idx="634">
                  <c:v>175000</c:v>
                </c:pt>
                <c:pt idx="635">
                  <c:v>175000</c:v>
                </c:pt>
                <c:pt idx="636">
                  <c:v>175000</c:v>
                </c:pt>
                <c:pt idx="637">
                  <c:v>175000</c:v>
                </c:pt>
                <c:pt idx="638">
                  <c:v>175000</c:v>
                </c:pt>
                <c:pt idx="639">
                  <c:v>175000</c:v>
                </c:pt>
                <c:pt idx="640">
                  <c:v>175000</c:v>
                </c:pt>
                <c:pt idx="641">
                  <c:v>175000</c:v>
                </c:pt>
                <c:pt idx="642">
                  <c:v>175000</c:v>
                </c:pt>
                <c:pt idx="643">
                  <c:v>175000</c:v>
                </c:pt>
                <c:pt idx="644">
                  <c:v>175000</c:v>
                </c:pt>
                <c:pt idx="645">
                  <c:v>175000</c:v>
                </c:pt>
                <c:pt idx="646">
                  <c:v>175000</c:v>
                </c:pt>
                <c:pt idx="647">
                  <c:v>175000</c:v>
                </c:pt>
                <c:pt idx="648">
                  <c:v>175000</c:v>
                </c:pt>
                <c:pt idx="649">
                  <c:v>175000</c:v>
                </c:pt>
                <c:pt idx="650">
                  <c:v>175000</c:v>
                </c:pt>
                <c:pt idx="651">
                  <c:v>175000</c:v>
                </c:pt>
                <c:pt idx="652">
                  <c:v>175000</c:v>
                </c:pt>
                <c:pt idx="653">
                  <c:v>175000</c:v>
                </c:pt>
                <c:pt idx="654">
                  <c:v>175000</c:v>
                </c:pt>
                <c:pt idx="655">
                  <c:v>175000</c:v>
                </c:pt>
                <c:pt idx="656">
                  <c:v>175000</c:v>
                </c:pt>
                <c:pt idx="657">
                  <c:v>175000</c:v>
                </c:pt>
                <c:pt idx="658">
                  <c:v>175000</c:v>
                </c:pt>
                <c:pt idx="659">
                  <c:v>175000</c:v>
                </c:pt>
                <c:pt idx="660">
                  <c:v>175000</c:v>
                </c:pt>
                <c:pt idx="661">
                  <c:v>175000</c:v>
                </c:pt>
                <c:pt idx="662">
                  <c:v>175000</c:v>
                </c:pt>
                <c:pt idx="663">
                  <c:v>175000</c:v>
                </c:pt>
                <c:pt idx="664">
                  <c:v>175000</c:v>
                </c:pt>
                <c:pt idx="665">
                  <c:v>175000</c:v>
                </c:pt>
                <c:pt idx="666">
                  <c:v>175000</c:v>
                </c:pt>
                <c:pt idx="667">
                  <c:v>175000</c:v>
                </c:pt>
                <c:pt idx="668">
                  <c:v>175000</c:v>
                </c:pt>
                <c:pt idx="669">
                  <c:v>175000</c:v>
                </c:pt>
                <c:pt idx="670">
                  <c:v>175000</c:v>
                </c:pt>
                <c:pt idx="671">
                  <c:v>175000</c:v>
                </c:pt>
                <c:pt idx="672">
                  <c:v>175000</c:v>
                </c:pt>
                <c:pt idx="673">
                  <c:v>175000</c:v>
                </c:pt>
                <c:pt idx="674">
                  <c:v>175000</c:v>
                </c:pt>
                <c:pt idx="675">
                  <c:v>175000</c:v>
                </c:pt>
                <c:pt idx="676">
                  <c:v>175000</c:v>
                </c:pt>
                <c:pt idx="677">
                  <c:v>175000</c:v>
                </c:pt>
                <c:pt idx="678">
                  <c:v>175000</c:v>
                </c:pt>
                <c:pt idx="679">
                  <c:v>175000</c:v>
                </c:pt>
                <c:pt idx="680">
                  <c:v>175000</c:v>
                </c:pt>
                <c:pt idx="681">
                  <c:v>175000</c:v>
                </c:pt>
                <c:pt idx="682">
                  <c:v>175000</c:v>
                </c:pt>
                <c:pt idx="683">
                  <c:v>175000</c:v>
                </c:pt>
                <c:pt idx="684">
                  <c:v>175000</c:v>
                </c:pt>
                <c:pt idx="685">
                  <c:v>175000</c:v>
                </c:pt>
                <c:pt idx="686">
                  <c:v>175000</c:v>
                </c:pt>
                <c:pt idx="687">
                  <c:v>175000</c:v>
                </c:pt>
                <c:pt idx="688">
                  <c:v>175000</c:v>
                </c:pt>
                <c:pt idx="689">
                  <c:v>175000</c:v>
                </c:pt>
                <c:pt idx="690">
                  <c:v>175000</c:v>
                </c:pt>
                <c:pt idx="691">
                  <c:v>175000</c:v>
                </c:pt>
                <c:pt idx="692">
                  <c:v>175000</c:v>
                </c:pt>
                <c:pt idx="693">
                  <c:v>175000</c:v>
                </c:pt>
                <c:pt idx="694">
                  <c:v>175000</c:v>
                </c:pt>
                <c:pt idx="695">
                  <c:v>175000</c:v>
                </c:pt>
                <c:pt idx="696">
                  <c:v>175000</c:v>
                </c:pt>
                <c:pt idx="697">
                  <c:v>175000</c:v>
                </c:pt>
                <c:pt idx="698">
                  <c:v>175000</c:v>
                </c:pt>
                <c:pt idx="699">
                  <c:v>175000</c:v>
                </c:pt>
                <c:pt idx="700">
                  <c:v>175000</c:v>
                </c:pt>
                <c:pt idx="701">
                  <c:v>175000</c:v>
                </c:pt>
                <c:pt idx="702">
                  <c:v>175000</c:v>
                </c:pt>
                <c:pt idx="703">
                  <c:v>175000</c:v>
                </c:pt>
                <c:pt idx="704">
                  <c:v>175000</c:v>
                </c:pt>
                <c:pt idx="705">
                  <c:v>175000</c:v>
                </c:pt>
                <c:pt idx="706">
                  <c:v>175000</c:v>
                </c:pt>
                <c:pt idx="707">
                  <c:v>175000</c:v>
                </c:pt>
                <c:pt idx="708">
                  <c:v>175000</c:v>
                </c:pt>
                <c:pt idx="709">
                  <c:v>175000</c:v>
                </c:pt>
                <c:pt idx="710">
                  <c:v>175000</c:v>
                </c:pt>
                <c:pt idx="711">
                  <c:v>175000</c:v>
                </c:pt>
                <c:pt idx="712">
                  <c:v>175000</c:v>
                </c:pt>
                <c:pt idx="713">
                  <c:v>175000</c:v>
                </c:pt>
                <c:pt idx="714">
                  <c:v>175000</c:v>
                </c:pt>
                <c:pt idx="715">
                  <c:v>175000</c:v>
                </c:pt>
                <c:pt idx="716">
                  <c:v>175000</c:v>
                </c:pt>
                <c:pt idx="717">
                  <c:v>175000</c:v>
                </c:pt>
                <c:pt idx="718">
                  <c:v>175000</c:v>
                </c:pt>
                <c:pt idx="719">
                  <c:v>175000</c:v>
                </c:pt>
                <c:pt idx="720">
                  <c:v>175000</c:v>
                </c:pt>
                <c:pt idx="721">
                  <c:v>175000</c:v>
                </c:pt>
                <c:pt idx="722">
                  <c:v>175000</c:v>
                </c:pt>
                <c:pt idx="723">
                  <c:v>175000</c:v>
                </c:pt>
                <c:pt idx="724">
                  <c:v>175000</c:v>
                </c:pt>
                <c:pt idx="725">
                  <c:v>175000</c:v>
                </c:pt>
                <c:pt idx="726">
                  <c:v>175000</c:v>
                </c:pt>
                <c:pt idx="727">
                  <c:v>175000</c:v>
                </c:pt>
                <c:pt idx="728">
                  <c:v>175000</c:v>
                </c:pt>
                <c:pt idx="729">
                  <c:v>175000</c:v>
                </c:pt>
                <c:pt idx="730">
                  <c:v>175000</c:v>
                </c:pt>
                <c:pt idx="731">
                  <c:v>175000</c:v>
                </c:pt>
                <c:pt idx="732">
                  <c:v>175000</c:v>
                </c:pt>
                <c:pt idx="733">
                  <c:v>175000</c:v>
                </c:pt>
                <c:pt idx="734">
                  <c:v>175000</c:v>
                </c:pt>
                <c:pt idx="735">
                  <c:v>175000</c:v>
                </c:pt>
                <c:pt idx="736">
                  <c:v>175000</c:v>
                </c:pt>
                <c:pt idx="737">
                  <c:v>175000</c:v>
                </c:pt>
                <c:pt idx="738">
                  <c:v>175000</c:v>
                </c:pt>
                <c:pt idx="739">
                  <c:v>175000</c:v>
                </c:pt>
                <c:pt idx="740">
                  <c:v>175000</c:v>
                </c:pt>
                <c:pt idx="741">
                  <c:v>175000</c:v>
                </c:pt>
                <c:pt idx="742">
                  <c:v>175000</c:v>
                </c:pt>
                <c:pt idx="743">
                  <c:v>175000</c:v>
                </c:pt>
                <c:pt idx="744">
                  <c:v>175000</c:v>
                </c:pt>
                <c:pt idx="745">
                  <c:v>175000</c:v>
                </c:pt>
                <c:pt idx="746">
                  <c:v>175000</c:v>
                </c:pt>
                <c:pt idx="747">
                  <c:v>175000</c:v>
                </c:pt>
                <c:pt idx="748">
                  <c:v>175000</c:v>
                </c:pt>
                <c:pt idx="749">
                  <c:v>175000</c:v>
                </c:pt>
                <c:pt idx="750">
                  <c:v>175000</c:v>
                </c:pt>
                <c:pt idx="751">
                  <c:v>175000</c:v>
                </c:pt>
                <c:pt idx="752">
                  <c:v>175000</c:v>
                </c:pt>
                <c:pt idx="753">
                  <c:v>175000</c:v>
                </c:pt>
                <c:pt idx="754">
                  <c:v>175000</c:v>
                </c:pt>
                <c:pt idx="755">
                  <c:v>175000</c:v>
                </c:pt>
                <c:pt idx="756">
                  <c:v>175000</c:v>
                </c:pt>
                <c:pt idx="757">
                  <c:v>175000</c:v>
                </c:pt>
                <c:pt idx="758">
                  <c:v>175000</c:v>
                </c:pt>
                <c:pt idx="759">
                  <c:v>175000</c:v>
                </c:pt>
                <c:pt idx="760">
                  <c:v>175000</c:v>
                </c:pt>
                <c:pt idx="761">
                  <c:v>165000</c:v>
                </c:pt>
                <c:pt idx="762">
                  <c:v>165000</c:v>
                </c:pt>
                <c:pt idx="763">
                  <c:v>165000</c:v>
                </c:pt>
                <c:pt idx="764">
                  <c:v>165000</c:v>
                </c:pt>
                <c:pt idx="765">
                  <c:v>165000</c:v>
                </c:pt>
                <c:pt idx="766">
                  <c:v>165000</c:v>
                </c:pt>
                <c:pt idx="767">
                  <c:v>165000</c:v>
                </c:pt>
                <c:pt idx="768">
                  <c:v>165000</c:v>
                </c:pt>
                <c:pt idx="769">
                  <c:v>165000</c:v>
                </c:pt>
                <c:pt idx="770">
                  <c:v>165000</c:v>
                </c:pt>
                <c:pt idx="771">
                  <c:v>165000</c:v>
                </c:pt>
                <c:pt idx="772">
                  <c:v>165000</c:v>
                </c:pt>
                <c:pt idx="773">
                  <c:v>165000</c:v>
                </c:pt>
                <c:pt idx="774">
                  <c:v>165000</c:v>
                </c:pt>
                <c:pt idx="775">
                  <c:v>165000</c:v>
                </c:pt>
                <c:pt idx="776">
                  <c:v>165000</c:v>
                </c:pt>
                <c:pt idx="777">
                  <c:v>165000</c:v>
                </c:pt>
                <c:pt idx="778">
                  <c:v>165000</c:v>
                </c:pt>
                <c:pt idx="779">
                  <c:v>165000</c:v>
                </c:pt>
                <c:pt idx="780">
                  <c:v>165000</c:v>
                </c:pt>
                <c:pt idx="781">
                  <c:v>165000</c:v>
                </c:pt>
                <c:pt idx="782">
                  <c:v>165000</c:v>
                </c:pt>
                <c:pt idx="783">
                  <c:v>165000</c:v>
                </c:pt>
                <c:pt idx="784">
                  <c:v>165000</c:v>
                </c:pt>
                <c:pt idx="785">
                  <c:v>165000</c:v>
                </c:pt>
                <c:pt idx="786">
                  <c:v>165000</c:v>
                </c:pt>
                <c:pt idx="787">
                  <c:v>165000</c:v>
                </c:pt>
                <c:pt idx="788">
                  <c:v>165000</c:v>
                </c:pt>
                <c:pt idx="789">
                  <c:v>165000</c:v>
                </c:pt>
                <c:pt idx="790">
                  <c:v>165000</c:v>
                </c:pt>
                <c:pt idx="791">
                  <c:v>165000</c:v>
                </c:pt>
                <c:pt idx="792">
                  <c:v>165000</c:v>
                </c:pt>
                <c:pt idx="793">
                  <c:v>165000</c:v>
                </c:pt>
                <c:pt idx="794">
                  <c:v>165000</c:v>
                </c:pt>
                <c:pt idx="795">
                  <c:v>165000</c:v>
                </c:pt>
                <c:pt idx="796">
                  <c:v>165000</c:v>
                </c:pt>
                <c:pt idx="797">
                  <c:v>165000</c:v>
                </c:pt>
                <c:pt idx="798">
                  <c:v>165000</c:v>
                </c:pt>
                <c:pt idx="799">
                  <c:v>165000</c:v>
                </c:pt>
                <c:pt idx="800">
                  <c:v>165000</c:v>
                </c:pt>
                <c:pt idx="801">
                  <c:v>165000</c:v>
                </c:pt>
                <c:pt idx="802">
                  <c:v>165000</c:v>
                </c:pt>
                <c:pt idx="803">
                  <c:v>165000</c:v>
                </c:pt>
                <c:pt idx="804">
                  <c:v>165000</c:v>
                </c:pt>
                <c:pt idx="805">
                  <c:v>165000</c:v>
                </c:pt>
                <c:pt idx="806">
                  <c:v>165000</c:v>
                </c:pt>
                <c:pt idx="807">
                  <c:v>165000</c:v>
                </c:pt>
                <c:pt idx="808">
                  <c:v>165000</c:v>
                </c:pt>
                <c:pt idx="809">
                  <c:v>165000</c:v>
                </c:pt>
                <c:pt idx="810">
                  <c:v>165000</c:v>
                </c:pt>
                <c:pt idx="811">
                  <c:v>165000</c:v>
                </c:pt>
                <c:pt idx="812">
                  <c:v>165000</c:v>
                </c:pt>
                <c:pt idx="813">
                  <c:v>165000</c:v>
                </c:pt>
                <c:pt idx="814">
                  <c:v>165000</c:v>
                </c:pt>
                <c:pt idx="815">
                  <c:v>165000</c:v>
                </c:pt>
                <c:pt idx="816">
                  <c:v>165000</c:v>
                </c:pt>
                <c:pt idx="817">
                  <c:v>165000</c:v>
                </c:pt>
                <c:pt idx="818">
                  <c:v>165000</c:v>
                </c:pt>
                <c:pt idx="819">
                  <c:v>165000</c:v>
                </c:pt>
                <c:pt idx="820">
                  <c:v>165000</c:v>
                </c:pt>
                <c:pt idx="821">
                  <c:v>165000</c:v>
                </c:pt>
                <c:pt idx="822">
                  <c:v>165000</c:v>
                </c:pt>
                <c:pt idx="823">
                  <c:v>165000</c:v>
                </c:pt>
                <c:pt idx="824">
                  <c:v>165000</c:v>
                </c:pt>
                <c:pt idx="825">
                  <c:v>165000</c:v>
                </c:pt>
                <c:pt idx="826">
                  <c:v>165000</c:v>
                </c:pt>
                <c:pt idx="827">
                  <c:v>165000</c:v>
                </c:pt>
                <c:pt idx="828">
                  <c:v>165000</c:v>
                </c:pt>
                <c:pt idx="829">
                  <c:v>165000</c:v>
                </c:pt>
                <c:pt idx="830">
                  <c:v>165000</c:v>
                </c:pt>
                <c:pt idx="831">
                  <c:v>165000</c:v>
                </c:pt>
                <c:pt idx="832">
                  <c:v>165000</c:v>
                </c:pt>
                <c:pt idx="833">
                  <c:v>165000</c:v>
                </c:pt>
                <c:pt idx="834">
                  <c:v>165000</c:v>
                </c:pt>
                <c:pt idx="835">
                  <c:v>165000</c:v>
                </c:pt>
                <c:pt idx="836">
                  <c:v>165000</c:v>
                </c:pt>
                <c:pt idx="837">
                  <c:v>165000</c:v>
                </c:pt>
                <c:pt idx="838">
                  <c:v>165000</c:v>
                </c:pt>
                <c:pt idx="839">
                  <c:v>165000</c:v>
                </c:pt>
                <c:pt idx="840">
                  <c:v>165000</c:v>
                </c:pt>
                <c:pt idx="841">
                  <c:v>165000</c:v>
                </c:pt>
                <c:pt idx="842">
                  <c:v>165000</c:v>
                </c:pt>
                <c:pt idx="843">
                  <c:v>165000</c:v>
                </c:pt>
                <c:pt idx="844">
                  <c:v>165000</c:v>
                </c:pt>
                <c:pt idx="845">
                  <c:v>165000</c:v>
                </c:pt>
                <c:pt idx="846">
                  <c:v>165000</c:v>
                </c:pt>
                <c:pt idx="847">
                  <c:v>165000</c:v>
                </c:pt>
                <c:pt idx="848">
                  <c:v>165000</c:v>
                </c:pt>
                <c:pt idx="849">
                  <c:v>165000</c:v>
                </c:pt>
                <c:pt idx="850">
                  <c:v>165000</c:v>
                </c:pt>
                <c:pt idx="851">
                  <c:v>165000</c:v>
                </c:pt>
                <c:pt idx="852">
                  <c:v>165000</c:v>
                </c:pt>
                <c:pt idx="853">
                  <c:v>165000</c:v>
                </c:pt>
                <c:pt idx="854">
                  <c:v>165000</c:v>
                </c:pt>
                <c:pt idx="855">
                  <c:v>165000</c:v>
                </c:pt>
                <c:pt idx="856">
                  <c:v>165000</c:v>
                </c:pt>
                <c:pt idx="857">
                  <c:v>165000</c:v>
                </c:pt>
                <c:pt idx="858">
                  <c:v>165000</c:v>
                </c:pt>
                <c:pt idx="859">
                  <c:v>165000</c:v>
                </c:pt>
                <c:pt idx="860">
                  <c:v>165000</c:v>
                </c:pt>
                <c:pt idx="861">
                  <c:v>165000</c:v>
                </c:pt>
                <c:pt idx="862">
                  <c:v>165000</c:v>
                </c:pt>
                <c:pt idx="863">
                  <c:v>165000</c:v>
                </c:pt>
                <c:pt idx="864">
                  <c:v>165000</c:v>
                </c:pt>
                <c:pt idx="865">
                  <c:v>165000</c:v>
                </c:pt>
                <c:pt idx="866">
                  <c:v>165000</c:v>
                </c:pt>
                <c:pt idx="867">
                  <c:v>165000</c:v>
                </c:pt>
                <c:pt idx="868">
                  <c:v>165000</c:v>
                </c:pt>
                <c:pt idx="869">
                  <c:v>165000</c:v>
                </c:pt>
                <c:pt idx="870">
                  <c:v>165000</c:v>
                </c:pt>
                <c:pt idx="871">
                  <c:v>165000</c:v>
                </c:pt>
                <c:pt idx="872">
                  <c:v>165000</c:v>
                </c:pt>
                <c:pt idx="873">
                  <c:v>165000</c:v>
                </c:pt>
                <c:pt idx="874">
                  <c:v>165000</c:v>
                </c:pt>
                <c:pt idx="875">
                  <c:v>165000</c:v>
                </c:pt>
                <c:pt idx="876">
                  <c:v>165000</c:v>
                </c:pt>
                <c:pt idx="877">
                  <c:v>165000</c:v>
                </c:pt>
                <c:pt idx="878">
                  <c:v>165000</c:v>
                </c:pt>
                <c:pt idx="879">
                  <c:v>165000</c:v>
                </c:pt>
                <c:pt idx="880">
                  <c:v>165000</c:v>
                </c:pt>
                <c:pt idx="881">
                  <c:v>165000</c:v>
                </c:pt>
                <c:pt idx="882">
                  <c:v>165000</c:v>
                </c:pt>
                <c:pt idx="883">
                  <c:v>165000</c:v>
                </c:pt>
                <c:pt idx="884">
                  <c:v>165000</c:v>
                </c:pt>
                <c:pt idx="885">
                  <c:v>165000</c:v>
                </c:pt>
                <c:pt idx="886">
                  <c:v>165000</c:v>
                </c:pt>
                <c:pt idx="887">
                  <c:v>165000</c:v>
                </c:pt>
                <c:pt idx="888">
                  <c:v>165000</c:v>
                </c:pt>
                <c:pt idx="889">
                  <c:v>165000</c:v>
                </c:pt>
                <c:pt idx="890">
                  <c:v>165000</c:v>
                </c:pt>
                <c:pt idx="891">
                  <c:v>165000</c:v>
                </c:pt>
                <c:pt idx="892">
                  <c:v>165000</c:v>
                </c:pt>
                <c:pt idx="893">
                  <c:v>165000</c:v>
                </c:pt>
                <c:pt idx="894">
                  <c:v>165000</c:v>
                </c:pt>
                <c:pt idx="895">
                  <c:v>165000</c:v>
                </c:pt>
                <c:pt idx="896">
                  <c:v>165000</c:v>
                </c:pt>
                <c:pt idx="897">
                  <c:v>165000</c:v>
                </c:pt>
                <c:pt idx="898">
                  <c:v>165000</c:v>
                </c:pt>
                <c:pt idx="899">
                  <c:v>165000</c:v>
                </c:pt>
                <c:pt idx="900">
                  <c:v>165000</c:v>
                </c:pt>
                <c:pt idx="901">
                  <c:v>165000</c:v>
                </c:pt>
                <c:pt idx="902">
                  <c:v>165000</c:v>
                </c:pt>
                <c:pt idx="903">
                  <c:v>165000</c:v>
                </c:pt>
                <c:pt idx="904">
                  <c:v>165000</c:v>
                </c:pt>
                <c:pt idx="905">
                  <c:v>165000</c:v>
                </c:pt>
                <c:pt idx="906">
                  <c:v>165000</c:v>
                </c:pt>
                <c:pt idx="907">
                  <c:v>165000</c:v>
                </c:pt>
                <c:pt idx="908">
                  <c:v>165000</c:v>
                </c:pt>
                <c:pt idx="909">
                  <c:v>165000</c:v>
                </c:pt>
                <c:pt idx="910">
                  <c:v>165000</c:v>
                </c:pt>
                <c:pt idx="911">
                  <c:v>165000</c:v>
                </c:pt>
                <c:pt idx="912">
                  <c:v>175000</c:v>
                </c:pt>
                <c:pt idx="913">
                  <c:v>175000</c:v>
                </c:pt>
                <c:pt idx="914">
                  <c:v>175000</c:v>
                </c:pt>
                <c:pt idx="915">
                  <c:v>175000</c:v>
                </c:pt>
                <c:pt idx="916">
                  <c:v>175000</c:v>
                </c:pt>
                <c:pt idx="917">
                  <c:v>175000</c:v>
                </c:pt>
                <c:pt idx="918">
                  <c:v>175000</c:v>
                </c:pt>
                <c:pt idx="919">
                  <c:v>175000</c:v>
                </c:pt>
                <c:pt idx="920">
                  <c:v>175000</c:v>
                </c:pt>
                <c:pt idx="921">
                  <c:v>175000</c:v>
                </c:pt>
                <c:pt idx="922">
                  <c:v>175000</c:v>
                </c:pt>
                <c:pt idx="923">
                  <c:v>175000</c:v>
                </c:pt>
                <c:pt idx="924">
                  <c:v>175000</c:v>
                </c:pt>
                <c:pt idx="925">
                  <c:v>175000</c:v>
                </c:pt>
                <c:pt idx="926">
                  <c:v>175000</c:v>
                </c:pt>
                <c:pt idx="927">
                  <c:v>175000</c:v>
                </c:pt>
                <c:pt idx="928">
                  <c:v>175000</c:v>
                </c:pt>
                <c:pt idx="929">
                  <c:v>175000</c:v>
                </c:pt>
                <c:pt idx="930">
                  <c:v>175000</c:v>
                </c:pt>
                <c:pt idx="931">
                  <c:v>175000</c:v>
                </c:pt>
                <c:pt idx="932">
                  <c:v>175000</c:v>
                </c:pt>
                <c:pt idx="933">
                  <c:v>175000</c:v>
                </c:pt>
                <c:pt idx="934">
                  <c:v>175000</c:v>
                </c:pt>
                <c:pt idx="935">
                  <c:v>175000</c:v>
                </c:pt>
                <c:pt idx="936">
                  <c:v>175000</c:v>
                </c:pt>
                <c:pt idx="937">
                  <c:v>175000</c:v>
                </c:pt>
                <c:pt idx="938">
                  <c:v>175000</c:v>
                </c:pt>
                <c:pt idx="939">
                  <c:v>175000</c:v>
                </c:pt>
                <c:pt idx="940">
                  <c:v>175000</c:v>
                </c:pt>
                <c:pt idx="941">
                  <c:v>175000</c:v>
                </c:pt>
                <c:pt idx="942">
                  <c:v>175000</c:v>
                </c:pt>
                <c:pt idx="943">
                  <c:v>175000</c:v>
                </c:pt>
                <c:pt idx="944">
                  <c:v>175000</c:v>
                </c:pt>
                <c:pt idx="945">
                  <c:v>175000</c:v>
                </c:pt>
                <c:pt idx="946">
                  <c:v>175000</c:v>
                </c:pt>
                <c:pt idx="947">
                  <c:v>175000</c:v>
                </c:pt>
                <c:pt idx="948">
                  <c:v>175000</c:v>
                </c:pt>
                <c:pt idx="949">
                  <c:v>175000</c:v>
                </c:pt>
                <c:pt idx="950">
                  <c:v>175000</c:v>
                </c:pt>
                <c:pt idx="951">
                  <c:v>175000</c:v>
                </c:pt>
                <c:pt idx="952">
                  <c:v>175000</c:v>
                </c:pt>
                <c:pt idx="953">
                  <c:v>175000</c:v>
                </c:pt>
                <c:pt idx="954">
                  <c:v>175000</c:v>
                </c:pt>
                <c:pt idx="955">
                  <c:v>175000</c:v>
                </c:pt>
                <c:pt idx="956">
                  <c:v>175000</c:v>
                </c:pt>
                <c:pt idx="957">
                  <c:v>175000</c:v>
                </c:pt>
                <c:pt idx="958">
                  <c:v>175000</c:v>
                </c:pt>
                <c:pt idx="959">
                  <c:v>175000</c:v>
                </c:pt>
                <c:pt idx="960">
                  <c:v>175000</c:v>
                </c:pt>
                <c:pt idx="961">
                  <c:v>175000</c:v>
                </c:pt>
                <c:pt idx="962">
                  <c:v>175000</c:v>
                </c:pt>
                <c:pt idx="963">
                  <c:v>175000</c:v>
                </c:pt>
                <c:pt idx="964">
                  <c:v>175000</c:v>
                </c:pt>
                <c:pt idx="965">
                  <c:v>175000</c:v>
                </c:pt>
                <c:pt idx="966">
                  <c:v>175000</c:v>
                </c:pt>
                <c:pt idx="967">
                  <c:v>175000</c:v>
                </c:pt>
                <c:pt idx="968">
                  <c:v>175000</c:v>
                </c:pt>
                <c:pt idx="969">
                  <c:v>175000</c:v>
                </c:pt>
                <c:pt idx="970">
                  <c:v>175000</c:v>
                </c:pt>
                <c:pt idx="971">
                  <c:v>175000</c:v>
                </c:pt>
                <c:pt idx="972">
                  <c:v>175000</c:v>
                </c:pt>
                <c:pt idx="973">
                  <c:v>175000</c:v>
                </c:pt>
                <c:pt idx="974">
                  <c:v>175000</c:v>
                </c:pt>
                <c:pt idx="975">
                  <c:v>175000</c:v>
                </c:pt>
                <c:pt idx="976">
                  <c:v>175000</c:v>
                </c:pt>
                <c:pt idx="977">
                  <c:v>175000</c:v>
                </c:pt>
                <c:pt idx="978">
                  <c:v>175000</c:v>
                </c:pt>
                <c:pt idx="979">
                  <c:v>175000</c:v>
                </c:pt>
                <c:pt idx="980">
                  <c:v>175000</c:v>
                </c:pt>
                <c:pt idx="981">
                  <c:v>175000</c:v>
                </c:pt>
                <c:pt idx="982">
                  <c:v>175000</c:v>
                </c:pt>
                <c:pt idx="983">
                  <c:v>175000</c:v>
                </c:pt>
                <c:pt idx="984">
                  <c:v>175000</c:v>
                </c:pt>
                <c:pt idx="985">
                  <c:v>175000</c:v>
                </c:pt>
                <c:pt idx="986">
                  <c:v>175000</c:v>
                </c:pt>
                <c:pt idx="987">
                  <c:v>175000</c:v>
                </c:pt>
                <c:pt idx="988">
                  <c:v>175000</c:v>
                </c:pt>
                <c:pt idx="989">
                  <c:v>175000</c:v>
                </c:pt>
                <c:pt idx="990">
                  <c:v>175000</c:v>
                </c:pt>
                <c:pt idx="991">
                  <c:v>175000</c:v>
                </c:pt>
                <c:pt idx="992">
                  <c:v>175000</c:v>
                </c:pt>
                <c:pt idx="993">
                  <c:v>175000</c:v>
                </c:pt>
                <c:pt idx="994">
                  <c:v>175000</c:v>
                </c:pt>
                <c:pt idx="995">
                  <c:v>175000</c:v>
                </c:pt>
                <c:pt idx="996">
                  <c:v>175000</c:v>
                </c:pt>
                <c:pt idx="997">
                  <c:v>175000</c:v>
                </c:pt>
                <c:pt idx="998">
                  <c:v>175000</c:v>
                </c:pt>
                <c:pt idx="999">
                  <c:v>175000</c:v>
                </c:pt>
                <c:pt idx="1000">
                  <c:v>175000</c:v>
                </c:pt>
                <c:pt idx="1001">
                  <c:v>175000</c:v>
                </c:pt>
                <c:pt idx="1002">
                  <c:v>175000</c:v>
                </c:pt>
                <c:pt idx="1003">
                  <c:v>175000</c:v>
                </c:pt>
                <c:pt idx="1004">
                  <c:v>175000</c:v>
                </c:pt>
                <c:pt idx="1005">
                  <c:v>175000</c:v>
                </c:pt>
                <c:pt idx="1006">
                  <c:v>175000</c:v>
                </c:pt>
                <c:pt idx="1007">
                  <c:v>175000</c:v>
                </c:pt>
                <c:pt idx="1008">
                  <c:v>175000</c:v>
                </c:pt>
                <c:pt idx="1009">
                  <c:v>175000</c:v>
                </c:pt>
                <c:pt idx="1010">
                  <c:v>175000</c:v>
                </c:pt>
                <c:pt idx="1011">
                  <c:v>175000</c:v>
                </c:pt>
                <c:pt idx="1012">
                  <c:v>175000</c:v>
                </c:pt>
                <c:pt idx="1013">
                  <c:v>175000</c:v>
                </c:pt>
                <c:pt idx="1014">
                  <c:v>175000</c:v>
                </c:pt>
                <c:pt idx="1015">
                  <c:v>175000</c:v>
                </c:pt>
                <c:pt idx="1016">
                  <c:v>175000</c:v>
                </c:pt>
                <c:pt idx="1017">
                  <c:v>175000</c:v>
                </c:pt>
                <c:pt idx="1018">
                  <c:v>175000</c:v>
                </c:pt>
                <c:pt idx="1019">
                  <c:v>175000</c:v>
                </c:pt>
                <c:pt idx="1020">
                  <c:v>175000</c:v>
                </c:pt>
                <c:pt idx="1021">
                  <c:v>175000</c:v>
                </c:pt>
                <c:pt idx="1022">
                  <c:v>175000</c:v>
                </c:pt>
                <c:pt idx="1023">
                  <c:v>175000</c:v>
                </c:pt>
                <c:pt idx="1024">
                  <c:v>175000</c:v>
                </c:pt>
                <c:pt idx="1025">
                  <c:v>175000</c:v>
                </c:pt>
                <c:pt idx="1026">
                  <c:v>175000</c:v>
                </c:pt>
                <c:pt idx="1027">
                  <c:v>175000</c:v>
                </c:pt>
                <c:pt idx="1028">
                  <c:v>175000</c:v>
                </c:pt>
                <c:pt idx="1029">
                  <c:v>175000</c:v>
                </c:pt>
                <c:pt idx="1030">
                  <c:v>175000</c:v>
                </c:pt>
                <c:pt idx="1031">
                  <c:v>175000</c:v>
                </c:pt>
                <c:pt idx="1032">
                  <c:v>175000</c:v>
                </c:pt>
                <c:pt idx="1033">
                  <c:v>175000</c:v>
                </c:pt>
                <c:pt idx="1034">
                  <c:v>175000</c:v>
                </c:pt>
                <c:pt idx="1035">
                  <c:v>175000</c:v>
                </c:pt>
                <c:pt idx="1036">
                  <c:v>175000</c:v>
                </c:pt>
                <c:pt idx="1037">
                  <c:v>175000</c:v>
                </c:pt>
                <c:pt idx="1038">
                  <c:v>175000</c:v>
                </c:pt>
                <c:pt idx="1039">
                  <c:v>175000</c:v>
                </c:pt>
                <c:pt idx="1040">
                  <c:v>175000</c:v>
                </c:pt>
                <c:pt idx="1041">
                  <c:v>175000</c:v>
                </c:pt>
                <c:pt idx="1042">
                  <c:v>175000</c:v>
                </c:pt>
                <c:pt idx="1043">
                  <c:v>175000</c:v>
                </c:pt>
                <c:pt idx="1044">
                  <c:v>175000</c:v>
                </c:pt>
                <c:pt idx="1045">
                  <c:v>175000</c:v>
                </c:pt>
                <c:pt idx="1046">
                  <c:v>175000</c:v>
                </c:pt>
                <c:pt idx="1047">
                  <c:v>175000</c:v>
                </c:pt>
                <c:pt idx="1048">
                  <c:v>175000</c:v>
                </c:pt>
                <c:pt idx="1049">
                  <c:v>175000</c:v>
                </c:pt>
                <c:pt idx="1050">
                  <c:v>175000</c:v>
                </c:pt>
                <c:pt idx="1051">
                  <c:v>175000</c:v>
                </c:pt>
                <c:pt idx="1052">
                  <c:v>175000</c:v>
                </c:pt>
                <c:pt idx="1053">
                  <c:v>175000</c:v>
                </c:pt>
                <c:pt idx="1054">
                  <c:v>175000</c:v>
                </c:pt>
                <c:pt idx="1055">
                  <c:v>175000</c:v>
                </c:pt>
                <c:pt idx="1056">
                  <c:v>175000</c:v>
                </c:pt>
                <c:pt idx="1057">
                  <c:v>175000</c:v>
                </c:pt>
                <c:pt idx="1058">
                  <c:v>175000</c:v>
                </c:pt>
                <c:pt idx="1059">
                  <c:v>175000</c:v>
                </c:pt>
                <c:pt idx="1060">
                  <c:v>175000</c:v>
                </c:pt>
                <c:pt idx="1061">
                  <c:v>175000</c:v>
                </c:pt>
                <c:pt idx="1062">
                  <c:v>175000</c:v>
                </c:pt>
                <c:pt idx="1063">
                  <c:v>175000</c:v>
                </c:pt>
                <c:pt idx="1064">
                  <c:v>175000</c:v>
                </c:pt>
                <c:pt idx="1065">
                  <c:v>175000</c:v>
                </c:pt>
                <c:pt idx="1066">
                  <c:v>175000</c:v>
                </c:pt>
                <c:pt idx="1067">
                  <c:v>175000</c:v>
                </c:pt>
                <c:pt idx="1068">
                  <c:v>175000</c:v>
                </c:pt>
                <c:pt idx="1069">
                  <c:v>175000</c:v>
                </c:pt>
                <c:pt idx="1070">
                  <c:v>175000</c:v>
                </c:pt>
                <c:pt idx="1071">
                  <c:v>175000</c:v>
                </c:pt>
                <c:pt idx="1072">
                  <c:v>175000</c:v>
                </c:pt>
                <c:pt idx="1073">
                  <c:v>175000</c:v>
                </c:pt>
                <c:pt idx="1074">
                  <c:v>175000</c:v>
                </c:pt>
                <c:pt idx="1075">
                  <c:v>175000</c:v>
                </c:pt>
                <c:pt idx="1076">
                  <c:v>175000</c:v>
                </c:pt>
                <c:pt idx="1077">
                  <c:v>175000</c:v>
                </c:pt>
                <c:pt idx="1078">
                  <c:v>175000</c:v>
                </c:pt>
                <c:pt idx="1079">
                  <c:v>175000</c:v>
                </c:pt>
                <c:pt idx="1080">
                  <c:v>175000</c:v>
                </c:pt>
                <c:pt idx="1081">
                  <c:v>175000</c:v>
                </c:pt>
                <c:pt idx="1082">
                  <c:v>175000</c:v>
                </c:pt>
                <c:pt idx="1083">
                  <c:v>175000</c:v>
                </c:pt>
                <c:pt idx="1084">
                  <c:v>175000</c:v>
                </c:pt>
                <c:pt idx="1085">
                  <c:v>175000</c:v>
                </c:pt>
                <c:pt idx="1086">
                  <c:v>175000</c:v>
                </c:pt>
                <c:pt idx="1087">
                  <c:v>175000</c:v>
                </c:pt>
                <c:pt idx="1088">
                  <c:v>175000</c:v>
                </c:pt>
                <c:pt idx="1089">
                  <c:v>175000</c:v>
                </c:pt>
                <c:pt idx="1090">
                  <c:v>175000</c:v>
                </c:pt>
                <c:pt idx="1091">
                  <c:v>175000</c:v>
                </c:pt>
                <c:pt idx="1092">
                  <c:v>175000</c:v>
                </c:pt>
                <c:pt idx="1093">
                  <c:v>175000</c:v>
                </c:pt>
                <c:pt idx="1094">
                  <c:v>175000</c:v>
                </c:pt>
              </c:numCache>
            </c:numRef>
          </c:val>
          <c:smooth val="0"/>
          <c:extLst>
            <c:ext xmlns:c16="http://schemas.microsoft.com/office/drawing/2014/chart" uri="{C3380CC4-5D6E-409C-BE32-E72D297353CC}">
              <c16:uniqueId val="{00000003-9591-4B62-A8F7-8DB323489835}"/>
            </c:ext>
          </c:extLst>
        </c:ser>
        <c:dLbls>
          <c:showLegendKey val="0"/>
          <c:showVal val="0"/>
          <c:showCatName val="0"/>
          <c:showSerName val="0"/>
          <c:showPercent val="0"/>
          <c:showBubbleSize val="0"/>
        </c:dLbls>
        <c:marker val="1"/>
        <c:smooth val="0"/>
        <c:axId val="1106302864"/>
        <c:axId val="1106308848"/>
        <c:extLst>
          <c:ext xmlns:c15="http://schemas.microsoft.com/office/drawing/2012/chart" uri="{02D57815-91ED-43cb-92C2-25804820EDAC}">
            <c15:filteredLineSeries>
              <c15:ser>
                <c:idx val="2"/>
                <c:order val="2"/>
                <c:tx>
                  <c:strRef>
                    <c:extLst>
                      <c:ext uri="{02D57815-91ED-43cb-92C2-25804820EDAC}">
                        <c15:formulaRef>
                          <c15:sqref>PITTL!$U$1</c15:sqref>
                        </c15:formulaRef>
                      </c:ext>
                    </c:extLst>
                    <c:strCache>
                      <c:ptCount val="1"/>
                      <c:pt idx="0">
                        <c:v>Physical flow (FR-&gt;SP)</c:v>
                      </c:pt>
                    </c:strCache>
                  </c:strRef>
                </c:tx>
                <c:spPr>
                  <a:ln w="19050" cap="rnd">
                    <a:solidFill>
                      <a:schemeClr val="accent6"/>
                    </a:solidFill>
                    <a:round/>
                  </a:ln>
                  <a:effectLst/>
                </c:spPr>
                <c:marker>
                  <c:symbol val="none"/>
                </c:marker>
                <c:cat>
                  <c:numRef>
                    <c:extLst>
                      <c:ext uri="{02D57815-91ED-43cb-92C2-25804820EDAC}">
                        <c15:formulaRef>
                          <c15:sqref>PITTL!$A$2:$A$1096</c15:sqref>
                        </c15:formulaRef>
                      </c:ext>
                    </c:extLst>
                    <c:numCache>
                      <c:formatCode>m/d/yyyy</c:formatCode>
                      <c:ptCount val="109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pt idx="365">
                        <c:v>43009</c:v>
                      </c:pt>
                      <c:pt idx="366">
                        <c:v>43010</c:v>
                      </c:pt>
                      <c:pt idx="367">
                        <c:v>43011</c:v>
                      </c:pt>
                      <c:pt idx="368">
                        <c:v>43012</c:v>
                      </c:pt>
                      <c:pt idx="369">
                        <c:v>43013</c:v>
                      </c:pt>
                      <c:pt idx="370">
                        <c:v>43014</c:v>
                      </c:pt>
                      <c:pt idx="371">
                        <c:v>43015</c:v>
                      </c:pt>
                      <c:pt idx="372">
                        <c:v>43016</c:v>
                      </c:pt>
                      <c:pt idx="373">
                        <c:v>43017</c:v>
                      </c:pt>
                      <c:pt idx="374">
                        <c:v>43018</c:v>
                      </c:pt>
                      <c:pt idx="375">
                        <c:v>43019</c:v>
                      </c:pt>
                      <c:pt idx="376">
                        <c:v>43020</c:v>
                      </c:pt>
                      <c:pt idx="377">
                        <c:v>43021</c:v>
                      </c:pt>
                      <c:pt idx="378">
                        <c:v>43022</c:v>
                      </c:pt>
                      <c:pt idx="379">
                        <c:v>43023</c:v>
                      </c:pt>
                      <c:pt idx="380">
                        <c:v>43024</c:v>
                      </c:pt>
                      <c:pt idx="381">
                        <c:v>43025</c:v>
                      </c:pt>
                      <c:pt idx="382">
                        <c:v>43026</c:v>
                      </c:pt>
                      <c:pt idx="383">
                        <c:v>43027</c:v>
                      </c:pt>
                      <c:pt idx="384">
                        <c:v>43028</c:v>
                      </c:pt>
                      <c:pt idx="385">
                        <c:v>43029</c:v>
                      </c:pt>
                      <c:pt idx="386">
                        <c:v>43030</c:v>
                      </c:pt>
                      <c:pt idx="387">
                        <c:v>43031</c:v>
                      </c:pt>
                      <c:pt idx="388">
                        <c:v>43032</c:v>
                      </c:pt>
                      <c:pt idx="389">
                        <c:v>43033</c:v>
                      </c:pt>
                      <c:pt idx="390">
                        <c:v>43034</c:v>
                      </c:pt>
                      <c:pt idx="391">
                        <c:v>43035</c:v>
                      </c:pt>
                      <c:pt idx="392">
                        <c:v>43036</c:v>
                      </c:pt>
                      <c:pt idx="393">
                        <c:v>43037</c:v>
                      </c:pt>
                      <c:pt idx="394">
                        <c:v>43038</c:v>
                      </c:pt>
                      <c:pt idx="395">
                        <c:v>43039</c:v>
                      </c:pt>
                      <c:pt idx="396">
                        <c:v>43040</c:v>
                      </c:pt>
                      <c:pt idx="397">
                        <c:v>43041</c:v>
                      </c:pt>
                      <c:pt idx="398">
                        <c:v>43042</c:v>
                      </c:pt>
                      <c:pt idx="399">
                        <c:v>43043</c:v>
                      </c:pt>
                      <c:pt idx="400">
                        <c:v>43044</c:v>
                      </c:pt>
                      <c:pt idx="401">
                        <c:v>43045</c:v>
                      </c:pt>
                      <c:pt idx="402">
                        <c:v>43046</c:v>
                      </c:pt>
                      <c:pt idx="403">
                        <c:v>43047</c:v>
                      </c:pt>
                      <c:pt idx="404">
                        <c:v>43048</c:v>
                      </c:pt>
                      <c:pt idx="405">
                        <c:v>43049</c:v>
                      </c:pt>
                      <c:pt idx="406">
                        <c:v>43050</c:v>
                      </c:pt>
                      <c:pt idx="407">
                        <c:v>43051</c:v>
                      </c:pt>
                      <c:pt idx="408">
                        <c:v>43052</c:v>
                      </c:pt>
                      <c:pt idx="409">
                        <c:v>43053</c:v>
                      </c:pt>
                      <c:pt idx="410">
                        <c:v>43054</c:v>
                      </c:pt>
                      <c:pt idx="411">
                        <c:v>43055</c:v>
                      </c:pt>
                      <c:pt idx="412">
                        <c:v>43056</c:v>
                      </c:pt>
                      <c:pt idx="413">
                        <c:v>43057</c:v>
                      </c:pt>
                      <c:pt idx="414">
                        <c:v>43058</c:v>
                      </c:pt>
                      <c:pt idx="415">
                        <c:v>43059</c:v>
                      </c:pt>
                      <c:pt idx="416">
                        <c:v>43060</c:v>
                      </c:pt>
                      <c:pt idx="417">
                        <c:v>43061</c:v>
                      </c:pt>
                      <c:pt idx="418">
                        <c:v>43062</c:v>
                      </c:pt>
                      <c:pt idx="419">
                        <c:v>43063</c:v>
                      </c:pt>
                      <c:pt idx="420">
                        <c:v>43064</c:v>
                      </c:pt>
                      <c:pt idx="421">
                        <c:v>43065</c:v>
                      </c:pt>
                      <c:pt idx="422">
                        <c:v>43066</c:v>
                      </c:pt>
                      <c:pt idx="423">
                        <c:v>43067</c:v>
                      </c:pt>
                      <c:pt idx="424">
                        <c:v>43068</c:v>
                      </c:pt>
                      <c:pt idx="425">
                        <c:v>43069</c:v>
                      </c:pt>
                      <c:pt idx="426">
                        <c:v>43070</c:v>
                      </c:pt>
                      <c:pt idx="427">
                        <c:v>43071</c:v>
                      </c:pt>
                      <c:pt idx="428">
                        <c:v>43072</c:v>
                      </c:pt>
                      <c:pt idx="429">
                        <c:v>43073</c:v>
                      </c:pt>
                      <c:pt idx="430">
                        <c:v>43074</c:v>
                      </c:pt>
                      <c:pt idx="431">
                        <c:v>43075</c:v>
                      </c:pt>
                      <c:pt idx="432">
                        <c:v>43076</c:v>
                      </c:pt>
                      <c:pt idx="433">
                        <c:v>43077</c:v>
                      </c:pt>
                      <c:pt idx="434">
                        <c:v>43078</c:v>
                      </c:pt>
                      <c:pt idx="435">
                        <c:v>43079</c:v>
                      </c:pt>
                      <c:pt idx="436">
                        <c:v>43080</c:v>
                      </c:pt>
                      <c:pt idx="437">
                        <c:v>43081</c:v>
                      </c:pt>
                      <c:pt idx="438">
                        <c:v>43082</c:v>
                      </c:pt>
                      <c:pt idx="439">
                        <c:v>43083</c:v>
                      </c:pt>
                      <c:pt idx="440">
                        <c:v>43084</c:v>
                      </c:pt>
                      <c:pt idx="441">
                        <c:v>43085</c:v>
                      </c:pt>
                      <c:pt idx="442">
                        <c:v>43086</c:v>
                      </c:pt>
                      <c:pt idx="443">
                        <c:v>43087</c:v>
                      </c:pt>
                      <c:pt idx="444">
                        <c:v>43088</c:v>
                      </c:pt>
                      <c:pt idx="445">
                        <c:v>43089</c:v>
                      </c:pt>
                      <c:pt idx="446">
                        <c:v>43090</c:v>
                      </c:pt>
                      <c:pt idx="447">
                        <c:v>43091</c:v>
                      </c:pt>
                      <c:pt idx="448">
                        <c:v>43092</c:v>
                      </c:pt>
                      <c:pt idx="449">
                        <c:v>43093</c:v>
                      </c:pt>
                      <c:pt idx="450">
                        <c:v>43094</c:v>
                      </c:pt>
                      <c:pt idx="451">
                        <c:v>43095</c:v>
                      </c:pt>
                      <c:pt idx="452">
                        <c:v>43096</c:v>
                      </c:pt>
                      <c:pt idx="453">
                        <c:v>43097</c:v>
                      </c:pt>
                      <c:pt idx="454">
                        <c:v>43098</c:v>
                      </c:pt>
                      <c:pt idx="455">
                        <c:v>43099</c:v>
                      </c:pt>
                      <c:pt idx="456">
                        <c:v>43100</c:v>
                      </c:pt>
                      <c:pt idx="457">
                        <c:v>43101</c:v>
                      </c:pt>
                      <c:pt idx="458">
                        <c:v>43102</c:v>
                      </c:pt>
                      <c:pt idx="459">
                        <c:v>43103</c:v>
                      </c:pt>
                      <c:pt idx="460">
                        <c:v>43104</c:v>
                      </c:pt>
                      <c:pt idx="461">
                        <c:v>43105</c:v>
                      </c:pt>
                      <c:pt idx="462">
                        <c:v>43106</c:v>
                      </c:pt>
                      <c:pt idx="463">
                        <c:v>43107</c:v>
                      </c:pt>
                      <c:pt idx="464">
                        <c:v>43108</c:v>
                      </c:pt>
                      <c:pt idx="465">
                        <c:v>43109</c:v>
                      </c:pt>
                      <c:pt idx="466">
                        <c:v>43110</c:v>
                      </c:pt>
                      <c:pt idx="467">
                        <c:v>43111</c:v>
                      </c:pt>
                      <c:pt idx="468">
                        <c:v>43112</c:v>
                      </c:pt>
                      <c:pt idx="469">
                        <c:v>43113</c:v>
                      </c:pt>
                      <c:pt idx="470">
                        <c:v>43114</c:v>
                      </c:pt>
                      <c:pt idx="471">
                        <c:v>43115</c:v>
                      </c:pt>
                      <c:pt idx="472">
                        <c:v>43116</c:v>
                      </c:pt>
                      <c:pt idx="473">
                        <c:v>43117</c:v>
                      </c:pt>
                      <c:pt idx="474">
                        <c:v>43118</c:v>
                      </c:pt>
                      <c:pt idx="475">
                        <c:v>43119</c:v>
                      </c:pt>
                      <c:pt idx="476">
                        <c:v>43120</c:v>
                      </c:pt>
                      <c:pt idx="477">
                        <c:v>43121</c:v>
                      </c:pt>
                      <c:pt idx="478">
                        <c:v>43122</c:v>
                      </c:pt>
                      <c:pt idx="479">
                        <c:v>43123</c:v>
                      </c:pt>
                      <c:pt idx="480">
                        <c:v>43124</c:v>
                      </c:pt>
                      <c:pt idx="481">
                        <c:v>43125</c:v>
                      </c:pt>
                      <c:pt idx="482">
                        <c:v>43126</c:v>
                      </c:pt>
                      <c:pt idx="483">
                        <c:v>43127</c:v>
                      </c:pt>
                      <c:pt idx="484">
                        <c:v>43128</c:v>
                      </c:pt>
                      <c:pt idx="485">
                        <c:v>43129</c:v>
                      </c:pt>
                      <c:pt idx="486">
                        <c:v>43130</c:v>
                      </c:pt>
                      <c:pt idx="487">
                        <c:v>43131</c:v>
                      </c:pt>
                      <c:pt idx="488">
                        <c:v>43132</c:v>
                      </c:pt>
                      <c:pt idx="489">
                        <c:v>43133</c:v>
                      </c:pt>
                      <c:pt idx="490">
                        <c:v>43134</c:v>
                      </c:pt>
                      <c:pt idx="491">
                        <c:v>43135</c:v>
                      </c:pt>
                      <c:pt idx="492">
                        <c:v>43136</c:v>
                      </c:pt>
                      <c:pt idx="493">
                        <c:v>43137</c:v>
                      </c:pt>
                      <c:pt idx="494">
                        <c:v>43138</c:v>
                      </c:pt>
                      <c:pt idx="495">
                        <c:v>43139</c:v>
                      </c:pt>
                      <c:pt idx="496">
                        <c:v>43140</c:v>
                      </c:pt>
                      <c:pt idx="497">
                        <c:v>43141</c:v>
                      </c:pt>
                      <c:pt idx="498">
                        <c:v>43142</c:v>
                      </c:pt>
                      <c:pt idx="499">
                        <c:v>43143</c:v>
                      </c:pt>
                      <c:pt idx="500">
                        <c:v>43144</c:v>
                      </c:pt>
                      <c:pt idx="501">
                        <c:v>43145</c:v>
                      </c:pt>
                      <c:pt idx="502">
                        <c:v>43146</c:v>
                      </c:pt>
                      <c:pt idx="503">
                        <c:v>43147</c:v>
                      </c:pt>
                      <c:pt idx="504">
                        <c:v>43148</c:v>
                      </c:pt>
                      <c:pt idx="505">
                        <c:v>43149</c:v>
                      </c:pt>
                      <c:pt idx="506">
                        <c:v>43150</c:v>
                      </c:pt>
                      <c:pt idx="507">
                        <c:v>43151</c:v>
                      </c:pt>
                      <c:pt idx="508">
                        <c:v>43152</c:v>
                      </c:pt>
                      <c:pt idx="509">
                        <c:v>43153</c:v>
                      </c:pt>
                      <c:pt idx="510">
                        <c:v>43154</c:v>
                      </c:pt>
                      <c:pt idx="511">
                        <c:v>43155</c:v>
                      </c:pt>
                      <c:pt idx="512">
                        <c:v>43156</c:v>
                      </c:pt>
                      <c:pt idx="513">
                        <c:v>43157</c:v>
                      </c:pt>
                      <c:pt idx="514">
                        <c:v>43158</c:v>
                      </c:pt>
                      <c:pt idx="515">
                        <c:v>43159</c:v>
                      </c:pt>
                      <c:pt idx="516">
                        <c:v>43160</c:v>
                      </c:pt>
                      <c:pt idx="517">
                        <c:v>43161</c:v>
                      </c:pt>
                      <c:pt idx="518">
                        <c:v>43162</c:v>
                      </c:pt>
                      <c:pt idx="519">
                        <c:v>43163</c:v>
                      </c:pt>
                      <c:pt idx="520">
                        <c:v>43164</c:v>
                      </c:pt>
                      <c:pt idx="521">
                        <c:v>43165</c:v>
                      </c:pt>
                      <c:pt idx="522">
                        <c:v>43166</c:v>
                      </c:pt>
                      <c:pt idx="523">
                        <c:v>43167</c:v>
                      </c:pt>
                      <c:pt idx="524">
                        <c:v>43168</c:v>
                      </c:pt>
                      <c:pt idx="525">
                        <c:v>43169</c:v>
                      </c:pt>
                      <c:pt idx="526">
                        <c:v>43170</c:v>
                      </c:pt>
                      <c:pt idx="527">
                        <c:v>43171</c:v>
                      </c:pt>
                      <c:pt idx="528">
                        <c:v>43172</c:v>
                      </c:pt>
                      <c:pt idx="529">
                        <c:v>43173</c:v>
                      </c:pt>
                      <c:pt idx="530">
                        <c:v>43174</c:v>
                      </c:pt>
                      <c:pt idx="531">
                        <c:v>43175</c:v>
                      </c:pt>
                      <c:pt idx="532">
                        <c:v>43176</c:v>
                      </c:pt>
                      <c:pt idx="533">
                        <c:v>43177</c:v>
                      </c:pt>
                      <c:pt idx="534">
                        <c:v>43178</c:v>
                      </c:pt>
                      <c:pt idx="535">
                        <c:v>43179</c:v>
                      </c:pt>
                      <c:pt idx="536">
                        <c:v>43180</c:v>
                      </c:pt>
                      <c:pt idx="537">
                        <c:v>43181</c:v>
                      </c:pt>
                      <c:pt idx="538">
                        <c:v>43182</c:v>
                      </c:pt>
                      <c:pt idx="539">
                        <c:v>43183</c:v>
                      </c:pt>
                      <c:pt idx="540">
                        <c:v>43184</c:v>
                      </c:pt>
                      <c:pt idx="541">
                        <c:v>43185</c:v>
                      </c:pt>
                      <c:pt idx="542">
                        <c:v>43186</c:v>
                      </c:pt>
                      <c:pt idx="543">
                        <c:v>43187</c:v>
                      </c:pt>
                      <c:pt idx="544">
                        <c:v>43188</c:v>
                      </c:pt>
                      <c:pt idx="545">
                        <c:v>43189</c:v>
                      </c:pt>
                      <c:pt idx="546">
                        <c:v>43190</c:v>
                      </c:pt>
                      <c:pt idx="547">
                        <c:v>43191</c:v>
                      </c:pt>
                      <c:pt idx="548">
                        <c:v>43192</c:v>
                      </c:pt>
                      <c:pt idx="549">
                        <c:v>43193</c:v>
                      </c:pt>
                      <c:pt idx="550">
                        <c:v>43194</c:v>
                      </c:pt>
                      <c:pt idx="551">
                        <c:v>43195</c:v>
                      </c:pt>
                      <c:pt idx="552">
                        <c:v>43196</c:v>
                      </c:pt>
                      <c:pt idx="553">
                        <c:v>43197</c:v>
                      </c:pt>
                      <c:pt idx="554">
                        <c:v>43198</c:v>
                      </c:pt>
                      <c:pt idx="555">
                        <c:v>43199</c:v>
                      </c:pt>
                      <c:pt idx="556">
                        <c:v>43200</c:v>
                      </c:pt>
                      <c:pt idx="557">
                        <c:v>43201</c:v>
                      </c:pt>
                      <c:pt idx="558">
                        <c:v>43202</c:v>
                      </c:pt>
                      <c:pt idx="559">
                        <c:v>43203</c:v>
                      </c:pt>
                      <c:pt idx="560">
                        <c:v>43204</c:v>
                      </c:pt>
                      <c:pt idx="561">
                        <c:v>43205</c:v>
                      </c:pt>
                      <c:pt idx="562">
                        <c:v>43206</c:v>
                      </c:pt>
                      <c:pt idx="563">
                        <c:v>43207</c:v>
                      </c:pt>
                      <c:pt idx="564">
                        <c:v>43208</c:v>
                      </c:pt>
                      <c:pt idx="565">
                        <c:v>43209</c:v>
                      </c:pt>
                      <c:pt idx="566">
                        <c:v>43210</c:v>
                      </c:pt>
                      <c:pt idx="567">
                        <c:v>43211</c:v>
                      </c:pt>
                      <c:pt idx="568">
                        <c:v>43212</c:v>
                      </c:pt>
                      <c:pt idx="569">
                        <c:v>43213</c:v>
                      </c:pt>
                      <c:pt idx="570">
                        <c:v>43214</c:v>
                      </c:pt>
                      <c:pt idx="571">
                        <c:v>43215</c:v>
                      </c:pt>
                      <c:pt idx="572">
                        <c:v>43216</c:v>
                      </c:pt>
                      <c:pt idx="573">
                        <c:v>43217</c:v>
                      </c:pt>
                      <c:pt idx="574">
                        <c:v>43218</c:v>
                      </c:pt>
                      <c:pt idx="575">
                        <c:v>43219</c:v>
                      </c:pt>
                      <c:pt idx="576">
                        <c:v>43220</c:v>
                      </c:pt>
                      <c:pt idx="577">
                        <c:v>43221</c:v>
                      </c:pt>
                      <c:pt idx="578">
                        <c:v>43222</c:v>
                      </c:pt>
                      <c:pt idx="579">
                        <c:v>43223</c:v>
                      </c:pt>
                      <c:pt idx="580">
                        <c:v>43224</c:v>
                      </c:pt>
                      <c:pt idx="581">
                        <c:v>43225</c:v>
                      </c:pt>
                      <c:pt idx="582">
                        <c:v>43226</c:v>
                      </c:pt>
                      <c:pt idx="583">
                        <c:v>43227</c:v>
                      </c:pt>
                      <c:pt idx="584">
                        <c:v>43228</c:v>
                      </c:pt>
                      <c:pt idx="585">
                        <c:v>43229</c:v>
                      </c:pt>
                      <c:pt idx="586">
                        <c:v>43230</c:v>
                      </c:pt>
                      <c:pt idx="587">
                        <c:v>43231</c:v>
                      </c:pt>
                      <c:pt idx="588">
                        <c:v>43232</c:v>
                      </c:pt>
                      <c:pt idx="589">
                        <c:v>43233</c:v>
                      </c:pt>
                      <c:pt idx="590">
                        <c:v>43234</c:v>
                      </c:pt>
                      <c:pt idx="591">
                        <c:v>43235</c:v>
                      </c:pt>
                      <c:pt idx="592">
                        <c:v>43236</c:v>
                      </c:pt>
                      <c:pt idx="593">
                        <c:v>43237</c:v>
                      </c:pt>
                      <c:pt idx="594">
                        <c:v>43238</c:v>
                      </c:pt>
                      <c:pt idx="595">
                        <c:v>43239</c:v>
                      </c:pt>
                      <c:pt idx="596">
                        <c:v>43240</c:v>
                      </c:pt>
                      <c:pt idx="597">
                        <c:v>43241</c:v>
                      </c:pt>
                      <c:pt idx="598">
                        <c:v>43242</c:v>
                      </c:pt>
                      <c:pt idx="599">
                        <c:v>43243</c:v>
                      </c:pt>
                      <c:pt idx="600">
                        <c:v>43244</c:v>
                      </c:pt>
                      <c:pt idx="601">
                        <c:v>43245</c:v>
                      </c:pt>
                      <c:pt idx="602">
                        <c:v>43246</c:v>
                      </c:pt>
                      <c:pt idx="603">
                        <c:v>43247</c:v>
                      </c:pt>
                      <c:pt idx="604">
                        <c:v>43248</c:v>
                      </c:pt>
                      <c:pt idx="605">
                        <c:v>43249</c:v>
                      </c:pt>
                      <c:pt idx="606">
                        <c:v>43250</c:v>
                      </c:pt>
                      <c:pt idx="607">
                        <c:v>43251</c:v>
                      </c:pt>
                      <c:pt idx="608">
                        <c:v>43252</c:v>
                      </c:pt>
                      <c:pt idx="609">
                        <c:v>43253</c:v>
                      </c:pt>
                      <c:pt idx="610">
                        <c:v>43254</c:v>
                      </c:pt>
                      <c:pt idx="611">
                        <c:v>43255</c:v>
                      </c:pt>
                      <c:pt idx="612">
                        <c:v>43256</c:v>
                      </c:pt>
                      <c:pt idx="613">
                        <c:v>43257</c:v>
                      </c:pt>
                      <c:pt idx="614">
                        <c:v>43258</c:v>
                      </c:pt>
                      <c:pt idx="615">
                        <c:v>43259</c:v>
                      </c:pt>
                      <c:pt idx="616">
                        <c:v>43260</c:v>
                      </c:pt>
                      <c:pt idx="617">
                        <c:v>43261</c:v>
                      </c:pt>
                      <c:pt idx="618">
                        <c:v>43262</c:v>
                      </c:pt>
                      <c:pt idx="619">
                        <c:v>43263</c:v>
                      </c:pt>
                      <c:pt idx="620">
                        <c:v>43264</c:v>
                      </c:pt>
                      <c:pt idx="621">
                        <c:v>43265</c:v>
                      </c:pt>
                      <c:pt idx="622">
                        <c:v>43266</c:v>
                      </c:pt>
                      <c:pt idx="623">
                        <c:v>43267</c:v>
                      </c:pt>
                      <c:pt idx="624">
                        <c:v>43268</c:v>
                      </c:pt>
                      <c:pt idx="625">
                        <c:v>43269</c:v>
                      </c:pt>
                      <c:pt idx="626">
                        <c:v>43270</c:v>
                      </c:pt>
                      <c:pt idx="627">
                        <c:v>43271</c:v>
                      </c:pt>
                      <c:pt idx="628">
                        <c:v>43272</c:v>
                      </c:pt>
                      <c:pt idx="629">
                        <c:v>43273</c:v>
                      </c:pt>
                      <c:pt idx="630">
                        <c:v>43274</c:v>
                      </c:pt>
                      <c:pt idx="631">
                        <c:v>43275</c:v>
                      </c:pt>
                      <c:pt idx="632">
                        <c:v>43276</c:v>
                      </c:pt>
                      <c:pt idx="633">
                        <c:v>43277</c:v>
                      </c:pt>
                      <c:pt idx="634">
                        <c:v>43278</c:v>
                      </c:pt>
                      <c:pt idx="635">
                        <c:v>43279</c:v>
                      </c:pt>
                      <c:pt idx="636">
                        <c:v>43280</c:v>
                      </c:pt>
                      <c:pt idx="637">
                        <c:v>43281</c:v>
                      </c:pt>
                      <c:pt idx="638">
                        <c:v>43282</c:v>
                      </c:pt>
                      <c:pt idx="639">
                        <c:v>43283</c:v>
                      </c:pt>
                      <c:pt idx="640">
                        <c:v>43284</c:v>
                      </c:pt>
                      <c:pt idx="641">
                        <c:v>43285</c:v>
                      </c:pt>
                      <c:pt idx="642">
                        <c:v>43286</c:v>
                      </c:pt>
                      <c:pt idx="643">
                        <c:v>43287</c:v>
                      </c:pt>
                      <c:pt idx="644">
                        <c:v>43288</c:v>
                      </c:pt>
                      <c:pt idx="645">
                        <c:v>43289</c:v>
                      </c:pt>
                      <c:pt idx="646">
                        <c:v>43290</c:v>
                      </c:pt>
                      <c:pt idx="647">
                        <c:v>43291</c:v>
                      </c:pt>
                      <c:pt idx="648">
                        <c:v>43292</c:v>
                      </c:pt>
                      <c:pt idx="649">
                        <c:v>43293</c:v>
                      </c:pt>
                      <c:pt idx="650">
                        <c:v>43294</c:v>
                      </c:pt>
                      <c:pt idx="651">
                        <c:v>43295</c:v>
                      </c:pt>
                      <c:pt idx="652">
                        <c:v>43296</c:v>
                      </c:pt>
                      <c:pt idx="653">
                        <c:v>43297</c:v>
                      </c:pt>
                      <c:pt idx="654">
                        <c:v>43298</c:v>
                      </c:pt>
                      <c:pt idx="655">
                        <c:v>43299</c:v>
                      </c:pt>
                      <c:pt idx="656">
                        <c:v>43300</c:v>
                      </c:pt>
                      <c:pt idx="657">
                        <c:v>43301</c:v>
                      </c:pt>
                      <c:pt idx="658">
                        <c:v>43302</c:v>
                      </c:pt>
                      <c:pt idx="659">
                        <c:v>43303</c:v>
                      </c:pt>
                      <c:pt idx="660">
                        <c:v>43304</c:v>
                      </c:pt>
                      <c:pt idx="661">
                        <c:v>43305</c:v>
                      </c:pt>
                      <c:pt idx="662">
                        <c:v>43306</c:v>
                      </c:pt>
                      <c:pt idx="663">
                        <c:v>43307</c:v>
                      </c:pt>
                      <c:pt idx="664">
                        <c:v>43308</c:v>
                      </c:pt>
                      <c:pt idx="665">
                        <c:v>43309</c:v>
                      </c:pt>
                      <c:pt idx="666">
                        <c:v>43310</c:v>
                      </c:pt>
                      <c:pt idx="667">
                        <c:v>43311</c:v>
                      </c:pt>
                      <c:pt idx="668">
                        <c:v>43312</c:v>
                      </c:pt>
                      <c:pt idx="669">
                        <c:v>43313</c:v>
                      </c:pt>
                      <c:pt idx="670">
                        <c:v>43314</c:v>
                      </c:pt>
                      <c:pt idx="671">
                        <c:v>43315</c:v>
                      </c:pt>
                      <c:pt idx="672">
                        <c:v>43316</c:v>
                      </c:pt>
                      <c:pt idx="673">
                        <c:v>43317</c:v>
                      </c:pt>
                      <c:pt idx="674">
                        <c:v>43318</c:v>
                      </c:pt>
                      <c:pt idx="675">
                        <c:v>43319</c:v>
                      </c:pt>
                      <c:pt idx="676">
                        <c:v>43320</c:v>
                      </c:pt>
                      <c:pt idx="677">
                        <c:v>43321</c:v>
                      </c:pt>
                      <c:pt idx="678">
                        <c:v>43322</c:v>
                      </c:pt>
                      <c:pt idx="679">
                        <c:v>43323</c:v>
                      </c:pt>
                      <c:pt idx="680">
                        <c:v>43324</c:v>
                      </c:pt>
                      <c:pt idx="681">
                        <c:v>43325</c:v>
                      </c:pt>
                      <c:pt idx="682">
                        <c:v>43326</c:v>
                      </c:pt>
                      <c:pt idx="683">
                        <c:v>43327</c:v>
                      </c:pt>
                      <c:pt idx="684">
                        <c:v>43328</c:v>
                      </c:pt>
                      <c:pt idx="685">
                        <c:v>43329</c:v>
                      </c:pt>
                      <c:pt idx="686">
                        <c:v>43330</c:v>
                      </c:pt>
                      <c:pt idx="687">
                        <c:v>43331</c:v>
                      </c:pt>
                      <c:pt idx="688">
                        <c:v>43332</c:v>
                      </c:pt>
                      <c:pt idx="689">
                        <c:v>43333</c:v>
                      </c:pt>
                      <c:pt idx="690">
                        <c:v>43334</c:v>
                      </c:pt>
                      <c:pt idx="691">
                        <c:v>43335</c:v>
                      </c:pt>
                      <c:pt idx="692">
                        <c:v>43336</c:v>
                      </c:pt>
                      <c:pt idx="693">
                        <c:v>43337</c:v>
                      </c:pt>
                      <c:pt idx="694">
                        <c:v>43338</c:v>
                      </c:pt>
                      <c:pt idx="695">
                        <c:v>43339</c:v>
                      </c:pt>
                      <c:pt idx="696">
                        <c:v>43340</c:v>
                      </c:pt>
                      <c:pt idx="697">
                        <c:v>43341</c:v>
                      </c:pt>
                      <c:pt idx="698">
                        <c:v>43342</c:v>
                      </c:pt>
                      <c:pt idx="699">
                        <c:v>43343</c:v>
                      </c:pt>
                      <c:pt idx="700">
                        <c:v>43344</c:v>
                      </c:pt>
                      <c:pt idx="701">
                        <c:v>43345</c:v>
                      </c:pt>
                      <c:pt idx="702">
                        <c:v>43346</c:v>
                      </c:pt>
                      <c:pt idx="703">
                        <c:v>43347</c:v>
                      </c:pt>
                      <c:pt idx="704">
                        <c:v>43348</c:v>
                      </c:pt>
                      <c:pt idx="705">
                        <c:v>43349</c:v>
                      </c:pt>
                      <c:pt idx="706">
                        <c:v>43350</c:v>
                      </c:pt>
                      <c:pt idx="707">
                        <c:v>43351</c:v>
                      </c:pt>
                      <c:pt idx="708">
                        <c:v>43352</c:v>
                      </c:pt>
                      <c:pt idx="709">
                        <c:v>43353</c:v>
                      </c:pt>
                      <c:pt idx="710">
                        <c:v>43354</c:v>
                      </c:pt>
                      <c:pt idx="711">
                        <c:v>43355</c:v>
                      </c:pt>
                      <c:pt idx="712">
                        <c:v>43356</c:v>
                      </c:pt>
                      <c:pt idx="713">
                        <c:v>43357</c:v>
                      </c:pt>
                      <c:pt idx="714">
                        <c:v>43358</c:v>
                      </c:pt>
                      <c:pt idx="715">
                        <c:v>43359</c:v>
                      </c:pt>
                      <c:pt idx="716">
                        <c:v>43360</c:v>
                      </c:pt>
                      <c:pt idx="717">
                        <c:v>43361</c:v>
                      </c:pt>
                      <c:pt idx="718">
                        <c:v>43362</c:v>
                      </c:pt>
                      <c:pt idx="719">
                        <c:v>43363</c:v>
                      </c:pt>
                      <c:pt idx="720">
                        <c:v>43364</c:v>
                      </c:pt>
                      <c:pt idx="721">
                        <c:v>43365</c:v>
                      </c:pt>
                      <c:pt idx="722">
                        <c:v>43366</c:v>
                      </c:pt>
                      <c:pt idx="723">
                        <c:v>43367</c:v>
                      </c:pt>
                      <c:pt idx="724">
                        <c:v>43368</c:v>
                      </c:pt>
                      <c:pt idx="725">
                        <c:v>43369</c:v>
                      </c:pt>
                      <c:pt idx="726">
                        <c:v>43370</c:v>
                      </c:pt>
                      <c:pt idx="727">
                        <c:v>43371</c:v>
                      </c:pt>
                      <c:pt idx="728">
                        <c:v>43372</c:v>
                      </c:pt>
                      <c:pt idx="729">
                        <c:v>43373</c:v>
                      </c:pt>
                      <c:pt idx="730">
                        <c:v>43374</c:v>
                      </c:pt>
                      <c:pt idx="731">
                        <c:v>43375</c:v>
                      </c:pt>
                      <c:pt idx="732">
                        <c:v>43376</c:v>
                      </c:pt>
                      <c:pt idx="733">
                        <c:v>43377</c:v>
                      </c:pt>
                      <c:pt idx="734">
                        <c:v>43378</c:v>
                      </c:pt>
                      <c:pt idx="735">
                        <c:v>43379</c:v>
                      </c:pt>
                      <c:pt idx="736">
                        <c:v>43380</c:v>
                      </c:pt>
                      <c:pt idx="737">
                        <c:v>43381</c:v>
                      </c:pt>
                      <c:pt idx="738">
                        <c:v>43382</c:v>
                      </c:pt>
                      <c:pt idx="739">
                        <c:v>43383</c:v>
                      </c:pt>
                      <c:pt idx="740">
                        <c:v>43384</c:v>
                      </c:pt>
                      <c:pt idx="741">
                        <c:v>43385</c:v>
                      </c:pt>
                      <c:pt idx="742">
                        <c:v>43386</c:v>
                      </c:pt>
                      <c:pt idx="743">
                        <c:v>43387</c:v>
                      </c:pt>
                      <c:pt idx="744">
                        <c:v>43388</c:v>
                      </c:pt>
                      <c:pt idx="745">
                        <c:v>43389</c:v>
                      </c:pt>
                      <c:pt idx="746">
                        <c:v>43390</c:v>
                      </c:pt>
                      <c:pt idx="747">
                        <c:v>43391</c:v>
                      </c:pt>
                      <c:pt idx="748">
                        <c:v>43392</c:v>
                      </c:pt>
                      <c:pt idx="749">
                        <c:v>43393</c:v>
                      </c:pt>
                      <c:pt idx="750">
                        <c:v>43394</c:v>
                      </c:pt>
                      <c:pt idx="751">
                        <c:v>43395</c:v>
                      </c:pt>
                      <c:pt idx="752">
                        <c:v>43396</c:v>
                      </c:pt>
                      <c:pt idx="753">
                        <c:v>43397</c:v>
                      </c:pt>
                      <c:pt idx="754">
                        <c:v>43398</c:v>
                      </c:pt>
                      <c:pt idx="755">
                        <c:v>43399</c:v>
                      </c:pt>
                      <c:pt idx="756">
                        <c:v>43400</c:v>
                      </c:pt>
                      <c:pt idx="757">
                        <c:v>43401</c:v>
                      </c:pt>
                      <c:pt idx="758">
                        <c:v>43402</c:v>
                      </c:pt>
                      <c:pt idx="759">
                        <c:v>43403</c:v>
                      </c:pt>
                      <c:pt idx="760">
                        <c:v>43404</c:v>
                      </c:pt>
                      <c:pt idx="761">
                        <c:v>43405</c:v>
                      </c:pt>
                      <c:pt idx="762">
                        <c:v>43406</c:v>
                      </c:pt>
                      <c:pt idx="763">
                        <c:v>43407</c:v>
                      </c:pt>
                      <c:pt idx="764">
                        <c:v>43408</c:v>
                      </c:pt>
                      <c:pt idx="765">
                        <c:v>43409</c:v>
                      </c:pt>
                      <c:pt idx="766">
                        <c:v>43410</c:v>
                      </c:pt>
                      <c:pt idx="767">
                        <c:v>43411</c:v>
                      </c:pt>
                      <c:pt idx="768">
                        <c:v>43412</c:v>
                      </c:pt>
                      <c:pt idx="769">
                        <c:v>43413</c:v>
                      </c:pt>
                      <c:pt idx="770">
                        <c:v>43414</c:v>
                      </c:pt>
                      <c:pt idx="771">
                        <c:v>43415</c:v>
                      </c:pt>
                      <c:pt idx="772">
                        <c:v>43416</c:v>
                      </c:pt>
                      <c:pt idx="773">
                        <c:v>43417</c:v>
                      </c:pt>
                      <c:pt idx="774">
                        <c:v>43418</c:v>
                      </c:pt>
                      <c:pt idx="775">
                        <c:v>43419</c:v>
                      </c:pt>
                      <c:pt idx="776">
                        <c:v>43420</c:v>
                      </c:pt>
                      <c:pt idx="777">
                        <c:v>43421</c:v>
                      </c:pt>
                      <c:pt idx="778">
                        <c:v>43422</c:v>
                      </c:pt>
                      <c:pt idx="779">
                        <c:v>43423</c:v>
                      </c:pt>
                      <c:pt idx="780">
                        <c:v>43424</c:v>
                      </c:pt>
                      <c:pt idx="781">
                        <c:v>43425</c:v>
                      </c:pt>
                      <c:pt idx="782">
                        <c:v>43426</c:v>
                      </c:pt>
                      <c:pt idx="783">
                        <c:v>43427</c:v>
                      </c:pt>
                      <c:pt idx="784">
                        <c:v>43428</c:v>
                      </c:pt>
                      <c:pt idx="785">
                        <c:v>43429</c:v>
                      </c:pt>
                      <c:pt idx="786">
                        <c:v>43430</c:v>
                      </c:pt>
                      <c:pt idx="787">
                        <c:v>43431</c:v>
                      </c:pt>
                      <c:pt idx="788">
                        <c:v>43432</c:v>
                      </c:pt>
                      <c:pt idx="789">
                        <c:v>43433</c:v>
                      </c:pt>
                      <c:pt idx="790">
                        <c:v>43434</c:v>
                      </c:pt>
                      <c:pt idx="791">
                        <c:v>43435</c:v>
                      </c:pt>
                      <c:pt idx="792">
                        <c:v>43436</c:v>
                      </c:pt>
                      <c:pt idx="793">
                        <c:v>43437</c:v>
                      </c:pt>
                      <c:pt idx="794">
                        <c:v>43438</c:v>
                      </c:pt>
                      <c:pt idx="795">
                        <c:v>43439</c:v>
                      </c:pt>
                      <c:pt idx="796">
                        <c:v>43440</c:v>
                      </c:pt>
                      <c:pt idx="797">
                        <c:v>43441</c:v>
                      </c:pt>
                      <c:pt idx="798">
                        <c:v>43442</c:v>
                      </c:pt>
                      <c:pt idx="799">
                        <c:v>43443</c:v>
                      </c:pt>
                      <c:pt idx="800">
                        <c:v>43444</c:v>
                      </c:pt>
                      <c:pt idx="801">
                        <c:v>43445</c:v>
                      </c:pt>
                      <c:pt idx="802">
                        <c:v>43446</c:v>
                      </c:pt>
                      <c:pt idx="803">
                        <c:v>43447</c:v>
                      </c:pt>
                      <c:pt idx="804">
                        <c:v>43448</c:v>
                      </c:pt>
                      <c:pt idx="805">
                        <c:v>43449</c:v>
                      </c:pt>
                      <c:pt idx="806">
                        <c:v>43450</c:v>
                      </c:pt>
                      <c:pt idx="807">
                        <c:v>43451</c:v>
                      </c:pt>
                      <c:pt idx="808">
                        <c:v>43452</c:v>
                      </c:pt>
                      <c:pt idx="809">
                        <c:v>43453</c:v>
                      </c:pt>
                      <c:pt idx="810">
                        <c:v>43454</c:v>
                      </c:pt>
                      <c:pt idx="811">
                        <c:v>43455</c:v>
                      </c:pt>
                      <c:pt idx="812">
                        <c:v>43456</c:v>
                      </c:pt>
                      <c:pt idx="813">
                        <c:v>43457</c:v>
                      </c:pt>
                      <c:pt idx="814">
                        <c:v>43458</c:v>
                      </c:pt>
                      <c:pt idx="815">
                        <c:v>43459</c:v>
                      </c:pt>
                      <c:pt idx="816">
                        <c:v>43460</c:v>
                      </c:pt>
                      <c:pt idx="817">
                        <c:v>43461</c:v>
                      </c:pt>
                      <c:pt idx="818">
                        <c:v>43462</c:v>
                      </c:pt>
                      <c:pt idx="819">
                        <c:v>43463</c:v>
                      </c:pt>
                      <c:pt idx="820">
                        <c:v>43464</c:v>
                      </c:pt>
                      <c:pt idx="821">
                        <c:v>43465</c:v>
                      </c:pt>
                      <c:pt idx="822">
                        <c:v>43466</c:v>
                      </c:pt>
                      <c:pt idx="823">
                        <c:v>43467</c:v>
                      </c:pt>
                      <c:pt idx="824">
                        <c:v>43468</c:v>
                      </c:pt>
                      <c:pt idx="825">
                        <c:v>43469</c:v>
                      </c:pt>
                      <c:pt idx="826">
                        <c:v>43470</c:v>
                      </c:pt>
                      <c:pt idx="827">
                        <c:v>43471</c:v>
                      </c:pt>
                      <c:pt idx="828">
                        <c:v>43472</c:v>
                      </c:pt>
                      <c:pt idx="829">
                        <c:v>43473</c:v>
                      </c:pt>
                      <c:pt idx="830">
                        <c:v>43474</c:v>
                      </c:pt>
                      <c:pt idx="831">
                        <c:v>43475</c:v>
                      </c:pt>
                      <c:pt idx="832">
                        <c:v>43476</c:v>
                      </c:pt>
                      <c:pt idx="833">
                        <c:v>43477</c:v>
                      </c:pt>
                      <c:pt idx="834">
                        <c:v>43478</c:v>
                      </c:pt>
                      <c:pt idx="835">
                        <c:v>43479</c:v>
                      </c:pt>
                      <c:pt idx="836">
                        <c:v>43480</c:v>
                      </c:pt>
                      <c:pt idx="837">
                        <c:v>43481</c:v>
                      </c:pt>
                      <c:pt idx="838">
                        <c:v>43482</c:v>
                      </c:pt>
                      <c:pt idx="839">
                        <c:v>43483</c:v>
                      </c:pt>
                      <c:pt idx="840">
                        <c:v>43484</c:v>
                      </c:pt>
                      <c:pt idx="841">
                        <c:v>43485</c:v>
                      </c:pt>
                      <c:pt idx="842">
                        <c:v>43486</c:v>
                      </c:pt>
                      <c:pt idx="843">
                        <c:v>43487</c:v>
                      </c:pt>
                      <c:pt idx="844">
                        <c:v>43488</c:v>
                      </c:pt>
                      <c:pt idx="845">
                        <c:v>43489</c:v>
                      </c:pt>
                      <c:pt idx="846">
                        <c:v>43490</c:v>
                      </c:pt>
                      <c:pt idx="847">
                        <c:v>43491</c:v>
                      </c:pt>
                      <c:pt idx="848">
                        <c:v>43492</c:v>
                      </c:pt>
                      <c:pt idx="849">
                        <c:v>43493</c:v>
                      </c:pt>
                      <c:pt idx="850">
                        <c:v>43494</c:v>
                      </c:pt>
                      <c:pt idx="851">
                        <c:v>43495</c:v>
                      </c:pt>
                      <c:pt idx="852">
                        <c:v>43496</c:v>
                      </c:pt>
                      <c:pt idx="853">
                        <c:v>43497</c:v>
                      </c:pt>
                      <c:pt idx="854">
                        <c:v>43498</c:v>
                      </c:pt>
                      <c:pt idx="855">
                        <c:v>43499</c:v>
                      </c:pt>
                      <c:pt idx="856">
                        <c:v>43500</c:v>
                      </c:pt>
                      <c:pt idx="857">
                        <c:v>43501</c:v>
                      </c:pt>
                      <c:pt idx="858">
                        <c:v>43502</c:v>
                      </c:pt>
                      <c:pt idx="859">
                        <c:v>43503</c:v>
                      </c:pt>
                      <c:pt idx="860">
                        <c:v>43504</c:v>
                      </c:pt>
                      <c:pt idx="861">
                        <c:v>43505</c:v>
                      </c:pt>
                      <c:pt idx="862">
                        <c:v>43506</c:v>
                      </c:pt>
                      <c:pt idx="863">
                        <c:v>43507</c:v>
                      </c:pt>
                      <c:pt idx="864">
                        <c:v>43508</c:v>
                      </c:pt>
                      <c:pt idx="865">
                        <c:v>43509</c:v>
                      </c:pt>
                      <c:pt idx="866">
                        <c:v>43510</c:v>
                      </c:pt>
                      <c:pt idx="867">
                        <c:v>43511</c:v>
                      </c:pt>
                      <c:pt idx="868">
                        <c:v>43512</c:v>
                      </c:pt>
                      <c:pt idx="869">
                        <c:v>43513</c:v>
                      </c:pt>
                      <c:pt idx="870">
                        <c:v>43514</c:v>
                      </c:pt>
                      <c:pt idx="871">
                        <c:v>43515</c:v>
                      </c:pt>
                      <c:pt idx="872">
                        <c:v>43516</c:v>
                      </c:pt>
                      <c:pt idx="873">
                        <c:v>43517</c:v>
                      </c:pt>
                      <c:pt idx="874">
                        <c:v>43518</c:v>
                      </c:pt>
                      <c:pt idx="875">
                        <c:v>43519</c:v>
                      </c:pt>
                      <c:pt idx="876">
                        <c:v>43520</c:v>
                      </c:pt>
                      <c:pt idx="877">
                        <c:v>43521</c:v>
                      </c:pt>
                      <c:pt idx="878">
                        <c:v>43522</c:v>
                      </c:pt>
                      <c:pt idx="879">
                        <c:v>43523</c:v>
                      </c:pt>
                      <c:pt idx="880">
                        <c:v>43524</c:v>
                      </c:pt>
                      <c:pt idx="881">
                        <c:v>43525</c:v>
                      </c:pt>
                      <c:pt idx="882">
                        <c:v>43526</c:v>
                      </c:pt>
                      <c:pt idx="883">
                        <c:v>43527</c:v>
                      </c:pt>
                      <c:pt idx="884">
                        <c:v>43528</c:v>
                      </c:pt>
                      <c:pt idx="885">
                        <c:v>43529</c:v>
                      </c:pt>
                      <c:pt idx="886">
                        <c:v>43530</c:v>
                      </c:pt>
                      <c:pt idx="887">
                        <c:v>43531</c:v>
                      </c:pt>
                      <c:pt idx="888">
                        <c:v>43532</c:v>
                      </c:pt>
                      <c:pt idx="889">
                        <c:v>43533</c:v>
                      </c:pt>
                      <c:pt idx="890">
                        <c:v>43534</c:v>
                      </c:pt>
                      <c:pt idx="891">
                        <c:v>43535</c:v>
                      </c:pt>
                      <c:pt idx="892">
                        <c:v>43536</c:v>
                      </c:pt>
                      <c:pt idx="893">
                        <c:v>43537</c:v>
                      </c:pt>
                      <c:pt idx="894">
                        <c:v>43538</c:v>
                      </c:pt>
                      <c:pt idx="895">
                        <c:v>43539</c:v>
                      </c:pt>
                      <c:pt idx="896">
                        <c:v>43540</c:v>
                      </c:pt>
                      <c:pt idx="897">
                        <c:v>43541</c:v>
                      </c:pt>
                      <c:pt idx="898">
                        <c:v>43542</c:v>
                      </c:pt>
                      <c:pt idx="899">
                        <c:v>43543</c:v>
                      </c:pt>
                      <c:pt idx="900">
                        <c:v>43544</c:v>
                      </c:pt>
                      <c:pt idx="901">
                        <c:v>43545</c:v>
                      </c:pt>
                      <c:pt idx="902">
                        <c:v>43546</c:v>
                      </c:pt>
                      <c:pt idx="903">
                        <c:v>43547</c:v>
                      </c:pt>
                      <c:pt idx="904">
                        <c:v>43548</c:v>
                      </c:pt>
                      <c:pt idx="905">
                        <c:v>43549</c:v>
                      </c:pt>
                      <c:pt idx="906">
                        <c:v>43550</c:v>
                      </c:pt>
                      <c:pt idx="907">
                        <c:v>43551</c:v>
                      </c:pt>
                      <c:pt idx="908">
                        <c:v>43552</c:v>
                      </c:pt>
                      <c:pt idx="909">
                        <c:v>43553</c:v>
                      </c:pt>
                      <c:pt idx="910">
                        <c:v>43554</c:v>
                      </c:pt>
                      <c:pt idx="911">
                        <c:v>43555</c:v>
                      </c:pt>
                      <c:pt idx="912">
                        <c:v>43556</c:v>
                      </c:pt>
                      <c:pt idx="913">
                        <c:v>43557</c:v>
                      </c:pt>
                      <c:pt idx="914">
                        <c:v>43558</c:v>
                      </c:pt>
                      <c:pt idx="915">
                        <c:v>43559</c:v>
                      </c:pt>
                      <c:pt idx="916">
                        <c:v>43560</c:v>
                      </c:pt>
                      <c:pt idx="917">
                        <c:v>43561</c:v>
                      </c:pt>
                      <c:pt idx="918">
                        <c:v>43562</c:v>
                      </c:pt>
                      <c:pt idx="919">
                        <c:v>43563</c:v>
                      </c:pt>
                      <c:pt idx="920">
                        <c:v>43564</c:v>
                      </c:pt>
                      <c:pt idx="921">
                        <c:v>43565</c:v>
                      </c:pt>
                      <c:pt idx="922">
                        <c:v>43566</c:v>
                      </c:pt>
                      <c:pt idx="923">
                        <c:v>43567</c:v>
                      </c:pt>
                      <c:pt idx="924">
                        <c:v>43568</c:v>
                      </c:pt>
                      <c:pt idx="925">
                        <c:v>43569</c:v>
                      </c:pt>
                      <c:pt idx="926">
                        <c:v>43570</c:v>
                      </c:pt>
                      <c:pt idx="927">
                        <c:v>43571</c:v>
                      </c:pt>
                      <c:pt idx="928">
                        <c:v>43572</c:v>
                      </c:pt>
                      <c:pt idx="929">
                        <c:v>43573</c:v>
                      </c:pt>
                      <c:pt idx="930">
                        <c:v>43574</c:v>
                      </c:pt>
                      <c:pt idx="931">
                        <c:v>43575</c:v>
                      </c:pt>
                      <c:pt idx="932">
                        <c:v>43576</c:v>
                      </c:pt>
                      <c:pt idx="933">
                        <c:v>43577</c:v>
                      </c:pt>
                      <c:pt idx="934">
                        <c:v>43578</c:v>
                      </c:pt>
                      <c:pt idx="935">
                        <c:v>43579</c:v>
                      </c:pt>
                      <c:pt idx="936">
                        <c:v>43580</c:v>
                      </c:pt>
                      <c:pt idx="937">
                        <c:v>43581</c:v>
                      </c:pt>
                      <c:pt idx="938">
                        <c:v>43582</c:v>
                      </c:pt>
                      <c:pt idx="939">
                        <c:v>43583</c:v>
                      </c:pt>
                      <c:pt idx="940">
                        <c:v>43584</c:v>
                      </c:pt>
                      <c:pt idx="941">
                        <c:v>43585</c:v>
                      </c:pt>
                      <c:pt idx="942">
                        <c:v>43586</c:v>
                      </c:pt>
                      <c:pt idx="943">
                        <c:v>43587</c:v>
                      </c:pt>
                      <c:pt idx="944">
                        <c:v>43588</c:v>
                      </c:pt>
                      <c:pt idx="945">
                        <c:v>43589</c:v>
                      </c:pt>
                      <c:pt idx="946">
                        <c:v>43590</c:v>
                      </c:pt>
                      <c:pt idx="947">
                        <c:v>43591</c:v>
                      </c:pt>
                      <c:pt idx="948">
                        <c:v>43592</c:v>
                      </c:pt>
                      <c:pt idx="949">
                        <c:v>43593</c:v>
                      </c:pt>
                      <c:pt idx="950">
                        <c:v>43594</c:v>
                      </c:pt>
                      <c:pt idx="951">
                        <c:v>43595</c:v>
                      </c:pt>
                      <c:pt idx="952">
                        <c:v>43596</c:v>
                      </c:pt>
                      <c:pt idx="953">
                        <c:v>43597</c:v>
                      </c:pt>
                      <c:pt idx="954">
                        <c:v>43598</c:v>
                      </c:pt>
                      <c:pt idx="955">
                        <c:v>43599</c:v>
                      </c:pt>
                      <c:pt idx="956">
                        <c:v>43600</c:v>
                      </c:pt>
                      <c:pt idx="957">
                        <c:v>43601</c:v>
                      </c:pt>
                      <c:pt idx="958">
                        <c:v>43602</c:v>
                      </c:pt>
                      <c:pt idx="959">
                        <c:v>43603</c:v>
                      </c:pt>
                      <c:pt idx="960">
                        <c:v>43604</c:v>
                      </c:pt>
                      <c:pt idx="961">
                        <c:v>43605</c:v>
                      </c:pt>
                      <c:pt idx="962">
                        <c:v>43606</c:v>
                      </c:pt>
                      <c:pt idx="963">
                        <c:v>43607</c:v>
                      </c:pt>
                      <c:pt idx="964">
                        <c:v>43608</c:v>
                      </c:pt>
                      <c:pt idx="965">
                        <c:v>43609</c:v>
                      </c:pt>
                      <c:pt idx="966">
                        <c:v>43610</c:v>
                      </c:pt>
                      <c:pt idx="967">
                        <c:v>43611</c:v>
                      </c:pt>
                      <c:pt idx="968">
                        <c:v>43612</c:v>
                      </c:pt>
                      <c:pt idx="969">
                        <c:v>43613</c:v>
                      </c:pt>
                      <c:pt idx="970">
                        <c:v>43614</c:v>
                      </c:pt>
                      <c:pt idx="971">
                        <c:v>43615</c:v>
                      </c:pt>
                      <c:pt idx="972">
                        <c:v>43616</c:v>
                      </c:pt>
                      <c:pt idx="973">
                        <c:v>43617</c:v>
                      </c:pt>
                      <c:pt idx="974">
                        <c:v>43618</c:v>
                      </c:pt>
                      <c:pt idx="975">
                        <c:v>43619</c:v>
                      </c:pt>
                      <c:pt idx="976">
                        <c:v>43620</c:v>
                      </c:pt>
                      <c:pt idx="977">
                        <c:v>43621</c:v>
                      </c:pt>
                      <c:pt idx="978">
                        <c:v>43622</c:v>
                      </c:pt>
                      <c:pt idx="979">
                        <c:v>43623</c:v>
                      </c:pt>
                      <c:pt idx="980">
                        <c:v>43624</c:v>
                      </c:pt>
                      <c:pt idx="981">
                        <c:v>43625</c:v>
                      </c:pt>
                      <c:pt idx="982">
                        <c:v>43626</c:v>
                      </c:pt>
                      <c:pt idx="983">
                        <c:v>43627</c:v>
                      </c:pt>
                      <c:pt idx="984">
                        <c:v>43628</c:v>
                      </c:pt>
                      <c:pt idx="985">
                        <c:v>43629</c:v>
                      </c:pt>
                      <c:pt idx="986">
                        <c:v>43630</c:v>
                      </c:pt>
                      <c:pt idx="987">
                        <c:v>43631</c:v>
                      </c:pt>
                      <c:pt idx="988">
                        <c:v>43632</c:v>
                      </c:pt>
                      <c:pt idx="989">
                        <c:v>43633</c:v>
                      </c:pt>
                      <c:pt idx="990">
                        <c:v>43634</c:v>
                      </c:pt>
                      <c:pt idx="991">
                        <c:v>43635</c:v>
                      </c:pt>
                      <c:pt idx="992">
                        <c:v>43636</c:v>
                      </c:pt>
                      <c:pt idx="993">
                        <c:v>43637</c:v>
                      </c:pt>
                      <c:pt idx="994">
                        <c:v>43638</c:v>
                      </c:pt>
                      <c:pt idx="995">
                        <c:v>43639</c:v>
                      </c:pt>
                      <c:pt idx="996">
                        <c:v>43640</c:v>
                      </c:pt>
                      <c:pt idx="997">
                        <c:v>43641</c:v>
                      </c:pt>
                      <c:pt idx="998">
                        <c:v>43642</c:v>
                      </c:pt>
                      <c:pt idx="999">
                        <c:v>43643</c:v>
                      </c:pt>
                      <c:pt idx="1000">
                        <c:v>43644</c:v>
                      </c:pt>
                      <c:pt idx="1001">
                        <c:v>43645</c:v>
                      </c:pt>
                      <c:pt idx="1002">
                        <c:v>43646</c:v>
                      </c:pt>
                      <c:pt idx="1003">
                        <c:v>43647</c:v>
                      </c:pt>
                      <c:pt idx="1004">
                        <c:v>43648</c:v>
                      </c:pt>
                      <c:pt idx="1005">
                        <c:v>43649</c:v>
                      </c:pt>
                      <c:pt idx="1006">
                        <c:v>43650</c:v>
                      </c:pt>
                      <c:pt idx="1007">
                        <c:v>43651</c:v>
                      </c:pt>
                      <c:pt idx="1008">
                        <c:v>43652</c:v>
                      </c:pt>
                      <c:pt idx="1009">
                        <c:v>43653</c:v>
                      </c:pt>
                      <c:pt idx="1010">
                        <c:v>43654</c:v>
                      </c:pt>
                      <c:pt idx="1011">
                        <c:v>43655</c:v>
                      </c:pt>
                      <c:pt idx="1012">
                        <c:v>43656</c:v>
                      </c:pt>
                      <c:pt idx="1013">
                        <c:v>43657</c:v>
                      </c:pt>
                      <c:pt idx="1014">
                        <c:v>43658</c:v>
                      </c:pt>
                      <c:pt idx="1015">
                        <c:v>43659</c:v>
                      </c:pt>
                      <c:pt idx="1016">
                        <c:v>43660</c:v>
                      </c:pt>
                      <c:pt idx="1017">
                        <c:v>43661</c:v>
                      </c:pt>
                      <c:pt idx="1018">
                        <c:v>43662</c:v>
                      </c:pt>
                      <c:pt idx="1019">
                        <c:v>43663</c:v>
                      </c:pt>
                      <c:pt idx="1020">
                        <c:v>43664</c:v>
                      </c:pt>
                      <c:pt idx="1021">
                        <c:v>43665</c:v>
                      </c:pt>
                      <c:pt idx="1022">
                        <c:v>43666</c:v>
                      </c:pt>
                      <c:pt idx="1023">
                        <c:v>43667</c:v>
                      </c:pt>
                      <c:pt idx="1024">
                        <c:v>43668</c:v>
                      </c:pt>
                      <c:pt idx="1025">
                        <c:v>43669</c:v>
                      </c:pt>
                      <c:pt idx="1026">
                        <c:v>43670</c:v>
                      </c:pt>
                      <c:pt idx="1027">
                        <c:v>43671</c:v>
                      </c:pt>
                      <c:pt idx="1028">
                        <c:v>43672</c:v>
                      </c:pt>
                      <c:pt idx="1029">
                        <c:v>43673</c:v>
                      </c:pt>
                      <c:pt idx="1030">
                        <c:v>43674</c:v>
                      </c:pt>
                      <c:pt idx="1031">
                        <c:v>43675</c:v>
                      </c:pt>
                      <c:pt idx="1032">
                        <c:v>43676</c:v>
                      </c:pt>
                      <c:pt idx="1033">
                        <c:v>43677</c:v>
                      </c:pt>
                      <c:pt idx="1034">
                        <c:v>43678</c:v>
                      </c:pt>
                      <c:pt idx="1035">
                        <c:v>43679</c:v>
                      </c:pt>
                      <c:pt idx="1036">
                        <c:v>43680</c:v>
                      </c:pt>
                      <c:pt idx="1037">
                        <c:v>43681</c:v>
                      </c:pt>
                      <c:pt idx="1038">
                        <c:v>43682</c:v>
                      </c:pt>
                      <c:pt idx="1039">
                        <c:v>43683</c:v>
                      </c:pt>
                      <c:pt idx="1040">
                        <c:v>43684</c:v>
                      </c:pt>
                      <c:pt idx="1041">
                        <c:v>43685</c:v>
                      </c:pt>
                      <c:pt idx="1042">
                        <c:v>43686</c:v>
                      </c:pt>
                      <c:pt idx="1043">
                        <c:v>43687</c:v>
                      </c:pt>
                      <c:pt idx="1044">
                        <c:v>43688</c:v>
                      </c:pt>
                      <c:pt idx="1045">
                        <c:v>43689</c:v>
                      </c:pt>
                      <c:pt idx="1046">
                        <c:v>43690</c:v>
                      </c:pt>
                      <c:pt idx="1047">
                        <c:v>43691</c:v>
                      </c:pt>
                      <c:pt idx="1048">
                        <c:v>43692</c:v>
                      </c:pt>
                      <c:pt idx="1049">
                        <c:v>43693</c:v>
                      </c:pt>
                      <c:pt idx="1050">
                        <c:v>43694</c:v>
                      </c:pt>
                      <c:pt idx="1051">
                        <c:v>43695</c:v>
                      </c:pt>
                      <c:pt idx="1052">
                        <c:v>43696</c:v>
                      </c:pt>
                      <c:pt idx="1053">
                        <c:v>43697</c:v>
                      </c:pt>
                      <c:pt idx="1054">
                        <c:v>43698</c:v>
                      </c:pt>
                      <c:pt idx="1055">
                        <c:v>43699</c:v>
                      </c:pt>
                      <c:pt idx="1056">
                        <c:v>43700</c:v>
                      </c:pt>
                      <c:pt idx="1057">
                        <c:v>43701</c:v>
                      </c:pt>
                      <c:pt idx="1058">
                        <c:v>43702</c:v>
                      </c:pt>
                      <c:pt idx="1059">
                        <c:v>43703</c:v>
                      </c:pt>
                      <c:pt idx="1060">
                        <c:v>43704</c:v>
                      </c:pt>
                      <c:pt idx="1061">
                        <c:v>43705</c:v>
                      </c:pt>
                      <c:pt idx="1062">
                        <c:v>43706</c:v>
                      </c:pt>
                      <c:pt idx="1063">
                        <c:v>43707</c:v>
                      </c:pt>
                      <c:pt idx="1064">
                        <c:v>43708</c:v>
                      </c:pt>
                      <c:pt idx="1065">
                        <c:v>43709</c:v>
                      </c:pt>
                      <c:pt idx="1066">
                        <c:v>43710</c:v>
                      </c:pt>
                      <c:pt idx="1067">
                        <c:v>43711</c:v>
                      </c:pt>
                      <c:pt idx="1068">
                        <c:v>43712</c:v>
                      </c:pt>
                      <c:pt idx="1069">
                        <c:v>43713</c:v>
                      </c:pt>
                      <c:pt idx="1070">
                        <c:v>43714</c:v>
                      </c:pt>
                      <c:pt idx="1071">
                        <c:v>43715</c:v>
                      </c:pt>
                      <c:pt idx="1072">
                        <c:v>43716</c:v>
                      </c:pt>
                      <c:pt idx="1073">
                        <c:v>43717</c:v>
                      </c:pt>
                      <c:pt idx="1074">
                        <c:v>43718</c:v>
                      </c:pt>
                      <c:pt idx="1075">
                        <c:v>43719</c:v>
                      </c:pt>
                      <c:pt idx="1076">
                        <c:v>43720</c:v>
                      </c:pt>
                      <c:pt idx="1077">
                        <c:v>43721</c:v>
                      </c:pt>
                      <c:pt idx="1078">
                        <c:v>43722</c:v>
                      </c:pt>
                      <c:pt idx="1079">
                        <c:v>43723</c:v>
                      </c:pt>
                      <c:pt idx="1080">
                        <c:v>43724</c:v>
                      </c:pt>
                      <c:pt idx="1081">
                        <c:v>43725</c:v>
                      </c:pt>
                      <c:pt idx="1082">
                        <c:v>43726</c:v>
                      </c:pt>
                      <c:pt idx="1083">
                        <c:v>43727</c:v>
                      </c:pt>
                      <c:pt idx="1084">
                        <c:v>43728</c:v>
                      </c:pt>
                      <c:pt idx="1085">
                        <c:v>43729</c:v>
                      </c:pt>
                      <c:pt idx="1086">
                        <c:v>43730</c:v>
                      </c:pt>
                      <c:pt idx="1087">
                        <c:v>43731</c:v>
                      </c:pt>
                      <c:pt idx="1088">
                        <c:v>43732</c:v>
                      </c:pt>
                      <c:pt idx="1089">
                        <c:v>43733</c:v>
                      </c:pt>
                      <c:pt idx="1090">
                        <c:v>43734</c:v>
                      </c:pt>
                      <c:pt idx="1091">
                        <c:v>43735</c:v>
                      </c:pt>
                      <c:pt idx="1092">
                        <c:v>43736</c:v>
                      </c:pt>
                      <c:pt idx="1093">
                        <c:v>43737</c:v>
                      </c:pt>
                      <c:pt idx="1094">
                        <c:v>43738</c:v>
                      </c:pt>
                    </c:numCache>
                  </c:numRef>
                </c:cat>
                <c:val>
                  <c:numRef>
                    <c:extLst>
                      <c:ext uri="{02D57815-91ED-43cb-92C2-25804820EDAC}">
                        <c15:formulaRef>
                          <c15:sqref>PITTL!$U$2:$U$1096</c15:sqref>
                        </c15:formulaRef>
                      </c:ext>
                    </c:extLst>
                    <c:numCache>
                      <c:formatCode>_-* #\ ##0\ _€_-;\-* #\ ##0\ _€_-;_-* "-"??\ _€_-;_-@_-</c:formatCode>
                      <c:ptCount val="1095"/>
                      <c:pt idx="0">
                        <c:v>89604.724000000002</c:v>
                      </c:pt>
                      <c:pt idx="1">
                        <c:v>92772.016000000003</c:v>
                      </c:pt>
                      <c:pt idx="2">
                        <c:v>93506.125</c:v>
                      </c:pt>
                      <c:pt idx="3">
                        <c:v>97293.478000000003</c:v>
                      </c:pt>
                      <c:pt idx="4">
                        <c:v>101545.02</c:v>
                      </c:pt>
                      <c:pt idx="5">
                        <c:v>112411.743</c:v>
                      </c:pt>
                      <c:pt idx="6">
                        <c:v>122621.819</c:v>
                      </c:pt>
                      <c:pt idx="7">
                        <c:v>99635.388000000006</c:v>
                      </c:pt>
                      <c:pt idx="8">
                        <c:v>91485.175000000003</c:v>
                      </c:pt>
                      <c:pt idx="9">
                        <c:v>106550.308</c:v>
                      </c:pt>
                      <c:pt idx="10">
                        <c:v>113364.253</c:v>
                      </c:pt>
                      <c:pt idx="11">
                        <c:v>97020.995999999999</c:v>
                      </c:pt>
                      <c:pt idx="12">
                        <c:v>107565.86500000001</c:v>
                      </c:pt>
                      <c:pt idx="13">
                        <c:v>104282.02499999999</c:v>
                      </c:pt>
                      <c:pt idx="14">
                        <c:v>94814.774000000005</c:v>
                      </c:pt>
                      <c:pt idx="15">
                        <c:v>97507.399000000005</c:v>
                      </c:pt>
                      <c:pt idx="16">
                        <c:v>109980.523</c:v>
                      </c:pt>
                      <c:pt idx="17">
                        <c:v>119086.64</c:v>
                      </c:pt>
                      <c:pt idx="18">
                        <c:v>109895.598</c:v>
                      </c:pt>
                      <c:pt idx="19">
                        <c:v>140082.19099999999</c:v>
                      </c:pt>
                      <c:pt idx="20">
                        <c:v>157975.084</c:v>
                      </c:pt>
                      <c:pt idx="21">
                        <c:v>104781.751</c:v>
                      </c:pt>
                      <c:pt idx="22">
                        <c:v>102972.273</c:v>
                      </c:pt>
                      <c:pt idx="23">
                        <c:v>128821.564</c:v>
                      </c:pt>
                      <c:pt idx="24">
                        <c:v>148979.08799999999</c:v>
                      </c:pt>
                      <c:pt idx="25">
                        <c:v>138326.06299999999</c:v>
                      </c:pt>
                      <c:pt idx="26">
                        <c:v>124681.054</c:v>
                      </c:pt>
                      <c:pt idx="27">
                        <c:v>111257.177</c:v>
                      </c:pt>
                      <c:pt idx="28">
                        <c:v>105730.201</c:v>
                      </c:pt>
                      <c:pt idx="29">
                        <c:v>101403.996</c:v>
                      </c:pt>
                      <c:pt idx="30">
                        <c:v>103193.253</c:v>
                      </c:pt>
                      <c:pt idx="31">
                        <c:v>98627.623000000007</c:v>
                      </c:pt>
                      <c:pt idx="32">
                        <c:v>113212.03200000001</c:v>
                      </c:pt>
                      <c:pt idx="33">
                        <c:v>118381.55100000001</c:v>
                      </c:pt>
                      <c:pt idx="34">
                        <c:v>106758.45600000001</c:v>
                      </c:pt>
                      <c:pt idx="35">
                        <c:v>88787.148000000001</c:v>
                      </c:pt>
                      <c:pt idx="36">
                        <c:v>90978.974000000002</c:v>
                      </c:pt>
                      <c:pt idx="37">
                        <c:v>103399.149</c:v>
                      </c:pt>
                      <c:pt idx="38">
                        <c:v>109725.73</c:v>
                      </c:pt>
                      <c:pt idx="39">
                        <c:v>106146.042</c:v>
                      </c:pt>
                      <c:pt idx="40">
                        <c:v>102742.34</c:v>
                      </c:pt>
                      <c:pt idx="41">
                        <c:v>103693.817</c:v>
                      </c:pt>
                      <c:pt idx="42">
                        <c:v>98190.873999999996</c:v>
                      </c:pt>
                      <c:pt idx="43">
                        <c:v>93605.517999999996</c:v>
                      </c:pt>
                      <c:pt idx="44">
                        <c:v>102212.28599999999</c:v>
                      </c:pt>
                      <c:pt idx="45">
                        <c:v>105162.436</c:v>
                      </c:pt>
                      <c:pt idx="46">
                        <c:v>106265.34</c:v>
                      </c:pt>
                      <c:pt idx="47">
                        <c:v>108316.083</c:v>
                      </c:pt>
                      <c:pt idx="48">
                        <c:v>105003.041</c:v>
                      </c:pt>
                      <c:pt idx="49">
                        <c:v>102114.41099999999</c:v>
                      </c:pt>
                      <c:pt idx="50">
                        <c:v>104487.36900000001</c:v>
                      </c:pt>
                      <c:pt idx="51">
                        <c:v>111039.489</c:v>
                      </c:pt>
                      <c:pt idx="52">
                        <c:v>112188.1</c:v>
                      </c:pt>
                      <c:pt idx="53">
                        <c:v>111976.648</c:v>
                      </c:pt>
                      <c:pt idx="54">
                        <c:v>108780.74</c:v>
                      </c:pt>
                      <c:pt idx="55">
                        <c:v>119597.32799999999</c:v>
                      </c:pt>
                      <c:pt idx="56">
                        <c:v>117020.605</c:v>
                      </c:pt>
                      <c:pt idx="57">
                        <c:v>109701.573</c:v>
                      </c:pt>
                      <c:pt idx="58">
                        <c:v>113868.23</c:v>
                      </c:pt>
                      <c:pt idx="59">
                        <c:v>126787.856</c:v>
                      </c:pt>
                      <c:pt idx="60">
                        <c:v>120782.974</c:v>
                      </c:pt>
                      <c:pt idx="61">
                        <c:v>117089.62</c:v>
                      </c:pt>
                      <c:pt idx="62">
                        <c:v>119445.49099999999</c:v>
                      </c:pt>
                      <c:pt idx="63">
                        <c:v>112501.72500000001</c:v>
                      </c:pt>
                      <c:pt idx="64">
                        <c:v>115430.66899999999</c:v>
                      </c:pt>
                      <c:pt idx="65">
                        <c:v>114440.24400000001</c:v>
                      </c:pt>
                      <c:pt idx="66">
                        <c:v>117884.765</c:v>
                      </c:pt>
                      <c:pt idx="67">
                        <c:v>124908.018</c:v>
                      </c:pt>
                      <c:pt idx="68">
                        <c:v>130335.216</c:v>
                      </c:pt>
                      <c:pt idx="69">
                        <c:v>129997.644</c:v>
                      </c:pt>
                      <c:pt idx="70">
                        <c:v>130481.519</c:v>
                      </c:pt>
                      <c:pt idx="71">
                        <c:v>118393.591</c:v>
                      </c:pt>
                      <c:pt idx="72">
                        <c:v>118351.53599999999</c:v>
                      </c:pt>
                      <c:pt idx="73">
                        <c:v>164832.11199999999</c:v>
                      </c:pt>
                      <c:pt idx="74">
                        <c:v>163340.016</c:v>
                      </c:pt>
                      <c:pt idx="75">
                        <c:v>157579.97099999999</c:v>
                      </c:pt>
                      <c:pt idx="76">
                        <c:v>159076.459</c:v>
                      </c:pt>
                      <c:pt idx="77">
                        <c:v>154722.587</c:v>
                      </c:pt>
                      <c:pt idx="78">
                        <c:v>140367.29699999999</c:v>
                      </c:pt>
                      <c:pt idx="79">
                        <c:v>142878.19899999999</c:v>
                      </c:pt>
                      <c:pt idx="80">
                        <c:v>132799.739</c:v>
                      </c:pt>
                      <c:pt idx="81">
                        <c:v>142055.19399999999</c:v>
                      </c:pt>
                      <c:pt idx="82">
                        <c:v>150933.908</c:v>
                      </c:pt>
                      <c:pt idx="83">
                        <c:v>137239.78599999999</c:v>
                      </c:pt>
                      <c:pt idx="84">
                        <c:v>129582.019</c:v>
                      </c:pt>
                      <c:pt idx="85">
                        <c:v>137275.742</c:v>
                      </c:pt>
                      <c:pt idx="86">
                        <c:v>141178.70199999999</c:v>
                      </c:pt>
                      <c:pt idx="87">
                        <c:v>131501.11199999999</c:v>
                      </c:pt>
                      <c:pt idx="88">
                        <c:v>134586.296</c:v>
                      </c:pt>
                      <c:pt idx="89">
                        <c:v>117839.893</c:v>
                      </c:pt>
                      <c:pt idx="90">
                        <c:v>119904.367</c:v>
                      </c:pt>
                      <c:pt idx="91">
                        <c:v>107907.59600000001</c:v>
                      </c:pt>
                      <c:pt idx="92">
                        <c:v>108597.993</c:v>
                      </c:pt>
                      <c:pt idx="93">
                        <c:v>117917.183</c:v>
                      </c:pt>
                      <c:pt idx="94">
                        <c:v>162583.383</c:v>
                      </c:pt>
                      <c:pt idx="95">
                        <c:v>178504.174</c:v>
                      </c:pt>
                      <c:pt idx="96">
                        <c:v>166965.92199999999</c:v>
                      </c:pt>
                      <c:pt idx="97">
                        <c:v>149049.753</c:v>
                      </c:pt>
                      <c:pt idx="98">
                        <c:v>153897.80600000001</c:v>
                      </c:pt>
                      <c:pt idx="99">
                        <c:v>181635.00700000001</c:v>
                      </c:pt>
                      <c:pt idx="100">
                        <c:v>185307.86</c:v>
                      </c:pt>
                      <c:pt idx="101">
                        <c:v>187604.647</c:v>
                      </c:pt>
                      <c:pt idx="102">
                        <c:v>198547.81599999999</c:v>
                      </c:pt>
                      <c:pt idx="103">
                        <c:v>164372.68900000001</c:v>
                      </c:pt>
                      <c:pt idx="104">
                        <c:v>145528.48199999999</c:v>
                      </c:pt>
                      <c:pt idx="105">
                        <c:v>116876.586</c:v>
                      </c:pt>
                      <c:pt idx="106">
                        <c:v>112814.70699999999</c:v>
                      </c:pt>
                      <c:pt idx="107">
                        <c:v>119348.796</c:v>
                      </c:pt>
                      <c:pt idx="108">
                        <c:v>122458.155</c:v>
                      </c:pt>
                      <c:pt idx="109">
                        <c:v>124528.36599999999</c:v>
                      </c:pt>
                      <c:pt idx="110">
                        <c:v>148107.26999999999</c:v>
                      </c:pt>
                      <c:pt idx="111">
                        <c:v>145589.90100000001</c:v>
                      </c:pt>
                      <c:pt idx="112">
                        <c:v>137337.79999999999</c:v>
                      </c:pt>
                      <c:pt idx="113">
                        <c:v>122749.409</c:v>
                      </c:pt>
                      <c:pt idx="114">
                        <c:v>136105.712</c:v>
                      </c:pt>
                      <c:pt idx="115">
                        <c:v>137531.413</c:v>
                      </c:pt>
                      <c:pt idx="116">
                        <c:v>126807.95</c:v>
                      </c:pt>
                      <c:pt idx="117">
                        <c:v>124783.65399999999</c:v>
                      </c:pt>
                      <c:pt idx="118">
                        <c:v>128784.38800000001</c:v>
                      </c:pt>
                      <c:pt idx="119">
                        <c:v>157265.753</c:v>
                      </c:pt>
                      <c:pt idx="120">
                        <c:v>159594.38800000001</c:v>
                      </c:pt>
                      <c:pt idx="121">
                        <c:v>165022.46100000001</c:v>
                      </c:pt>
                      <c:pt idx="122">
                        <c:v>166030.57199999999</c:v>
                      </c:pt>
                      <c:pt idx="123">
                        <c:v>151530.94200000001</c:v>
                      </c:pt>
                      <c:pt idx="124">
                        <c:v>94947.248999999996</c:v>
                      </c:pt>
                      <c:pt idx="125">
                        <c:v>96395.62</c:v>
                      </c:pt>
                      <c:pt idx="126">
                        <c:v>96869.634999999995</c:v>
                      </c:pt>
                      <c:pt idx="127">
                        <c:v>92566.33</c:v>
                      </c:pt>
                      <c:pt idx="128">
                        <c:v>105893.895</c:v>
                      </c:pt>
                      <c:pt idx="129">
                        <c:v>104196.534</c:v>
                      </c:pt>
                      <c:pt idx="130">
                        <c:v>105298.432</c:v>
                      </c:pt>
                      <c:pt idx="131">
                        <c:v>103528.901</c:v>
                      </c:pt>
                      <c:pt idx="132">
                        <c:v>102553.662</c:v>
                      </c:pt>
                      <c:pt idx="133">
                        <c:v>106160.375</c:v>
                      </c:pt>
                      <c:pt idx="134">
                        <c:v>104767.436</c:v>
                      </c:pt>
                      <c:pt idx="135">
                        <c:v>110021.77800000001</c:v>
                      </c:pt>
                      <c:pt idx="136">
                        <c:v>102921.41099999999</c:v>
                      </c:pt>
                      <c:pt idx="137">
                        <c:v>109681.95299999999</c:v>
                      </c:pt>
                      <c:pt idx="138">
                        <c:v>102233.033</c:v>
                      </c:pt>
                      <c:pt idx="139">
                        <c:v>105661.77</c:v>
                      </c:pt>
                      <c:pt idx="140">
                        <c:v>94503.081999999995</c:v>
                      </c:pt>
                      <c:pt idx="141">
                        <c:v>92515.804000000004</c:v>
                      </c:pt>
                      <c:pt idx="142">
                        <c:v>98334.183000000005</c:v>
                      </c:pt>
                      <c:pt idx="143">
                        <c:v>101431.507</c:v>
                      </c:pt>
                      <c:pt idx="144">
                        <c:v>99384.781000000003</c:v>
                      </c:pt>
                      <c:pt idx="145">
                        <c:v>94697.845000000001</c:v>
                      </c:pt>
                      <c:pt idx="146">
                        <c:v>75653.982000000004</c:v>
                      </c:pt>
                      <c:pt idx="147">
                        <c:v>102084.96400000001</c:v>
                      </c:pt>
                      <c:pt idx="148">
                        <c:v>101663.855</c:v>
                      </c:pt>
                      <c:pt idx="149">
                        <c:v>100805.02899999999</c:v>
                      </c:pt>
                      <c:pt idx="150">
                        <c:v>90152.741999999998</c:v>
                      </c:pt>
                      <c:pt idx="151">
                        <c:v>49837.688000000002</c:v>
                      </c:pt>
                      <c:pt idx="152">
                        <c:v>49856.362999999998</c:v>
                      </c:pt>
                      <c:pt idx="153">
                        <c:v>46810.578000000001</c:v>
                      </c:pt>
                      <c:pt idx="154">
                        <c:v>30820.988000000001</c:v>
                      </c:pt>
                      <c:pt idx="155">
                        <c:v>38266.107000000004</c:v>
                      </c:pt>
                      <c:pt idx="156">
                        <c:v>30463.142</c:v>
                      </c:pt>
                      <c:pt idx="157">
                        <c:v>27535.685000000001</c:v>
                      </c:pt>
                      <c:pt idx="158">
                        <c:v>43496.917000000001</c:v>
                      </c:pt>
                      <c:pt idx="159">
                        <c:v>44701.021999999997</c:v>
                      </c:pt>
                      <c:pt idx="160">
                        <c:v>47834.451999999997</c:v>
                      </c:pt>
                      <c:pt idx="161">
                        <c:v>34613.404999999999</c:v>
                      </c:pt>
                      <c:pt idx="162">
                        <c:v>35441.811999999998</c:v>
                      </c:pt>
                      <c:pt idx="163">
                        <c:v>41031.991999999998</c:v>
                      </c:pt>
                      <c:pt idx="164">
                        <c:v>43186.03</c:v>
                      </c:pt>
                      <c:pt idx="165">
                        <c:v>50425.131999999998</c:v>
                      </c:pt>
                      <c:pt idx="166">
                        <c:v>52051.775000000001</c:v>
                      </c:pt>
                      <c:pt idx="167">
                        <c:v>54978.796999999999</c:v>
                      </c:pt>
                      <c:pt idx="168">
                        <c:v>52031.078000000001</c:v>
                      </c:pt>
                      <c:pt idx="169">
                        <c:v>47473.786</c:v>
                      </c:pt>
                      <c:pt idx="170">
                        <c:v>53556.419000000002</c:v>
                      </c:pt>
                      <c:pt idx="171">
                        <c:v>39934.733999999997</c:v>
                      </c:pt>
                      <c:pt idx="172">
                        <c:v>38610.010999999999</c:v>
                      </c:pt>
                      <c:pt idx="173">
                        <c:v>45615.944000000003</c:v>
                      </c:pt>
                      <c:pt idx="174">
                        <c:v>56782.021000000001</c:v>
                      </c:pt>
                      <c:pt idx="175">
                        <c:v>49443.146999999997</c:v>
                      </c:pt>
                      <c:pt idx="176">
                        <c:v>46985.495999999999</c:v>
                      </c:pt>
                      <c:pt idx="177">
                        <c:v>47039.296999999999</c:v>
                      </c:pt>
                      <c:pt idx="178">
                        <c:v>48878.197999999997</c:v>
                      </c:pt>
                      <c:pt idx="179">
                        <c:v>48181.406000000003</c:v>
                      </c:pt>
                      <c:pt idx="180">
                        <c:v>42418.574000000001</c:v>
                      </c:pt>
                      <c:pt idx="181">
                        <c:v>43552.46</c:v>
                      </c:pt>
                      <c:pt idx="182">
                        <c:v>81272.091</c:v>
                      </c:pt>
                      <c:pt idx="183">
                        <c:v>118077.783</c:v>
                      </c:pt>
                      <c:pt idx="184">
                        <c:v>108769.745</c:v>
                      </c:pt>
                      <c:pt idx="185">
                        <c:v>99878.49</c:v>
                      </c:pt>
                      <c:pt idx="186">
                        <c:v>100473.60799999999</c:v>
                      </c:pt>
                      <c:pt idx="187">
                        <c:v>100389.304</c:v>
                      </c:pt>
                      <c:pt idx="188">
                        <c:v>104895.963</c:v>
                      </c:pt>
                      <c:pt idx="189">
                        <c:v>101159.855</c:v>
                      </c:pt>
                      <c:pt idx="190">
                        <c:v>98498.909</c:v>
                      </c:pt>
                      <c:pt idx="191">
                        <c:v>105343.285</c:v>
                      </c:pt>
                      <c:pt idx="192">
                        <c:v>114705.91899999999</c:v>
                      </c:pt>
                      <c:pt idx="193">
                        <c:v>110494.194</c:v>
                      </c:pt>
                      <c:pt idx="194">
                        <c:v>117468.031</c:v>
                      </c:pt>
                      <c:pt idx="195">
                        <c:v>103011.41099999999</c:v>
                      </c:pt>
                      <c:pt idx="196">
                        <c:v>102175.24800000001</c:v>
                      </c:pt>
                      <c:pt idx="197">
                        <c:v>110069.914</c:v>
                      </c:pt>
                      <c:pt idx="198">
                        <c:v>111125.352</c:v>
                      </c:pt>
                      <c:pt idx="199">
                        <c:v>108203.94100000001</c:v>
                      </c:pt>
                      <c:pt idx="200">
                        <c:v>108746.106</c:v>
                      </c:pt>
                      <c:pt idx="201">
                        <c:v>105827.617</c:v>
                      </c:pt>
                      <c:pt idx="202">
                        <c:v>110125.247</c:v>
                      </c:pt>
                      <c:pt idx="203">
                        <c:v>104501.63400000001</c:v>
                      </c:pt>
                      <c:pt idx="204">
                        <c:v>104350.80899999999</c:v>
                      </c:pt>
                      <c:pt idx="205">
                        <c:v>104670.897</c:v>
                      </c:pt>
                      <c:pt idx="206">
                        <c:v>110696.326</c:v>
                      </c:pt>
                      <c:pt idx="207">
                        <c:v>108056.211</c:v>
                      </c:pt>
                      <c:pt idx="208">
                        <c:v>102085.162</c:v>
                      </c:pt>
                      <c:pt idx="209">
                        <c:v>113757.56</c:v>
                      </c:pt>
                      <c:pt idx="210">
                        <c:v>109639.35400000001</c:v>
                      </c:pt>
                      <c:pt idx="211">
                        <c:v>108979.20699999999</c:v>
                      </c:pt>
                      <c:pt idx="212">
                        <c:v>114068.156</c:v>
                      </c:pt>
                      <c:pt idx="213">
                        <c:v>119814.774</c:v>
                      </c:pt>
                      <c:pt idx="214">
                        <c:v>122500.13</c:v>
                      </c:pt>
                      <c:pt idx="215">
                        <c:v>126140.00199999999</c:v>
                      </c:pt>
                      <c:pt idx="216">
                        <c:v>120480.486</c:v>
                      </c:pt>
                      <c:pt idx="217">
                        <c:v>120884.606</c:v>
                      </c:pt>
                      <c:pt idx="218">
                        <c:v>120760.59600000001</c:v>
                      </c:pt>
                      <c:pt idx="219">
                        <c:v>120825.649</c:v>
                      </c:pt>
                      <c:pt idx="220">
                        <c:v>122369.85799999999</c:v>
                      </c:pt>
                      <c:pt idx="221">
                        <c:v>124914.3</c:v>
                      </c:pt>
                      <c:pt idx="222">
                        <c:v>122056.09299999999</c:v>
                      </c:pt>
                      <c:pt idx="223">
                        <c:v>125055.82</c:v>
                      </c:pt>
                      <c:pt idx="224">
                        <c:v>121613.545</c:v>
                      </c:pt>
                      <c:pt idx="225">
                        <c:v>117202.33500000001</c:v>
                      </c:pt>
                      <c:pt idx="226">
                        <c:v>121072.07799999999</c:v>
                      </c:pt>
                      <c:pt idx="227">
                        <c:v>128302.827</c:v>
                      </c:pt>
                      <c:pt idx="228">
                        <c:v>126002.19</c:v>
                      </c:pt>
                      <c:pt idx="229">
                        <c:v>123177.80899999999</c:v>
                      </c:pt>
                      <c:pt idx="230">
                        <c:v>124785.126</c:v>
                      </c:pt>
                      <c:pt idx="231">
                        <c:v>121602.024</c:v>
                      </c:pt>
                      <c:pt idx="232">
                        <c:v>121017.167</c:v>
                      </c:pt>
                      <c:pt idx="233">
                        <c:v>133657.217</c:v>
                      </c:pt>
                      <c:pt idx="234">
                        <c:v>132236.72200000001</c:v>
                      </c:pt>
                      <c:pt idx="235">
                        <c:v>137450.95300000001</c:v>
                      </c:pt>
                      <c:pt idx="236">
                        <c:v>141449.47500000001</c:v>
                      </c:pt>
                      <c:pt idx="237">
                        <c:v>131611.43100000001</c:v>
                      </c:pt>
                      <c:pt idx="238">
                        <c:v>124838.219</c:v>
                      </c:pt>
                      <c:pt idx="239">
                        <c:v>121891.82799999999</c:v>
                      </c:pt>
                      <c:pt idx="240">
                        <c:v>122945.708</c:v>
                      </c:pt>
                      <c:pt idx="241">
                        <c:v>135188.48699999999</c:v>
                      </c:pt>
                      <c:pt idx="242">
                        <c:v>147023.78599999999</c:v>
                      </c:pt>
                      <c:pt idx="243">
                        <c:v>135097.413</c:v>
                      </c:pt>
                      <c:pt idx="244">
                        <c:v>138142.44500000001</c:v>
                      </c:pt>
                      <c:pt idx="245">
                        <c:v>134283.63099999999</c:v>
                      </c:pt>
                      <c:pt idx="246">
                        <c:v>137047.09</c:v>
                      </c:pt>
                      <c:pt idx="247">
                        <c:v>136425.109</c:v>
                      </c:pt>
                      <c:pt idx="248">
                        <c:v>139393.86499999999</c:v>
                      </c:pt>
                      <c:pt idx="249">
                        <c:v>144260.867</c:v>
                      </c:pt>
                      <c:pt idx="250">
                        <c:v>147586.82699999999</c:v>
                      </c:pt>
                      <c:pt idx="251">
                        <c:v>144587.285</c:v>
                      </c:pt>
                      <c:pt idx="252">
                        <c:v>138367.81599999999</c:v>
                      </c:pt>
                      <c:pt idx="253">
                        <c:v>138320.13</c:v>
                      </c:pt>
                      <c:pt idx="254">
                        <c:v>130707.283</c:v>
                      </c:pt>
                      <c:pt idx="255">
                        <c:v>124293.29399999999</c:v>
                      </c:pt>
                      <c:pt idx="256">
                        <c:v>146624.133</c:v>
                      </c:pt>
                      <c:pt idx="257">
                        <c:v>150385.35200000001</c:v>
                      </c:pt>
                      <c:pt idx="258">
                        <c:v>149950.092</c:v>
                      </c:pt>
                      <c:pt idx="259">
                        <c:v>123360.955</c:v>
                      </c:pt>
                      <c:pt idx="260">
                        <c:v>120350.981</c:v>
                      </c:pt>
                      <c:pt idx="261">
                        <c:v>131401.609</c:v>
                      </c:pt>
                      <c:pt idx="262">
                        <c:v>140763.902</c:v>
                      </c:pt>
                      <c:pt idx="263">
                        <c:v>146477.50599999999</c:v>
                      </c:pt>
                      <c:pt idx="264">
                        <c:v>143898.68900000001</c:v>
                      </c:pt>
                      <c:pt idx="265">
                        <c:v>143127.351</c:v>
                      </c:pt>
                      <c:pt idx="266">
                        <c:v>121270.613</c:v>
                      </c:pt>
                      <c:pt idx="267">
                        <c:v>135933.51800000001</c:v>
                      </c:pt>
                      <c:pt idx="268">
                        <c:v>139523.962</c:v>
                      </c:pt>
                      <c:pt idx="269">
                        <c:v>128330.076</c:v>
                      </c:pt>
                      <c:pt idx="270">
                        <c:v>123082.24099999999</c:v>
                      </c:pt>
                      <c:pt idx="271">
                        <c:v>134013.774</c:v>
                      </c:pt>
                      <c:pt idx="272">
                        <c:v>143495.02499999999</c:v>
                      </c:pt>
                      <c:pt idx="273">
                        <c:v>141409.978</c:v>
                      </c:pt>
                      <c:pt idx="274">
                        <c:v>140666.83900000001</c:v>
                      </c:pt>
                      <c:pt idx="275">
                        <c:v>139305.50599999999</c:v>
                      </c:pt>
                      <c:pt idx="276">
                        <c:v>141429.56299999999</c:v>
                      </c:pt>
                      <c:pt idx="277">
                        <c:v>138486.68</c:v>
                      </c:pt>
                      <c:pt idx="278">
                        <c:v>138760.70199999999</c:v>
                      </c:pt>
                      <c:pt idx="279">
                        <c:v>141404.022</c:v>
                      </c:pt>
                      <c:pt idx="280">
                        <c:v>143303.625</c:v>
                      </c:pt>
                      <c:pt idx="281">
                        <c:v>138441.82</c:v>
                      </c:pt>
                      <c:pt idx="282">
                        <c:v>139339.19500000001</c:v>
                      </c:pt>
                      <c:pt idx="283">
                        <c:v>138763.63</c:v>
                      </c:pt>
                      <c:pt idx="284">
                        <c:v>144079.77600000001</c:v>
                      </c:pt>
                      <c:pt idx="285">
                        <c:v>145441.91699999999</c:v>
                      </c:pt>
                      <c:pt idx="286">
                        <c:v>150718.685</c:v>
                      </c:pt>
                      <c:pt idx="287">
                        <c:v>148316.36900000001</c:v>
                      </c:pt>
                      <c:pt idx="288">
                        <c:v>151070.149</c:v>
                      </c:pt>
                      <c:pt idx="289">
                        <c:v>143912.51999999999</c:v>
                      </c:pt>
                      <c:pt idx="290">
                        <c:v>140051.06899999999</c:v>
                      </c:pt>
                      <c:pt idx="291">
                        <c:v>146093.62599999999</c:v>
                      </c:pt>
                      <c:pt idx="292">
                        <c:v>142161.932</c:v>
                      </c:pt>
                      <c:pt idx="293">
                        <c:v>140867.92499999999</c:v>
                      </c:pt>
                      <c:pt idx="294">
                        <c:v>140676.56099999999</c:v>
                      </c:pt>
                      <c:pt idx="295">
                        <c:v>144265.527</c:v>
                      </c:pt>
                      <c:pt idx="296">
                        <c:v>147252.05300000001</c:v>
                      </c:pt>
                      <c:pt idx="297">
                        <c:v>141897.00599999999</c:v>
                      </c:pt>
                      <c:pt idx="298">
                        <c:v>142907.76999999999</c:v>
                      </c:pt>
                      <c:pt idx="299">
                        <c:v>145840.503</c:v>
                      </c:pt>
                      <c:pt idx="300">
                        <c:v>143292.29</c:v>
                      </c:pt>
                      <c:pt idx="301">
                        <c:v>144109.905</c:v>
                      </c:pt>
                      <c:pt idx="302">
                        <c:v>137771.64300000001</c:v>
                      </c:pt>
                      <c:pt idx="303">
                        <c:v>149980.864</c:v>
                      </c:pt>
                      <c:pt idx="304">
                        <c:v>147397.389</c:v>
                      </c:pt>
                      <c:pt idx="305">
                        <c:v>143858.97</c:v>
                      </c:pt>
                      <c:pt idx="306">
                        <c:v>168147.351</c:v>
                      </c:pt>
                      <c:pt idx="307">
                        <c:v>152653.46599999999</c:v>
                      </c:pt>
                      <c:pt idx="308">
                        <c:v>149982.611</c:v>
                      </c:pt>
                      <c:pt idx="309">
                        <c:v>132617.17800000001</c:v>
                      </c:pt>
                      <c:pt idx="310">
                        <c:v>142379.356</c:v>
                      </c:pt>
                      <c:pt idx="311">
                        <c:v>149651.538</c:v>
                      </c:pt>
                      <c:pt idx="312">
                        <c:v>145560.25899999999</c:v>
                      </c:pt>
                      <c:pt idx="313">
                        <c:v>136292.712</c:v>
                      </c:pt>
                      <c:pt idx="314">
                        <c:v>144532.33199999999</c:v>
                      </c:pt>
                      <c:pt idx="315">
                        <c:v>132564.929</c:v>
                      </c:pt>
                      <c:pt idx="316">
                        <c:v>132788.535</c:v>
                      </c:pt>
                      <c:pt idx="317">
                        <c:v>134800.03899999999</c:v>
                      </c:pt>
                      <c:pt idx="318">
                        <c:v>137209.057</c:v>
                      </c:pt>
                      <c:pt idx="319">
                        <c:v>149455.109</c:v>
                      </c:pt>
                      <c:pt idx="320">
                        <c:v>145696.883</c:v>
                      </c:pt>
                      <c:pt idx="321">
                        <c:v>135803.671</c:v>
                      </c:pt>
                      <c:pt idx="322">
                        <c:v>125217.796</c:v>
                      </c:pt>
                      <c:pt idx="323">
                        <c:v>124372.81600000001</c:v>
                      </c:pt>
                      <c:pt idx="324">
                        <c:v>142709.573</c:v>
                      </c:pt>
                      <c:pt idx="325">
                        <c:v>142007.66899999999</c:v>
                      </c:pt>
                      <c:pt idx="326">
                        <c:v>149411.226</c:v>
                      </c:pt>
                      <c:pt idx="327">
                        <c:v>146666.853</c:v>
                      </c:pt>
                      <c:pt idx="328">
                        <c:v>140095.861</c:v>
                      </c:pt>
                      <c:pt idx="329">
                        <c:v>141767.84899999999</c:v>
                      </c:pt>
                      <c:pt idx="330">
                        <c:v>141544.443</c:v>
                      </c:pt>
                      <c:pt idx="331">
                        <c:v>138981.29699999999</c:v>
                      </c:pt>
                      <c:pt idx="332">
                        <c:v>144474.272</c:v>
                      </c:pt>
                      <c:pt idx="333">
                        <c:v>144936.47099999999</c:v>
                      </c:pt>
                      <c:pt idx="334">
                        <c:v>147355.19099999999</c:v>
                      </c:pt>
                      <c:pt idx="335">
                        <c:v>117478.443</c:v>
                      </c:pt>
                      <c:pt idx="336">
                        <c:v>93269.573999999993</c:v>
                      </c:pt>
                      <c:pt idx="337">
                        <c:v>95635.81</c:v>
                      </c:pt>
                      <c:pt idx="338">
                        <c:v>123924.776</c:v>
                      </c:pt>
                      <c:pt idx="339">
                        <c:v>116793.913</c:v>
                      </c:pt>
                      <c:pt idx="340">
                        <c:v>91088.94</c:v>
                      </c:pt>
                      <c:pt idx="341">
                        <c:v>90963.26</c:v>
                      </c:pt>
                      <c:pt idx="342">
                        <c:v>97743.350999999995</c:v>
                      </c:pt>
                      <c:pt idx="343">
                        <c:v>97213.766000000003</c:v>
                      </c:pt>
                      <c:pt idx="344">
                        <c:v>83696.83</c:v>
                      </c:pt>
                      <c:pt idx="345">
                        <c:v>98101.532999999996</c:v>
                      </c:pt>
                      <c:pt idx="346">
                        <c:v>90377.538</c:v>
                      </c:pt>
                      <c:pt idx="347">
                        <c:v>90627.388999999996</c:v>
                      </c:pt>
                      <c:pt idx="348">
                        <c:v>88837.870999999999</c:v>
                      </c:pt>
                      <c:pt idx="349">
                        <c:v>84778.399000000005</c:v>
                      </c:pt>
                      <c:pt idx="350">
                        <c:v>109107.092</c:v>
                      </c:pt>
                      <c:pt idx="351">
                        <c:v>124368.827</c:v>
                      </c:pt>
                      <c:pt idx="352">
                        <c:v>105946.39599999999</c:v>
                      </c:pt>
                      <c:pt idx="353">
                        <c:v>116028.986</c:v>
                      </c:pt>
                      <c:pt idx="354">
                        <c:v>135598.255</c:v>
                      </c:pt>
                      <c:pt idx="355">
                        <c:v>144351.86199999999</c:v>
                      </c:pt>
                      <c:pt idx="356">
                        <c:v>146927.52900000001</c:v>
                      </c:pt>
                      <c:pt idx="357">
                        <c:v>139528.777</c:v>
                      </c:pt>
                      <c:pt idx="358">
                        <c:v>137810.652</c:v>
                      </c:pt>
                      <c:pt idx="359">
                        <c:v>141095.98499999999</c:v>
                      </c:pt>
                      <c:pt idx="360">
                        <c:v>142268.13</c:v>
                      </c:pt>
                      <c:pt idx="361">
                        <c:v>136332.44399999999</c:v>
                      </c:pt>
                      <c:pt idx="362">
                        <c:v>145875.391</c:v>
                      </c:pt>
                      <c:pt idx="363">
                        <c:v>144404.98300000001</c:v>
                      </c:pt>
                      <c:pt idx="364">
                        <c:v>135002.61600000001</c:v>
                      </c:pt>
                      <c:pt idx="365">
                        <c:v>92274.070999999996</c:v>
                      </c:pt>
                      <c:pt idx="366">
                        <c:v>109670.837</c:v>
                      </c:pt>
                      <c:pt idx="367">
                        <c:v>142093.82399999999</c:v>
                      </c:pt>
                      <c:pt idx="368">
                        <c:v>124571.194</c:v>
                      </c:pt>
                      <c:pt idx="369">
                        <c:v>122067.436</c:v>
                      </c:pt>
                      <c:pt idx="370">
                        <c:v>124029.378</c:v>
                      </c:pt>
                      <c:pt idx="371">
                        <c:v>111890.462</c:v>
                      </c:pt>
                      <c:pt idx="372">
                        <c:v>114457.751</c:v>
                      </c:pt>
                      <c:pt idx="373">
                        <c:v>131729.13800000001</c:v>
                      </c:pt>
                      <c:pt idx="374">
                        <c:v>160189.94899999999</c:v>
                      </c:pt>
                      <c:pt idx="375">
                        <c:v>189794.20699999999</c:v>
                      </c:pt>
                      <c:pt idx="376">
                        <c:v>157524.071</c:v>
                      </c:pt>
                      <c:pt idx="377">
                        <c:v>155040.946</c:v>
                      </c:pt>
                      <c:pt idx="378">
                        <c:v>121830.67200000001</c:v>
                      </c:pt>
                      <c:pt idx="379">
                        <c:v>131336.28</c:v>
                      </c:pt>
                      <c:pt idx="380">
                        <c:v>125078.182</c:v>
                      </c:pt>
                      <c:pt idx="381">
                        <c:v>150917.47099999999</c:v>
                      </c:pt>
                      <c:pt idx="382">
                        <c:v>159758.28599999999</c:v>
                      </c:pt>
                      <c:pt idx="383">
                        <c:v>153578.492</c:v>
                      </c:pt>
                      <c:pt idx="384">
                        <c:v>162570.95600000001</c:v>
                      </c:pt>
                      <c:pt idx="385">
                        <c:v>118670.15700000001</c:v>
                      </c:pt>
                      <c:pt idx="386">
                        <c:v>132366.087</c:v>
                      </c:pt>
                      <c:pt idx="387">
                        <c:v>137421.87599999999</c:v>
                      </c:pt>
                      <c:pt idx="388">
                        <c:v>146901.739</c:v>
                      </c:pt>
                      <c:pt idx="389">
                        <c:v>117351.01700000001</c:v>
                      </c:pt>
                      <c:pt idx="390">
                        <c:v>176688.21</c:v>
                      </c:pt>
                      <c:pt idx="391">
                        <c:v>149015.489</c:v>
                      </c:pt>
                      <c:pt idx="392">
                        <c:v>104471.102</c:v>
                      </c:pt>
                      <c:pt idx="393">
                        <c:v>110677.19899999999</c:v>
                      </c:pt>
                      <c:pt idx="394">
                        <c:v>123719.67</c:v>
                      </c:pt>
                      <c:pt idx="395">
                        <c:v>130476.508</c:v>
                      </c:pt>
                      <c:pt idx="396">
                        <c:v>113855.663</c:v>
                      </c:pt>
                      <c:pt idx="397">
                        <c:v>124130.715</c:v>
                      </c:pt>
                      <c:pt idx="398">
                        <c:v>116352.333</c:v>
                      </c:pt>
                      <c:pt idx="399">
                        <c:v>113394.708</c:v>
                      </c:pt>
                      <c:pt idx="400">
                        <c:v>107097.683</c:v>
                      </c:pt>
                      <c:pt idx="401">
                        <c:v>120435.189</c:v>
                      </c:pt>
                      <c:pt idx="402">
                        <c:v>89283.301999999996</c:v>
                      </c:pt>
                      <c:pt idx="403">
                        <c:v>76673.248000000007</c:v>
                      </c:pt>
                      <c:pt idx="404">
                        <c:v>92267.824999999997</c:v>
                      </c:pt>
                      <c:pt idx="405">
                        <c:v>97921.930999999997</c:v>
                      </c:pt>
                      <c:pt idx="406">
                        <c:v>78245.671000000002</c:v>
                      </c:pt>
                      <c:pt idx="407">
                        <c:v>86237.218999999997</c:v>
                      </c:pt>
                      <c:pt idx="408">
                        <c:v>76751.11</c:v>
                      </c:pt>
                      <c:pt idx="409">
                        <c:v>69421.569000000003</c:v>
                      </c:pt>
                      <c:pt idx="410">
                        <c:v>97143.225999999995</c:v>
                      </c:pt>
                      <c:pt idx="411">
                        <c:v>100134.06600000001</c:v>
                      </c:pt>
                      <c:pt idx="412">
                        <c:v>84877.762000000002</c:v>
                      </c:pt>
                      <c:pt idx="413">
                        <c:v>72981.498999999996</c:v>
                      </c:pt>
                      <c:pt idx="414">
                        <c:v>71302.256999999998</c:v>
                      </c:pt>
                      <c:pt idx="415">
                        <c:v>115518.371</c:v>
                      </c:pt>
                      <c:pt idx="416">
                        <c:v>113431.219</c:v>
                      </c:pt>
                      <c:pt idx="417">
                        <c:v>96703.585000000006</c:v>
                      </c:pt>
                      <c:pt idx="418">
                        <c:v>113491.61500000001</c:v>
                      </c:pt>
                      <c:pt idx="419">
                        <c:v>105936.348</c:v>
                      </c:pt>
                      <c:pt idx="420">
                        <c:v>80183.842999999993</c:v>
                      </c:pt>
                      <c:pt idx="421">
                        <c:v>84726.293000000005</c:v>
                      </c:pt>
                      <c:pt idx="422">
                        <c:v>97283.222999999998</c:v>
                      </c:pt>
                      <c:pt idx="423">
                        <c:v>116774.45</c:v>
                      </c:pt>
                      <c:pt idx="424">
                        <c:v>110857.15300000001</c:v>
                      </c:pt>
                      <c:pt idx="425">
                        <c:v>113006.31299999999</c:v>
                      </c:pt>
                      <c:pt idx="426">
                        <c:v>112506.07799999999</c:v>
                      </c:pt>
                      <c:pt idx="427">
                        <c:v>111342.685</c:v>
                      </c:pt>
                      <c:pt idx="428">
                        <c:v>126541.662</c:v>
                      </c:pt>
                      <c:pt idx="429">
                        <c:v>115722.00599999999</c:v>
                      </c:pt>
                      <c:pt idx="430">
                        <c:v>115239.08900000001</c:v>
                      </c:pt>
                      <c:pt idx="431">
                        <c:v>105913.93</c:v>
                      </c:pt>
                      <c:pt idx="432">
                        <c:v>110001.424</c:v>
                      </c:pt>
                      <c:pt idx="433">
                        <c:v>108856.55499999999</c:v>
                      </c:pt>
                      <c:pt idx="434">
                        <c:v>107176.68</c:v>
                      </c:pt>
                      <c:pt idx="435">
                        <c:v>107603.628</c:v>
                      </c:pt>
                      <c:pt idx="436">
                        <c:v>112009.798</c:v>
                      </c:pt>
                      <c:pt idx="437">
                        <c:v>129775.361</c:v>
                      </c:pt>
                      <c:pt idx="438">
                        <c:v>112524.087</c:v>
                      </c:pt>
                      <c:pt idx="439">
                        <c:v>120744.34</c:v>
                      </c:pt>
                      <c:pt idx="440">
                        <c:v>112300.00900000001</c:v>
                      </c:pt>
                      <c:pt idx="441">
                        <c:v>109259.94500000001</c:v>
                      </c:pt>
                      <c:pt idx="442">
                        <c:v>111146.469</c:v>
                      </c:pt>
                      <c:pt idx="443">
                        <c:v>109999.996</c:v>
                      </c:pt>
                      <c:pt idx="444">
                        <c:v>116390.34699999999</c:v>
                      </c:pt>
                      <c:pt idx="445">
                        <c:v>116976.17600000001</c:v>
                      </c:pt>
                      <c:pt idx="446">
                        <c:v>118160.652</c:v>
                      </c:pt>
                      <c:pt idx="447">
                        <c:v>131628.17000000001</c:v>
                      </c:pt>
                      <c:pt idx="448">
                        <c:v>134681.29500000001</c:v>
                      </c:pt>
                      <c:pt idx="449">
                        <c:v>126300.90700000001</c:v>
                      </c:pt>
                      <c:pt idx="450">
                        <c:v>137291.43599999999</c:v>
                      </c:pt>
                      <c:pt idx="451">
                        <c:v>134104.85200000001</c:v>
                      </c:pt>
                      <c:pt idx="452">
                        <c:v>110027.967</c:v>
                      </c:pt>
                      <c:pt idx="453">
                        <c:v>139758.478</c:v>
                      </c:pt>
                      <c:pt idx="454">
                        <c:v>129730.447</c:v>
                      </c:pt>
                      <c:pt idx="455">
                        <c:v>122090.122</c:v>
                      </c:pt>
                      <c:pt idx="456">
                        <c:v>120080.382</c:v>
                      </c:pt>
                      <c:pt idx="457">
                        <c:v>129951.963</c:v>
                      </c:pt>
                      <c:pt idx="458">
                        <c:v>118138.20600000001</c:v>
                      </c:pt>
                      <c:pt idx="459">
                        <c:v>114107.211</c:v>
                      </c:pt>
                      <c:pt idx="460">
                        <c:v>95174.691000000006</c:v>
                      </c:pt>
                      <c:pt idx="461">
                        <c:v>118662.81200000001</c:v>
                      </c:pt>
                      <c:pt idx="462">
                        <c:v>116896.37</c:v>
                      </c:pt>
                      <c:pt idx="463">
                        <c:v>117299.549</c:v>
                      </c:pt>
                      <c:pt idx="464">
                        <c:v>128086.59600000001</c:v>
                      </c:pt>
                      <c:pt idx="465">
                        <c:v>119001.337</c:v>
                      </c:pt>
                      <c:pt idx="466">
                        <c:v>120849.796</c:v>
                      </c:pt>
                      <c:pt idx="467">
                        <c:v>121716.77</c:v>
                      </c:pt>
                      <c:pt idx="468">
                        <c:v>133544.872</c:v>
                      </c:pt>
                      <c:pt idx="469">
                        <c:v>122528.43399999999</c:v>
                      </c:pt>
                      <c:pt idx="470">
                        <c:v>119747.20600000001</c:v>
                      </c:pt>
                      <c:pt idx="471">
                        <c:v>126804.43</c:v>
                      </c:pt>
                      <c:pt idx="472">
                        <c:v>119102.386</c:v>
                      </c:pt>
                      <c:pt idx="473">
                        <c:v>117969.386</c:v>
                      </c:pt>
                      <c:pt idx="474">
                        <c:v>118884.326</c:v>
                      </c:pt>
                      <c:pt idx="475">
                        <c:v>118383.674</c:v>
                      </c:pt>
                      <c:pt idx="476">
                        <c:v>117957.677</c:v>
                      </c:pt>
                      <c:pt idx="477">
                        <c:v>119023.462</c:v>
                      </c:pt>
                      <c:pt idx="478">
                        <c:v>120747.045</c:v>
                      </c:pt>
                      <c:pt idx="479">
                        <c:v>146914.52499999999</c:v>
                      </c:pt>
                      <c:pt idx="480">
                        <c:v>127961.82399999999</c:v>
                      </c:pt>
                      <c:pt idx="481">
                        <c:v>126109.732</c:v>
                      </c:pt>
                      <c:pt idx="482">
                        <c:v>119766.337</c:v>
                      </c:pt>
                      <c:pt idx="483">
                        <c:v>119116.626</c:v>
                      </c:pt>
                      <c:pt idx="484">
                        <c:v>118959.337</c:v>
                      </c:pt>
                      <c:pt idx="485">
                        <c:v>127051.484</c:v>
                      </c:pt>
                      <c:pt idx="486">
                        <c:v>137763.25</c:v>
                      </c:pt>
                      <c:pt idx="487">
                        <c:v>149720.18100000001</c:v>
                      </c:pt>
                      <c:pt idx="488">
                        <c:v>137448.106</c:v>
                      </c:pt>
                      <c:pt idx="489">
                        <c:v>149428.696</c:v>
                      </c:pt>
                      <c:pt idx="490">
                        <c:v>155001.47399999999</c:v>
                      </c:pt>
                      <c:pt idx="491">
                        <c:v>150224.09599999999</c:v>
                      </c:pt>
                      <c:pt idx="492">
                        <c:v>150526.65299999999</c:v>
                      </c:pt>
                      <c:pt idx="493">
                        <c:v>150586.158</c:v>
                      </c:pt>
                      <c:pt idx="494">
                        <c:v>173325.304</c:v>
                      </c:pt>
                      <c:pt idx="495">
                        <c:v>179360.32500000001</c:v>
                      </c:pt>
                      <c:pt idx="496">
                        <c:v>193331.97099999999</c:v>
                      </c:pt>
                      <c:pt idx="497">
                        <c:v>135031.18700000001</c:v>
                      </c:pt>
                      <c:pt idx="498">
                        <c:v>135027.13699999999</c:v>
                      </c:pt>
                      <c:pt idx="499">
                        <c:v>146009.33499999999</c:v>
                      </c:pt>
                      <c:pt idx="500">
                        <c:v>143656.35999999999</c:v>
                      </c:pt>
                      <c:pt idx="501">
                        <c:v>144503.19500000001</c:v>
                      </c:pt>
                      <c:pt idx="502">
                        <c:v>148323.42300000001</c:v>
                      </c:pt>
                      <c:pt idx="503">
                        <c:v>144944.726</c:v>
                      </c:pt>
                      <c:pt idx="504">
                        <c:v>133287.815</c:v>
                      </c:pt>
                      <c:pt idx="505">
                        <c:v>130029.894</c:v>
                      </c:pt>
                      <c:pt idx="506">
                        <c:v>137729.47899999999</c:v>
                      </c:pt>
                      <c:pt idx="507">
                        <c:v>129196.92600000001</c:v>
                      </c:pt>
                      <c:pt idx="508">
                        <c:v>101397.361</c:v>
                      </c:pt>
                      <c:pt idx="509">
                        <c:v>117253.148</c:v>
                      </c:pt>
                      <c:pt idx="510">
                        <c:v>123828.83100000001</c:v>
                      </c:pt>
                      <c:pt idx="511">
                        <c:v>134309.20600000001</c:v>
                      </c:pt>
                      <c:pt idx="512">
                        <c:v>122512.53</c:v>
                      </c:pt>
                      <c:pt idx="513">
                        <c:v>59892.578999999998</c:v>
                      </c:pt>
                      <c:pt idx="514">
                        <c:v>68094.769</c:v>
                      </c:pt>
                      <c:pt idx="515">
                        <c:v>11027.107</c:v>
                      </c:pt>
                      <c:pt idx="516">
                        <c:v>0</c:v>
                      </c:pt>
                      <c:pt idx="517">
                        <c:v>0</c:v>
                      </c:pt>
                      <c:pt idx="518">
                        <c:v>29616.594000000001</c:v>
                      </c:pt>
                      <c:pt idx="519">
                        <c:v>50662.339</c:v>
                      </c:pt>
                      <c:pt idx="520">
                        <c:v>91935.335999999996</c:v>
                      </c:pt>
                      <c:pt idx="521">
                        <c:v>115771.57</c:v>
                      </c:pt>
                      <c:pt idx="522">
                        <c:v>115523.145</c:v>
                      </c:pt>
                      <c:pt idx="523">
                        <c:v>130545.436</c:v>
                      </c:pt>
                      <c:pt idx="524">
                        <c:v>123739.58199999999</c:v>
                      </c:pt>
                      <c:pt idx="525">
                        <c:v>107173.243</c:v>
                      </c:pt>
                      <c:pt idx="526">
                        <c:v>103919.679</c:v>
                      </c:pt>
                      <c:pt idx="527">
                        <c:v>98280.513000000006</c:v>
                      </c:pt>
                      <c:pt idx="528">
                        <c:v>91225.106</c:v>
                      </c:pt>
                      <c:pt idx="529">
                        <c:v>103814.66800000001</c:v>
                      </c:pt>
                      <c:pt idx="530">
                        <c:v>101381.47500000001</c:v>
                      </c:pt>
                      <c:pt idx="531">
                        <c:v>98071.498999999996</c:v>
                      </c:pt>
                      <c:pt idx="532">
                        <c:v>95727.812000000005</c:v>
                      </c:pt>
                      <c:pt idx="533">
                        <c:v>95793.808999999994</c:v>
                      </c:pt>
                      <c:pt idx="534">
                        <c:v>101582.79399999999</c:v>
                      </c:pt>
                      <c:pt idx="535">
                        <c:v>110067.29300000001</c:v>
                      </c:pt>
                      <c:pt idx="536">
                        <c:v>108549.274</c:v>
                      </c:pt>
                      <c:pt idx="537">
                        <c:v>105989.41800000001</c:v>
                      </c:pt>
                      <c:pt idx="538">
                        <c:v>123473.014</c:v>
                      </c:pt>
                      <c:pt idx="539">
                        <c:v>98775.994000000006</c:v>
                      </c:pt>
                      <c:pt idx="540">
                        <c:v>102263.87300000001</c:v>
                      </c:pt>
                      <c:pt idx="541">
                        <c:v>109228.54700000001</c:v>
                      </c:pt>
                      <c:pt idx="542">
                        <c:v>124843.83199999999</c:v>
                      </c:pt>
                      <c:pt idx="543">
                        <c:v>100356.00599999999</c:v>
                      </c:pt>
                      <c:pt idx="544">
                        <c:v>86905.004000000001</c:v>
                      </c:pt>
                      <c:pt idx="545">
                        <c:v>72341.587</c:v>
                      </c:pt>
                      <c:pt idx="546">
                        <c:v>85754.979000000007</c:v>
                      </c:pt>
                      <c:pt idx="547">
                        <c:v>72192.180999999997</c:v>
                      </c:pt>
                      <c:pt idx="548">
                        <c:v>74749.64</c:v>
                      </c:pt>
                      <c:pt idx="549">
                        <c:v>71461.161999999997</c:v>
                      </c:pt>
                      <c:pt idx="550">
                        <c:v>66775.922999999995</c:v>
                      </c:pt>
                      <c:pt idx="551">
                        <c:v>52591.01</c:v>
                      </c:pt>
                      <c:pt idx="552">
                        <c:v>49376.608999999997</c:v>
                      </c:pt>
                      <c:pt idx="553">
                        <c:v>54558.953000000001</c:v>
                      </c:pt>
                      <c:pt idx="554">
                        <c:v>55630.92</c:v>
                      </c:pt>
                      <c:pt idx="555">
                        <c:v>76790.798999999999</c:v>
                      </c:pt>
                      <c:pt idx="556">
                        <c:v>80350.06</c:v>
                      </c:pt>
                      <c:pt idx="557">
                        <c:v>55486.584000000003</c:v>
                      </c:pt>
                      <c:pt idx="558">
                        <c:v>58933.605000000003</c:v>
                      </c:pt>
                      <c:pt idx="559">
                        <c:v>80866.479000000007</c:v>
                      </c:pt>
                      <c:pt idx="560">
                        <c:v>75745.535000000003</c:v>
                      </c:pt>
                      <c:pt idx="561">
                        <c:v>77830.467000000004</c:v>
                      </c:pt>
                      <c:pt idx="562">
                        <c:v>74851.790999999997</c:v>
                      </c:pt>
                      <c:pt idx="563">
                        <c:v>76547.414000000004</c:v>
                      </c:pt>
                      <c:pt idx="564">
                        <c:v>77496.922999999995</c:v>
                      </c:pt>
                      <c:pt idx="565">
                        <c:v>48601.963000000003</c:v>
                      </c:pt>
                      <c:pt idx="566">
                        <c:v>47656.017</c:v>
                      </c:pt>
                      <c:pt idx="567">
                        <c:v>65507.819000000003</c:v>
                      </c:pt>
                      <c:pt idx="568">
                        <c:v>52304.845000000001</c:v>
                      </c:pt>
                      <c:pt idx="569">
                        <c:v>14186.221</c:v>
                      </c:pt>
                      <c:pt idx="570">
                        <c:v>3078.7539999999999</c:v>
                      </c:pt>
                      <c:pt idx="571">
                        <c:v>4345.6530000000002</c:v>
                      </c:pt>
                      <c:pt idx="572">
                        <c:v>3680.1309999999999</c:v>
                      </c:pt>
                      <c:pt idx="573">
                        <c:v>594.48199999999997</c:v>
                      </c:pt>
                      <c:pt idx="574">
                        <c:v>33796.33</c:v>
                      </c:pt>
                      <c:pt idx="575">
                        <c:v>35898.868999999999</c:v>
                      </c:pt>
                      <c:pt idx="576">
                        <c:v>33699.319000000003</c:v>
                      </c:pt>
                      <c:pt idx="577">
                        <c:v>34875.017</c:v>
                      </c:pt>
                      <c:pt idx="578">
                        <c:v>44628.737000000001</c:v>
                      </c:pt>
                      <c:pt idx="579">
                        <c:v>43896.856</c:v>
                      </c:pt>
                      <c:pt idx="580">
                        <c:v>41066.735000000001</c:v>
                      </c:pt>
                      <c:pt idx="581">
                        <c:v>48438.419000000002</c:v>
                      </c:pt>
                      <c:pt idx="582">
                        <c:v>49411.623</c:v>
                      </c:pt>
                      <c:pt idx="583">
                        <c:v>55736.758000000002</c:v>
                      </c:pt>
                      <c:pt idx="584">
                        <c:v>66654.807000000001</c:v>
                      </c:pt>
                      <c:pt idx="585">
                        <c:v>61045.913</c:v>
                      </c:pt>
                      <c:pt idx="586">
                        <c:v>51044.125</c:v>
                      </c:pt>
                      <c:pt idx="587">
                        <c:v>39876.946000000004</c:v>
                      </c:pt>
                      <c:pt idx="588">
                        <c:v>12972.484</c:v>
                      </c:pt>
                      <c:pt idx="589">
                        <c:v>16097.242</c:v>
                      </c:pt>
                      <c:pt idx="590">
                        <c:v>46431.28</c:v>
                      </c:pt>
                      <c:pt idx="591">
                        <c:v>49869.072</c:v>
                      </c:pt>
                      <c:pt idx="592">
                        <c:v>46042.116999999998</c:v>
                      </c:pt>
                      <c:pt idx="593">
                        <c:v>20572.440999999999</c:v>
                      </c:pt>
                      <c:pt idx="594">
                        <c:v>33553.017999999996</c:v>
                      </c:pt>
                      <c:pt idx="595">
                        <c:v>43140.457000000002</c:v>
                      </c:pt>
                      <c:pt idx="596">
                        <c:v>48888.156000000003</c:v>
                      </c:pt>
                      <c:pt idx="597">
                        <c:v>55399.180999999997</c:v>
                      </c:pt>
                      <c:pt idx="598">
                        <c:v>67935.853000000003</c:v>
                      </c:pt>
                      <c:pt idx="599">
                        <c:v>73442.138999999996</c:v>
                      </c:pt>
                      <c:pt idx="600">
                        <c:v>65222.735999999997</c:v>
                      </c:pt>
                      <c:pt idx="601">
                        <c:v>43004.783000000003</c:v>
                      </c:pt>
                      <c:pt idx="602">
                        <c:v>51337.29</c:v>
                      </c:pt>
                      <c:pt idx="603">
                        <c:v>50065.313999999998</c:v>
                      </c:pt>
                      <c:pt idx="604">
                        <c:v>42067.631999999998</c:v>
                      </c:pt>
                      <c:pt idx="605">
                        <c:v>37726.595999999998</c:v>
                      </c:pt>
                      <c:pt idx="606">
                        <c:v>38744.822999999997</c:v>
                      </c:pt>
                      <c:pt idx="607">
                        <c:v>36921.03</c:v>
                      </c:pt>
                      <c:pt idx="608">
                        <c:v>20527.206999999999</c:v>
                      </c:pt>
                      <c:pt idx="609">
                        <c:v>7982.8810000000003</c:v>
                      </c:pt>
                      <c:pt idx="610">
                        <c:v>7285.1949999999997</c:v>
                      </c:pt>
                      <c:pt idx="611">
                        <c:v>29048.348000000002</c:v>
                      </c:pt>
                      <c:pt idx="612">
                        <c:v>8687.4830000000002</c:v>
                      </c:pt>
                      <c:pt idx="613">
                        <c:v>15487.036</c:v>
                      </c:pt>
                      <c:pt idx="614">
                        <c:v>24687.774000000001</c:v>
                      </c:pt>
                      <c:pt idx="615">
                        <c:v>31760.629000000001</c:v>
                      </c:pt>
                      <c:pt idx="616">
                        <c:v>33083.917000000001</c:v>
                      </c:pt>
                      <c:pt idx="617">
                        <c:v>30993.867999999999</c:v>
                      </c:pt>
                      <c:pt idx="618">
                        <c:v>34351.96</c:v>
                      </c:pt>
                      <c:pt idx="619">
                        <c:v>27036.672999999999</c:v>
                      </c:pt>
                      <c:pt idx="620">
                        <c:v>18799.89</c:v>
                      </c:pt>
                      <c:pt idx="621">
                        <c:v>13608.057000000001</c:v>
                      </c:pt>
                      <c:pt idx="622">
                        <c:v>7036.1589999999997</c:v>
                      </c:pt>
                      <c:pt idx="623">
                        <c:v>3284.5630000000001</c:v>
                      </c:pt>
                      <c:pt idx="624">
                        <c:v>6277.1980000000003</c:v>
                      </c:pt>
                      <c:pt idx="625">
                        <c:v>11234.736999999999</c:v>
                      </c:pt>
                      <c:pt idx="626">
                        <c:v>5913.2830000000004</c:v>
                      </c:pt>
                      <c:pt idx="627">
                        <c:v>115.53400000000001</c:v>
                      </c:pt>
                      <c:pt idx="628">
                        <c:v>1051.1199999999999</c:v>
                      </c:pt>
                      <c:pt idx="629">
                        <c:v>20151.474999999999</c:v>
                      </c:pt>
                      <c:pt idx="630">
                        <c:v>19387.486000000001</c:v>
                      </c:pt>
                      <c:pt idx="631">
                        <c:v>19409.902999999998</c:v>
                      </c:pt>
                      <c:pt idx="632">
                        <c:v>5432.3029999999999</c:v>
                      </c:pt>
                      <c:pt idx="633">
                        <c:v>11005.239</c:v>
                      </c:pt>
                      <c:pt idx="634">
                        <c:v>9631.3819999999996</c:v>
                      </c:pt>
                      <c:pt idx="635">
                        <c:v>3633.7370000000001</c:v>
                      </c:pt>
                      <c:pt idx="636">
                        <c:v>728.96799999999996</c:v>
                      </c:pt>
                      <c:pt idx="637">
                        <c:v>377.38600000000002</c:v>
                      </c:pt>
                      <c:pt idx="638">
                        <c:v>44097.546999999999</c:v>
                      </c:pt>
                      <c:pt idx="639">
                        <c:v>34729.038999999997</c:v>
                      </c:pt>
                      <c:pt idx="640">
                        <c:v>39967.78</c:v>
                      </c:pt>
                      <c:pt idx="641">
                        <c:v>23145.516</c:v>
                      </c:pt>
                      <c:pt idx="642">
                        <c:v>38786.688000000002</c:v>
                      </c:pt>
                      <c:pt idx="643">
                        <c:v>45930.413999999997</c:v>
                      </c:pt>
                      <c:pt idx="644">
                        <c:v>35173.103000000003</c:v>
                      </c:pt>
                      <c:pt idx="645">
                        <c:v>36912.991000000002</c:v>
                      </c:pt>
                      <c:pt idx="646">
                        <c:v>35139.525000000001</c:v>
                      </c:pt>
                      <c:pt idx="647">
                        <c:v>38932.684000000001</c:v>
                      </c:pt>
                      <c:pt idx="648">
                        <c:v>39615.114000000001</c:v>
                      </c:pt>
                      <c:pt idx="649">
                        <c:v>38818.108</c:v>
                      </c:pt>
                      <c:pt idx="650">
                        <c:v>40302.245000000003</c:v>
                      </c:pt>
                      <c:pt idx="651">
                        <c:v>36397.597999999998</c:v>
                      </c:pt>
                      <c:pt idx="652">
                        <c:v>39524.214</c:v>
                      </c:pt>
                      <c:pt idx="653">
                        <c:v>29675.620999999999</c:v>
                      </c:pt>
                      <c:pt idx="654">
                        <c:v>19395.103999999999</c:v>
                      </c:pt>
                      <c:pt idx="655">
                        <c:v>16998.383000000002</c:v>
                      </c:pt>
                      <c:pt idx="656">
                        <c:v>3215.13</c:v>
                      </c:pt>
                      <c:pt idx="657">
                        <c:v>146.017</c:v>
                      </c:pt>
                      <c:pt idx="658">
                        <c:v>18894.044000000002</c:v>
                      </c:pt>
                      <c:pt idx="659">
                        <c:v>20733.102999999999</c:v>
                      </c:pt>
                      <c:pt idx="660">
                        <c:v>22595.037</c:v>
                      </c:pt>
                      <c:pt idx="661">
                        <c:v>19684.326000000001</c:v>
                      </c:pt>
                      <c:pt idx="662">
                        <c:v>29300.866000000002</c:v>
                      </c:pt>
                      <c:pt idx="663">
                        <c:v>39549.156999999999</c:v>
                      </c:pt>
                      <c:pt idx="664">
                        <c:v>46617.485999999997</c:v>
                      </c:pt>
                      <c:pt idx="665">
                        <c:v>43027.156000000003</c:v>
                      </c:pt>
                      <c:pt idx="666">
                        <c:v>42205.970999999998</c:v>
                      </c:pt>
                      <c:pt idx="667">
                        <c:v>57299.550999999999</c:v>
                      </c:pt>
                      <c:pt idx="668">
                        <c:v>71870.962</c:v>
                      </c:pt>
                      <c:pt idx="669">
                        <c:v>16825.044999999998</c:v>
                      </c:pt>
                      <c:pt idx="670">
                        <c:v>22180.146000000001</c:v>
                      </c:pt>
                      <c:pt idx="671">
                        <c:v>33408.841999999997</c:v>
                      </c:pt>
                      <c:pt idx="672">
                        <c:v>15968.99</c:v>
                      </c:pt>
                      <c:pt idx="673">
                        <c:v>16068.629000000001</c:v>
                      </c:pt>
                      <c:pt idx="674">
                        <c:v>30665.455000000002</c:v>
                      </c:pt>
                      <c:pt idx="675">
                        <c:v>32894.796999999999</c:v>
                      </c:pt>
                      <c:pt idx="676">
                        <c:v>20187.062000000002</c:v>
                      </c:pt>
                      <c:pt idx="677">
                        <c:v>4534.6409999999996</c:v>
                      </c:pt>
                      <c:pt idx="678">
                        <c:v>504.56200000000001</c:v>
                      </c:pt>
                      <c:pt idx="679">
                        <c:v>7200.0969999999998</c:v>
                      </c:pt>
                      <c:pt idx="680">
                        <c:v>6009.2569999999996</c:v>
                      </c:pt>
                      <c:pt idx="681">
                        <c:v>12529.243</c:v>
                      </c:pt>
                      <c:pt idx="682">
                        <c:v>12925.272000000001</c:v>
                      </c:pt>
                      <c:pt idx="683">
                        <c:v>8178.7240000000002</c:v>
                      </c:pt>
                      <c:pt idx="684">
                        <c:v>17003.392</c:v>
                      </c:pt>
                      <c:pt idx="685">
                        <c:v>7343.6620000000003</c:v>
                      </c:pt>
                      <c:pt idx="686">
                        <c:v>5328.5</c:v>
                      </c:pt>
                      <c:pt idx="687">
                        <c:v>12698.987999999999</c:v>
                      </c:pt>
                      <c:pt idx="688">
                        <c:v>5188.4219999999996</c:v>
                      </c:pt>
                      <c:pt idx="689">
                        <c:v>13540.648999999999</c:v>
                      </c:pt>
                      <c:pt idx="690">
                        <c:v>15909.599</c:v>
                      </c:pt>
                      <c:pt idx="691">
                        <c:v>19233.352999999999</c:v>
                      </c:pt>
                      <c:pt idx="692">
                        <c:v>11748.759</c:v>
                      </c:pt>
                      <c:pt idx="693">
                        <c:v>5977.4930000000004</c:v>
                      </c:pt>
                      <c:pt idx="694">
                        <c:v>12424.040999999999</c:v>
                      </c:pt>
                      <c:pt idx="695">
                        <c:v>27424.878000000001</c:v>
                      </c:pt>
                      <c:pt idx="696">
                        <c:v>38448.989000000001</c:v>
                      </c:pt>
                      <c:pt idx="697">
                        <c:v>49513.485000000001</c:v>
                      </c:pt>
                      <c:pt idx="698">
                        <c:v>43883.423999999999</c:v>
                      </c:pt>
                      <c:pt idx="699">
                        <c:v>42806.784</c:v>
                      </c:pt>
                      <c:pt idx="700">
                        <c:v>89596.194000000003</c:v>
                      </c:pt>
                      <c:pt idx="701">
                        <c:v>92191.366999999998</c:v>
                      </c:pt>
                      <c:pt idx="702">
                        <c:v>103378.63099999999</c:v>
                      </c:pt>
                      <c:pt idx="703">
                        <c:v>103095.21799999999</c:v>
                      </c:pt>
                      <c:pt idx="704">
                        <c:v>103577.40700000001</c:v>
                      </c:pt>
                      <c:pt idx="705">
                        <c:v>106446.88400000001</c:v>
                      </c:pt>
                      <c:pt idx="706">
                        <c:v>96806.722999999998</c:v>
                      </c:pt>
                      <c:pt idx="707">
                        <c:v>103037.757</c:v>
                      </c:pt>
                      <c:pt idx="708">
                        <c:v>109126.93</c:v>
                      </c:pt>
                      <c:pt idx="709">
                        <c:v>104163.747</c:v>
                      </c:pt>
                      <c:pt idx="710">
                        <c:v>70231.891000000003</c:v>
                      </c:pt>
                      <c:pt idx="711">
                        <c:v>73417.069000000003</c:v>
                      </c:pt>
                      <c:pt idx="712">
                        <c:v>98899.051000000007</c:v>
                      </c:pt>
                      <c:pt idx="713">
                        <c:v>103923.235</c:v>
                      </c:pt>
                      <c:pt idx="714">
                        <c:v>92335.23</c:v>
                      </c:pt>
                      <c:pt idx="715">
                        <c:v>92785.657999999996</c:v>
                      </c:pt>
                      <c:pt idx="716">
                        <c:v>103821.023</c:v>
                      </c:pt>
                      <c:pt idx="717">
                        <c:v>90680.845000000001</c:v>
                      </c:pt>
                      <c:pt idx="718">
                        <c:v>102312.795</c:v>
                      </c:pt>
                      <c:pt idx="719">
                        <c:v>89101.660999999993</c:v>
                      </c:pt>
                      <c:pt idx="720">
                        <c:v>88422.154999999999</c:v>
                      </c:pt>
                      <c:pt idx="721">
                        <c:v>90128.323000000004</c:v>
                      </c:pt>
                      <c:pt idx="722">
                        <c:v>85064.501000000004</c:v>
                      </c:pt>
                      <c:pt idx="723">
                        <c:v>85910.561000000002</c:v>
                      </c:pt>
                      <c:pt idx="724">
                        <c:v>73513.952000000005</c:v>
                      </c:pt>
                      <c:pt idx="725">
                        <c:v>77230.516000000003</c:v>
                      </c:pt>
                      <c:pt idx="726">
                        <c:v>91304.452000000005</c:v>
                      </c:pt>
                      <c:pt idx="727">
                        <c:v>93003.09</c:v>
                      </c:pt>
                      <c:pt idx="728">
                        <c:v>93285.703999999998</c:v>
                      </c:pt>
                      <c:pt idx="729">
                        <c:v>91556.317999999999</c:v>
                      </c:pt>
                      <c:pt idx="730">
                        <c:v>103813.04700000001</c:v>
                      </c:pt>
                      <c:pt idx="731">
                        <c:v>74880.67</c:v>
                      </c:pt>
                      <c:pt idx="732">
                        <c:v>88214.475000000006</c:v>
                      </c:pt>
                      <c:pt idx="733">
                        <c:v>123286.005</c:v>
                      </c:pt>
                      <c:pt idx="734">
                        <c:v>109708.927</c:v>
                      </c:pt>
                      <c:pt idx="735">
                        <c:v>96823.066999999995</c:v>
                      </c:pt>
                      <c:pt idx="736">
                        <c:v>93437.084000000003</c:v>
                      </c:pt>
                      <c:pt idx="737">
                        <c:v>117554.376</c:v>
                      </c:pt>
                      <c:pt idx="738">
                        <c:v>122158.644</c:v>
                      </c:pt>
                      <c:pt idx="739">
                        <c:v>126182.652</c:v>
                      </c:pt>
                      <c:pt idx="740">
                        <c:v>123483.129</c:v>
                      </c:pt>
                      <c:pt idx="741">
                        <c:v>125050.13</c:v>
                      </c:pt>
                      <c:pt idx="742">
                        <c:v>129735.913</c:v>
                      </c:pt>
                      <c:pt idx="743">
                        <c:v>136647.64799999999</c:v>
                      </c:pt>
                      <c:pt idx="744">
                        <c:v>133005.28899999999</c:v>
                      </c:pt>
                      <c:pt idx="745">
                        <c:v>144041.95499999999</c:v>
                      </c:pt>
                      <c:pt idx="746">
                        <c:v>129798.24800000001</c:v>
                      </c:pt>
                      <c:pt idx="747">
                        <c:v>137013.34400000001</c:v>
                      </c:pt>
                      <c:pt idx="748">
                        <c:v>131727.087</c:v>
                      </c:pt>
                      <c:pt idx="749">
                        <c:v>121687.62699999999</c:v>
                      </c:pt>
                      <c:pt idx="750">
                        <c:v>127034.205</c:v>
                      </c:pt>
                      <c:pt idx="751">
                        <c:v>66807.964000000007</c:v>
                      </c:pt>
                      <c:pt idx="752">
                        <c:v>72225.233999999997</c:v>
                      </c:pt>
                      <c:pt idx="753">
                        <c:v>73572.960000000006</c:v>
                      </c:pt>
                      <c:pt idx="754">
                        <c:v>144694.53099999999</c:v>
                      </c:pt>
                      <c:pt idx="755">
                        <c:v>144239.42199999999</c:v>
                      </c:pt>
                      <c:pt idx="756">
                        <c:v>132301.386</c:v>
                      </c:pt>
                      <c:pt idx="757">
                        <c:v>135223.02299999999</c:v>
                      </c:pt>
                      <c:pt idx="758">
                        <c:v>136547.73499999999</c:v>
                      </c:pt>
                      <c:pt idx="759">
                        <c:v>178608.77900000001</c:v>
                      </c:pt>
                      <c:pt idx="760">
                        <c:v>217976.75399999999</c:v>
                      </c:pt>
                      <c:pt idx="761">
                        <c:v>153581.94899999999</c:v>
                      </c:pt>
                      <c:pt idx="762">
                        <c:v>164733.785</c:v>
                      </c:pt>
                      <c:pt idx="763">
                        <c:v>155093.31099999999</c:v>
                      </c:pt>
                      <c:pt idx="764">
                        <c:v>155197.696</c:v>
                      </c:pt>
                      <c:pt idx="765">
                        <c:v>184600.58499999999</c:v>
                      </c:pt>
                      <c:pt idx="766">
                        <c:v>153379.33799999999</c:v>
                      </c:pt>
                      <c:pt idx="767">
                        <c:v>158186.535</c:v>
                      </c:pt>
                      <c:pt idx="768">
                        <c:v>152828.52900000001</c:v>
                      </c:pt>
                      <c:pt idx="769">
                        <c:v>149870.065</c:v>
                      </c:pt>
                      <c:pt idx="770">
                        <c:v>133968.95600000001</c:v>
                      </c:pt>
                      <c:pt idx="771">
                        <c:v>142112.41699999999</c:v>
                      </c:pt>
                      <c:pt idx="772">
                        <c:v>152703.19099999999</c:v>
                      </c:pt>
                      <c:pt idx="773">
                        <c:v>153320.18799999999</c:v>
                      </c:pt>
                      <c:pt idx="774">
                        <c:v>155160.68299999999</c:v>
                      </c:pt>
                      <c:pt idx="775">
                        <c:v>149065.28099999999</c:v>
                      </c:pt>
                      <c:pt idx="776">
                        <c:v>148024.21</c:v>
                      </c:pt>
                      <c:pt idx="777">
                        <c:v>128323.508</c:v>
                      </c:pt>
                      <c:pt idx="778">
                        <c:v>126737.09299999999</c:v>
                      </c:pt>
                      <c:pt idx="779">
                        <c:v>159911.01699999999</c:v>
                      </c:pt>
                      <c:pt idx="780">
                        <c:v>164185.13</c:v>
                      </c:pt>
                      <c:pt idx="781">
                        <c:v>163219.179</c:v>
                      </c:pt>
                      <c:pt idx="782">
                        <c:v>169051.85800000001</c:v>
                      </c:pt>
                      <c:pt idx="783">
                        <c:v>176967.91</c:v>
                      </c:pt>
                      <c:pt idx="784">
                        <c:v>154599.56599999999</c:v>
                      </c:pt>
                      <c:pt idx="785">
                        <c:v>155363.48199999999</c:v>
                      </c:pt>
                      <c:pt idx="786">
                        <c:v>156684.46299999999</c:v>
                      </c:pt>
                      <c:pt idx="787">
                        <c:v>162290.49100000001</c:v>
                      </c:pt>
                      <c:pt idx="788">
                        <c:v>162646.08900000001</c:v>
                      </c:pt>
                      <c:pt idx="789">
                        <c:v>166099.29199999999</c:v>
                      </c:pt>
                      <c:pt idx="790">
                        <c:v>160228.06099999999</c:v>
                      </c:pt>
                      <c:pt idx="791">
                        <c:v>161126.611</c:v>
                      </c:pt>
                      <c:pt idx="792">
                        <c:v>161216.984</c:v>
                      </c:pt>
                      <c:pt idx="793">
                        <c:v>168335.99900000001</c:v>
                      </c:pt>
                      <c:pt idx="794">
                        <c:v>163165.04800000001</c:v>
                      </c:pt>
                      <c:pt idx="795">
                        <c:v>160951.21799999999</c:v>
                      </c:pt>
                      <c:pt idx="796">
                        <c:v>159738.231</c:v>
                      </c:pt>
                      <c:pt idx="797">
                        <c:v>156223.61499999999</c:v>
                      </c:pt>
                      <c:pt idx="798">
                        <c:v>163120.519</c:v>
                      </c:pt>
                      <c:pt idx="799">
                        <c:v>157950.87299999999</c:v>
                      </c:pt>
                      <c:pt idx="800">
                        <c:v>161573.693</c:v>
                      </c:pt>
                      <c:pt idx="801">
                        <c:v>167020.99799999999</c:v>
                      </c:pt>
                      <c:pt idx="802">
                        <c:v>162336.79399999999</c:v>
                      </c:pt>
                      <c:pt idx="803">
                        <c:v>162971.17000000001</c:v>
                      </c:pt>
                      <c:pt idx="804">
                        <c:v>159235.606</c:v>
                      </c:pt>
                      <c:pt idx="805">
                        <c:v>148505.10200000001</c:v>
                      </c:pt>
                      <c:pt idx="806">
                        <c:v>151511.804</c:v>
                      </c:pt>
                      <c:pt idx="807">
                        <c:v>161681.91500000001</c:v>
                      </c:pt>
                      <c:pt idx="808">
                        <c:v>170002.682</c:v>
                      </c:pt>
                      <c:pt idx="809">
                        <c:v>164382.158</c:v>
                      </c:pt>
                      <c:pt idx="810">
                        <c:v>161132.14600000001</c:v>
                      </c:pt>
                      <c:pt idx="811">
                        <c:v>160902.228</c:v>
                      </c:pt>
                      <c:pt idx="812">
                        <c:v>190475.67800000001</c:v>
                      </c:pt>
                      <c:pt idx="813">
                        <c:v>182569.785</c:v>
                      </c:pt>
                      <c:pt idx="814">
                        <c:v>199028.804</c:v>
                      </c:pt>
                      <c:pt idx="815">
                        <c:v>191520.802</c:v>
                      </c:pt>
                      <c:pt idx="816">
                        <c:v>187833.91</c:v>
                      </c:pt>
                      <c:pt idx="817">
                        <c:v>185445.08600000001</c:v>
                      </c:pt>
                      <c:pt idx="818">
                        <c:v>155618.54</c:v>
                      </c:pt>
                      <c:pt idx="819">
                        <c:v>159189.533</c:v>
                      </c:pt>
                      <c:pt idx="820">
                        <c:v>157538.198</c:v>
                      </c:pt>
                      <c:pt idx="821">
                        <c:v>159704.29</c:v>
                      </c:pt>
                      <c:pt idx="822">
                        <c:v>164287.88800000001</c:v>
                      </c:pt>
                      <c:pt idx="823">
                        <c:v>178980.52100000001</c:v>
                      </c:pt>
                      <c:pt idx="824">
                        <c:v>181988.73</c:v>
                      </c:pt>
                      <c:pt idx="825">
                        <c:v>201641.747</c:v>
                      </c:pt>
                      <c:pt idx="826">
                        <c:v>181501.223</c:v>
                      </c:pt>
                      <c:pt idx="827">
                        <c:v>174437.58199999999</c:v>
                      </c:pt>
                      <c:pt idx="828">
                        <c:v>203210.726</c:v>
                      </c:pt>
                      <c:pt idx="829">
                        <c:v>204395.611</c:v>
                      </c:pt>
                      <c:pt idx="830">
                        <c:v>207518.65299999999</c:v>
                      </c:pt>
                      <c:pt idx="831">
                        <c:v>221468.894</c:v>
                      </c:pt>
                      <c:pt idx="832">
                        <c:v>219464.06400000001</c:v>
                      </c:pt>
                      <c:pt idx="833">
                        <c:v>205570.59599999999</c:v>
                      </c:pt>
                      <c:pt idx="834">
                        <c:v>215158.815</c:v>
                      </c:pt>
                      <c:pt idx="835">
                        <c:v>212304.766</c:v>
                      </c:pt>
                      <c:pt idx="836">
                        <c:v>223854.42800000001</c:v>
                      </c:pt>
                      <c:pt idx="837">
                        <c:v>226165.035</c:v>
                      </c:pt>
                      <c:pt idx="838">
                        <c:v>219050.682</c:v>
                      </c:pt>
                      <c:pt idx="839">
                        <c:v>212163.75</c:v>
                      </c:pt>
                      <c:pt idx="840">
                        <c:v>188715.41500000001</c:v>
                      </c:pt>
                      <c:pt idx="841">
                        <c:v>182171.76199999999</c:v>
                      </c:pt>
                      <c:pt idx="842">
                        <c:v>210891.304</c:v>
                      </c:pt>
                      <c:pt idx="843">
                        <c:v>215076.09400000001</c:v>
                      </c:pt>
                      <c:pt idx="844">
                        <c:v>179572.046</c:v>
                      </c:pt>
                      <c:pt idx="845">
                        <c:v>187856.79300000001</c:v>
                      </c:pt>
                      <c:pt idx="846">
                        <c:v>220837.62</c:v>
                      </c:pt>
                      <c:pt idx="847">
                        <c:v>176861.44</c:v>
                      </c:pt>
                      <c:pt idx="848">
                        <c:v>177012.32199999999</c:v>
                      </c:pt>
                      <c:pt idx="849">
                        <c:v>192687.174</c:v>
                      </c:pt>
                      <c:pt idx="850">
                        <c:v>197837.99900000001</c:v>
                      </c:pt>
                      <c:pt idx="851">
                        <c:v>202610.342</c:v>
                      </c:pt>
                      <c:pt idx="852">
                        <c:v>185115.56</c:v>
                      </c:pt>
                      <c:pt idx="853">
                        <c:v>185238.01300000001</c:v>
                      </c:pt>
                      <c:pt idx="854">
                        <c:v>173079.70800000001</c:v>
                      </c:pt>
                      <c:pt idx="855">
                        <c:v>182059.111</c:v>
                      </c:pt>
                      <c:pt idx="856">
                        <c:v>222334.12</c:v>
                      </c:pt>
                      <c:pt idx="857">
                        <c:v>223399.12</c:v>
                      </c:pt>
                      <c:pt idx="858">
                        <c:v>201494.878</c:v>
                      </c:pt>
                      <c:pt idx="859">
                        <c:v>189599.679</c:v>
                      </c:pt>
                      <c:pt idx="860">
                        <c:v>188216.87599999999</c:v>
                      </c:pt>
                      <c:pt idx="861">
                        <c:v>188640.511</c:v>
                      </c:pt>
                      <c:pt idx="862">
                        <c:v>187040.802</c:v>
                      </c:pt>
                      <c:pt idx="863">
                        <c:v>202774.08499999999</c:v>
                      </c:pt>
                      <c:pt idx="864">
                        <c:v>199704.804</c:v>
                      </c:pt>
                      <c:pt idx="865">
                        <c:v>196074.886</c:v>
                      </c:pt>
                      <c:pt idx="866">
                        <c:v>204877.353</c:v>
                      </c:pt>
                      <c:pt idx="867">
                        <c:v>198115.17199999999</c:v>
                      </c:pt>
                      <c:pt idx="868">
                        <c:v>193732.18</c:v>
                      </c:pt>
                      <c:pt idx="869">
                        <c:v>191303.33600000001</c:v>
                      </c:pt>
                      <c:pt idx="870">
                        <c:v>206780.40299999999</c:v>
                      </c:pt>
                      <c:pt idx="871">
                        <c:v>219306.64600000001</c:v>
                      </c:pt>
                      <c:pt idx="872">
                        <c:v>220534.85500000001</c:v>
                      </c:pt>
                      <c:pt idx="873">
                        <c:v>197720.73800000001</c:v>
                      </c:pt>
                      <c:pt idx="874">
                        <c:v>215680.97</c:v>
                      </c:pt>
                      <c:pt idx="875">
                        <c:v>198704.851</c:v>
                      </c:pt>
                      <c:pt idx="876">
                        <c:v>199401.307</c:v>
                      </c:pt>
                      <c:pt idx="877">
                        <c:v>221971.47</c:v>
                      </c:pt>
                      <c:pt idx="878">
                        <c:v>202077.50700000001</c:v>
                      </c:pt>
                      <c:pt idx="879">
                        <c:v>191618.77799999999</c:v>
                      </c:pt>
                      <c:pt idx="880">
                        <c:v>190126.50700000001</c:v>
                      </c:pt>
                      <c:pt idx="881">
                        <c:v>190267.76500000001</c:v>
                      </c:pt>
                      <c:pt idx="882">
                        <c:v>169028.12</c:v>
                      </c:pt>
                      <c:pt idx="883">
                        <c:v>179895.11300000001</c:v>
                      </c:pt>
                      <c:pt idx="884">
                        <c:v>198491.791</c:v>
                      </c:pt>
                      <c:pt idx="885">
                        <c:v>191267.723</c:v>
                      </c:pt>
                      <c:pt idx="886">
                        <c:v>195599.57699999999</c:v>
                      </c:pt>
                      <c:pt idx="887">
                        <c:v>198421.61900000001</c:v>
                      </c:pt>
                      <c:pt idx="888">
                        <c:v>215303.24600000001</c:v>
                      </c:pt>
                      <c:pt idx="889">
                        <c:v>197727.18400000001</c:v>
                      </c:pt>
                      <c:pt idx="890">
                        <c:v>195891.76</c:v>
                      </c:pt>
                      <c:pt idx="891">
                        <c:v>202984.00899999999</c:v>
                      </c:pt>
                      <c:pt idx="892">
                        <c:v>201465.43700000001</c:v>
                      </c:pt>
                      <c:pt idx="893">
                        <c:v>199665.71100000001</c:v>
                      </c:pt>
                      <c:pt idx="894">
                        <c:v>200392.389</c:v>
                      </c:pt>
                      <c:pt idx="895">
                        <c:v>217136.41699999999</c:v>
                      </c:pt>
                      <c:pt idx="896">
                        <c:v>193398.853</c:v>
                      </c:pt>
                      <c:pt idx="897">
                        <c:v>177757.12599999999</c:v>
                      </c:pt>
                      <c:pt idx="898">
                        <c:v>204085.27900000001</c:v>
                      </c:pt>
                      <c:pt idx="899">
                        <c:v>194488.77499999999</c:v>
                      </c:pt>
                      <c:pt idx="900">
                        <c:v>201084.24799999999</c:v>
                      </c:pt>
                      <c:pt idx="901">
                        <c:v>199530.68</c:v>
                      </c:pt>
                      <c:pt idx="902">
                        <c:v>219447.15</c:v>
                      </c:pt>
                      <c:pt idx="903">
                        <c:v>197124.321</c:v>
                      </c:pt>
                      <c:pt idx="904">
                        <c:v>195540.837</c:v>
                      </c:pt>
                      <c:pt idx="905">
                        <c:v>199494.26500000001</c:v>
                      </c:pt>
                      <c:pt idx="906">
                        <c:v>199870.674</c:v>
                      </c:pt>
                      <c:pt idx="907">
                        <c:v>194390.652</c:v>
                      </c:pt>
                      <c:pt idx="908">
                        <c:v>198287.42499999999</c:v>
                      </c:pt>
                      <c:pt idx="909">
                        <c:v>201291.60399999999</c:v>
                      </c:pt>
                      <c:pt idx="910">
                        <c:v>190544.26800000001</c:v>
                      </c:pt>
                      <c:pt idx="911">
                        <c:v>192386.353</c:v>
                      </c:pt>
                      <c:pt idx="912">
                        <c:v>170957.64</c:v>
                      </c:pt>
                      <c:pt idx="913">
                        <c:v>174932.22</c:v>
                      </c:pt>
                      <c:pt idx="914">
                        <c:v>153489.35999999999</c:v>
                      </c:pt>
                      <c:pt idx="915">
                        <c:v>173029.69</c:v>
                      </c:pt>
                      <c:pt idx="916">
                        <c:v>152788.26</c:v>
                      </c:pt>
                      <c:pt idx="917">
                        <c:v>137031.91</c:v>
                      </c:pt>
                      <c:pt idx="918">
                        <c:v>140928.13</c:v>
                      </c:pt>
                      <c:pt idx="919">
                        <c:v>144124.23000000001</c:v>
                      </c:pt>
                      <c:pt idx="920">
                        <c:v>189346.82</c:v>
                      </c:pt>
                      <c:pt idx="921">
                        <c:v>148610.31</c:v>
                      </c:pt>
                      <c:pt idx="922">
                        <c:v>190606.49</c:v>
                      </c:pt>
                      <c:pt idx="923">
                        <c:v>168885.19</c:v>
                      </c:pt>
                      <c:pt idx="924">
                        <c:v>146216.29</c:v>
                      </c:pt>
                      <c:pt idx="925">
                        <c:v>147143.66</c:v>
                      </c:pt>
                      <c:pt idx="926">
                        <c:v>132793.51</c:v>
                      </c:pt>
                      <c:pt idx="927">
                        <c:v>75354.559999999998</c:v>
                      </c:pt>
                      <c:pt idx="928">
                        <c:v>43275.58</c:v>
                      </c:pt>
                      <c:pt idx="929">
                        <c:v>55530.63</c:v>
                      </c:pt>
                      <c:pt idx="930">
                        <c:v>49806.27</c:v>
                      </c:pt>
                      <c:pt idx="931">
                        <c:v>97726.35</c:v>
                      </c:pt>
                      <c:pt idx="932">
                        <c:v>120745.82</c:v>
                      </c:pt>
                      <c:pt idx="933">
                        <c:v>117390.95</c:v>
                      </c:pt>
                      <c:pt idx="934">
                        <c:v>98398.73</c:v>
                      </c:pt>
                      <c:pt idx="935">
                        <c:v>136035.67000000001</c:v>
                      </c:pt>
                      <c:pt idx="936">
                        <c:v>141259.5</c:v>
                      </c:pt>
                      <c:pt idx="937">
                        <c:v>149871.39000000001</c:v>
                      </c:pt>
                      <c:pt idx="938">
                        <c:v>141051.93</c:v>
                      </c:pt>
                      <c:pt idx="939">
                        <c:v>135810.64000000001</c:v>
                      </c:pt>
                      <c:pt idx="940">
                        <c:v>165347.17000000001</c:v>
                      </c:pt>
                      <c:pt idx="941">
                        <c:v>180879.85</c:v>
                      </c:pt>
                      <c:pt idx="942">
                        <c:v>98357.13</c:v>
                      </c:pt>
                      <c:pt idx="943">
                        <c:v>101499.56</c:v>
                      </c:pt>
                      <c:pt idx="944">
                        <c:v>106430.43</c:v>
                      </c:pt>
                      <c:pt idx="945">
                        <c:v>92669.19</c:v>
                      </c:pt>
                      <c:pt idx="946">
                        <c:v>91945.41</c:v>
                      </c:pt>
                      <c:pt idx="947">
                        <c:v>118944.48</c:v>
                      </c:pt>
                      <c:pt idx="948">
                        <c:v>161350.29</c:v>
                      </c:pt>
                      <c:pt idx="949">
                        <c:v>122206.07</c:v>
                      </c:pt>
                      <c:pt idx="950">
                        <c:v>122489.78</c:v>
                      </c:pt>
                      <c:pt idx="951">
                        <c:v>129282.5</c:v>
                      </c:pt>
                      <c:pt idx="952">
                        <c:v>131270.76</c:v>
                      </c:pt>
                      <c:pt idx="953">
                        <c:v>120151.16</c:v>
                      </c:pt>
                      <c:pt idx="954">
                        <c:v>129023.6</c:v>
                      </c:pt>
                      <c:pt idx="955">
                        <c:v>146635.25</c:v>
                      </c:pt>
                      <c:pt idx="956">
                        <c:v>143198.81</c:v>
                      </c:pt>
                      <c:pt idx="957">
                        <c:v>138063.95000000001</c:v>
                      </c:pt>
                      <c:pt idx="958">
                        <c:v>128769.64</c:v>
                      </c:pt>
                      <c:pt idx="959">
                        <c:v>131921.23000000001</c:v>
                      </c:pt>
                      <c:pt idx="960">
                        <c:v>132367.64000000001</c:v>
                      </c:pt>
                      <c:pt idx="961">
                        <c:v>135612.14000000001</c:v>
                      </c:pt>
                      <c:pt idx="962">
                        <c:v>144199.06</c:v>
                      </c:pt>
                      <c:pt idx="963">
                        <c:v>143585.91</c:v>
                      </c:pt>
                      <c:pt idx="964">
                        <c:v>142834.76999999999</c:v>
                      </c:pt>
                      <c:pt idx="965">
                        <c:v>133665.17000000001</c:v>
                      </c:pt>
                      <c:pt idx="966">
                        <c:v>131356.72</c:v>
                      </c:pt>
                      <c:pt idx="967">
                        <c:v>132972.39000000001</c:v>
                      </c:pt>
                      <c:pt idx="968">
                        <c:v>111882.88</c:v>
                      </c:pt>
                      <c:pt idx="969">
                        <c:v>124327.83</c:v>
                      </c:pt>
                      <c:pt idx="970">
                        <c:v>121371.16</c:v>
                      </c:pt>
                      <c:pt idx="971">
                        <c:v>129289.58</c:v>
                      </c:pt>
                      <c:pt idx="972">
                        <c:v>141629.10999999999</c:v>
                      </c:pt>
                      <c:pt idx="973">
                        <c:v>115274.72</c:v>
                      </c:pt>
                      <c:pt idx="974">
                        <c:v>109096.89</c:v>
                      </c:pt>
                      <c:pt idx="975">
                        <c:v>105395.29</c:v>
                      </c:pt>
                      <c:pt idx="976">
                        <c:v>113897.15</c:v>
                      </c:pt>
                      <c:pt idx="977">
                        <c:v>120818.6</c:v>
                      </c:pt>
                      <c:pt idx="978">
                        <c:v>118308.09</c:v>
                      </c:pt>
                      <c:pt idx="979">
                        <c:v>118588.71</c:v>
                      </c:pt>
                      <c:pt idx="980">
                        <c:v>122664.75</c:v>
                      </c:pt>
                      <c:pt idx="981">
                        <c:v>121878.88</c:v>
                      </c:pt>
                      <c:pt idx="982">
                        <c:v>83217.08</c:v>
                      </c:pt>
                      <c:pt idx="983">
                        <c:v>89697.51</c:v>
                      </c:pt>
                      <c:pt idx="984">
                        <c:v>105033.29</c:v>
                      </c:pt>
                      <c:pt idx="985">
                        <c:v>91032.43</c:v>
                      </c:pt>
                      <c:pt idx="986">
                        <c:v>93614.65</c:v>
                      </c:pt>
                      <c:pt idx="987">
                        <c:v>72318.75</c:v>
                      </c:pt>
                      <c:pt idx="988">
                        <c:v>72628.12</c:v>
                      </c:pt>
                      <c:pt idx="989">
                        <c:v>91297.84</c:v>
                      </c:pt>
                      <c:pt idx="990">
                        <c:v>80937.81</c:v>
                      </c:pt>
                      <c:pt idx="991">
                        <c:v>91110.03</c:v>
                      </c:pt>
                      <c:pt idx="992">
                        <c:v>106343.27</c:v>
                      </c:pt>
                      <c:pt idx="993">
                        <c:v>89245.14</c:v>
                      </c:pt>
                      <c:pt idx="994">
                        <c:v>92515.33</c:v>
                      </c:pt>
                      <c:pt idx="995">
                        <c:v>98608.25</c:v>
                      </c:pt>
                      <c:pt idx="996">
                        <c:v>105595.14</c:v>
                      </c:pt>
                      <c:pt idx="997">
                        <c:v>107188.05</c:v>
                      </c:pt>
                      <c:pt idx="998">
                        <c:v>108137.95</c:v>
                      </c:pt>
                      <c:pt idx="999">
                        <c:v>109425.51</c:v>
                      </c:pt>
                      <c:pt idx="1000">
                        <c:v>110534.52</c:v>
                      </c:pt>
                      <c:pt idx="1001">
                        <c:v>160087.35</c:v>
                      </c:pt>
                      <c:pt idx="1002">
                        <c:v>156056.21</c:v>
                      </c:pt>
                      <c:pt idx="1003">
                        <c:v>103774.32399999999</c:v>
                      </c:pt>
                      <c:pt idx="1004">
                        <c:v>111904.76300000001</c:v>
                      </c:pt>
                      <c:pt idx="1005">
                        <c:v>113288.63099999999</c:v>
                      </c:pt>
                      <c:pt idx="1006">
                        <c:v>120651.99400000001</c:v>
                      </c:pt>
                      <c:pt idx="1007">
                        <c:v>127210.69500000001</c:v>
                      </c:pt>
                      <c:pt idx="1008">
                        <c:v>98451.464999999997</c:v>
                      </c:pt>
                      <c:pt idx="1009">
                        <c:v>95044.873999999996</c:v>
                      </c:pt>
                      <c:pt idx="1010">
                        <c:v>130448.936</c:v>
                      </c:pt>
                      <c:pt idx="1011">
                        <c:v>131656.04</c:v>
                      </c:pt>
                      <c:pt idx="1012">
                        <c:v>129928.857</c:v>
                      </c:pt>
                      <c:pt idx="1013">
                        <c:v>126484.724</c:v>
                      </c:pt>
                      <c:pt idx="1014">
                        <c:v>135377.75200000001</c:v>
                      </c:pt>
                      <c:pt idx="1015">
                        <c:v>129412.008</c:v>
                      </c:pt>
                      <c:pt idx="1016">
                        <c:v>115139.526</c:v>
                      </c:pt>
                      <c:pt idx="1017">
                        <c:v>127034.486</c:v>
                      </c:pt>
                      <c:pt idx="1018">
                        <c:v>132354.20300000001</c:v>
                      </c:pt>
                      <c:pt idx="1019">
                        <c:v>129950.734</c:v>
                      </c:pt>
                      <c:pt idx="1020">
                        <c:v>129167.41899999999</c:v>
                      </c:pt>
                      <c:pt idx="1021">
                        <c:v>128519.41800000001</c:v>
                      </c:pt>
                      <c:pt idx="1022">
                        <c:v>133700.80799999999</c:v>
                      </c:pt>
                      <c:pt idx="1023">
                        <c:v>136838.785</c:v>
                      </c:pt>
                      <c:pt idx="1024">
                        <c:v>129514.27</c:v>
                      </c:pt>
                      <c:pt idx="1025">
                        <c:v>128629.689</c:v>
                      </c:pt>
                      <c:pt idx="1026">
                        <c:v>130138.90700000001</c:v>
                      </c:pt>
                      <c:pt idx="1027">
                        <c:v>131383.068</c:v>
                      </c:pt>
                      <c:pt idx="1028">
                        <c:v>131345.788</c:v>
                      </c:pt>
                      <c:pt idx="1029">
                        <c:v>95594.808000000005</c:v>
                      </c:pt>
                      <c:pt idx="1030">
                        <c:v>95972.652000000002</c:v>
                      </c:pt>
                      <c:pt idx="1031">
                        <c:v>132163.35800000001</c:v>
                      </c:pt>
                      <c:pt idx="1032">
                        <c:v>130168.295</c:v>
                      </c:pt>
                      <c:pt idx="1033">
                        <c:v>116866.58500000001</c:v>
                      </c:pt>
                      <c:pt idx="1034">
                        <c:v>149872.44399999999</c:v>
                      </c:pt>
                      <c:pt idx="1035">
                        <c:v>159137.717</c:v>
                      </c:pt>
                      <c:pt idx="1036">
                        <c:v>123168.572</c:v>
                      </c:pt>
                      <c:pt idx="1037">
                        <c:v>124479.08199999999</c:v>
                      </c:pt>
                      <c:pt idx="1038">
                        <c:v>152530.40599999999</c:v>
                      </c:pt>
                      <c:pt idx="1039">
                        <c:v>153558.951</c:v>
                      </c:pt>
                      <c:pt idx="1040">
                        <c:v>168696.61799999999</c:v>
                      </c:pt>
                      <c:pt idx="1041">
                        <c:v>164750.288</c:v>
                      </c:pt>
                      <c:pt idx="1042">
                        <c:v>154331.397</c:v>
                      </c:pt>
                      <c:pt idx="1043">
                        <c:v>139830.65900000001</c:v>
                      </c:pt>
                      <c:pt idx="1044">
                        <c:v>139942.054</c:v>
                      </c:pt>
                      <c:pt idx="1045">
                        <c:v>144282.66800000001</c:v>
                      </c:pt>
                      <c:pt idx="1046">
                        <c:v>152874.06899999999</c:v>
                      </c:pt>
                      <c:pt idx="1047">
                        <c:v>154524.39499999999</c:v>
                      </c:pt>
                      <c:pt idx="1048">
                        <c:v>147636.625</c:v>
                      </c:pt>
                      <c:pt idx="1049">
                        <c:v>140478.79500000001</c:v>
                      </c:pt>
                      <c:pt idx="1050">
                        <c:v>115198.351</c:v>
                      </c:pt>
                      <c:pt idx="1051">
                        <c:v>114422.56</c:v>
                      </c:pt>
                      <c:pt idx="1052">
                        <c:v>135361.82500000001</c:v>
                      </c:pt>
                      <c:pt idx="1053">
                        <c:v>136489.139</c:v>
                      </c:pt>
                      <c:pt idx="1054">
                        <c:v>136962.97500000001</c:v>
                      </c:pt>
                      <c:pt idx="1055">
                        <c:v>136663.55799999999</c:v>
                      </c:pt>
                      <c:pt idx="1056">
                        <c:v>139534.20199999999</c:v>
                      </c:pt>
                      <c:pt idx="1057">
                        <c:v>110076.90399999999</c:v>
                      </c:pt>
                      <c:pt idx="1058">
                        <c:v>112058.742</c:v>
                      </c:pt>
                      <c:pt idx="1059">
                        <c:v>136602.55499999999</c:v>
                      </c:pt>
                      <c:pt idx="1060">
                        <c:v>159836.92800000001</c:v>
                      </c:pt>
                      <c:pt idx="1061">
                        <c:v>181276.61600000001</c:v>
                      </c:pt>
                      <c:pt idx="1062">
                        <c:v>191796.99</c:v>
                      </c:pt>
                      <c:pt idx="1063">
                        <c:v>188363.323</c:v>
                      </c:pt>
                      <c:pt idx="1064">
                        <c:v>128729.5</c:v>
                      </c:pt>
                      <c:pt idx="1065">
                        <c:v>99496.525999999998</c:v>
                      </c:pt>
                      <c:pt idx="1066">
                        <c:v>136661.66699999999</c:v>
                      </c:pt>
                      <c:pt idx="1067">
                        <c:v>160880.652</c:v>
                      </c:pt>
                      <c:pt idx="1068">
                        <c:v>188976.34299999999</c:v>
                      </c:pt>
                      <c:pt idx="1069">
                        <c:v>141800.15900000001</c:v>
                      </c:pt>
                      <c:pt idx="1070">
                        <c:v>134114.48499999999</c:v>
                      </c:pt>
                      <c:pt idx="1071">
                        <c:v>88528.013000000006</c:v>
                      </c:pt>
                      <c:pt idx="1072">
                        <c:v>88987.991999999998</c:v>
                      </c:pt>
                      <c:pt idx="1073">
                        <c:v>132761.38399999999</c:v>
                      </c:pt>
                      <c:pt idx="1074">
                        <c:v>124054.255</c:v>
                      </c:pt>
                      <c:pt idx="1075">
                        <c:v>106647.92200000001</c:v>
                      </c:pt>
                      <c:pt idx="1076">
                        <c:v>119726.262</c:v>
                      </c:pt>
                      <c:pt idx="1077">
                        <c:v>132545.497</c:v>
                      </c:pt>
                      <c:pt idx="1078">
                        <c:v>79028.463000000003</c:v>
                      </c:pt>
                      <c:pt idx="1079">
                        <c:v>74037.043999999994</c:v>
                      </c:pt>
                      <c:pt idx="1080">
                        <c:v>149348.09899999999</c:v>
                      </c:pt>
                      <c:pt idx="1081">
                        <c:v>153858.878</c:v>
                      </c:pt>
                      <c:pt idx="1082">
                        <c:v>169886.087</c:v>
                      </c:pt>
                      <c:pt idx="1083">
                        <c:v>175820.24</c:v>
                      </c:pt>
                      <c:pt idx="1084">
                        <c:v>174580.61900000001</c:v>
                      </c:pt>
                      <c:pt idx="1085">
                        <c:v>124742.34699999999</c:v>
                      </c:pt>
                      <c:pt idx="1086">
                        <c:v>132535.51999999999</c:v>
                      </c:pt>
                      <c:pt idx="1087">
                        <c:v>149903.179</c:v>
                      </c:pt>
                      <c:pt idx="1088">
                        <c:v>148884.247</c:v>
                      </c:pt>
                      <c:pt idx="1089">
                        <c:v>155257.58900000001</c:v>
                      </c:pt>
                      <c:pt idx="1090">
                        <c:v>157279.68599999999</c:v>
                      </c:pt>
                      <c:pt idx="1091">
                        <c:v>159441.666</c:v>
                      </c:pt>
                      <c:pt idx="1092">
                        <c:v>160801.24</c:v>
                      </c:pt>
                      <c:pt idx="1093">
                        <c:v>159961.05100000001</c:v>
                      </c:pt>
                      <c:pt idx="1094">
                        <c:v>158566.861</c:v>
                      </c:pt>
                    </c:numCache>
                  </c:numRef>
                </c:val>
                <c:smooth val="0"/>
                <c:extLst>
                  <c:ext xmlns:c16="http://schemas.microsoft.com/office/drawing/2014/chart" uri="{C3380CC4-5D6E-409C-BE32-E72D297353CC}">
                    <c16:uniqueId val="{00000004-9591-4B62-A8F7-8DB323489835}"/>
                  </c:ext>
                </c:extLst>
              </c15:ser>
            </c15:filteredLineSeries>
          </c:ext>
        </c:extLst>
      </c:lineChart>
      <c:dateAx>
        <c:axId val="110630286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6308848"/>
        <c:crosses val="autoZero"/>
        <c:auto val="1"/>
        <c:lblOffset val="100"/>
        <c:baseTimeUnit val="days"/>
      </c:dateAx>
      <c:valAx>
        <c:axId val="110630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MWh/day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6302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1"/>
          <c:order val="1"/>
          <c:tx>
            <c:strRef>
              <c:f>PITTE!$L$1</c:f>
              <c:strCache>
                <c:ptCount val="1"/>
                <c:pt idx="0">
                  <c:v>Firm Booked capacity</c:v>
                </c:pt>
              </c:strCache>
            </c:strRef>
          </c:tx>
          <c:spPr>
            <a:solidFill>
              <a:schemeClr val="accent5">
                <a:lumMod val="20000"/>
                <a:lumOff val="80000"/>
              </a:schemeClr>
            </a:solidFill>
            <a:ln>
              <a:noFill/>
            </a:ln>
            <a:effectLst/>
          </c:spPr>
          <c:cat>
            <c:numRef>
              <c:f>PITTE!$A$2:$A$1098</c:f>
              <c:numCache>
                <c:formatCode>m/d/yyyy</c:formatCode>
                <c:ptCount val="1089"/>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42694</c:v>
                </c:pt>
                <c:pt idx="43">
                  <c:v>42695</c:v>
                </c:pt>
                <c:pt idx="44">
                  <c:v>42696</c:v>
                </c:pt>
                <c:pt idx="45">
                  <c:v>42697</c:v>
                </c:pt>
                <c:pt idx="46">
                  <c:v>42698</c:v>
                </c:pt>
                <c:pt idx="47">
                  <c:v>42699</c:v>
                </c:pt>
                <c:pt idx="48">
                  <c:v>42700</c:v>
                </c:pt>
                <c:pt idx="49">
                  <c:v>42701</c:v>
                </c:pt>
                <c:pt idx="50">
                  <c:v>42702</c:v>
                </c:pt>
                <c:pt idx="51">
                  <c:v>42703</c:v>
                </c:pt>
                <c:pt idx="52">
                  <c:v>42704</c:v>
                </c:pt>
                <c:pt idx="53">
                  <c:v>42705</c:v>
                </c:pt>
                <c:pt idx="54">
                  <c:v>42706</c:v>
                </c:pt>
                <c:pt idx="55">
                  <c:v>42707</c:v>
                </c:pt>
                <c:pt idx="56">
                  <c:v>42708</c:v>
                </c:pt>
                <c:pt idx="57">
                  <c:v>42709</c:v>
                </c:pt>
                <c:pt idx="58">
                  <c:v>42710</c:v>
                </c:pt>
                <c:pt idx="59">
                  <c:v>42711</c:v>
                </c:pt>
                <c:pt idx="60">
                  <c:v>42712</c:v>
                </c:pt>
                <c:pt idx="61">
                  <c:v>42713</c:v>
                </c:pt>
                <c:pt idx="62">
                  <c:v>42714</c:v>
                </c:pt>
                <c:pt idx="63">
                  <c:v>42715</c:v>
                </c:pt>
                <c:pt idx="64">
                  <c:v>42716</c:v>
                </c:pt>
                <c:pt idx="65">
                  <c:v>42717</c:v>
                </c:pt>
                <c:pt idx="66">
                  <c:v>42718</c:v>
                </c:pt>
                <c:pt idx="67">
                  <c:v>42719</c:v>
                </c:pt>
                <c:pt idx="68">
                  <c:v>42720</c:v>
                </c:pt>
                <c:pt idx="69">
                  <c:v>42721</c:v>
                </c:pt>
                <c:pt idx="70">
                  <c:v>42722</c:v>
                </c:pt>
                <c:pt idx="71">
                  <c:v>42723</c:v>
                </c:pt>
                <c:pt idx="72">
                  <c:v>42724</c:v>
                </c:pt>
                <c:pt idx="73">
                  <c:v>42725</c:v>
                </c:pt>
                <c:pt idx="74">
                  <c:v>42726</c:v>
                </c:pt>
                <c:pt idx="75">
                  <c:v>42727</c:v>
                </c:pt>
                <c:pt idx="76">
                  <c:v>42728</c:v>
                </c:pt>
                <c:pt idx="77">
                  <c:v>42729</c:v>
                </c:pt>
                <c:pt idx="78">
                  <c:v>42730</c:v>
                </c:pt>
                <c:pt idx="79">
                  <c:v>42731</c:v>
                </c:pt>
                <c:pt idx="80">
                  <c:v>42732</c:v>
                </c:pt>
                <c:pt idx="81">
                  <c:v>42733</c:v>
                </c:pt>
                <c:pt idx="82">
                  <c:v>42734</c:v>
                </c:pt>
                <c:pt idx="83">
                  <c:v>42735</c:v>
                </c:pt>
                <c:pt idx="84">
                  <c:v>42736</c:v>
                </c:pt>
                <c:pt idx="85">
                  <c:v>42737</c:v>
                </c:pt>
                <c:pt idx="86">
                  <c:v>42738</c:v>
                </c:pt>
                <c:pt idx="87">
                  <c:v>42739</c:v>
                </c:pt>
                <c:pt idx="88">
                  <c:v>42740</c:v>
                </c:pt>
                <c:pt idx="89">
                  <c:v>42741</c:v>
                </c:pt>
                <c:pt idx="90">
                  <c:v>42742</c:v>
                </c:pt>
                <c:pt idx="91">
                  <c:v>42743</c:v>
                </c:pt>
                <c:pt idx="92">
                  <c:v>42744</c:v>
                </c:pt>
                <c:pt idx="93">
                  <c:v>42745</c:v>
                </c:pt>
                <c:pt idx="94">
                  <c:v>42746</c:v>
                </c:pt>
                <c:pt idx="95">
                  <c:v>42747</c:v>
                </c:pt>
                <c:pt idx="96">
                  <c:v>42748</c:v>
                </c:pt>
                <c:pt idx="97">
                  <c:v>42749</c:v>
                </c:pt>
                <c:pt idx="98">
                  <c:v>42750</c:v>
                </c:pt>
                <c:pt idx="99">
                  <c:v>42751</c:v>
                </c:pt>
                <c:pt idx="100">
                  <c:v>42752</c:v>
                </c:pt>
                <c:pt idx="101">
                  <c:v>42753</c:v>
                </c:pt>
                <c:pt idx="102">
                  <c:v>42754</c:v>
                </c:pt>
                <c:pt idx="103">
                  <c:v>42755</c:v>
                </c:pt>
                <c:pt idx="104">
                  <c:v>42756</c:v>
                </c:pt>
                <c:pt idx="105">
                  <c:v>42757</c:v>
                </c:pt>
                <c:pt idx="106">
                  <c:v>42758</c:v>
                </c:pt>
                <c:pt idx="107">
                  <c:v>42759</c:v>
                </c:pt>
                <c:pt idx="108">
                  <c:v>42760</c:v>
                </c:pt>
                <c:pt idx="109">
                  <c:v>42761</c:v>
                </c:pt>
                <c:pt idx="110">
                  <c:v>42762</c:v>
                </c:pt>
                <c:pt idx="111">
                  <c:v>42763</c:v>
                </c:pt>
                <c:pt idx="112">
                  <c:v>42764</c:v>
                </c:pt>
                <c:pt idx="113">
                  <c:v>42765</c:v>
                </c:pt>
                <c:pt idx="114">
                  <c:v>42766</c:v>
                </c:pt>
                <c:pt idx="115">
                  <c:v>42767</c:v>
                </c:pt>
                <c:pt idx="116">
                  <c:v>42768</c:v>
                </c:pt>
                <c:pt idx="117">
                  <c:v>42769</c:v>
                </c:pt>
                <c:pt idx="118">
                  <c:v>42770</c:v>
                </c:pt>
                <c:pt idx="119">
                  <c:v>42771</c:v>
                </c:pt>
                <c:pt idx="120">
                  <c:v>42772</c:v>
                </c:pt>
                <c:pt idx="121">
                  <c:v>42773</c:v>
                </c:pt>
                <c:pt idx="122">
                  <c:v>42774</c:v>
                </c:pt>
                <c:pt idx="123">
                  <c:v>42775</c:v>
                </c:pt>
                <c:pt idx="124">
                  <c:v>42776</c:v>
                </c:pt>
                <c:pt idx="125">
                  <c:v>42777</c:v>
                </c:pt>
                <c:pt idx="126">
                  <c:v>42778</c:v>
                </c:pt>
                <c:pt idx="127">
                  <c:v>42779</c:v>
                </c:pt>
                <c:pt idx="128">
                  <c:v>42780</c:v>
                </c:pt>
                <c:pt idx="129">
                  <c:v>42781</c:v>
                </c:pt>
                <c:pt idx="130">
                  <c:v>42782</c:v>
                </c:pt>
                <c:pt idx="131">
                  <c:v>42783</c:v>
                </c:pt>
                <c:pt idx="132">
                  <c:v>42784</c:v>
                </c:pt>
                <c:pt idx="133">
                  <c:v>42785</c:v>
                </c:pt>
                <c:pt idx="134">
                  <c:v>42786</c:v>
                </c:pt>
                <c:pt idx="135">
                  <c:v>42787</c:v>
                </c:pt>
                <c:pt idx="136">
                  <c:v>42788</c:v>
                </c:pt>
                <c:pt idx="137">
                  <c:v>42789</c:v>
                </c:pt>
                <c:pt idx="138">
                  <c:v>42790</c:v>
                </c:pt>
                <c:pt idx="139">
                  <c:v>42791</c:v>
                </c:pt>
                <c:pt idx="140">
                  <c:v>42792</c:v>
                </c:pt>
                <c:pt idx="141">
                  <c:v>42793</c:v>
                </c:pt>
                <c:pt idx="142">
                  <c:v>42794</c:v>
                </c:pt>
                <c:pt idx="143">
                  <c:v>42795</c:v>
                </c:pt>
                <c:pt idx="144">
                  <c:v>42796</c:v>
                </c:pt>
                <c:pt idx="145">
                  <c:v>42797</c:v>
                </c:pt>
                <c:pt idx="146">
                  <c:v>42798</c:v>
                </c:pt>
                <c:pt idx="147">
                  <c:v>42799</c:v>
                </c:pt>
                <c:pt idx="148">
                  <c:v>42800</c:v>
                </c:pt>
                <c:pt idx="149">
                  <c:v>42801</c:v>
                </c:pt>
                <c:pt idx="150">
                  <c:v>42802</c:v>
                </c:pt>
                <c:pt idx="151">
                  <c:v>42803</c:v>
                </c:pt>
                <c:pt idx="152">
                  <c:v>42804</c:v>
                </c:pt>
                <c:pt idx="153">
                  <c:v>42805</c:v>
                </c:pt>
                <c:pt idx="154">
                  <c:v>42806</c:v>
                </c:pt>
                <c:pt idx="155">
                  <c:v>42807</c:v>
                </c:pt>
                <c:pt idx="156">
                  <c:v>42808</c:v>
                </c:pt>
                <c:pt idx="157">
                  <c:v>42809</c:v>
                </c:pt>
                <c:pt idx="158">
                  <c:v>42810</c:v>
                </c:pt>
                <c:pt idx="159">
                  <c:v>42811</c:v>
                </c:pt>
                <c:pt idx="160">
                  <c:v>42812</c:v>
                </c:pt>
                <c:pt idx="161">
                  <c:v>42813</c:v>
                </c:pt>
                <c:pt idx="162">
                  <c:v>42814</c:v>
                </c:pt>
                <c:pt idx="163">
                  <c:v>42815</c:v>
                </c:pt>
                <c:pt idx="164">
                  <c:v>42816</c:v>
                </c:pt>
                <c:pt idx="165">
                  <c:v>42817</c:v>
                </c:pt>
                <c:pt idx="166">
                  <c:v>42818</c:v>
                </c:pt>
                <c:pt idx="167">
                  <c:v>42819</c:v>
                </c:pt>
                <c:pt idx="168">
                  <c:v>42820</c:v>
                </c:pt>
                <c:pt idx="169">
                  <c:v>42821</c:v>
                </c:pt>
                <c:pt idx="170">
                  <c:v>42822</c:v>
                </c:pt>
                <c:pt idx="171">
                  <c:v>42823</c:v>
                </c:pt>
                <c:pt idx="172">
                  <c:v>42824</c:v>
                </c:pt>
                <c:pt idx="173">
                  <c:v>42825</c:v>
                </c:pt>
                <c:pt idx="174">
                  <c:v>42826</c:v>
                </c:pt>
                <c:pt idx="175">
                  <c:v>42827</c:v>
                </c:pt>
                <c:pt idx="176">
                  <c:v>42828</c:v>
                </c:pt>
                <c:pt idx="177">
                  <c:v>42829</c:v>
                </c:pt>
                <c:pt idx="178">
                  <c:v>42830</c:v>
                </c:pt>
                <c:pt idx="179">
                  <c:v>42831</c:v>
                </c:pt>
                <c:pt idx="180">
                  <c:v>42832</c:v>
                </c:pt>
                <c:pt idx="181">
                  <c:v>42833</c:v>
                </c:pt>
                <c:pt idx="182">
                  <c:v>42834</c:v>
                </c:pt>
                <c:pt idx="183">
                  <c:v>42835</c:v>
                </c:pt>
                <c:pt idx="184">
                  <c:v>42836</c:v>
                </c:pt>
                <c:pt idx="185">
                  <c:v>42837</c:v>
                </c:pt>
                <c:pt idx="186">
                  <c:v>42838</c:v>
                </c:pt>
                <c:pt idx="187">
                  <c:v>42839</c:v>
                </c:pt>
                <c:pt idx="188">
                  <c:v>42840</c:v>
                </c:pt>
                <c:pt idx="189">
                  <c:v>42841</c:v>
                </c:pt>
                <c:pt idx="190">
                  <c:v>42842</c:v>
                </c:pt>
                <c:pt idx="191">
                  <c:v>42843</c:v>
                </c:pt>
                <c:pt idx="192">
                  <c:v>42844</c:v>
                </c:pt>
                <c:pt idx="193">
                  <c:v>42845</c:v>
                </c:pt>
                <c:pt idx="194">
                  <c:v>42846</c:v>
                </c:pt>
                <c:pt idx="195">
                  <c:v>42847</c:v>
                </c:pt>
                <c:pt idx="196">
                  <c:v>42848</c:v>
                </c:pt>
                <c:pt idx="197">
                  <c:v>42849</c:v>
                </c:pt>
                <c:pt idx="198">
                  <c:v>42850</c:v>
                </c:pt>
                <c:pt idx="199">
                  <c:v>42851</c:v>
                </c:pt>
                <c:pt idx="200">
                  <c:v>42852</c:v>
                </c:pt>
                <c:pt idx="201">
                  <c:v>42853</c:v>
                </c:pt>
                <c:pt idx="202">
                  <c:v>42854</c:v>
                </c:pt>
                <c:pt idx="203">
                  <c:v>42855</c:v>
                </c:pt>
                <c:pt idx="204">
                  <c:v>42856</c:v>
                </c:pt>
                <c:pt idx="205">
                  <c:v>42857</c:v>
                </c:pt>
                <c:pt idx="206">
                  <c:v>42858</c:v>
                </c:pt>
                <c:pt idx="207">
                  <c:v>42859</c:v>
                </c:pt>
                <c:pt idx="208">
                  <c:v>42860</c:v>
                </c:pt>
                <c:pt idx="209">
                  <c:v>42861</c:v>
                </c:pt>
                <c:pt idx="210">
                  <c:v>42862</c:v>
                </c:pt>
                <c:pt idx="211">
                  <c:v>42863</c:v>
                </c:pt>
                <c:pt idx="212">
                  <c:v>42864</c:v>
                </c:pt>
                <c:pt idx="213">
                  <c:v>42865</c:v>
                </c:pt>
                <c:pt idx="214">
                  <c:v>42866</c:v>
                </c:pt>
                <c:pt idx="215">
                  <c:v>42867</c:v>
                </c:pt>
                <c:pt idx="216">
                  <c:v>42868</c:v>
                </c:pt>
                <c:pt idx="217">
                  <c:v>42869</c:v>
                </c:pt>
                <c:pt idx="218">
                  <c:v>42870</c:v>
                </c:pt>
                <c:pt idx="219">
                  <c:v>42871</c:v>
                </c:pt>
                <c:pt idx="220">
                  <c:v>42872</c:v>
                </c:pt>
                <c:pt idx="221">
                  <c:v>42873</c:v>
                </c:pt>
                <c:pt idx="222">
                  <c:v>42874</c:v>
                </c:pt>
                <c:pt idx="223">
                  <c:v>42875</c:v>
                </c:pt>
                <c:pt idx="224">
                  <c:v>42876</c:v>
                </c:pt>
                <c:pt idx="225">
                  <c:v>42877</c:v>
                </c:pt>
                <c:pt idx="226">
                  <c:v>42878</c:v>
                </c:pt>
                <c:pt idx="227">
                  <c:v>42879</c:v>
                </c:pt>
                <c:pt idx="228">
                  <c:v>42880</c:v>
                </c:pt>
                <c:pt idx="229">
                  <c:v>42881</c:v>
                </c:pt>
                <c:pt idx="230">
                  <c:v>42882</c:v>
                </c:pt>
                <c:pt idx="231">
                  <c:v>42883</c:v>
                </c:pt>
                <c:pt idx="232">
                  <c:v>42884</c:v>
                </c:pt>
                <c:pt idx="233">
                  <c:v>42885</c:v>
                </c:pt>
                <c:pt idx="234">
                  <c:v>42886</c:v>
                </c:pt>
                <c:pt idx="235">
                  <c:v>42887</c:v>
                </c:pt>
                <c:pt idx="236">
                  <c:v>42888</c:v>
                </c:pt>
                <c:pt idx="237">
                  <c:v>42889</c:v>
                </c:pt>
                <c:pt idx="238">
                  <c:v>42890</c:v>
                </c:pt>
                <c:pt idx="239">
                  <c:v>42891</c:v>
                </c:pt>
                <c:pt idx="240">
                  <c:v>42892</c:v>
                </c:pt>
                <c:pt idx="241">
                  <c:v>42893</c:v>
                </c:pt>
                <c:pt idx="242">
                  <c:v>42894</c:v>
                </c:pt>
                <c:pt idx="243">
                  <c:v>42895</c:v>
                </c:pt>
                <c:pt idx="244">
                  <c:v>42896</c:v>
                </c:pt>
                <c:pt idx="245">
                  <c:v>42897</c:v>
                </c:pt>
                <c:pt idx="246">
                  <c:v>42898</c:v>
                </c:pt>
                <c:pt idx="247">
                  <c:v>42899</c:v>
                </c:pt>
                <c:pt idx="248">
                  <c:v>42900</c:v>
                </c:pt>
                <c:pt idx="249">
                  <c:v>42901</c:v>
                </c:pt>
                <c:pt idx="250">
                  <c:v>42902</c:v>
                </c:pt>
                <c:pt idx="251">
                  <c:v>42903</c:v>
                </c:pt>
                <c:pt idx="252">
                  <c:v>42904</c:v>
                </c:pt>
                <c:pt idx="253">
                  <c:v>42905</c:v>
                </c:pt>
                <c:pt idx="254">
                  <c:v>42906</c:v>
                </c:pt>
                <c:pt idx="255">
                  <c:v>42907</c:v>
                </c:pt>
                <c:pt idx="256">
                  <c:v>42908</c:v>
                </c:pt>
                <c:pt idx="257">
                  <c:v>42909</c:v>
                </c:pt>
                <c:pt idx="258">
                  <c:v>42910</c:v>
                </c:pt>
                <c:pt idx="259">
                  <c:v>42911</c:v>
                </c:pt>
                <c:pt idx="260">
                  <c:v>42912</c:v>
                </c:pt>
                <c:pt idx="261">
                  <c:v>42913</c:v>
                </c:pt>
                <c:pt idx="262">
                  <c:v>42914</c:v>
                </c:pt>
                <c:pt idx="263">
                  <c:v>42915</c:v>
                </c:pt>
                <c:pt idx="264">
                  <c:v>42916</c:v>
                </c:pt>
                <c:pt idx="265">
                  <c:v>42917</c:v>
                </c:pt>
                <c:pt idx="266">
                  <c:v>42918</c:v>
                </c:pt>
                <c:pt idx="267">
                  <c:v>42919</c:v>
                </c:pt>
                <c:pt idx="268">
                  <c:v>42920</c:v>
                </c:pt>
                <c:pt idx="269">
                  <c:v>42921</c:v>
                </c:pt>
                <c:pt idx="270">
                  <c:v>42922</c:v>
                </c:pt>
                <c:pt idx="271">
                  <c:v>42923</c:v>
                </c:pt>
                <c:pt idx="272">
                  <c:v>42924</c:v>
                </c:pt>
                <c:pt idx="273">
                  <c:v>42925</c:v>
                </c:pt>
                <c:pt idx="274">
                  <c:v>42926</c:v>
                </c:pt>
                <c:pt idx="275">
                  <c:v>42927</c:v>
                </c:pt>
                <c:pt idx="276">
                  <c:v>42928</c:v>
                </c:pt>
                <c:pt idx="277">
                  <c:v>42929</c:v>
                </c:pt>
                <c:pt idx="278">
                  <c:v>42930</c:v>
                </c:pt>
                <c:pt idx="279">
                  <c:v>42931</c:v>
                </c:pt>
                <c:pt idx="280">
                  <c:v>42932</c:v>
                </c:pt>
                <c:pt idx="281">
                  <c:v>42933</c:v>
                </c:pt>
                <c:pt idx="282">
                  <c:v>42934</c:v>
                </c:pt>
                <c:pt idx="283">
                  <c:v>42935</c:v>
                </c:pt>
                <c:pt idx="284">
                  <c:v>42936</c:v>
                </c:pt>
                <c:pt idx="285">
                  <c:v>42937</c:v>
                </c:pt>
                <c:pt idx="286">
                  <c:v>42938</c:v>
                </c:pt>
                <c:pt idx="287">
                  <c:v>42939</c:v>
                </c:pt>
                <c:pt idx="288">
                  <c:v>42940</c:v>
                </c:pt>
                <c:pt idx="289">
                  <c:v>42941</c:v>
                </c:pt>
                <c:pt idx="290">
                  <c:v>42942</c:v>
                </c:pt>
                <c:pt idx="291">
                  <c:v>42943</c:v>
                </c:pt>
                <c:pt idx="292">
                  <c:v>42944</c:v>
                </c:pt>
                <c:pt idx="293">
                  <c:v>42945</c:v>
                </c:pt>
                <c:pt idx="294">
                  <c:v>42946</c:v>
                </c:pt>
                <c:pt idx="295">
                  <c:v>42947</c:v>
                </c:pt>
                <c:pt idx="296">
                  <c:v>42948</c:v>
                </c:pt>
                <c:pt idx="297">
                  <c:v>42949</c:v>
                </c:pt>
                <c:pt idx="298">
                  <c:v>42950</c:v>
                </c:pt>
                <c:pt idx="299">
                  <c:v>42951</c:v>
                </c:pt>
                <c:pt idx="300">
                  <c:v>42952</c:v>
                </c:pt>
                <c:pt idx="301">
                  <c:v>42953</c:v>
                </c:pt>
                <c:pt idx="302">
                  <c:v>42954</c:v>
                </c:pt>
                <c:pt idx="303">
                  <c:v>42955</c:v>
                </c:pt>
                <c:pt idx="304">
                  <c:v>42956</c:v>
                </c:pt>
                <c:pt idx="305">
                  <c:v>42957</c:v>
                </c:pt>
                <c:pt idx="306">
                  <c:v>42958</c:v>
                </c:pt>
                <c:pt idx="307">
                  <c:v>42959</c:v>
                </c:pt>
                <c:pt idx="308">
                  <c:v>42960</c:v>
                </c:pt>
                <c:pt idx="309">
                  <c:v>42961</c:v>
                </c:pt>
                <c:pt idx="310">
                  <c:v>42962</c:v>
                </c:pt>
                <c:pt idx="311">
                  <c:v>42963</c:v>
                </c:pt>
                <c:pt idx="312">
                  <c:v>42964</c:v>
                </c:pt>
                <c:pt idx="313">
                  <c:v>42965</c:v>
                </c:pt>
                <c:pt idx="314">
                  <c:v>42966</c:v>
                </c:pt>
                <c:pt idx="315">
                  <c:v>42967</c:v>
                </c:pt>
                <c:pt idx="316">
                  <c:v>42968</c:v>
                </c:pt>
                <c:pt idx="317">
                  <c:v>42969</c:v>
                </c:pt>
                <c:pt idx="318">
                  <c:v>42970</c:v>
                </c:pt>
                <c:pt idx="319">
                  <c:v>42971</c:v>
                </c:pt>
                <c:pt idx="320">
                  <c:v>42972</c:v>
                </c:pt>
                <c:pt idx="321">
                  <c:v>42973</c:v>
                </c:pt>
                <c:pt idx="322">
                  <c:v>42974</c:v>
                </c:pt>
                <c:pt idx="323">
                  <c:v>42975</c:v>
                </c:pt>
                <c:pt idx="324">
                  <c:v>42976</c:v>
                </c:pt>
                <c:pt idx="325">
                  <c:v>42977</c:v>
                </c:pt>
                <c:pt idx="326">
                  <c:v>42978</c:v>
                </c:pt>
                <c:pt idx="327">
                  <c:v>42979</c:v>
                </c:pt>
                <c:pt idx="328">
                  <c:v>42980</c:v>
                </c:pt>
                <c:pt idx="329">
                  <c:v>42981</c:v>
                </c:pt>
                <c:pt idx="330">
                  <c:v>42982</c:v>
                </c:pt>
                <c:pt idx="331">
                  <c:v>42983</c:v>
                </c:pt>
                <c:pt idx="332">
                  <c:v>42984</c:v>
                </c:pt>
                <c:pt idx="333">
                  <c:v>42985</c:v>
                </c:pt>
                <c:pt idx="334">
                  <c:v>42986</c:v>
                </c:pt>
                <c:pt idx="335">
                  <c:v>42987</c:v>
                </c:pt>
                <c:pt idx="336">
                  <c:v>42988</c:v>
                </c:pt>
                <c:pt idx="337">
                  <c:v>42989</c:v>
                </c:pt>
                <c:pt idx="338">
                  <c:v>42990</c:v>
                </c:pt>
                <c:pt idx="339">
                  <c:v>42991</c:v>
                </c:pt>
                <c:pt idx="340">
                  <c:v>42992</c:v>
                </c:pt>
                <c:pt idx="341">
                  <c:v>42993</c:v>
                </c:pt>
                <c:pt idx="342">
                  <c:v>42994</c:v>
                </c:pt>
                <c:pt idx="343">
                  <c:v>42995</c:v>
                </c:pt>
                <c:pt idx="344">
                  <c:v>42996</c:v>
                </c:pt>
                <c:pt idx="345">
                  <c:v>42997</c:v>
                </c:pt>
                <c:pt idx="346">
                  <c:v>42998</c:v>
                </c:pt>
                <c:pt idx="347">
                  <c:v>42999</c:v>
                </c:pt>
                <c:pt idx="348">
                  <c:v>43000</c:v>
                </c:pt>
                <c:pt idx="349">
                  <c:v>43001</c:v>
                </c:pt>
                <c:pt idx="350">
                  <c:v>43002</c:v>
                </c:pt>
                <c:pt idx="351">
                  <c:v>43003</c:v>
                </c:pt>
                <c:pt idx="352">
                  <c:v>43004</c:v>
                </c:pt>
                <c:pt idx="353">
                  <c:v>43005</c:v>
                </c:pt>
                <c:pt idx="354">
                  <c:v>43006</c:v>
                </c:pt>
                <c:pt idx="355">
                  <c:v>43007</c:v>
                </c:pt>
                <c:pt idx="356">
                  <c:v>43008</c:v>
                </c:pt>
                <c:pt idx="357">
                  <c:v>43009</c:v>
                </c:pt>
                <c:pt idx="358">
                  <c:v>43010</c:v>
                </c:pt>
                <c:pt idx="359">
                  <c:v>43011</c:v>
                </c:pt>
                <c:pt idx="360">
                  <c:v>43012</c:v>
                </c:pt>
                <c:pt idx="361">
                  <c:v>43013</c:v>
                </c:pt>
                <c:pt idx="362">
                  <c:v>43014</c:v>
                </c:pt>
                <c:pt idx="363">
                  <c:v>43015</c:v>
                </c:pt>
                <c:pt idx="364">
                  <c:v>43016</c:v>
                </c:pt>
                <c:pt idx="365">
                  <c:v>43017</c:v>
                </c:pt>
                <c:pt idx="366">
                  <c:v>43018</c:v>
                </c:pt>
                <c:pt idx="367">
                  <c:v>43019</c:v>
                </c:pt>
                <c:pt idx="368">
                  <c:v>43020</c:v>
                </c:pt>
                <c:pt idx="369">
                  <c:v>43021</c:v>
                </c:pt>
                <c:pt idx="370">
                  <c:v>43022</c:v>
                </c:pt>
                <c:pt idx="371">
                  <c:v>43023</c:v>
                </c:pt>
                <c:pt idx="372">
                  <c:v>43024</c:v>
                </c:pt>
                <c:pt idx="373">
                  <c:v>43025</c:v>
                </c:pt>
                <c:pt idx="374">
                  <c:v>43026</c:v>
                </c:pt>
                <c:pt idx="375">
                  <c:v>43027</c:v>
                </c:pt>
                <c:pt idx="376">
                  <c:v>43028</c:v>
                </c:pt>
                <c:pt idx="377">
                  <c:v>43029</c:v>
                </c:pt>
                <c:pt idx="378">
                  <c:v>43030</c:v>
                </c:pt>
                <c:pt idx="379">
                  <c:v>43031</c:v>
                </c:pt>
                <c:pt idx="380">
                  <c:v>43032</c:v>
                </c:pt>
                <c:pt idx="381">
                  <c:v>43033</c:v>
                </c:pt>
                <c:pt idx="382">
                  <c:v>43034</c:v>
                </c:pt>
                <c:pt idx="383">
                  <c:v>43035</c:v>
                </c:pt>
                <c:pt idx="384">
                  <c:v>43036</c:v>
                </c:pt>
                <c:pt idx="385">
                  <c:v>43037</c:v>
                </c:pt>
                <c:pt idx="386">
                  <c:v>43038</c:v>
                </c:pt>
                <c:pt idx="387">
                  <c:v>43039</c:v>
                </c:pt>
                <c:pt idx="388">
                  <c:v>43040</c:v>
                </c:pt>
                <c:pt idx="389">
                  <c:v>43041</c:v>
                </c:pt>
                <c:pt idx="390">
                  <c:v>43042</c:v>
                </c:pt>
                <c:pt idx="391">
                  <c:v>43043</c:v>
                </c:pt>
                <c:pt idx="392">
                  <c:v>43044</c:v>
                </c:pt>
                <c:pt idx="393">
                  <c:v>43045</c:v>
                </c:pt>
                <c:pt idx="394">
                  <c:v>43046</c:v>
                </c:pt>
                <c:pt idx="395">
                  <c:v>43047</c:v>
                </c:pt>
                <c:pt idx="396">
                  <c:v>43048</c:v>
                </c:pt>
                <c:pt idx="397">
                  <c:v>43049</c:v>
                </c:pt>
                <c:pt idx="398">
                  <c:v>43050</c:v>
                </c:pt>
                <c:pt idx="399">
                  <c:v>43051</c:v>
                </c:pt>
                <c:pt idx="400">
                  <c:v>43052</c:v>
                </c:pt>
                <c:pt idx="401">
                  <c:v>43053</c:v>
                </c:pt>
                <c:pt idx="402">
                  <c:v>43054</c:v>
                </c:pt>
                <c:pt idx="403">
                  <c:v>43055</c:v>
                </c:pt>
                <c:pt idx="404">
                  <c:v>43056</c:v>
                </c:pt>
                <c:pt idx="405">
                  <c:v>43057</c:v>
                </c:pt>
                <c:pt idx="406">
                  <c:v>43058</c:v>
                </c:pt>
                <c:pt idx="407">
                  <c:v>43059</c:v>
                </c:pt>
                <c:pt idx="408">
                  <c:v>43060</c:v>
                </c:pt>
                <c:pt idx="409">
                  <c:v>43061</c:v>
                </c:pt>
                <c:pt idx="410">
                  <c:v>43062</c:v>
                </c:pt>
                <c:pt idx="411">
                  <c:v>43063</c:v>
                </c:pt>
                <c:pt idx="412">
                  <c:v>43064</c:v>
                </c:pt>
                <c:pt idx="413">
                  <c:v>43065</c:v>
                </c:pt>
                <c:pt idx="414">
                  <c:v>43066</c:v>
                </c:pt>
                <c:pt idx="415">
                  <c:v>43067</c:v>
                </c:pt>
                <c:pt idx="416">
                  <c:v>43068</c:v>
                </c:pt>
                <c:pt idx="417">
                  <c:v>43069</c:v>
                </c:pt>
                <c:pt idx="418">
                  <c:v>43070</c:v>
                </c:pt>
                <c:pt idx="419">
                  <c:v>43071</c:v>
                </c:pt>
                <c:pt idx="420">
                  <c:v>43072</c:v>
                </c:pt>
                <c:pt idx="421">
                  <c:v>43073</c:v>
                </c:pt>
                <c:pt idx="422">
                  <c:v>43074</c:v>
                </c:pt>
                <c:pt idx="423">
                  <c:v>43075</c:v>
                </c:pt>
                <c:pt idx="424">
                  <c:v>43076</c:v>
                </c:pt>
                <c:pt idx="425">
                  <c:v>43077</c:v>
                </c:pt>
                <c:pt idx="426">
                  <c:v>43078</c:v>
                </c:pt>
                <c:pt idx="427">
                  <c:v>43079</c:v>
                </c:pt>
                <c:pt idx="428">
                  <c:v>43080</c:v>
                </c:pt>
                <c:pt idx="429">
                  <c:v>43081</c:v>
                </c:pt>
                <c:pt idx="430">
                  <c:v>43082</c:v>
                </c:pt>
                <c:pt idx="431">
                  <c:v>43083</c:v>
                </c:pt>
                <c:pt idx="432">
                  <c:v>43084</c:v>
                </c:pt>
                <c:pt idx="433">
                  <c:v>43085</c:v>
                </c:pt>
                <c:pt idx="434">
                  <c:v>43086</c:v>
                </c:pt>
                <c:pt idx="435">
                  <c:v>43087</c:v>
                </c:pt>
                <c:pt idx="436">
                  <c:v>43088</c:v>
                </c:pt>
                <c:pt idx="437">
                  <c:v>43089</c:v>
                </c:pt>
                <c:pt idx="438">
                  <c:v>43090</c:v>
                </c:pt>
                <c:pt idx="439">
                  <c:v>43091</c:v>
                </c:pt>
                <c:pt idx="440">
                  <c:v>43092</c:v>
                </c:pt>
                <c:pt idx="441">
                  <c:v>43093</c:v>
                </c:pt>
                <c:pt idx="442">
                  <c:v>43094</c:v>
                </c:pt>
                <c:pt idx="443">
                  <c:v>43095</c:v>
                </c:pt>
                <c:pt idx="444">
                  <c:v>43096</c:v>
                </c:pt>
                <c:pt idx="445">
                  <c:v>43097</c:v>
                </c:pt>
                <c:pt idx="446">
                  <c:v>43098</c:v>
                </c:pt>
                <c:pt idx="447">
                  <c:v>43099</c:v>
                </c:pt>
                <c:pt idx="448">
                  <c:v>43100</c:v>
                </c:pt>
                <c:pt idx="449">
                  <c:v>43101</c:v>
                </c:pt>
                <c:pt idx="450">
                  <c:v>43102</c:v>
                </c:pt>
                <c:pt idx="451">
                  <c:v>43103</c:v>
                </c:pt>
                <c:pt idx="452">
                  <c:v>43104</c:v>
                </c:pt>
                <c:pt idx="453">
                  <c:v>43105</c:v>
                </c:pt>
                <c:pt idx="454">
                  <c:v>43106</c:v>
                </c:pt>
                <c:pt idx="455">
                  <c:v>43107</c:v>
                </c:pt>
                <c:pt idx="456">
                  <c:v>43108</c:v>
                </c:pt>
                <c:pt idx="457">
                  <c:v>43109</c:v>
                </c:pt>
                <c:pt idx="458">
                  <c:v>43110</c:v>
                </c:pt>
                <c:pt idx="459">
                  <c:v>43111</c:v>
                </c:pt>
                <c:pt idx="460">
                  <c:v>43112</c:v>
                </c:pt>
                <c:pt idx="461">
                  <c:v>43113</c:v>
                </c:pt>
                <c:pt idx="462">
                  <c:v>43114</c:v>
                </c:pt>
                <c:pt idx="463">
                  <c:v>43115</c:v>
                </c:pt>
                <c:pt idx="464">
                  <c:v>43116</c:v>
                </c:pt>
                <c:pt idx="465">
                  <c:v>43117</c:v>
                </c:pt>
                <c:pt idx="466">
                  <c:v>43118</c:v>
                </c:pt>
                <c:pt idx="467">
                  <c:v>43119</c:v>
                </c:pt>
                <c:pt idx="468">
                  <c:v>43120</c:v>
                </c:pt>
                <c:pt idx="469">
                  <c:v>43121</c:v>
                </c:pt>
                <c:pt idx="470">
                  <c:v>43122</c:v>
                </c:pt>
                <c:pt idx="471">
                  <c:v>43123</c:v>
                </c:pt>
                <c:pt idx="472">
                  <c:v>43124</c:v>
                </c:pt>
                <c:pt idx="473">
                  <c:v>43125</c:v>
                </c:pt>
                <c:pt idx="474">
                  <c:v>43126</c:v>
                </c:pt>
                <c:pt idx="475">
                  <c:v>43127</c:v>
                </c:pt>
                <c:pt idx="476">
                  <c:v>43128</c:v>
                </c:pt>
                <c:pt idx="477">
                  <c:v>43129</c:v>
                </c:pt>
                <c:pt idx="478">
                  <c:v>43130</c:v>
                </c:pt>
                <c:pt idx="479">
                  <c:v>43131</c:v>
                </c:pt>
                <c:pt idx="480">
                  <c:v>43132</c:v>
                </c:pt>
                <c:pt idx="481">
                  <c:v>43133</c:v>
                </c:pt>
                <c:pt idx="482">
                  <c:v>43134</c:v>
                </c:pt>
                <c:pt idx="483">
                  <c:v>43135</c:v>
                </c:pt>
                <c:pt idx="484">
                  <c:v>43136</c:v>
                </c:pt>
                <c:pt idx="485">
                  <c:v>43137</c:v>
                </c:pt>
                <c:pt idx="486">
                  <c:v>43138</c:v>
                </c:pt>
                <c:pt idx="487">
                  <c:v>43139</c:v>
                </c:pt>
                <c:pt idx="488">
                  <c:v>43140</c:v>
                </c:pt>
                <c:pt idx="489">
                  <c:v>43141</c:v>
                </c:pt>
                <c:pt idx="490">
                  <c:v>43142</c:v>
                </c:pt>
                <c:pt idx="491">
                  <c:v>43143</c:v>
                </c:pt>
                <c:pt idx="492">
                  <c:v>43144</c:v>
                </c:pt>
                <c:pt idx="493">
                  <c:v>43145</c:v>
                </c:pt>
                <c:pt idx="494">
                  <c:v>43146</c:v>
                </c:pt>
                <c:pt idx="495">
                  <c:v>43147</c:v>
                </c:pt>
                <c:pt idx="496">
                  <c:v>43148</c:v>
                </c:pt>
                <c:pt idx="497">
                  <c:v>43149</c:v>
                </c:pt>
                <c:pt idx="498">
                  <c:v>43150</c:v>
                </c:pt>
                <c:pt idx="499">
                  <c:v>43151</c:v>
                </c:pt>
                <c:pt idx="500">
                  <c:v>43152</c:v>
                </c:pt>
                <c:pt idx="501">
                  <c:v>43153</c:v>
                </c:pt>
                <c:pt idx="502">
                  <c:v>43154</c:v>
                </c:pt>
                <c:pt idx="503">
                  <c:v>43155</c:v>
                </c:pt>
                <c:pt idx="504">
                  <c:v>43156</c:v>
                </c:pt>
                <c:pt idx="505">
                  <c:v>43157</c:v>
                </c:pt>
                <c:pt idx="506">
                  <c:v>43158</c:v>
                </c:pt>
                <c:pt idx="507">
                  <c:v>43159</c:v>
                </c:pt>
                <c:pt idx="508">
                  <c:v>43160</c:v>
                </c:pt>
                <c:pt idx="509">
                  <c:v>43161</c:v>
                </c:pt>
                <c:pt idx="510">
                  <c:v>43162</c:v>
                </c:pt>
                <c:pt idx="511">
                  <c:v>43163</c:v>
                </c:pt>
                <c:pt idx="512">
                  <c:v>43164</c:v>
                </c:pt>
                <c:pt idx="513">
                  <c:v>43165</c:v>
                </c:pt>
                <c:pt idx="514">
                  <c:v>43166</c:v>
                </c:pt>
                <c:pt idx="515">
                  <c:v>43167</c:v>
                </c:pt>
                <c:pt idx="516">
                  <c:v>43168</c:v>
                </c:pt>
                <c:pt idx="517">
                  <c:v>43169</c:v>
                </c:pt>
                <c:pt idx="518">
                  <c:v>43170</c:v>
                </c:pt>
                <c:pt idx="519">
                  <c:v>43171</c:v>
                </c:pt>
                <c:pt idx="520">
                  <c:v>43172</c:v>
                </c:pt>
                <c:pt idx="521">
                  <c:v>43173</c:v>
                </c:pt>
                <c:pt idx="522">
                  <c:v>43174</c:v>
                </c:pt>
                <c:pt idx="523">
                  <c:v>43175</c:v>
                </c:pt>
                <c:pt idx="524">
                  <c:v>43176</c:v>
                </c:pt>
                <c:pt idx="525">
                  <c:v>43177</c:v>
                </c:pt>
                <c:pt idx="526">
                  <c:v>43178</c:v>
                </c:pt>
                <c:pt idx="527">
                  <c:v>43179</c:v>
                </c:pt>
                <c:pt idx="528">
                  <c:v>43180</c:v>
                </c:pt>
                <c:pt idx="529">
                  <c:v>43181</c:v>
                </c:pt>
                <c:pt idx="530">
                  <c:v>43182</c:v>
                </c:pt>
                <c:pt idx="531">
                  <c:v>43183</c:v>
                </c:pt>
                <c:pt idx="532">
                  <c:v>43184</c:v>
                </c:pt>
                <c:pt idx="533">
                  <c:v>43185</c:v>
                </c:pt>
                <c:pt idx="534">
                  <c:v>43186</c:v>
                </c:pt>
                <c:pt idx="535">
                  <c:v>43187</c:v>
                </c:pt>
                <c:pt idx="536">
                  <c:v>43188</c:v>
                </c:pt>
                <c:pt idx="537">
                  <c:v>43189</c:v>
                </c:pt>
                <c:pt idx="538">
                  <c:v>43190</c:v>
                </c:pt>
                <c:pt idx="539">
                  <c:v>43191</c:v>
                </c:pt>
                <c:pt idx="540">
                  <c:v>43192</c:v>
                </c:pt>
                <c:pt idx="541">
                  <c:v>43193</c:v>
                </c:pt>
                <c:pt idx="542">
                  <c:v>43194</c:v>
                </c:pt>
                <c:pt idx="543">
                  <c:v>43195</c:v>
                </c:pt>
                <c:pt idx="544">
                  <c:v>43196</c:v>
                </c:pt>
                <c:pt idx="545">
                  <c:v>43197</c:v>
                </c:pt>
                <c:pt idx="546">
                  <c:v>43198</c:v>
                </c:pt>
                <c:pt idx="547">
                  <c:v>43199</c:v>
                </c:pt>
                <c:pt idx="548">
                  <c:v>43200</c:v>
                </c:pt>
                <c:pt idx="549">
                  <c:v>43201</c:v>
                </c:pt>
                <c:pt idx="550">
                  <c:v>43202</c:v>
                </c:pt>
                <c:pt idx="551">
                  <c:v>43203</c:v>
                </c:pt>
                <c:pt idx="552">
                  <c:v>43204</c:v>
                </c:pt>
                <c:pt idx="553">
                  <c:v>43205</c:v>
                </c:pt>
                <c:pt idx="554">
                  <c:v>43206</c:v>
                </c:pt>
                <c:pt idx="555">
                  <c:v>43207</c:v>
                </c:pt>
                <c:pt idx="556">
                  <c:v>43208</c:v>
                </c:pt>
                <c:pt idx="557">
                  <c:v>43209</c:v>
                </c:pt>
                <c:pt idx="558">
                  <c:v>43210</c:v>
                </c:pt>
                <c:pt idx="559">
                  <c:v>43211</c:v>
                </c:pt>
                <c:pt idx="560">
                  <c:v>43212</c:v>
                </c:pt>
                <c:pt idx="561">
                  <c:v>43213</c:v>
                </c:pt>
                <c:pt idx="562">
                  <c:v>43214</c:v>
                </c:pt>
                <c:pt idx="563">
                  <c:v>43215</c:v>
                </c:pt>
                <c:pt idx="564">
                  <c:v>43216</c:v>
                </c:pt>
                <c:pt idx="565">
                  <c:v>43217</c:v>
                </c:pt>
                <c:pt idx="566">
                  <c:v>43218</c:v>
                </c:pt>
                <c:pt idx="567">
                  <c:v>43219</c:v>
                </c:pt>
                <c:pt idx="568">
                  <c:v>43220</c:v>
                </c:pt>
                <c:pt idx="569">
                  <c:v>43221</c:v>
                </c:pt>
                <c:pt idx="570">
                  <c:v>43222</c:v>
                </c:pt>
                <c:pt idx="571">
                  <c:v>43223</c:v>
                </c:pt>
                <c:pt idx="572">
                  <c:v>43224</c:v>
                </c:pt>
                <c:pt idx="573">
                  <c:v>43225</c:v>
                </c:pt>
                <c:pt idx="574">
                  <c:v>43226</c:v>
                </c:pt>
                <c:pt idx="575">
                  <c:v>43227</c:v>
                </c:pt>
                <c:pt idx="576">
                  <c:v>43228</c:v>
                </c:pt>
                <c:pt idx="577">
                  <c:v>43229</c:v>
                </c:pt>
                <c:pt idx="578">
                  <c:v>43230</c:v>
                </c:pt>
                <c:pt idx="579">
                  <c:v>43231</c:v>
                </c:pt>
                <c:pt idx="580">
                  <c:v>43232</c:v>
                </c:pt>
                <c:pt idx="581">
                  <c:v>43233</c:v>
                </c:pt>
                <c:pt idx="582">
                  <c:v>43234</c:v>
                </c:pt>
                <c:pt idx="583">
                  <c:v>43235</c:v>
                </c:pt>
                <c:pt idx="584">
                  <c:v>43236</c:v>
                </c:pt>
                <c:pt idx="585">
                  <c:v>43237</c:v>
                </c:pt>
                <c:pt idx="586">
                  <c:v>43238</c:v>
                </c:pt>
                <c:pt idx="587">
                  <c:v>43239</c:v>
                </c:pt>
                <c:pt idx="588">
                  <c:v>43240</c:v>
                </c:pt>
                <c:pt idx="589">
                  <c:v>43241</c:v>
                </c:pt>
                <c:pt idx="590">
                  <c:v>43242</c:v>
                </c:pt>
                <c:pt idx="591">
                  <c:v>43243</c:v>
                </c:pt>
                <c:pt idx="592">
                  <c:v>43244</c:v>
                </c:pt>
                <c:pt idx="593">
                  <c:v>43245</c:v>
                </c:pt>
                <c:pt idx="594">
                  <c:v>43246</c:v>
                </c:pt>
                <c:pt idx="595">
                  <c:v>43247</c:v>
                </c:pt>
                <c:pt idx="596">
                  <c:v>43248</c:v>
                </c:pt>
                <c:pt idx="597">
                  <c:v>43249</c:v>
                </c:pt>
                <c:pt idx="598">
                  <c:v>43250</c:v>
                </c:pt>
                <c:pt idx="599">
                  <c:v>43251</c:v>
                </c:pt>
                <c:pt idx="600">
                  <c:v>43252</c:v>
                </c:pt>
                <c:pt idx="601">
                  <c:v>43253</c:v>
                </c:pt>
                <c:pt idx="602">
                  <c:v>43254</c:v>
                </c:pt>
                <c:pt idx="603">
                  <c:v>43255</c:v>
                </c:pt>
                <c:pt idx="604">
                  <c:v>43256</c:v>
                </c:pt>
                <c:pt idx="605">
                  <c:v>43257</c:v>
                </c:pt>
                <c:pt idx="606">
                  <c:v>43258</c:v>
                </c:pt>
                <c:pt idx="607">
                  <c:v>43259</c:v>
                </c:pt>
                <c:pt idx="608">
                  <c:v>43260</c:v>
                </c:pt>
                <c:pt idx="609">
                  <c:v>43261</c:v>
                </c:pt>
                <c:pt idx="610">
                  <c:v>43262</c:v>
                </c:pt>
                <c:pt idx="611">
                  <c:v>43263</c:v>
                </c:pt>
                <c:pt idx="612">
                  <c:v>43264</c:v>
                </c:pt>
                <c:pt idx="613">
                  <c:v>43265</c:v>
                </c:pt>
                <c:pt idx="614">
                  <c:v>43266</c:v>
                </c:pt>
                <c:pt idx="615">
                  <c:v>43267</c:v>
                </c:pt>
                <c:pt idx="616">
                  <c:v>43268</c:v>
                </c:pt>
                <c:pt idx="617">
                  <c:v>43269</c:v>
                </c:pt>
                <c:pt idx="618">
                  <c:v>43270</c:v>
                </c:pt>
                <c:pt idx="619">
                  <c:v>43271</c:v>
                </c:pt>
                <c:pt idx="620">
                  <c:v>43272</c:v>
                </c:pt>
                <c:pt idx="621">
                  <c:v>43273</c:v>
                </c:pt>
                <c:pt idx="622">
                  <c:v>43274</c:v>
                </c:pt>
                <c:pt idx="623">
                  <c:v>43275</c:v>
                </c:pt>
                <c:pt idx="624">
                  <c:v>43276</c:v>
                </c:pt>
                <c:pt idx="625">
                  <c:v>43277</c:v>
                </c:pt>
                <c:pt idx="626">
                  <c:v>43278</c:v>
                </c:pt>
                <c:pt idx="627">
                  <c:v>43279</c:v>
                </c:pt>
                <c:pt idx="628">
                  <c:v>43280</c:v>
                </c:pt>
                <c:pt idx="629">
                  <c:v>43281</c:v>
                </c:pt>
                <c:pt idx="630">
                  <c:v>43282</c:v>
                </c:pt>
                <c:pt idx="631">
                  <c:v>43283</c:v>
                </c:pt>
                <c:pt idx="632">
                  <c:v>43284</c:v>
                </c:pt>
                <c:pt idx="633">
                  <c:v>43285</c:v>
                </c:pt>
                <c:pt idx="634">
                  <c:v>43286</c:v>
                </c:pt>
                <c:pt idx="635">
                  <c:v>43287</c:v>
                </c:pt>
                <c:pt idx="636">
                  <c:v>43288</c:v>
                </c:pt>
                <c:pt idx="637">
                  <c:v>43289</c:v>
                </c:pt>
                <c:pt idx="638">
                  <c:v>43290</c:v>
                </c:pt>
                <c:pt idx="639">
                  <c:v>43291</c:v>
                </c:pt>
                <c:pt idx="640">
                  <c:v>43292</c:v>
                </c:pt>
                <c:pt idx="641">
                  <c:v>43293</c:v>
                </c:pt>
                <c:pt idx="642">
                  <c:v>43294</c:v>
                </c:pt>
                <c:pt idx="643">
                  <c:v>43295</c:v>
                </c:pt>
                <c:pt idx="644">
                  <c:v>43296</c:v>
                </c:pt>
                <c:pt idx="645">
                  <c:v>43297</c:v>
                </c:pt>
                <c:pt idx="646">
                  <c:v>43298</c:v>
                </c:pt>
                <c:pt idx="647">
                  <c:v>43299</c:v>
                </c:pt>
                <c:pt idx="648">
                  <c:v>43300</c:v>
                </c:pt>
                <c:pt idx="649">
                  <c:v>43301</c:v>
                </c:pt>
                <c:pt idx="650">
                  <c:v>43302</c:v>
                </c:pt>
                <c:pt idx="651">
                  <c:v>43303</c:v>
                </c:pt>
                <c:pt idx="652">
                  <c:v>43304</c:v>
                </c:pt>
                <c:pt idx="653">
                  <c:v>43305</c:v>
                </c:pt>
                <c:pt idx="654">
                  <c:v>43306</c:v>
                </c:pt>
                <c:pt idx="655">
                  <c:v>43307</c:v>
                </c:pt>
                <c:pt idx="656">
                  <c:v>43308</c:v>
                </c:pt>
                <c:pt idx="657">
                  <c:v>43309</c:v>
                </c:pt>
                <c:pt idx="658">
                  <c:v>43310</c:v>
                </c:pt>
                <c:pt idx="659">
                  <c:v>43311</c:v>
                </c:pt>
                <c:pt idx="660">
                  <c:v>43312</c:v>
                </c:pt>
                <c:pt idx="661">
                  <c:v>43313</c:v>
                </c:pt>
                <c:pt idx="662">
                  <c:v>43314</c:v>
                </c:pt>
                <c:pt idx="663">
                  <c:v>43315</c:v>
                </c:pt>
                <c:pt idx="664">
                  <c:v>43316</c:v>
                </c:pt>
                <c:pt idx="665">
                  <c:v>43317</c:v>
                </c:pt>
                <c:pt idx="666">
                  <c:v>43318</c:v>
                </c:pt>
                <c:pt idx="667">
                  <c:v>43319</c:v>
                </c:pt>
                <c:pt idx="668">
                  <c:v>43320</c:v>
                </c:pt>
                <c:pt idx="669">
                  <c:v>43321</c:v>
                </c:pt>
                <c:pt idx="670">
                  <c:v>43322</c:v>
                </c:pt>
                <c:pt idx="671">
                  <c:v>43323</c:v>
                </c:pt>
                <c:pt idx="672">
                  <c:v>43324</c:v>
                </c:pt>
                <c:pt idx="673">
                  <c:v>43325</c:v>
                </c:pt>
                <c:pt idx="674">
                  <c:v>43326</c:v>
                </c:pt>
                <c:pt idx="675">
                  <c:v>43327</c:v>
                </c:pt>
                <c:pt idx="676">
                  <c:v>43328</c:v>
                </c:pt>
                <c:pt idx="677">
                  <c:v>43329</c:v>
                </c:pt>
                <c:pt idx="678">
                  <c:v>43330</c:v>
                </c:pt>
                <c:pt idx="679">
                  <c:v>43331</c:v>
                </c:pt>
                <c:pt idx="680">
                  <c:v>43332</c:v>
                </c:pt>
                <c:pt idx="681">
                  <c:v>43333</c:v>
                </c:pt>
                <c:pt idx="682">
                  <c:v>43334</c:v>
                </c:pt>
                <c:pt idx="683">
                  <c:v>43335</c:v>
                </c:pt>
                <c:pt idx="684">
                  <c:v>43336</c:v>
                </c:pt>
                <c:pt idx="685">
                  <c:v>43337</c:v>
                </c:pt>
                <c:pt idx="686">
                  <c:v>43338</c:v>
                </c:pt>
                <c:pt idx="687">
                  <c:v>43339</c:v>
                </c:pt>
                <c:pt idx="688">
                  <c:v>43340</c:v>
                </c:pt>
                <c:pt idx="689">
                  <c:v>43341</c:v>
                </c:pt>
                <c:pt idx="690">
                  <c:v>43342</c:v>
                </c:pt>
                <c:pt idx="691">
                  <c:v>43343</c:v>
                </c:pt>
                <c:pt idx="692">
                  <c:v>43344</c:v>
                </c:pt>
                <c:pt idx="693">
                  <c:v>43345</c:v>
                </c:pt>
                <c:pt idx="694">
                  <c:v>43346</c:v>
                </c:pt>
                <c:pt idx="695">
                  <c:v>43347</c:v>
                </c:pt>
                <c:pt idx="696">
                  <c:v>43348</c:v>
                </c:pt>
                <c:pt idx="697">
                  <c:v>43349</c:v>
                </c:pt>
                <c:pt idx="698">
                  <c:v>43350</c:v>
                </c:pt>
                <c:pt idx="699">
                  <c:v>43351</c:v>
                </c:pt>
                <c:pt idx="700">
                  <c:v>43352</c:v>
                </c:pt>
                <c:pt idx="701">
                  <c:v>43353</c:v>
                </c:pt>
                <c:pt idx="702">
                  <c:v>43354</c:v>
                </c:pt>
                <c:pt idx="703">
                  <c:v>43355</c:v>
                </c:pt>
                <c:pt idx="704">
                  <c:v>43356</c:v>
                </c:pt>
                <c:pt idx="705">
                  <c:v>43357</c:v>
                </c:pt>
                <c:pt idx="706">
                  <c:v>43358</c:v>
                </c:pt>
                <c:pt idx="707">
                  <c:v>43359</c:v>
                </c:pt>
                <c:pt idx="708">
                  <c:v>43360</c:v>
                </c:pt>
                <c:pt idx="709">
                  <c:v>43361</c:v>
                </c:pt>
                <c:pt idx="710">
                  <c:v>43362</c:v>
                </c:pt>
                <c:pt idx="711">
                  <c:v>43363</c:v>
                </c:pt>
                <c:pt idx="712">
                  <c:v>43364</c:v>
                </c:pt>
                <c:pt idx="713">
                  <c:v>43365</c:v>
                </c:pt>
                <c:pt idx="714">
                  <c:v>43366</c:v>
                </c:pt>
                <c:pt idx="715">
                  <c:v>43367</c:v>
                </c:pt>
                <c:pt idx="716">
                  <c:v>43368</c:v>
                </c:pt>
                <c:pt idx="717">
                  <c:v>43369</c:v>
                </c:pt>
                <c:pt idx="718">
                  <c:v>43370</c:v>
                </c:pt>
                <c:pt idx="719">
                  <c:v>43371</c:v>
                </c:pt>
                <c:pt idx="720">
                  <c:v>43372</c:v>
                </c:pt>
                <c:pt idx="721">
                  <c:v>43373</c:v>
                </c:pt>
                <c:pt idx="722">
                  <c:v>43374</c:v>
                </c:pt>
                <c:pt idx="723">
                  <c:v>43375</c:v>
                </c:pt>
                <c:pt idx="724">
                  <c:v>43376</c:v>
                </c:pt>
                <c:pt idx="725">
                  <c:v>43377</c:v>
                </c:pt>
                <c:pt idx="726">
                  <c:v>43378</c:v>
                </c:pt>
                <c:pt idx="727">
                  <c:v>43379</c:v>
                </c:pt>
                <c:pt idx="728">
                  <c:v>43380</c:v>
                </c:pt>
                <c:pt idx="729">
                  <c:v>43381</c:v>
                </c:pt>
                <c:pt idx="730">
                  <c:v>43382</c:v>
                </c:pt>
                <c:pt idx="731">
                  <c:v>43383</c:v>
                </c:pt>
                <c:pt idx="732">
                  <c:v>43384</c:v>
                </c:pt>
                <c:pt idx="733">
                  <c:v>43385</c:v>
                </c:pt>
                <c:pt idx="734">
                  <c:v>43386</c:v>
                </c:pt>
                <c:pt idx="735">
                  <c:v>43387</c:v>
                </c:pt>
                <c:pt idx="736">
                  <c:v>43388</c:v>
                </c:pt>
                <c:pt idx="737">
                  <c:v>43389</c:v>
                </c:pt>
                <c:pt idx="738">
                  <c:v>43390</c:v>
                </c:pt>
                <c:pt idx="739">
                  <c:v>43391</c:v>
                </c:pt>
                <c:pt idx="740">
                  <c:v>43392</c:v>
                </c:pt>
                <c:pt idx="741">
                  <c:v>43393</c:v>
                </c:pt>
                <c:pt idx="742">
                  <c:v>43394</c:v>
                </c:pt>
                <c:pt idx="743">
                  <c:v>43395</c:v>
                </c:pt>
                <c:pt idx="744">
                  <c:v>43396</c:v>
                </c:pt>
                <c:pt idx="745">
                  <c:v>43397</c:v>
                </c:pt>
                <c:pt idx="746">
                  <c:v>43398</c:v>
                </c:pt>
                <c:pt idx="747">
                  <c:v>43399</c:v>
                </c:pt>
                <c:pt idx="748">
                  <c:v>43400</c:v>
                </c:pt>
                <c:pt idx="749">
                  <c:v>43401</c:v>
                </c:pt>
                <c:pt idx="750">
                  <c:v>43402</c:v>
                </c:pt>
                <c:pt idx="751">
                  <c:v>43403</c:v>
                </c:pt>
                <c:pt idx="752">
                  <c:v>43404</c:v>
                </c:pt>
                <c:pt idx="753">
                  <c:v>43405</c:v>
                </c:pt>
                <c:pt idx="754">
                  <c:v>43406</c:v>
                </c:pt>
                <c:pt idx="755">
                  <c:v>43407</c:v>
                </c:pt>
                <c:pt idx="756">
                  <c:v>43408</c:v>
                </c:pt>
                <c:pt idx="757">
                  <c:v>43409</c:v>
                </c:pt>
                <c:pt idx="758">
                  <c:v>43410</c:v>
                </c:pt>
                <c:pt idx="759">
                  <c:v>43411</c:v>
                </c:pt>
                <c:pt idx="760">
                  <c:v>43412</c:v>
                </c:pt>
                <c:pt idx="761">
                  <c:v>43413</c:v>
                </c:pt>
                <c:pt idx="762">
                  <c:v>43414</c:v>
                </c:pt>
                <c:pt idx="763">
                  <c:v>43415</c:v>
                </c:pt>
                <c:pt idx="764">
                  <c:v>43416</c:v>
                </c:pt>
                <c:pt idx="765">
                  <c:v>43417</c:v>
                </c:pt>
                <c:pt idx="766">
                  <c:v>43418</c:v>
                </c:pt>
                <c:pt idx="767">
                  <c:v>43419</c:v>
                </c:pt>
                <c:pt idx="768">
                  <c:v>43420</c:v>
                </c:pt>
                <c:pt idx="769">
                  <c:v>43421</c:v>
                </c:pt>
                <c:pt idx="770">
                  <c:v>43422</c:v>
                </c:pt>
                <c:pt idx="771">
                  <c:v>43423</c:v>
                </c:pt>
                <c:pt idx="772">
                  <c:v>43424</c:v>
                </c:pt>
                <c:pt idx="773">
                  <c:v>43425</c:v>
                </c:pt>
                <c:pt idx="774">
                  <c:v>43426</c:v>
                </c:pt>
                <c:pt idx="775">
                  <c:v>43427</c:v>
                </c:pt>
                <c:pt idx="776">
                  <c:v>43428</c:v>
                </c:pt>
                <c:pt idx="777">
                  <c:v>43429</c:v>
                </c:pt>
                <c:pt idx="778">
                  <c:v>43430</c:v>
                </c:pt>
                <c:pt idx="779">
                  <c:v>43431</c:v>
                </c:pt>
                <c:pt idx="780">
                  <c:v>43432</c:v>
                </c:pt>
                <c:pt idx="781">
                  <c:v>43433</c:v>
                </c:pt>
                <c:pt idx="782">
                  <c:v>43434</c:v>
                </c:pt>
                <c:pt idx="783">
                  <c:v>43435</c:v>
                </c:pt>
                <c:pt idx="784">
                  <c:v>43436</c:v>
                </c:pt>
                <c:pt idx="785">
                  <c:v>43437</c:v>
                </c:pt>
                <c:pt idx="786">
                  <c:v>43438</c:v>
                </c:pt>
                <c:pt idx="787">
                  <c:v>43439</c:v>
                </c:pt>
                <c:pt idx="788">
                  <c:v>43440</c:v>
                </c:pt>
                <c:pt idx="789">
                  <c:v>43441</c:v>
                </c:pt>
                <c:pt idx="790">
                  <c:v>43442</c:v>
                </c:pt>
                <c:pt idx="791">
                  <c:v>43443</c:v>
                </c:pt>
                <c:pt idx="792">
                  <c:v>43444</c:v>
                </c:pt>
                <c:pt idx="793">
                  <c:v>43445</c:v>
                </c:pt>
                <c:pt idx="794">
                  <c:v>43446</c:v>
                </c:pt>
                <c:pt idx="795">
                  <c:v>43447</c:v>
                </c:pt>
                <c:pt idx="796">
                  <c:v>43448</c:v>
                </c:pt>
                <c:pt idx="797">
                  <c:v>43449</c:v>
                </c:pt>
                <c:pt idx="798">
                  <c:v>43450</c:v>
                </c:pt>
                <c:pt idx="799">
                  <c:v>43451</c:v>
                </c:pt>
                <c:pt idx="800">
                  <c:v>43452</c:v>
                </c:pt>
                <c:pt idx="801">
                  <c:v>43453</c:v>
                </c:pt>
                <c:pt idx="802">
                  <c:v>43454</c:v>
                </c:pt>
                <c:pt idx="803">
                  <c:v>43455</c:v>
                </c:pt>
                <c:pt idx="804">
                  <c:v>43456</c:v>
                </c:pt>
                <c:pt idx="805">
                  <c:v>43457</c:v>
                </c:pt>
                <c:pt idx="806">
                  <c:v>43458</c:v>
                </c:pt>
                <c:pt idx="807">
                  <c:v>43459</c:v>
                </c:pt>
                <c:pt idx="808">
                  <c:v>43460</c:v>
                </c:pt>
                <c:pt idx="809">
                  <c:v>43461</c:v>
                </c:pt>
                <c:pt idx="810">
                  <c:v>43462</c:v>
                </c:pt>
                <c:pt idx="811">
                  <c:v>43463</c:v>
                </c:pt>
                <c:pt idx="812">
                  <c:v>43464</c:v>
                </c:pt>
                <c:pt idx="813">
                  <c:v>43465</c:v>
                </c:pt>
                <c:pt idx="814">
                  <c:v>43466</c:v>
                </c:pt>
                <c:pt idx="815">
                  <c:v>43467</c:v>
                </c:pt>
                <c:pt idx="816">
                  <c:v>43468</c:v>
                </c:pt>
                <c:pt idx="817">
                  <c:v>43469</c:v>
                </c:pt>
                <c:pt idx="818">
                  <c:v>43470</c:v>
                </c:pt>
                <c:pt idx="819">
                  <c:v>43471</c:v>
                </c:pt>
                <c:pt idx="820">
                  <c:v>43472</c:v>
                </c:pt>
                <c:pt idx="821">
                  <c:v>43473</c:v>
                </c:pt>
                <c:pt idx="822">
                  <c:v>43474</c:v>
                </c:pt>
                <c:pt idx="823">
                  <c:v>43475</c:v>
                </c:pt>
                <c:pt idx="824">
                  <c:v>43476</c:v>
                </c:pt>
                <c:pt idx="825">
                  <c:v>43477</c:v>
                </c:pt>
                <c:pt idx="826">
                  <c:v>43478</c:v>
                </c:pt>
                <c:pt idx="827">
                  <c:v>43479</c:v>
                </c:pt>
                <c:pt idx="828">
                  <c:v>43480</c:v>
                </c:pt>
                <c:pt idx="829">
                  <c:v>43481</c:v>
                </c:pt>
                <c:pt idx="830">
                  <c:v>43482</c:v>
                </c:pt>
                <c:pt idx="831">
                  <c:v>43483</c:v>
                </c:pt>
                <c:pt idx="832">
                  <c:v>43484</c:v>
                </c:pt>
                <c:pt idx="833">
                  <c:v>43485</c:v>
                </c:pt>
                <c:pt idx="834">
                  <c:v>43486</c:v>
                </c:pt>
                <c:pt idx="835">
                  <c:v>43487</c:v>
                </c:pt>
                <c:pt idx="836">
                  <c:v>43488</c:v>
                </c:pt>
                <c:pt idx="837">
                  <c:v>43489</c:v>
                </c:pt>
                <c:pt idx="838">
                  <c:v>43490</c:v>
                </c:pt>
                <c:pt idx="839">
                  <c:v>43491</c:v>
                </c:pt>
                <c:pt idx="840">
                  <c:v>43492</c:v>
                </c:pt>
                <c:pt idx="841">
                  <c:v>43493</c:v>
                </c:pt>
                <c:pt idx="842">
                  <c:v>43494</c:v>
                </c:pt>
                <c:pt idx="843">
                  <c:v>43495</c:v>
                </c:pt>
                <c:pt idx="844">
                  <c:v>43496</c:v>
                </c:pt>
                <c:pt idx="845">
                  <c:v>43497</c:v>
                </c:pt>
                <c:pt idx="846">
                  <c:v>43498</c:v>
                </c:pt>
                <c:pt idx="847">
                  <c:v>43499</c:v>
                </c:pt>
                <c:pt idx="848">
                  <c:v>43500</c:v>
                </c:pt>
                <c:pt idx="849">
                  <c:v>43501</c:v>
                </c:pt>
                <c:pt idx="850">
                  <c:v>43502</c:v>
                </c:pt>
                <c:pt idx="851">
                  <c:v>43503</c:v>
                </c:pt>
                <c:pt idx="852">
                  <c:v>43504</c:v>
                </c:pt>
                <c:pt idx="853">
                  <c:v>43505</c:v>
                </c:pt>
                <c:pt idx="854">
                  <c:v>43506</c:v>
                </c:pt>
                <c:pt idx="855">
                  <c:v>43507</c:v>
                </c:pt>
                <c:pt idx="856">
                  <c:v>43508</c:v>
                </c:pt>
                <c:pt idx="857">
                  <c:v>43509</c:v>
                </c:pt>
                <c:pt idx="858">
                  <c:v>43510</c:v>
                </c:pt>
                <c:pt idx="859">
                  <c:v>43511</c:v>
                </c:pt>
                <c:pt idx="860">
                  <c:v>43512</c:v>
                </c:pt>
                <c:pt idx="861">
                  <c:v>43513</c:v>
                </c:pt>
                <c:pt idx="862">
                  <c:v>43514</c:v>
                </c:pt>
                <c:pt idx="863">
                  <c:v>43515</c:v>
                </c:pt>
                <c:pt idx="864">
                  <c:v>43516</c:v>
                </c:pt>
                <c:pt idx="865">
                  <c:v>43517</c:v>
                </c:pt>
                <c:pt idx="866">
                  <c:v>43518</c:v>
                </c:pt>
                <c:pt idx="867">
                  <c:v>43519</c:v>
                </c:pt>
                <c:pt idx="868">
                  <c:v>43520</c:v>
                </c:pt>
                <c:pt idx="869">
                  <c:v>43521</c:v>
                </c:pt>
                <c:pt idx="870">
                  <c:v>43522</c:v>
                </c:pt>
                <c:pt idx="871">
                  <c:v>43523</c:v>
                </c:pt>
                <c:pt idx="872">
                  <c:v>43524</c:v>
                </c:pt>
                <c:pt idx="873">
                  <c:v>43525</c:v>
                </c:pt>
                <c:pt idx="874">
                  <c:v>43526</c:v>
                </c:pt>
                <c:pt idx="875">
                  <c:v>43527</c:v>
                </c:pt>
                <c:pt idx="876">
                  <c:v>43528</c:v>
                </c:pt>
                <c:pt idx="877">
                  <c:v>43529</c:v>
                </c:pt>
                <c:pt idx="878">
                  <c:v>43530</c:v>
                </c:pt>
                <c:pt idx="879">
                  <c:v>43531</c:v>
                </c:pt>
                <c:pt idx="880">
                  <c:v>43532</c:v>
                </c:pt>
                <c:pt idx="881">
                  <c:v>43533</c:v>
                </c:pt>
                <c:pt idx="882">
                  <c:v>43534</c:v>
                </c:pt>
                <c:pt idx="883">
                  <c:v>43535</c:v>
                </c:pt>
                <c:pt idx="884">
                  <c:v>43536</c:v>
                </c:pt>
                <c:pt idx="885">
                  <c:v>43537</c:v>
                </c:pt>
                <c:pt idx="886">
                  <c:v>43538</c:v>
                </c:pt>
                <c:pt idx="887">
                  <c:v>43539</c:v>
                </c:pt>
                <c:pt idx="888">
                  <c:v>43540</c:v>
                </c:pt>
                <c:pt idx="889">
                  <c:v>43541</c:v>
                </c:pt>
                <c:pt idx="890">
                  <c:v>43542</c:v>
                </c:pt>
                <c:pt idx="891">
                  <c:v>43543</c:v>
                </c:pt>
                <c:pt idx="892">
                  <c:v>43544</c:v>
                </c:pt>
                <c:pt idx="893">
                  <c:v>43545</c:v>
                </c:pt>
                <c:pt idx="894">
                  <c:v>43546</c:v>
                </c:pt>
                <c:pt idx="895">
                  <c:v>43547</c:v>
                </c:pt>
                <c:pt idx="896">
                  <c:v>43548</c:v>
                </c:pt>
                <c:pt idx="897">
                  <c:v>43549</c:v>
                </c:pt>
                <c:pt idx="898">
                  <c:v>43550</c:v>
                </c:pt>
                <c:pt idx="899">
                  <c:v>43551</c:v>
                </c:pt>
                <c:pt idx="900">
                  <c:v>43552</c:v>
                </c:pt>
                <c:pt idx="901">
                  <c:v>43553</c:v>
                </c:pt>
                <c:pt idx="902">
                  <c:v>43554</c:v>
                </c:pt>
                <c:pt idx="903">
                  <c:v>43555</c:v>
                </c:pt>
                <c:pt idx="904">
                  <c:v>43556</c:v>
                </c:pt>
                <c:pt idx="905">
                  <c:v>43557</c:v>
                </c:pt>
                <c:pt idx="906">
                  <c:v>43558</c:v>
                </c:pt>
                <c:pt idx="907">
                  <c:v>43559</c:v>
                </c:pt>
                <c:pt idx="908">
                  <c:v>43560</c:v>
                </c:pt>
                <c:pt idx="909">
                  <c:v>43561</c:v>
                </c:pt>
                <c:pt idx="910">
                  <c:v>43562</c:v>
                </c:pt>
                <c:pt idx="911">
                  <c:v>43563</c:v>
                </c:pt>
                <c:pt idx="912">
                  <c:v>43564</c:v>
                </c:pt>
                <c:pt idx="913">
                  <c:v>43565</c:v>
                </c:pt>
                <c:pt idx="914">
                  <c:v>43566</c:v>
                </c:pt>
                <c:pt idx="915">
                  <c:v>43567</c:v>
                </c:pt>
                <c:pt idx="916">
                  <c:v>43568</c:v>
                </c:pt>
                <c:pt idx="917">
                  <c:v>43569</c:v>
                </c:pt>
                <c:pt idx="918">
                  <c:v>43570</c:v>
                </c:pt>
                <c:pt idx="919">
                  <c:v>43571</c:v>
                </c:pt>
                <c:pt idx="920">
                  <c:v>43572</c:v>
                </c:pt>
                <c:pt idx="921">
                  <c:v>43573</c:v>
                </c:pt>
                <c:pt idx="922">
                  <c:v>43574</c:v>
                </c:pt>
                <c:pt idx="923">
                  <c:v>43575</c:v>
                </c:pt>
                <c:pt idx="924">
                  <c:v>43576</c:v>
                </c:pt>
                <c:pt idx="925">
                  <c:v>43577</c:v>
                </c:pt>
                <c:pt idx="926">
                  <c:v>43578</c:v>
                </c:pt>
                <c:pt idx="927">
                  <c:v>43579</c:v>
                </c:pt>
                <c:pt idx="928">
                  <c:v>43580</c:v>
                </c:pt>
                <c:pt idx="929">
                  <c:v>43581</c:v>
                </c:pt>
                <c:pt idx="930">
                  <c:v>43582</c:v>
                </c:pt>
                <c:pt idx="931">
                  <c:v>43583</c:v>
                </c:pt>
                <c:pt idx="932">
                  <c:v>43584</c:v>
                </c:pt>
                <c:pt idx="933">
                  <c:v>43585</c:v>
                </c:pt>
                <c:pt idx="934">
                  <c:v>43586</c:v>
                </c:pt>
                <c:pt idx="935">
                  <c:v>43587</c:v>
                </c:pt>
                <c:pt idx="936">
                  <c:v>43588</c:v>
                </c:pt>
                <c:pt idx="937">
                  <c:v>43589</c:v>
                </c:pt>
                <c:pt idx="938">
                  <c:v>43590</c:v>
                </c:pt>
                <c:pt idx="939">
                  <c:v>43591</c:v>
                </c:pt>
                <c:pt idx="940">
                  <c:v>43592</c:v>
                </c:pt>
                <c:pt idx="941">
                  <c:v>43593</c:v>
                </c:pt>
                <c:pt idx="942">
                  <c:v>43594</c:v>
                </c:pt>
                <c:pt idx="943">
                  <c:v>43595</c:v>
                </c:pt>
                <c:pt idx="944">
                  <c:v>43596</c:v>
                </c:pt>
                <c:pt idx="945">
                  <c:v>43597</c:v>
                </c:pt>
                <c:pt idx="946">
                  <c:v>43598</c:v>
                </c:pt>
                <c:pt idx="947">
                  <c:v>43599</c:v>
                </c:pt>
                <c:pt idx="948">
                  <c:v>43600</c:v>
                </c:pt>
                <c:pt idx="949">
                  <c:v>43601</c:v>
                </c:pt>
                <c:pt idx="950">
                  <c:v>43602</c:v>
                </c:pt>
                <c:pt idx="951">
                  <c:v>43603</c:v>
                </c:pt>
                <c:pt idx="952">
                  <c:v>43604</c:v>
                </c:pt>
                <c:pt idx="953">
                  <c:v>43605</c:v>
                </c:pt>
                <c:pt idx="954">
                  <c:v>43606</c:v>
                </c:pt>
                <c:pt idx="955">
                  <c:v>43607</c:v>
                </c:pt>
                <c:pt idx="956">
                  <c:v>43608</c:v>
                </c:pt>
                <c:pt idx="957">
                  <c:v>43609</c:v>
                </c:pt>
                <c:pt idx="958">
                  <c:v>43610</c:v>
                </c:pt>
                <c:pt idx="959">
                  <c:v>43611</c:v>
                </c:pt>
                <c:pt idx="960">
                  <c:v>43612</c:v>
                </c:pt>
                <c:pt idx="961">
                  <c:v>43613</c:v>
                </c:pt>
                <c:pt idx="962">
                  <c:v>43614</c:v>
                </c:pt>
                <c:pt idx="963">
                  <c:v>43615</c:v>
                </c:pt>
                <c:pt idx="964">
                  <c:v>43616</c:v>
                </c:pt>
                <c:pt idx="965">
                  <c:v>43617</c:v>
                </c:pt>
                <c:pt idx="966">
                  <c:v>43618</c:v>
                </c:pt>
                <c:pt idx="967">
                  <c:v>43619</c:v>
                </c:pt>
                <c:pt idx="968">
                  <c:v>43620</c:v>
                </c:pt>
                <c:pt idx="969">
                  <c:v>43621</c:v>
                </c:pt>
                <c:pt idx="970">
                  <c:v>43622</c:v>
                </c:pt>
                <c:pt idx="971">
                  <c:v>43623</c:v>
                </c:pt>
                <c:pt idx="972">
                  <c:v>43624</c:v>
                </c:pt>
                <c:pt idx="973">
                  <c:v>43625</c:v>
                </c:pt>
                <c:pt idx="974">
                  <c:v>43626</c:v>
                </c:pt>
                <c:pt idx="975">
                  <c:v>43627</c:v>
                </c:pt>
                <c:pt idx="976">
                  <c:v>43628</c:v>
                </c:pt>
                <c:pt idx="977">
                  <c:v>43629</c:v>
                </c:pt>
                <c:pt idx="978">
                  <c:v>43630</c:v>
                </c:pt>
                <c:pt idx="979">
                  <c:v>43631</c:v>
                </c:pt>
                <c:pt idx="980">
                  <c:v>43632</c:v>
                </c:pt>
                <c:pt idx="981">
                  <c:v>43633</c:v>
                </c:pt>
                <c:pt idx="982">
                  <c:v>43634</c:v>
                </c:pt>
                <c:pt idx="983">
                  <c:v>43635</c:v>
                </c:pt>
                <c:pt idx="984">
                  <c:v>43636</c:v>
                </c:pt>
                <c:pt idx="985">
                  <c:v>43637</c:v>
                </c:pt>
                <c:pt idx="986">
                  <c:v>43638</c:v>
                </c:pt>
                <c:pt idx="987">
                  <c:v>43639</c:v>
                </c:pt>
                <c:pt idx="988">
                  <c:v>43640</c:v>
                </c:pt>
                <c:pt idx="989">
                  <c:v>43641</c:v>
                </c:pt>
                <c:pt idx="990">
                  <c:v>43642</c:v>
                </c:pt>
                <c:pt idx="991">
                  <c:v>43643</c:v>
                </c:pt>
                <c:pt idx="992">
                  <c:v>43644</c:v>
                </c:pt>
                <c:pt idx="993">
                  <c:v>43645</c:v>
                </c:pt>
                <c:pt idx="994">
                  <c:v>43646</c:v>
                </c:pt>
                <c:pt idx="995">
                  <c:v>43647</c:v>
                </c:pt>
                <c:pt idx="996">
                  <c:v>43648</c:v>
                </c:pt>
                <c:pt idx="997">
                  <c:v>43649</c:v>
                </c:pt>
                <c:pt idx="998">
                  <c:v>43650</c:v>
                </c:pt>
                <c:pt idx="999">
                  <c:v>43651</c:v>
                </c:pt>
                <c:pt idx="1000">
                  <c:v>43652</c:v>
                </c:pt>
                <c:pt idx="1001">
                  <c:v>43653</c:v>
                </c:pt>
                <c:pt idx="1002">
                  <c:v>43654</c:v>
                </c:pt>
                <c:pt idx="1003">
                  <c:v>43655</c:v>
                </c:pt>
                <c:pt idx="1004">
                  <c:v>43656</c:v>
                </c:pt>
                <c:pt idx="1005">
                  <c:v>43657</c:v>
                </c:pt>
                <c:pt idx="1006">
                  <c:v>43658</c:v>
                </c:pt>
                <c:pt idx="1007">
                  <c:v>43659</c:v>
                </c:pt>
                <c:pt idx="1008">
                  <c:v>43660</c:v>
                </c:pt>
                <c:pt idx="1009">
                  <c:v>43661</c:v>
                </c:pt>
                <c:pt idx="1010">
                  <c:v>43662</c:v>
                </c:pt>
                <c:pt idx="1011">
                  <c:v>43663</c:v>
                </c:pt>
                <c:pt idx="1012">
                  <c:v>43664</c:v>
                </c:pt>
                <c:pt idx="1013">
                  <c:v>43665</c:v>
                </c:pt>
                <c:pt idx="1014">
                  <c:v>43666</c:v>
                </c:pt>
                <c:pt idx="1015">
                  <c:v>43667</c:v>
                </c:pt>
                <c:pt idx="1016">
                  <c:v>43668</c:v>
                </c:pt>
                <c:pt idx="1017">
                  <c:v>43669</c:v>
                </c:pt>
                <c:pt idx="1018">
                  <c:v>43670</c:v>
                </c:pt>
                <c:pt idx="1019">
                  <c:v>43671</c:v>
                </c:pt>
                <c:pt idx="1020">
                  <c:v>43672</c:v>
                </c:pt>
                <c:pt idx="1021">
                  <c:v>43673</c:v>
                </c:pt>
                <c:pt idx="1022">
                  <c:v>43674</c:v>
                </c:pt>
                <c:pt idx="1023">
                  <c:v>43675</c:v>
                </c:pt>
                <c:pt idx="1024">
                  <c:v>43676</c:v>
                </c:pt>
                <c:pt idx="1025">
                  <c:v>43677</c:v>
                </c:pt>
                <c:pt idx="1026">
                  <c:v>43678</c:v>
                </c:pt>
                <c:pt idx="1027">
                  <c:v>43679</c:v>
                </c:pt>
                <c:pt idx="1028">
                  <c:v>43680</c:v>
                </c:pt>
                <c:pt idx="1029">
                  <c:v>43681</c:v>
                </c:pt>
                <c:pt idx="1030">
                  <c:v>43682</c:v>
                </c:pt>
                <c:pt idx="1031">
                  <c:v>43683</c:v>
                </c:pt>
                <c:pt idx="1032">
                  <c:v>43684</c:v>
                </c:pt>
                <c:pt idx="1033">
                  <c:v>43685</c:v>
                </c:pt>
                <c:pt idx="1034">
                  <c:v>43686</c:v>
                </c:pt>
                <c:pt idx="1035">
                  <c:v>43687</c:v>
                </c:pt>
                <c:pt idx="1036">
                  <c:v>43688</c:v>
                </c:pt>
                <c:pt idx="1037">
                  <c:v>43689</c:v>
                </c:pt>
                <c:pt idx="1038">
                  <c:v>43690</c:v>
                </c:pt>
                <c:pt idx="1039">
                  <c:v>43691</c:v>
                </c:pt>
                <c:pt idx="1040">
                  <c:v>43692</c:v>
                </c:pt>
                <c:pt idx="1041">
                  <c:v>43693</c:v>
                </c:pt>
                <c:pt idx="1042">
                  <c:v>43694</c:v>
                </c:pt>
                <c:pt idx="1043">
                  <c:v>43695</c:v>
                </c:pt>
                <c:pt idx="1044">
                  <c:v>43696</c:v>
                </c:pt>
                <c:pt idx="1045">
                  <c:v>43697</c:v>
                </c:pt>
                <c:pt idx="1046">
                  <c:v>43698</c:v>
                </c:pt>
                <c:pt idx="1047">
                  <c:v>43699</c:v>
                </c:pt>
                <c:pt idx="1048">
                  <c:v>43700</c:v>
                </c:pt>
                <c:pt idx="1049">
                  <c:v>43701</c:v>
                </c:pt>
                <c:pt idx="1050">
                  <c:v>43702</c:v>
                </c:pt>
                <c:pt idx="1051">
                  <c:v>43703</c:v>
                </c:pt>
                <c:pt idx="1052">
                  <c:v>43704</c:v>
                </c:pt>
                <c:pt idx="1053">
                  <c:v>43705</c:v>
                </c:pt>
                <c:pt idx="1054">
                  <c:v>43706</c:v>
                </c:pt>
                <c:pt idx="1055">
                  <c:v>43707</c:v>
                </c:pt>
                <c:pt idx="1056">
                  <c:v>43708</c:v>
                </c:pt>
                <c:pt idx="1057">
                  <c:v>43709</c:v>
                </c:pt>
                <c:pt idx="1058">
                  <c:v>43710</c:v>
                </c:pt>
                <c:pt idx="1059">
                  <c:v>43711</c:v>
                </c:pt>
                <c:pt idx="1060">
                  <c:v>43712</c:v>
                </c:pt>
                <c:pt idx="1061">
                  <c:v>43713</c:v>
                </c:pt>
                <c:pt idx="1062">
                  <c:v>43714</c:v>
                </c:pt>
                <c:pt idx="1063">
                  <c:v>43715</c:v>
                </c:pt>
                <c:pt idx="1064">
                  <c:v>43716</c:v>
                </c:pt>
                <c:pt idx="1065">
                  <c:v>43717</c:v>
                </c:pt>
                <c:pt idx="1066">
                  <c:v>43718</c:v>
                </c:pt>
                <c:pt idx="1067">
                  <c:v>43719</c:v>
                </c:pt>
                <c:pt idx="1068">
                  <c:v>43720</c:v>
                </c:pt>
                <c:pt idx="1069">
                  <c:v>43721</c:v>
                </c:pt>
                <c:pt idx="1070">
                  <c:v>43722</c:v>
                </c:pt>
                <c:pt idx="1071">
                  <c:v>43723</c:v>
                </c:pt>
                <c:pt idx="1072">
                  <c:v>43724</c:v>
                </c:pt>
                <c:pt idx="1073">
                  <c:v>43725</c:v>
                </c:pt>
                <c:pt idx="1074">
                  <c:v>43726</c:v>
                </c:pt>
                <c:pt idx="1075">
                  <c:v>43727</c:v>
                </c:pt>
                <c:pt idx="1076">
                  <c:v>43728</c:v>
                </c:pt>
                <c:pt idx="1077">
                  <c:v>43729</c:v>
                </c:pt>
                <c:pt idx="1078">
                  <c:v>43730</c:v>
                </c:pt>
                <c:pt idx="1079">
                  <c:v>43731</c:v>
                </c:pt>
                <c:pt idx="1080">
                  <c:v>43732</c:v>
                </c:pt>
                <c:pt idx="1081">
                  <c:v>43733</c:v>
                </c:pt>
                <c:pt idx="1082">
                  <c:v>43734</c:v>
                </c:pt>
                <c:pt idx="1083">
                  <c:v>43735</c:v>
                </c:pt>
                <c:pt idx="1084">
                  <c:v>43736</c:v>
                </c:pt>
                <c:pt idx="1085">
                  <c:v>43737</c:v>
                </c:pt>
                <c:pt idx="1086">
                  <c:v>43738</c:v>
                </c:pt>
              </c:numCache>
            </c:numRef>
          </c:cat>
          <c:val>
            <c:numRef>
              <c:f>PITTE!$L$2:$L$1098</c:f>
              <c:numCache>
                <c:formatCode>General</c:formatCode>
                <c:ptCount val="1089"/>
                <c:pt idx="0">
                  <c:v>176809</c:v>
                </c:pt>
                <c:pt idx="1">
                  <c:v>176809</c:v>
                </c:pt>
                <c:pt idx="2">
                  <c:v>176809</c:v>
                </c:pt>
                <c:pt idx="3">
                  <c:v>176809</c:v>
                </c:pt>
                <c:pt idx="4">
                  <c:v>176809</c:v>
                </c:pt>
                <c:pt idx="5">
                  <c:v>176809</c:v>
                </c:pt>
                <c:pt idx="6">
                  <c:v>176809</c:v>
                </c:pt>
                <c:pt idx="7">
                  <c:v>176809</c:v>
                </c:pt>
                <c:pt idx="8">
                  <c:v>176809</c:v>
                </c:pt>
                <c:pt idx="9">
                  <c:v>176809</c:v>
                </c:pt>
                <c:pt idx="10">
                  <c:v>176809</c:v>
                </c:pt>
                <c:pt idx="11">
                  <c:v>176809</c:v>
                </c:pt>
                <c:pt idx="12">
                  <c:v>176809</c:v>
                </c:pt>
                <c:pt idx="13">
                  <c:v>176809</c:v>
                </c:pt>
                <c:pt idx="14">
                  <c:v>176809</c:v>
                </c:pt>
                <c:pt idx="15">
                  <c:v>176809</c:v>
                </c:pt>
                <c:pt idx="16">
                  <c:v>176809</c:v>
                </c:pt>
                <c:pt idx="17">
                  <c:v>176809</c:v>
                </c:pt>
                <c:pt idx="18">
                  <c:v>176809</c:v>
                </c:pt>
                <c:pt idx="19">
                  <c:v>176809</c:v>
                </c:pt>
                <c:pt idx="20">
                  <c:v>176809</c:v>
                </c:pt>
                <c:pt idx="21">
                  <c:v>176809</c:v>
                </c:pt>
                <c:pt idx="22">
                  <c:v>176809</c:v>
                </c:pt>
                <c:pt idx="23">
                  <c:v>176809</c:v>
                </c:pt>
                <c:pt idx="24">
                  <c:v>176809</c:v>
                </c:pt>
                <c:pt idx="25">
                  <c:v>176809</c:v>
                </c:pt>
                <c:pt idx="26">
                  <c:v>176809</c:v>
                </c:pt>
                <c:pt idx="27">
                  <c:v>176809</c:v>
                </c:pt>
                <c:pt idx="28">
                  <c:v>176809</c:v>
                </c:pt>
                <c:pt idx="29">
                  <c:v>176809</c:v>
                </c:pt>
                <c:pt idx="30">
                  <c:v>176809</c:v>
                </c:pt>
                <c:pt idx="31">
                  <c:v>176809</c:v>
                </c:pt>
                <c:pt idx="32">
                  <c:v>176809</c:v>
                </c:pt>
                <c:pt idx="33">
                  <c:v>176809</c:v>
                </c:pt>
                <c:pt idx="34">
                  <c:v>176809</c:v>
                </c:pt>
                <c:pt idx="35">
                  <c:v>176809</c:v>
                </c:pt>
                <c:pt idx="36">
                  <c:v>176809</c:v>
                </c:pt>
                <c:pt idx="37">
                  <c:v>176809</c:v>
                </c:pt>
                <c:pt idx="38">
                  <c:v>176809</c:v>
                </c:pt>
                <c:pt idx="39">
                  <c:v>176809</c:v>
                </c:pt>
                <c:pt idx="40">
                  <c:v>176809</c:v>
                </c:pt>
                <c:pt idx="41">
                  <c:v>176809</c:v>
                </c:pt>
                <c:pt idx="42">
                  <c:v>176809</c:v>
                </c:pt>
                <c:pt idx="43">
                  <c:v>176809</c:v>
                </c:pt>
                <c:pt idx="44">
                  <c:v>176809</c:v>
                </c:pt>
                <c:pt idx="45">
                  <c:v>176809</c:v>
                </c:pt>
                <c:pt idx="46">
                  <c:v>176809</c:v>
                </c:pt>
                <c:pt idx="47">
                  <c:v>176809</c:v>
                </c:pt>
                <c:pt idx="48">
                  <c:v>176809</c:v>
                </c:pt>
                <c:pt idx="49">
                  <c:v>176809</c:v>
                </c:pt>
                <c:pt idx="50">
                  <c:v>176809</c:v>
                </c:pt>
                <c:pt idx="51">
                  <c:v>176809</c:v>
                </c:pt>
                <c:pt idx="52">
                  <c:v>176809</c:v>
                </c:pt>
                <c:pt idx="53">
                  <c:v>176809</c:v>
                </c:pt>
                <c:pt idx="54">
                  <c:v>176809</c:v>
                </c:pt>
                <c:pt idx="55">
                  <c:v>176809</c:v>
                </c:pt>
                <c:pt idx="56">
                  <c:v>176809</c:v>
                </c:pt>
                <c:pt idx="57">
                  <c:v>176809</c:v>
                </c:pt>
                <c:pt idx="58">
                  <c:v>176809</c:v>
                </c:pt>
                <c:pt idx="59">
                  <c:v>176809</c:v>
                </c:pt>
                <c:pt idx="60">
                  <c:v>176809</c:v>
                </c:pt>
                <c:pt idx="61">
                  <c:v>176809</c:v>
                </c:pt>
                <c:pt idx="62">
                  <c:v>176809</c:v>
                </c:pt>
                <c:pt idx="63">
                  <c:v>176809</c:v>
                </c:pt>
                <c:pt idx="64">
                  <c:v>176809</c:v>
                </c:pt>
                <c:pt idx="65">
                  <c:v>176809</c:v>
                </c:pt>
                <c:pt idx="66">
                  <c:v>176809</c:v>
                </c:pt>
                <c:pt idx="67">
                  <c:v>176809</c:v>
                </c:pt>
                <c:pt idx="68">
                  <c:v>176809</c:v>
                </c:pt>
                <c:pt idx="69">
                  <c:v>176809</c:v>
                </c:pt>
                <c:pt idx="70">
                  <c:v>176809</c:v>
                </c:pt>
                <c:pt idx="71">
                  <c:v>176809</c:v>
                </c:pt>
                <c:pt idx="72">
                  <c:v>176809</c:v>
                </c:pt>
                <c:pt idx="73">
                  <c:v>176809</c:v>
                </c:pt>
                <c:pt idx="74">
                  <c:v>176809</c:v>
                </c:pt>
                <c:pt idx="75">
                  <c:v>176809</c:v>
                </c:pt>
                <c:pt idx="76">
                  <c:v>176809</c:v>
                </c:pt>
                <c:pt idx="77">
                  <c:v>176809</c:v>
                </c:pt>
                <c:pt idx="78">
                  <c:v>176809</c:v>
                </c:pt>
                <c:pt idx="79">
                  <c:v>176809</c:v>
                </c:pt>
                <c:pt idx="80">
                  <c:v>176809</c:v>
                </c:pt>
                <c:pt idx="81">
                  <c:v>176809</c:v>
                </c:pt>
                <c:pt idx="82">
                  <c:v>176809</c:v>
                </c:pt>
                <c:pt idx="83">
                  <c:v>176809</c:v>
                </c:pt>
                <c:pt idx="84">
                  <c:v>176809</c:v>
                </c:pt>
                <c:pt idx="85">
                  <c:v>176809</c:v>
                </c:pt>
                <c:pt idx="86">
                  <c:v>176809</c:v>
                </c:pt>
                <c:pt idx="87">
                  <c:v>176809</c:v>
                </c:pt>
                <c:pt idx="88">
                  <c:v>176809</c:v>
                </c:pt>
                <c:pt idx="89">
                  <c:v>176809</c:v>
                </c:pt>
                <c:pt idx="90">
                  <c:v>176809</c:v>
                </c:pt>
                <c:pt idx="91">
                  <c:v>176809</c:v>
                </c:pt>
                <c:pt idx="92">
                  <c:v>176809</c:v>
                </c:pt>
                <c:pt idx="93">
                  <c:v>176809</c:v>
                </c:pt>
                <c:pt idx="94">
                  <c:v>176809</c:v>
                </c:pt>
                <c:pt idx="95">
                  <c:v>176809</c:v>
                </c:pt>
                <c:pt idx="96">
                  <c:v>176809</c:v>
                </c:pt>
                <c:pt idx="97">
                  <c:v>176809</c:v>
                </c:pt>
                <c:pt idx="98">
                  <c:v>176809</c:v>
                </c:pt>
                <c:pt idx="99">
                  <c:v>176809</c:v>
                </c:pt>
                <c:pt idx="100">
                  <c:v>176809</c:v>
                </c:pt>
                <c:pt idx="101">
                  <c:v>176809</c:v>
                </c:pt>
                <c:pt idx="102">
                  <c:v>176809</c:v>
                </c:pt>
                <c:pt idx="103">
                  <c:v>176809</c:v>
                </c:pt>
                <c:pt idx="104">
                  <c:v>176809</c:v>
                </c:pt>
                <c:pt idx="105">
                  <c:v>176809</c:v>
                </c:pt>
                <c:pt idx="106">
                  <c:v>176809</c:v>
                </c:pt>
                <c:pt idx="107">
                  <c:v>176809</c:v>
                </c:pt>
                <c:pt idx="108">
                  <c:v>176809</c:v>
                </c:pt>
                <c:pt idx="109">
                  <c:v>176809</c:v>
                </c:pt>
                <c:pt idx="110">
                  <c:v>176809</c:v>
                </c:pt>
                <c:pt idx="111">
                  <c:v>176809</c:v>
                </c:pt>
                <c:pt idx="112">
                  <c:v>176809</c:v>
                </c:pt>
                <c:pt idx="113">
                  <c:v>176809</c:v>
                </c:pt>
                <c:pt idx="114">
                  <c:v>176809</c:v>
                </c:pt>
                <c:pt idx="115">
                  <c:v>176809</c:v>
                </c:pt>
                <c:pt idx="116">
                  <c:v>176809</c:v>
                </c:pt>
                <c:pt idx="117">
                  <c:v>176809</c:v>
                </c:pt>
                <c:pt idx="118">
                  <c:v>176809</c:v>
                </c:pt>
                <c:pt idx="119">
                  <c:v>176809</c:v>
                </c:pt>
                <c:pt idx="120">
                  <c:v>176809</c:v>
                </c:pt>
                <c:pt idx="121">
                  <c:v>176809</c:v>
                </c:pt>
                <c:pt idx="122">
                  <c:v>176809</c:v>
                </c:pt>
                <c:pt idx="123">
                  <c:v>176809</c:v>
                </c:pt>
                <c:pt idx="124">
                  <c:v>176809</c:v>
                </c:pt>
                <c:pt idx="125">
                  <c:v>176809</c:v>
                </c:pt>
                <c:pt idx="126">
                  <c:v>176809</c:v>
                </c:pt>
                <c:pt idx="127">
                  <c:v>176809</c:v>
                </c:pt>
                <c:pt idx="128">
                  <c:v>176809</c:v>
                </c:pt>
                <c:pt idx="129">
                  <c:v>176809</c:v>
                </c:pt>
                <c:pt idx="130">
                  <c:v>176809</c:v>
                </c:pt>
                <c:pt idx="131">
                  <c:v>176809</c:v>
                </c:pt>
                <c:pt idx="132">
                  <c:v>176809</c:v>
                </c:pt>
                <c:pt idx="133">
                  <c:v>176809</c:v>
                </c:pt>
                <c:pt idx="134">
                  <c:v>176809</c:v>
                </c:pt>
                <c:pt idx="135">
                  <c:v>176809</c:v>
                </c:pt>
                <c:pt idx="136">
                  <c:v>176809</c:v>
                </c:pt>
                <c:pt idx="137">
                  <c:v>176809</c:v>
                </c:pt>
                <c:pt idx="138">
                  <c:v>176809</c:v>
                </c:pt>
                <c:pt idx="139">
                  <c:v>176809</c:v>
                </c:pt>
                <c:pt idx="140">
                  <c:v>176809</c:v>
                </c:pt>
                <c:pt idx="141">
                  <c:v>176809</c:v>
                </c:pt>
                <c:pt idx="142">
                  <c:v>176809</c:v>
                </c:pt>
                <c:pt idx="143">
                  <c:v>176809</c:v>
                </c:pt>
                <c:pt idx="144">
                  <c:v>176809</c:v>
                </c:pt>
                <c:pt idx="145">
                  <c:v>176809</c:v>
                </c:pt>
                <c:pt idx="146">
                  <c:v>176809</c:v>
                </c:pt>
                <c:pt idx="147">
                  <c:v>176809</c:v>
                </c:pt>
                <c:pt idx="148">
                  <c:v>176809</c:v>
                </c:pt>
                <c:pt idx="149">
                  <c:v>176809</c:v>
                </c:pt>
                <c:pt idx="150">
                  <c:v>176809</c:v>
                </c:pt>
                <c:pt idx="151">
                  <c:v>176809</c:v>
                </c:pt>
                <c:pt idx="152">
                  <c:v>176809</c:v>
                </c:pt>
                <c:pt idx="153">
                  <c:v>176809</c:v>
                </c:pt>
                <c:pt idx="154">
                  <c:v>176809</c:v>
                </c:pt>
                <c:pt idx="155">
                  <c:v>176809</c:v>
                </c:pt>
                <c:pt idx="156">
                  <c:v>176809</c:v>
                </c:pt>
                <c:pt idx="157">
                  <c:v>176809</c:v>
                </c:pt>
                <c:pt idx="158">
                  <c:v>176809</c:v>
                </c:pt>
                <c:pt idx="159">
                  <c:v>176809</c:v>
                </c:pt>
                <c:pt idx="160">
                  <c:v>176809</c:v>
                </c:pt>
                <c:pt idx="161">
                  <c:v>176809</c:v>
                </c:pt>
                <c:pt idx="162">
                  <c:v>176809</c:v>
                </c:pt>
                <c:pt idx="163">
                  <c:v>176809</c:v>
                </c:pt>
                <c:pt idx="164">
                  <c:v>176809</c:v>
                </c:pt>
                <c:pt idx="165">
                  <c:v>176809</c:v>
                </c:pt>
                <c:pt idx="166">
                  <c:v>176809</c:v>
                </c:pt>
                <c:pt idx="167">
                  <c:v>176809</c:v>
                </c:pt>
                <c:pt idx="168">
                  <c:v>176809</c:v>
                </c:pt>
                <c:pt idx="169">
                  <c:v>176809</c:v>
                </c:pt>
                <c:pt idx="170">
                  <c:v>176809</c:v>
                </c:pt>
                <c:pt idx="171">
                  <c:v>176809</c:v>
                </c:pt>
                <c:pt idx="172">
                  <c:v>176809</c:v>
                </c:pt>
                <c:pt idx="173">
                  <c:v>176809</c:v>
                </c:pt>
                <c:pt idx="174">
                  <c:v>176809</c:v>
                </c:pt>
                <c:pt idx="175">
                  <c:v>176809</c:v>
                </c:pt>
                <c:pt idx="176">
                  <c:v>176809</c:v>
                </c:pt>
                <c:pt idx="177">
                  <c:v>176809</c:v>
                </c:pt>
                <c:pt idx="178">
                  <c:v>176809</c:v>
                </c:pt>
                <c:pt idx="179">
                  <c:v>176809</c:v>
                </c:pt>
                <c:pt idx="180">
                  <c:v>176809</c:v>
                </c:pt>
                <c:pt idx="181">
                  <c:v>176809</c:v>
                </c:pt>
                <c:pt idx="182">
                  <c:v>176809</c:v>
                </c:pt>
                <c:pt idx="183">
                  <c:v>176809</c:v>
                </c:pt>
                <c:pt idx="184">
                  <c:v>176809</c:v>
                </c:pt>
                <c:pt idx="185">
                  <c:v>176809</c:v>
                </c:pt>
                <c:pt idx="186">
                  <c:v>176809</c:v>
                </c:pt>
                <c:pt idx="187">
                  <c:v>176809</c:v>
                </c:pt>
                <c:pt idx="188">
                  <c:v>176809</c:v>
                </c:pt>
                <c:pt idx="189">
                  <c:v>176809</c:v>
                </c:pt>
                <c:pt idx="190">
                  <c:v>176809</c:v>
                </c:pt>
                <c:pt idx="191">
                  <c:v>176809</c:v>
                </c:pt>
                <c:pt idx="192">
                  <c:v>176809</c:v>
                </c:pt>
                <c:pt idx="193">
                  <c:v>176809</c:v>
                </c:pt>
                <c:pt idx="194">
                  <c:v>176809</c:v>
                </c:pt>
                <c:pt idx="195">
                  <c:v>176809</c:v>
                </c:pt>
                <c:pt idx="196">
                  <c:v>176809</c:v>
                </c:pt>
                <c:pt idx="197">
                  <c:v>176809</c:v>
                </c:pt>
                <c:pt idx="198">
                  <c:v>176809</c:v>
                </c:pt>
                <c:pt idx="199">
                  <c:v>176809</c:v>
                </c:pt>
                <c:pt idx="200">
                  <c:v>176809</c:v>
                </c:pt>
                <c:pt idx="201">
                  <c:v>176809</c:v>
                </c:pt>
                <c:pt idx="202">
                  <c:v>176809</c:v>
                </c:pt>
                <c:pt idx="203">
                  <c:v>176809</c:v>
                </c:pt>
                <c:pt idx="204">
                  <c:v>176809</c:v>
                </c:pt>
                <c:pt idx="205">
                  <c:v>176809</c:v>
                </c:pt>
                <c:pt idx="206">
                  <c:v>176809</c:v>
                </c:pt>
                <c:pt idx="207">
                  <c:v>176809</c:v>
                </c:pt>
                <c:pt idx="208">
                  <c:v>176809</c:v>
                </c:pt>
                <c:pt idx="209">
                  <c:v>176809</c:v>
                </c:pt>
                <c:pt idx="210">
                  <c:v>176809</c:v>
                </c:pt>
                <c:pt idx="211">
                  <c:v>176809</c:v>
                </c:pt>
                <c:pt idx="212">
                  <c:v>176809</c:v>
                </c:pt>
                <c:pt idx="213">
                  <c:v>176809</c:v>
                </c:pt>
                <c:pt idx="214">
                  <c:v>176809</c:v>
                </c:pt>
                <c:pt idx="215">
                  <c:v>176809</c:v>
                </c:pt>
                <c:pt idx="216">
                  <c:v>176809</c:v>
                </c:pt>
                <c:pt idx="217">
                  <c:v>176809</c:v>
                </c:pt>
                <c:pt idx="218">
                  <c:v>176809</c:v>
                </c:pt>
                <c:pt idx="219">
                  <c:v>176809</c:v>
                </c:pt>
                <c:pt idx="220">
                  <c:v>176809</c:v>
                </c:pt>
                <c:pt idx="221">
                  <c:v>176809</c:v>
                </c:pt>
                <c:pt idx="222">
                  <c:v>176809</c:v>
                </c:pt>
                <c:pt idx="223">
                  <c:v>176809</c:v>
                </c:pt>
                <c:pt idx="224">
                  <c:v>176809</c:v>
                </c:pt>
                <c:pt idx="225">
                  <c:v>176809</c:v>
                </c:pt>
                <c:pt idx="226">
                  <c:v>176809</c:v>
                </c:pt>
                <c:pt idx="227">
                  <c:v>176809</c:v>
                </c:pt>
                <c:pt idx="228">
                  <c:v>176809</c:v>
                </c:pt>
                <c:pt idx="229">
                  <c:v>176809</c:v>
                </c:pt>
                <c:pt idx="230">
                  <c:v>176809</c:v>
                </c:pt>
                <c:pt idx="231">
                  <c:v>176809</c:v>
                </c:pt>
                <c:pt idx="232">
                  <c:v>176809</c:v>
                </c:pt>
                <c:pt idx="233">
                  <c:v>176809</c:v>
                </c:pt>
                <c:pt idx="234">
                  <c:v>176809</c:v>
                </c:pt>
                <c:pt idx="235">
                  <c:v>176809</c:v>
                </c:pt>
                <c:pt idx="236">
                  <c:v>176809</c:v>
                </c:pt>
                <c:pt idx="237">
                  <c:v>176809</c:v>
                </c:pt>
                <c:pt idx="238">
                  <c:v>176809</c:v>
                </c:pt>
                <c:pt idx="239">
                  <c:v>176809</c:v>
                </c:pt>
                <c:pt idx="240">
                  <c:v>176809</c:v>
                </c:pt>
                <c:pt idx="241">
                  <c:v>176809</c:v>
                </c:pt>
                <c:pt idx="242">
                  <c:v>176809</c:v>
                </c:pt>
                <c:pt idx="243">
                  <c:v>176809</c:v>
                </c:pt>
                <c:pt idx="244">
                  <c:v>176809</c:v>
                </c:pt>
                <c:pt idx="245">
                  <c:v>176809</c:v>
                </c:pt>
                <c:pt idx="246">
                  <c:v>176809</c:v>
                </c:pt>
                <c:pt idx="247">
                  <c:v>176809</c:v>
                </c:pt>
                <c:pt idx="248">
                  <c:v>176809</c:v>
                </c:pt>
                <c:pt idx="249">
                  <c:v>176809</c:v>
                </c:pt>
                <c:pt idx="250">
                  <c:v>176809</c:v>
                </c:pt>
                <c:pt idx="251">
                  <c:v>176809</c:v>
                </c:pt>
                <c:pt idx="252">
                  <c:v>176809</c:v>
                </c:pt>
                <c:pt idx="253">
                  <c:v>176809</c:v>
                </c:pt>
                <c:pt idx="254">
                  <c:v>176809</c:v>
                </c:pt>
                <c:pt idx="255">
                  <c:v>176809</c:v>
                </c:pt>
                <c:pt idx="256">
                  <c:v>176809</c:v>
                </c:pt>
                <c:pt idx="257">
                  <c:v>176809</c:v>
                </c:pt>
                <c:pt idx="258">
                  <c:v>176809</c:v>
                </c:pt>
                <c:pt idx="259">
                  <c:v>176809</c:v>
                </c:pt>
                <c:pt idx="260">
                  <c:v>176809</c:v>
                </c:pt>
                <c:pt idx="261">
                  <c:v>176809</c:v>
                </c:pt>
                <c:pt idx="262">
                  <c:v>176809</c:v>
                </c:pt>
                <c:pt idx="263">
                  <c:v>176809</c:v>
                </c:pt>
                <c:pt idx="264">
                  <c:v>176809</c:v>
                </c:pt>
                <c:pt idx="265">
                  <c:v>176809</c:v>
                </c:pt>
                <c:pt idx="266">
                  <c:v>176809</c:v>
                </c:pt>
                <c:pt idx="267">
                  <c:v>176809</c:v>
                </c:pt>
                <c:pt idx="268">
                  <c:v>176809</c:v>
                </c:pt>
                <c:pt idx="269">
                  <c:v>176809</c:v>
                </c:pt>
                <c:pt idx="270">
                  <c:v>176809</c:v>
                </c:pt>
                <c:pt idx="271">
                  <c:v>176809</c:v>
                </c:pt>
                <c:pt idx="272">
                  <c:v>176809</c:v>
                </c:pt>
                <c:pt idx="273">
                  <c:v>176809</c:v>
                </c:pt>
                <c:pt idx="274">
                  <c:v>176809</c:v>
                </c:pt>
                <c:pt idx="275">
                  <c:v>176809</c:v>
                </c:pt>
                <c:pt idx="276">
                  <c:v>176809</c:v>
                </c:pt>
                <c:pt idx="277">
                  <c:v>176809</c:v>
                </c:pt>
                <c:pt idx="278">
                  <c:v>176809</c:v>
                </c:pt>
                <c:pt idx="279">
                  <c:v>176809</c:v>
                </c:pt>
                <c:pt idx="280">
                  <c:v>176809</c:v>
                </c:pt>
                <c:pt idx="281">
                  <c:v>176809</c:v>
                </c:pt>
                <c:pt idx="282">
                  <c:v>176809</c:v>
                </c:pt>
                <c:pt idx="283">
                  <c:v>176809</c:v>
                </c:pt>
                <c:pt idx="284">
                  <c:v>176809</c:v>
                </c:pt>
                <c:pt idx="285">
                  <c:v>176809</c:v>
                </c:pt>
                <c:pt idx="286">
                  <c:v>176809</c:v>
                </c:pt>
                <c:pt idx="287">
                  <c:v>176809</c:v>
                </c:pt>
                <c:pt idx="288">
                  <c:v>176809</c:v>
                </c:pt>
                <c:pt idx="289">
                  <c:v>176809</c:v>
                </c:pt>
                <c:pt idx="290">
                  <c:v>176809</c:v>
                </c:pt>
                <c:pt idx="291">
                  <c:v>176809</c:v>
                </c:pt>
                <c:pt idx="292">
                  <c:v>176809</c:v>
                </c:pt>
                <c:pt idx="293">
                  <c:v>176809</c:v>
                </c:pt>
                <c:pt idx="294">
                  <c:v>176809</c:v>
                </c:pt>
                <c:pt idx="295">
                  <c:v>176809</c:v>
                </c:pt>
                <c:pt idx="296">
                  <c:v>176809</c:v>
                </c:pt>
                <c:pt idx="297">
                  <c:v>176809</c:v>
                </c:pt>
                <c:pt idx="298">
                  <c:v>176809</c:v>
                </c:pt>
                <c:pt idx="299">
                  <c:v>176809</c:v>
                </c:pt>
                <c:pt idx="300">
                  <c:v>176809</c:v>
                </c:pt>
                <c:pt idx="301">
                  <c:v>176809</c:v>
                </c:pt>
                <c:pt idx="302">
                  <c:v>176809</c:v>
                </c:pt>
                <c:pt idx="303">
                  <c:v>176809</c:v>
                </c:pt>
                <c:pt idx="304">
                  <c:v>176809</c:v>
                </c:pt>
                <c:pt idx="305">
                  <c:v>176809</c:v>
                </c:pt>
                <c:pt idx="306">
                  <c:v>176809</c:v>
                </c:pt>
                <c:pt idx="307">
                  <c:v>176809</c:v>
                </c:pt>
                <c:pt idx="308">
                  <c:v>176809</c:v>
                </c:pt>
                <c:pt idx="309">
                  <c:v>176809</c:v>
                </c:pt>
                <c:pt idx="310">
                  <c:v>176809</c:v>
                </c:pt>
                <c:pt idx="311">
                  <c:v>176809</c:v>
                </c:pt>
                <c:pt idx="312">
                  <c:v>176809</c:v>
                </c:pt>
                <c:pt idx="313">
                  <c:v>176809</c:v>
                </c:pt>
                <c:pt idx="314">
                  <c:v>176809</c:v>
                </c:pt>
                <c:pt idx="315">
                  <c:v>176809</c:v>
                </c:pt>
                <c:pt idx="316">
                  <c:v>176809</c:v>
                </c:pt>
                <c:pt idx="317">
                  <c:v>176809</c:v>
                </c:pt>
                <c:pt idx="318">
                  <c:v>176809</c:v>
                </c:pt>
                <c:pt idx="319">
                  <c:v>176809</c:v>
                </c:pt>
                <c:pt idx="320">
                  <c:v>176809</c:v>
                </c:pt>
                <c:pt idx="321">
                  <c:v>176809</c:v>
                </c:pt>
                <c:pt idx="322">
                  <c:v>176809</c:v>
                </c:pt>
                <c:pt idx="323">
                  <c:v>176809</c:v>
                </c:pt>
                <c:pt idx="324">
                  <c:v>176809</c:v>
                </c:pt>
                <c:pt idx="325">
                  <c:v>176809</c:v>
                </c:pt>
                <c:pt idx="326">
                  <c:v>176809</c:v>
                </c:pt>
                <c:pt idx="327">
                  <c:v>176809</c:v>
                </c:pt>
                <c:pt idx="328">
                  <c:v>176809</c:v>
                </c:pt>
                <c:pt idx="329">
                  <c:v>176809</c:v>
                </c:pt>
                <c:pt idx="330">
                  <c:v>176809</c:v>
                </c:pt>
                <c:pt idx="331">
                  <c:v>176809</c:v>
                </c:pt>
                <c:pt idx="332">
                  <c:v>176809</c:v>
                </c:pt>
                <c:pt idx="333">
                  <c:v>176809</c:v>
                </c:pt>
                <c:pt idx="334">
                  <c:v>176809</c:v>
                </c:pt>
                <c:pt idx="335">
                  <c:v>176809</c:v>
                </c:pt>
                <c:pt idx="336">
                  <c:v>176809</c:v>
                </c:pt>
                <c:pt idx="337">
                  <c:v>176809</c:v>
                </c:pt>
                <c:pt idx="338">
                  <c:v>176809</c:v>
                </c:pt>
                <c:pt idx="339">
                  <c:v>176809</c:v>
                </c:pt>
                <c:pt idx="340">
                  <c:v>176809</c:v>
                </c:pt>
                <c:pt idx="341">
                  <c:v>176809</c:v>
                </c:pt>
                <c:pt idx="342">
                  <c:v>176809</c:v>
                </c:pt>
                <c:pt idx="343">
                  <c:v>176809</c:v>
                </c:pt>
                <c:pt idx="344">
                  <c:v>176809</c:v>
                </c:pt>
                <c:pt idx="345">
                  <c:v>176809</c:v>
                </c:pt>
                <c:pt idx="346">
                  <c:v>176809</c:v>
                </c:pt>
                <c:pt idx="347">
                  <c:v>176809</c:v>
                </c:pt>
                <c:pt idx="348">
                  <c:v>176809</c:v>
                </c:pt>
                <c:pt idx="349">
                  <c:v>176809</c:v>
                </c:pt>
                <c:pt idx="350">
                  <c:v>176809</c:v>
                </c:pt>
                <c:pt idx="351">
                  <c:v>176809</c:v>
                </c:pt>
                <c:pt idx="352">
                  <c:v>176809</c:v>
                </c:pt>
                <c:pt idx="353">
                  <c:v>176809</c:v>
                </c:pt>
                <c:pt idx="354">
                  <c:v>176809</c:v>
                </c:pt>
                <c:pt idx="355">
                  <c:v>176809</c:v>
                </c:pt>
                <c:pt idx="356">
                  <c:v>176809</c:v>
                </c:pt>
                <c:pt idx="357">
                  <c:v>176799.024</c:v>
                </c:pt>
                <c:pt idx="358">
                  <c:v>176799.024</c:v>
                </c:pt>
                <c:pt idx="359">
                  <c:v>176799.024</c:v>
                </c:pt>
                <c:pt idx="360">
                  <c:v>176799.024</c:v>
                </c:pt>
                <c:pt idx="361">
                  <c:v>176799.024</c:v>
                </c:pt>
                <c:pt idx="362">
                  <c:v>176799.024</c:v>
                </c:pt>
                <c:pt idx="363">
                  <c:v>176799.024</c:v>
                </c:pt>
                <c:pt idx="364">
                  <c:v>176799.024</c:v>
                </c:pt>
                <c:pt idx="365">
                  <c:v>176799.024</c:v>
                </c:pt>
                <c:pt idx="366">
                  <c:v>176799.024</c:v>
                </c:pt>
                <c:pt idx="367">
                  <c:v>176799.024</c:v>
                </c:pt>
                <c:pt idx="368">
                  <c:v>176799.024</c:v>
                </c:pt>
                <c:pt idx="369">
                  <c:v>176799.024</c:v>
                </c:pt>
                <c:pt idx="370">
                  <c:v>176799.024</c:v>
                </c:pt>
                <c:pt idx="371">
                  <c:v>176799.024</c:v>
                </c:pt>
                <c:pt idx="372">
                  <c:v>176799.024</c:v>
                </c:pt>
                <c:pt idx="373">
                  <c:v>176799.024</c:v>
                </c:pt>
                <c:pt idx="374">
                  <c:v>176799.024</c:v>
                </c:pt>
                <c:pt idx="375">
                  <c:v>176799.024</c:v>
                </c:pt>
                <c:pt idx="376">
                  <c:v>176799.024</c:v>
                </c:pt>
                <c:pt idx="377">
                  <c:v>176799.024</c:v>
                </c:pt>
                <c:pt idx="378">
                  <c:v>176799.024</c:v>
                </c:pt>
                <c:pt idx="379">
                  <c:v>176799.024</c:v>
                </c:pt>
                <c:pt idx="380">
                  <c:v>176799.024</c:v>
                </c:pt>
                <c:pt idx="381">
                  <c:v>176799.024</c:v>
                </c:pt>
                <c:pt idx="382">
                  <c:v>176799.024</c:v>
                </c:pt>
                <c:pt idx="383">
                  <c:v>176799.024</c:v>
                </c:pt>
                <c:pt idx="384">
                  <c:v>176799.024</c:v>
                </c:pt>
                <c:pt idx="385">
                  <c:v>176799.024</c:v>
                </c:pt>
                <c:pt idx="386">
                  <c:v>176799.024</c:v>
                </c:pt>
                <c:pt idx="387">
                  <c:v>176799.024</c:v>
                </c:pt>
                <c:pt idx="388">
                  <c:v>176799.024</c:v>
                </c:pt>
                <c:pt idx="389">
                  <c:v>176799.024</c:v>
                </c:pt>
                <c:pt idx="390">
                  <c:v>176799.024</c:v>
                </c:pt>
                <c:pt idx="391">
                  <c:v>176799.024</c:v>
                </c:pt>
                <c:pt idx="392">
                  <c:v>176799.024</c:v>
                </c:pt>
                <c:pt idx="393">
                  <c:v>176799.024</c:v>
                </c:pt>
                <c:pt idx="394">
                  <c:v>176799.024</c:v>
                </c:pt>
                <c:pt idx="395">
                  <c:v>176799.024</c:v>
                </c:pt>
                <c:pt idx="396">
                  <c:v>176799.024</c:v>
                </c:pt>
                <c:pt idx="397">
                  <c:v>176799.024</c:v>
                </c:pt>
                <c:pt idx="398">
                  <c:v>176799.024</c:v>
                </c:pt>
                <c:pt idx="399">
                  <c:v>176799.024</c:v>
                </c:pt>
                <c:pt idx="400">
                  <c:v>176799.024</c:v>
                </c:pt>
                <c:pt idx="401">
                  <c:v>176799.024</c:v>
                </c:pt>
                <c:pt idx="402">
                  <c:v>176799.024</c:v>
                </c:pt>
                <c:pt idx="403">
                  <c:v>176799.024</c:v>
                </c:pt>
                <c:pt idx="404">
                  <c:v>176799.024</c:v>
                </c:pt>
                <c:pt idx="405">
                  <c:v>176799.024</c:v>
                </c:pt>
                <c:pt idx="406">
                  <c:v>176799.024</c:v>
                </c:pt>
                <c:pt idx="407">
                  <c:v>176799.024</c:v>
                </c:pt>
                <c:pt idx="408">
                  <c:v>176799.024</c:v>
                </c:pt>
                <c:pt idx="409">
                  <c:v>176799.024</c:v>
                </c:pt>
                <c:pt idx="410">
                  <c:v>176799.024</c:v>
                </c:pt>
                <c:pt idx="411">
                  <c:v>176799.024</c:v>
                </c:pt>
                <c:pt idx="412">
                  <c:v>176799.024</c:v>
                </c:pt>
                <c:pt idx="413">
                  <c:v>176799.024</c:v>
                </c:pt>
                <c:pt idx="414">
                  <c:v>176799.024</c:v>
                </c:pt>
                <c:pt idx="415">
                  <c:v>176799.024</c:v>
                </c:pt>
                <c:pt idx="416">
                  <c:v>176799.024</c:v>
                </c:pt>
                <c:pt idx="417">
                  <c:v>176799.024</c:v>
                </c:pt>
                <c:pt idx="418">
                  <c:v>176799.024</c:v>
                </c:pt>
                <c:pt idx="419">
                  <c:v>176799.024</c:v>
                </c:pt>
                <c:pt idx="420">
                  <c:v>176799.024</c:v>
                </c:pt>
                <c:pt idx="421">
                  <c:v>176799.024</c:v>
                </c:pt>
                <c:pt idx="422">
                  <c:v>176799.024</c:v>
                </c:pt>
                <c:pt idx="423">
                  <c:v>176799.024</c:v>
                </c:pt>
                <c:pt idx="424">
                  <c:v>176799.024</c:v>
                </c:pt>
                <c:pt idx="425">
                  <c:v>176799.03899999999</c:v>
                </c:pt>
                <c:pt idx="426">
                  <c:v>176799.024</c:v>
                </c:pt>
                <c:pt idx="427">
                  <c:v>176799.024</c:v>
                </c:pt>
                <c:pt idx="428">
                  <c:v>176799.024</c:v>
                </c:pt>
                <c:pt idx="429">
                  <c:v>176799.024</c:v>
                </c:pt>
                <c:pt idx="430">
                  <c:v>176799.024</c:v>
                </c:pt>
                <c:pt idx="431">
                  <c:v>176799.024</c:v>
                </c:pt>
                <c:pt idx="432">
                  <c:v>176799.024</c:v>
                </c:pt>
                <c:pt idx="433">
                  <c:v>176799.024</c:v>
                </c:pt>
                <c:pt idx="434">
                  <c:v>176799.024</c:v>
                </c:pt>
                <c:pt idx="435">
                  <c:v>176799.024</c:v>
                </c:pt>
                <c:pt idx="436">
                  <c:v>176799.024</c:v>
                </c:pt>
                <c:pt idx="437">
                  <c:v>176799.024</c:v>
                </c:pt>
                <c:pt idx="438">
                  <c:v>176799.024</c:v>
                </c:pt>
                <c:pt idx="439">
                  <c:v>176799.024</c:v>
                </c:pt>
                <c:pt idx="440">
                  <c:v>176799.024</c:v>
                </c:pt>
                <c:pt idx="441">
                  <c:v>176799.024</c:v>
                </c:pt>
                <c:pt idx="442">
                  <c:v>176799.024</c:v>
                </c:pt>
                <c:pt idx="443">
                  <c:v>176799.024</c:v>
                </c:pt>
                <c:pt idx="444">
                  <c:v>176799.024</c:v>
                </c:pt>
                <c:pt idx="445">
                  <c:v>176799.024</c:v>
                </c:pt>
                <c:pt idx="446">
                  <c:v>176799.024</c:v>
                </c:pt>
                <c:pt idx="447">
                  <c:v>176799.024</c:v>
                </c:pt>
                <c:pt idx="448">
                  <c:v>176799.024</c:v>
                </c:pt>
                <c:pt idx="449">
                  <c:v>176799.024</c:v>
                </c:pt>
                <c:pt idx="450">
                  <c:v>176799.024</c:v>
                </c:pt>
                <c:pt idx="451">
                  <c:v>176799.024</c:v>
                </c:pt>
                <c:pt idx="452">
                  <c:v>176799.024</c:v>
                </c:pt>
                <c:pt idx="453">
                  <c:v>176799.024</c:v>
                </c:pt>
                <c:pt idx="454">
                  <c:v>176799.024</c:v>
                </c:pt>
                <c:pt idx="455">
                  <c:v>176799.024</c:v>
                </c:pt>
                <c:pt idx="456">
                  <c:v>176799.024</c:v>
                </c:pt>
                <c:pt idx="457">
                  <c:v>176799.024</c:v>
                </c:pt>
                <c:pt idx="458">
                  <c:v>176799.024</c:v>
                </c:pt>
                <c:pt idx="459">
                  <c:v>176799.024</c:v>
                </c:pt>
                <c:pt idx="460">
                  <c:v>176799.024</c:v>
                </c:pt>
                <c:pt idx="461">
                  <c:v>176799.024</c:v>
                </c:pt>
                <c:pt idx="462">
                  <c:v>176799.024</c:v>
                </c:pt>
                <c:pt idx="463">
                  <c:v>176799.024</c:v>
                </c:pt>
                <c:pt idx="464">
                  <c:v>176799.024</c:v>
                </c:pt>
                <c:pt idx="465">
                  <c:v>176799.024</c:v>
                </c:pt>
                <c:pt idx="466">
                  <c:v>176799.024</c:v>
                </c:pt>
                <c:pt idx="467">
                  <c:v>176799.024</c:v>
                </c:pt>
                <c:pt idx="468">
                  <c:v>176799.024</c:v>
                </c:pt>
                <c:pt idx="469">
                  <c:v>176799.024</c:v>
                </c:pt>
                <c:pt idx="470">
                  <c:v>176799.024</c:v>
                </c:pt>
                <c:pt idx="471">
                  <c:v>176799.024</c:v>
                </c:pt>
                <c:pt idx="472">
                  <c:v>176799.024</c:v>
                </c:pt>
                <c:pt idx="473">
                  <c:v>176799.024</c:v>
                </c:pt>
                <c:pt idx="474">
                  <c:v>176799.024</c:v>
                </c:pt>
                <c:pt idx="475">
                  <c:v>176799.024</c:v>
                </c:pt>
                <c:pt idx="476">
                  <c:v>176799.024</c:v>
                </c:pt>
                <c:pt idx="477">
                  <c:v>176799.024</c:v>
                </c:pt>
                <c:pt idx="478">
                  <c:v>176799.024</c:v>
                </c:pt>
                <c:pt idx="479">
                  <c:v>176799.024</c:v>
                </c:pt>
                <c:pt idx="480">
                  <c:v>176799.024</c:v>
                </c:pt>
                <c:pt idx="481">
                  <c:v>176799.024</c:v>
                </c:pt>
                <c:pt idx="482">
                  <c:v>176799.024</c:v>
                </c:pt>
                <c:pt idx="483">
                  <c:v>176799.024</c:v>
                </c:pt>
                <c:pt idx="484">
                  <c:v>176799.024</c:v>
                </c:pt>
                <c:pt idx="485">
                  <c:v>176799.024</c:v>
                </c:pt>
                <c:pt idx="486">
                  <c:v>176799.024</c:v>
                </c:pt>
                <c:pt idx="487">
                  <c:v>176799.024</c:v>
                </c:pt>
                <c:pt idx="488">
                  <c:v>176799.024</c:v>
                </c:pt>
                <c:pt idx="489">
                  <c:v>176799.024</c:v>
                </c:pt>
                <c:pt idx="490">
                  <c:v>176799.024</c:v>
                </c:pt>
                <c:pt idx="491">
                  <c:v>176799.024</c:v>
                </c:pt>
                <c:pt idx="492">
                  <c:v>176799.024</c:v>
                </c:pt>
                <c:pt idx="493">
                  <c:v>176799.024</c:v>
                </c:pt>
                <c:pt idx="494">
                  <c:v>176799.024</c:v>
                </c:pt>
                <c:pt idx="495">
                  <c:v>176799.024</c:v>
                </c:pt>
                <c:pt idx="496">
                  <c:v>176799.024</c:v>
                </c:pt>
                <c:pt idx="497">
                  <c:v>176799.024</c:v>
                </c:pt>
                <c:pt idx="498">
                  <c:v>176799.024</c:v>
                </c:pt>
                <c:pt idx="499">
                  <c:v>176799.024</c:v>
                </c:pt>
                <c:pt idx="500">
                  <c:v>176799.024</c:v>
                </c:pt>
                <c:pt idx="501">
                  <c:v>176799.024</c:v>
                </c:pt>
                <c:pt idx="502">
                  <c:v>176799.024</c:v>
                </c:pt>
                <c:pt idx="503">
                  <c:v>176799.024</c:v>
                </c:pt>
                <c:pt idx="504">
                  <c:v>176799.024</c:v>
                </c:pt>
                <c:pt idx="505">
                  <c:v>176799.024</c:v>
                </c:pt>
                <c:pt idx="506">
                  <c:v>180304.22899999999</c:v>
                </c:pt>
                <c:pt idx="507">
                  <c:v>207998.31</c:v>
                </c:pt>
                <c:pt idx="508">
                  <c:v>219328.63099999999</c:v>
                </c:pt>
                <c:pt idx="509">
                  <c:v>247499.98300000001</c:v>
                </c:pt>
                <c:pt idx="510">
                  <c:v>183849.30600000001</c:v>
                </c:pt>
                <c:pt idx="511">
                  <c:v>176799.024</c:v>
                </c:pt>
                <c:pt idx="512">
                  <c:v>176799.024</c:v>
                </c:pt>
                <c:pt idx="513">
                  <c:v>176799.024</c:v>
                </c:pt>
                <c:pt idx="514">
                  <c:v>176799.024</c:v>
                </c:pt>
                <c:pt idx="515">
                  <c:v>176799.024</c:v>
                </c:pt>
                <c:pt idx="516">
                  <c:v>176799.024</c:v>
                </c:pt>
                <c:pt idx="517">
                  <c:v>176799.024</c:v>
                </c:pt>
                <c:pt idx="518">
                  <c:v>176799.024</c:v>
                </c:pt>
                <c:pt idx="519">
                  <c:v>176815.065</c:v>
                </c:pt>
                <c:pt idx="520">
                  <c:v>176799.024</c:v>
                </c:pt>
                <c:pt idx="521">
                  <c:v>176799.024</c:v>
                </c:pt>
                <c:pt idx="522">
                  <c:v>176799.024</c:v>
                </c:pt>
                <c:pt idx="523">
                  <c:v>176799.024</c:v>
                </c:pt>
                <c:pt idx="524">
                  <c:v>176799.024</c:v>
                </c:pt>
                <c:pt idx="525">
                  <c:v>176799.024</c:v>
                </c:pt>
                <c:pt idx="526">
                  <c:v>176799.024</c:v>
                </c:pt>
                <c:pt idx="527">
                  <c:v>176799.024</c:v>
                </c:pt>
                <c:pt idx="528">
                  <c:v>176799.024</c:v>
                </c:pt>
                <c:pt idx="529">
                  <c:v>176799.024</c:v>
                </c:pt>
                <c:pt idx="530">
                  <c:v>176799.024</c:v>
                </c:pt>
                <c:pt idx="531">
                  <c:v>176799.024</c:v>
                </c:pt>
                <c:pt idx="532">
                  <c:v>176799.024</c:v>
                </c:pt>
                <c:pt idx="533">
                  <c:v>176799.024</c:v>
                </c:pt>
                <c:pt idx="534">
                  <c:v>176799.024</c:v>
                </c:pt>
                <c:pt idx="535">
                  <c:v>176799.024</c:v>
                </c:pt>
                <c:pt idx="536">
                  <c:v>176799.024</c:v>
                </c:pt>
                <c:pt idx="537">
                  <c:v>176799.024</c:v>
                </c:pt>
                <c:pt idx="538">
                  <c:v>176799.024</c:v>
                </c:pt>
                <c:pt idx="539">
                  <c:v>176799.024</c:v>
                </c:pt>
                <c:pt idx="540">
                  <c:v>176799.024</c:v>
                </c:pt>
                <c:pt idx="541">
                  <c:v>176799.024</c:v>
                </c:pt>
                <c:pt idx="542">
                  <c:v>176799.024</c:v>
                </c:pt>
                <c:pt idx="543">
                  <c:v>176799.024</c:v>
                </c:pt>
                <c:pt idx="544">
                  <c:v>176799.024</c:v>
                </c:pt>
                <c:pt idx="545">
                  <c:v>176799.024</c:v>
                </c:pt>
                <c:pt idx="546">
                  <c:v>176799.024</c:v>
                </c:pt>
                <c:pt idx="547">
                  <c:v>176799.024</c:v>
                </c:pt>
                <c:pt idx="548">
                  <c:v>176799.024</c:v>
                </c:pt>
                <c:pt idx="549">
                  <c:v>176799.024</c:v>
                </c:pt>
                <c:pt idx="550">
                  <c:v>176799.024</c:v>
                </c:pt>
                <c:pt idx="551">
                  <c:v>176799.024</c:v>
                </c:pt>
                <c:pt idx="552">
                  <c:v>176799.024</c:v>
                </c:pt>
                <c:pt idx="553">
                  <c:v>176799.024</c:v>
                </c:pt>
                <c:pt idx="554">
                  <c:v>176799.024</c:v>
                </c:pt>
                <c:pt idx="555">
                  <c:v>176799.024</c:v>
                </c:pt>
                <c:pt idx="556">
                  <c:v>176799.024</c:v>
                </c:pt>
                <c:pt idx="557">
                  <c:v>176799.024</c:v>
                </c:pt>
                <c:pt idx="558">
                  <c:v>176799.024</c:v>
                </c:pt>
                <c:pt idx="559">
                  <c:v>176799.024</c:v>
                </c:pt>
                <c:pt idx="560">
                  <c:v>176799.024</c:v>
                </c:pt>
                <c:pt idx="561">
                  <c:v>176799.024</c:v>
                </c:pt>
                <c:pt idx="562">
                  <c:v>176799.024</c:v>
                </c:pt>
                <c:pt idx="563">
                  <c:v>176799.024</c:v>
                </c:pt>
                <c:pt idx="564">
                  <c:v>176799.024</c:v>
                </c:pt>
                <c:pt idx="565">
                  <c:v>176799.024</c:v>
                </c:pt>
                <c:pt idx="566">
                  <c:v>176799.024</c:v>
                </c:pt>
                <c:pt idx="567">
                  <c:v>176799.024</c:v>
                </c:pt>
                <c:pt idx="568">
                  <c:v>176799.024</c:v>
                </c:pt>
                <c:pt idx="569">
                  <c:v>176799.024</c:v>
                </c:pt>
                <c:pt idx="570">
                  <c:v>176799.024</c:v>
                </c:pt>
                <c:pt idx="571">
                  <c:v>176799.024</c:v>
                </c:pt>
                <c:pt idx="572">
                  <c:v>176799.024</c:v>
                </c:pt>
                <c:pt idx="573">
                  <c:v>176799.024</c:v>
                </c:pt>
                <c:pt idx="574">
                  <c:v>176799.024</c:v>
                </c:pt>
                <c:pt idx="575">
                  <c:v>176799.024</c:v>
                </c:pt>
                <c:pt idx="576">
                  <c:v>176799.024</c:v>
                </c:pt>
                <c:pt idx="577">
                  <c:v>176799.024</c:v>
                </c:pt>
                <c:pt idx="578">
                  <c:v>176799.024</c:v>
                </c:pt>
                <c:pt idx="579">
                  <c:v>176799.024</c:v>
                </c:pt>
                <c:pt idx="580">
                  <c:v>176799.024</c:v>
                </c:pt>
                <c:pt idx="581">
                  <c:v>176799.024</c:v>
                </c:pt>
                <c:pt idx="582">
                  <c:v>176799.024</c:v>
                </c:pt>
                <c:pt idx="583">
                  <c:v>176799.024</c:v>
                </c:pt>
                <c:pt idx="584">
                  <c:v>176799.024</c:v>
                </c:pt>
                <c:pt idx="585">
                  <c:v>176799.024</c:v>
                </c:pt>
                <c:pt idx="586">
                  <c:v>176799.024</c:v>
                </c:pt>
                <c:pt idx="587">
                  <c:v>176799.024</c:v>
                </c:pt>
                <c:pt idx="588">
                  <c:v>176799.024</c:v>
                </c:pt>
                <c:pt idx="589">
                  <c:v>176799.024</c:v>
                </c:pt>
                <c:pt idx="590">
                  <c:v>176799.024</c:v>
                </c:pt>
                <c:pt idx="591">
                  <c:v>176799.024</c:v>
                </c:pt>
                <c:pt idx="592">
                  <c:v>176799.024</c:v>
                </c:pt>
                <c:pt idx="593">
                  <c:v>176799.024</c:v>
                </c:pt>
                <c:pt idx="594">
                  <c:v>176799.024</c:v>
                </c:pt>
                <c:pt idx="595">
                  <c:v>176799.024</c:v>
                </c:pt>
                <c:pt idx="596">
                  <c:v>176799.024</c:v>
                </c:pt>
                <c:pt idx="597">
                  <c:v>176799.024</c:v>
                </c:pt>
                <c:pt idx="598">
                  <c:v>176799.024</c:v>
                </c:pt>
                <c:pt idx="599">
                  <c:v>176799.024</c:v>
                </c:pt>
                <c:pt idx="600">
                  <c:v>176799.024</c:v>
                </c:pt>
                <c:pt idx="601">
                  <c:v>176799.024</c:v>
                </c:pt>
                <c:pt idx="602">
                  <c:v>176799.024</c:v>
                </c:pt>
                <c:pt idx="603">
                  <c:v>176799.024</c:v>
                </c:pt>
                <c:pt idx="604">
                  <c:v>176799.024</c:v>
                </c:pt>
                <c:pt idx="605">
                  <c:v>176799.024</c:v>
                </c:pt>
                <c:pt idx="606">
                  <c:v>176799.024</c:v>
                </c:pt>
                <c:pt idx="607">
                  <c:v>176799.024</c:v>
                </c:pt>
                <c:pt idx="608">
                  <c:v>176799.024</c:v>
                </c:pt>
                <c:pt idx="609">
                  <c:v>176799.024</c:v>
                </c:pt>
                <c:pt idx="610">
                  <c:v>176799.024</c:v>
                </c:pt>
                <c:pt idx="611">
                  <c:v>176799.024</c:v>
                </c:pt>
                <c:pt idx="612">
                  <c:v>176799.024</c:v>
                </c:pt>
                <c:pt idx="613">
                  <c:v>176799.024</c:v>
                </c:pt>
                <c:pt idx="614">
                  <c:v>176799.024</c:v>
                </c:pt>
                <c:pt idx="615">
                  <c:v>176799.024</c:v>
                </c:pt>
                <c:pt idx="616">
                  <c:v>176799.024</c:v>
                </c:pt>
                <c:pt idx="617">
                  <c:v>176799.024</c:v>
                </c:pt>
                <c:pt idx="618">
                  <c:v>176799.024</c:v>
                </c:pt>
                <c:pt idx="619">
                  <c:v>176799.024</c:v>
                </c:pt>
                <c:pt idx="620">
                  <c:v>176799.024</c:v>
                </c:pt>
                <c:pt idx="621">
                  <c:v>176799.024</c:v>
                </c:pt>
                <c:pt idx="622">
                  <c:v>176799.024</c:v>
                </c:pt>
                <c:pt idx="623">
                  <c:v>176799.024</c:v>
                </c:pt>
                <c:pt idx="624">
                  <c:v>176799.024</c:v>
                </c:pt>
                <c:pt idx="625">
                  <c:v>176799.024</c:v>
                </c:pt>
                <c:pt idx="626">
                  <c:v>176799.024</c:v>
                </c:pt>
                <c:pt idx="627">
                  <c:v>176799.024</c:v>
                </c:pt>
                <c:pt idx="628">
                  <c:v>176799.024</c:v>
                </c:pt>
                <c:pt idx="629">
                  <c:v>204363.45199999999</c:v>
                </c:pt>
                <c:pt idx="630">
                  <c:v>176799.04800000001</c:v>
                </c:pt>
                <c:pt idx="631">
                  <c:v>176799.024</c:v>
                </c:pt>
                <c:pt idx="632">
                  <c:v>176799.024</c:v>
                </c:pt>
                <c:pt idx="633">
                  <c:v>176799.024</c:v>
                </c:pt>
                <c:pt idx="634">
                  <c:v>176799.024</c:v>
                </c:pt>
                <c:pt idx="635">
                  <c:v>176799.024</c:v>
                </c:pt>
                <c:pt idx="636">
                  <c:v>176799.024</c:v>
                </c:pt>
                <c:pt idx="637">
                  <c:v>176799.024</c:v>
                </c:pt>
                <c:pt idx="638">
                  <c:v>176799.024</c:v>
                </c:pt>
                <c:pt idx="639">
                  <c:v>176799.024</c:v>
                </c:pt>
                <c:pt idx="640">
                  <c:v>176799.024</c:v>
                </c:pt>
                <c:pt idx="641">
                  <c:v>176799.024</c:v>
                </c:pt>
                <c:pt idx="642">
                  <c:v>176799.024</c:v>
                </c:pt>
                <c:pt idx="643">
                  <c:v>176799.024</c:v>
                </c:pt>
                <c:pt idx="644">
                  <c:v>176799.024</c:v>
                </c:pt>
                <c:pt idx="645">
                  <c:v>176799.024</c:v>
                </c:pt>
                <c:pt idx="646">
                  <c:v>176799.024</c:v>
                </c:pt>
                <c:pt idx="647">
                  <c:v>176799.024</c:v>
                </c:pt>
                <c:pt idx="648">
                  <c:v>176799.024</c:v>
                </c:pt>
                <c:pt idx="649">
                  <c:v>176799.024</c:v>
                </c:pt>
                <c:pt idx="650">
                  <c:v>176799.024</c:v>
                </c:pt>
                <c:pt idx="651">
                  <c:v>176799.024</c:v>
                </c:pt>
                <c:pt idx="652">
                  <c:v>176799.024</c:v>
                </c:pt>
                <c:pt idx="653">
                  <c:v>176799.024</c:v>
                </c:pt>
                <c:pt idx="654">
                  <c:v>176799.024</c:v>
                </c:pt>
                <c:pt idx="655">
                  <c:v>176799.024</c:v>
                </c:pt>
                <c:pt idx="656">
                  <c:v>176799.024</c:v>
                </c:pt>
                <c:pt idx="657">
                  <c:v>176799.024</c:v>
                </c:pt>
                <c:pt idx="658">
                  <c:v>176799.024</c:v>
                </c:pt>
                <c:pt idx="659">
                  <c:v>176799.024</c:v>
                </c:pt>
                <c:pt idx="660">
                  <c:v>176799.024</c:v>
                </c:pt>
                <c:pt idx="661">
                  <c:v>176799.024</c:v>
                </c:pt>
                <c:pt idx="662">
                  <c:v>176799.024</c:v>
                </c:pt>
                <c:pt idx="663">
                  <c:v>176799.024</c:v>
                </c:pt>
                <c:pt idx="664">
                  <c:v>176799.024</c:v>
                </c:pt>
                <c:pt idx="665">
                  <c:v>176799.024</c:v>
                </c:pt>
                <c:pt idx="666">
                  <c:v>176799.024</c:v>
                </c:pt>
                <c:pt idx="667">
                  <c:v>176799.024</c:v>
                </c:pt>
                <c:pt idx="668">
                  <c:v>176799.024</c:v>
                </c:pt>
                <c:pt idx="669">
                  <c:v>176799.024</c:v>
                </c:pt>
                <c:pt idx="670">
                  <c:v>176799.024</c:v>
                </c:pt>
                <c:pt idx="671">
                  <c:v>176799.024</c:v>
                </c:pt>
                <c:pt idx="672">
                  <c:v>176799.024</c:v>
                </c:pt>
                <c:pt idx="673">
                  <c:v>176799.024</c:v>
                </c:pt>
                <c:pt idx="674">
                  <c:v>176799.024</c:v>
                </c:pt>
                <c:pt idx="675">
                  <c:v>176799.024</c:v>
                </c:pt>
                <c:pt idx="676">
                  <c:v>176799.024</c:v>
                </c:pt>
                <c:pt idx="677">
                  <c:v>176799.024</c:v>
                </c:pt>
                <c:pt idx="678">
                  <c:v>176799.024</c:v>
                </c:pt>
                <c:pt idx="679">
                  <c:v>176799.024</c:v>
                </c:pt>
                <c:pt idx="680">
                  <c:v>176799.024</c:v>
                </c:pt>
                <c:pt idx="681">
                  <c:v>176799.024</c:v>
                </c:pt>
                <c:pt idx="682">
                  <c:v>176799.024</c:v>
                </c:pt>
                <c:pt idx="683">
                  <c:v>176799.024</c:v>
                </c:pt>
                <c:pt idx="684">
                  <c:v>176799.024</c:v>
                </c:pt>
                <c:pt idx="685">
                  <c:v>176799.024</c:v>
                </c:pt>
                <c:pt idx="686">
                  <c:v>176799.024</c:v>
                </c:pt>
                <c:pt idx="687">
                  <c:v>176799.024</c:v>
                </c:pt>
                <c:pt idx="688">
                  <c:v>176799.024</c:v>
                </c:pt>
                <c:pt idx="689">
                  <c:v>176799.024</c:v>
                </c:pt>
                <c:pt idx="690">
                  <c:v>176799.024</c:v>
                </c:pt>
                <c:pt idx="691">
                  <c:v>176799.024</c:v>
                </c:pt>
                <c:pt idx="692">
                  <c:v>176799.024</c:v>
                </c:pt>
                <c:pt idx="693">
                  <c:v>176799.024</c:v>
                </c:pt>
                <c:pt idx="694">
                  <c:v>176799.024</c:v>
                </c:pt>
                <c:pt idx="695">
                  <c:v>176799.024</c:v>
                </c:pt>
                <c:pt idx="696">
                  <c:v>176799.024</c:v>
                </c:pt>
                <c:pt idx="697">
                  <c:v>176799.024</c:v>
                </c:pt>
                <c:pt idx="698">
                  <c:v>176799.024</c:v>
                </c:pt>
                <c:pt idx="699">
                  <c:v>176799.024</c:v>
                </c:pt>
                <c:pt idx="700">
                  <c:v>176799.024</c:v>
                </c:pt>
                <c:pt idx="701">
                  <c:v>176799.024</c:v>
                </c:pt>
                <c:pt idx="702">
                  <c:v>176799.024</c:v>
                </c:pt>
                <c:pt idx="703">
                  <c:v>176799.024</c:v>
                </c:pt>
                <c:pt idx="704">
                  <c:v>176799.024</c:v>
                </c:pt>
                <c:pt idx="705">
                  <c:v>176799.024</c:v>
                </c:pt>
                <c:pt idx="706">
                  <c:v>176799.024</c:v>
                </c:pt>
                <c:pt idx="707">
                  <c:v>176799.024</c:v>
                </c:pt>
                <c:pt idx="708">
                  <c:v>176799.024</c:v>
                </c:pt>
                <c:pt idx="709">
                  <c:v>176799.024</c:v>
                </c:pt>
                <c:pt idx="710">
                  <c:v>176799.024</c:v>
                </c:pt>
                <c:pt idx="711">
                  <c:v>176799.024</c:v>
                </c:pt>
                <c:pt idx="712">
                  <c:v>176799.024</c:v>
                </c:pt>
                <c:pt idx="713">
                  <c:v>176799.024</c:v>
                </c:pt>
                <c:pt idx="714">
                  <c:v>176799.024</c:v>
                </c:pt>
                <c:pt idx="715">
                  <c:v>176799.024</c:v>
                </c:pt>
                <c:pt idx="716">
                  <c:v>176799.024</c:v>
                </c:pt>
                <c:pt idx="717">
                  <c:v>176799.024</c:v>
                </c:pt>
                <c:pt idx="718">
                  <c:v>176799.024</c:v>
                </c:pt>
                <c:pt idx="719">
                  <c:v>176799.024</c:v>
                </c:pt>
                <c:pt idx="720">
                  <c:v>176799.024</c:v>
                </c:pt>
                <c:pt idx="721">
                  <c:v>176799.024</c:v>
                </c:pt>
                <c:pt idx="722">
                  <c:v>176799</c:v>
                </c:pt>
                <c:pt idx="723">
                  <c:v>176799</c:v>
                </c:pt>
                <c:pt idx="724">
                  <c:v>176799</c:v>
                </c:pt>
                <c:pt idx="725">
                  <c:v>176799</c:v>
                </c:pt>
                <c:pt idx="726">
                  <c:v>176799</c:v>
                </c:pt>
                <c:pt idx="727">
                  <c:v>176799</c:v>
                </c:pt>
                <c:pt idx="728">
                  <c:v>176799</c:v>
                </c:pt>
                <c:pt idx="729">
                  <c:v>176799</c:v>
                </c:pt>
                <c:pt idx="730">
                  <c:v>176799</c:v>
                </c:pt>
                <c:pt idx="731">
                  <c:v>176799</c:v>
                </c:pt>
                <c:pt idx="732">
                  <c:v>176799</c:v>
                </c:pt>
                <c:pt idx="733">
                  <c:v>176799</c:v>
                </c:pt>
                <c:pt idx="734">
                  <c:v>176799</c:v>
                </c:pt>
                <c:pt idx="735">
                  <c:v>176799</c:v>
                </c:pt>
                <c:pt idx="736">
                  <c:v>176799</c:v>
                </c:pt>
                <c:pt idx="737">
                  <c:v>176799</c:v>
                </c:pt>
                <c:pt idx="738">
                  <c:v>176799</c:v>
                </c:pt>
                <c:pt idx="739">
                  <c:v>176799</c:v>
                </c:pt>
                <c:pt idx="740">
                  <c:v>176799</c:v>
                </c:pt>
                <c:pt idx="741">
                  <c:v>176799</c:v>
                </c:pt>
                <c:pt idx="742">
                  <c:v>176799</c:v>
                </c:pt>
                <c:pt idx="743">
                  <c:v>176799</c:v>
                </c:pt>
                <c:pt idx="744">
                  <c:v>176799</c:v>
                </c:pt>
                <c:pt idx="745">
                  <c:v>176799</c:v>
                </c:pt>
                <c:pt idx="746">
                  <c:v>176799</c:v>
                </c:pt>
                <c:pt idx="747">
                  <c:v>176799</c:v>
                </c:pt>
                <c:pt idx="748">
                  <c:v>176799</c:v>
                </c:pt>
                <c:pt idx="749">
                  <c:v>176799</c:v>
                </c:pt>
                <c:pt idx="750">
                  <c:v>176799</c:v>
                </c:pt>
                <c:pt idx="751">
                  <c:v>176799</c:v>
                </c:pt>
                <c:pt idx="752">
                  <c:v>176799</c:v>
                </c:pt>
                <c:pt idx="753">
                  <c:v>176799</c:v>
                </c:pt>
                <c:pt idx="754">
                  <c:v>176799</c:v>
                </c:pt>
                <c:pt idx="755">
                  <c:v>176799</c:v>
                </c:pt>
                <c:pt idx="756">
                  <c:v>176799</c:v>
                </c:pt>
                <c:pt idx="757">
                  <c:v>176799</c:v>
                </c:pt>
                <c:pt idx="758">
                  <c:v>176799</c:v>
                </c:pt>
                <c:pt idx="759">
                  <c:v>176799</c:v>
                </c:pt>
                <c:pt idx="760">
                  <c:v>176799</c:v>
                </c:pt>
                <c:pt idx="761">
                  <c:v>176799</c:v>
                </c:pt>
                <c:pt idx="762">
                  <c:v>176799</c:v>
                </c:pt>
                <c:pt idx="763">
                  <c:v>176799</c:v>
                </c:pt>
                <c:pt idx="764">
                  <c:v>176799</c:v>
                </c:pt>
                <c:pt idx="765">
                  <c:v>176799</c:v>
                </c:pt>
                <c:pt idx="766">
                  <c:v>176799</c:v>
                </c:pt>
                <c:pt idx="767">
                  <c:v>176799</c:v>
                </c:pt>
                <c:pt idx="768">
                  <c:v>176799</c:v>
                </c:pt>
                <c:pt idx="769">
                  <c:v>176799</c:v>
                </c:pt>
                <c:pt idx="770">
                  <c:v>176799</c:v>
                </c:pt>
                <c:pt idx="771">
                  <c:v>176799</c:v>
                </c:pt>
                <c:pt idx="772">
                  <c:v>176799</c:v>
                </c:pt>
                <c:pt idx="773">
                  <c:v>176799</c:v>
                </c:pt>
                <c:pt idx="774">
                  <c:v>176799</c:v>
                </c:pt>
                <c:pt idx="775">
                  <c:v>176799</c:v>
                </c:pt>
                <c:pt idx="776">
                  <c:v>176799</c:v>
                </c:pt>
                <c:pt idx="777">
                  <c:v>176799</c:v>
                </c:pt>
                <c:pt idx="778">
                  <c:v>176799</c:v>
                </c:pt>
                <c:pt idx="779">
                  <c:v>176799</c:v>
                </c:pt>
                <c:pt idx="780">
                  <c:v>176799</c:v>
                </c:pt>
                <c:pt idx="781">
                  <c:v>176799</c:v>
                </c:pt>
                <c:pt idx="782">
                  <c:v>176799</c:v>
                </c:pt>
                <c:pt idx="783">
                  <c:v>176799</c:v>
                </c:pt>
                <c:pt idx="784">
                  <c:v>176799</c:v>
                </c:pt>
                <c:pt idx="785">
                  <c:v>176799</c:v>
                </c:pt>
                <c:pt idx="786">
                  <c:v>176799</c:v>
                </c:pt>
                <c:pt idx="787">
                  <c:v>176799</c:v>
                </c:pt>
                <c:pt idx="788">
                  <c:v>176799</c:v>
                </c:pt>
                <c:pt idx="789">
                  <c:v>176799</c:v>
                </c:pt>
                <c:pt idx="790">
                  <c:v>176799</c:v>
                </c:pt>
                <c:pt idx="791">
                  <c:v>176799</c:v>
                </c:pt>
                <c:pt idx="792">
                  <c:v>176799</c:v>
                </c:pt>
                <c:pt idx="793">
                  <c:v>176799</c:v>
                </c:pt>
                <c:pt idx="794">
                  <c:v>176799</c:v>
                </c:pt>
                <c:pt idx="795">
                  <c:v>176799</c:v>
                </c:pt>
                <c:pt idx="796">
                  <c:v>176799</c:v>
                </c:pt>
                <c:pt idx="797">
                  <c:v>176799</c:v>
                </c:pt>
                <c:pt idx="798">
                  <c:v>176799</c:v>
                </c:pt>
                <c:pt idx="799">
                  <c:v>176799</c:v>
                </c:pt>
                <c:pt idx="800">
                  <c:v>176799</c:v>
                </c:pt>
                <c:pt idx="801">
                  <c:v>176799</c:v>
                </c:pt>
                <c:pt idx="802">
                  <c:v>176799</c:v>
                </c:pt>
                <c:pt idx="803">
                  <c:v>176799</c:v>
                </c:pt>
                <c:pt idx="804">
                  <c:v>176799</c:v>
                </c:pt>
                <c:pt idx="805">
                  <c:v>176799</c:v>
                </c:pt>
                <c:pt idx="806">
                  <c:v>176799</c:v>
                </c:pt>
                <c:pt idx="807">
                  <c:v>176799</c:v>
                </c:pt>
                <c:pt idx="808">
                  <c:v>176799</c:v>
                </c:pt>
                <c:pt idx="809">
                  <c:v>176799</c:v>
                </c:pt>
                <c:pt idx="810">
                  <c:v>176799</c:v>
                </c:pt>
                <c:pt idx="811">
                  <c:v>176799</c:v>
                </c:pt>
                <c:pt idx="812">
                  <c:v>176799</c:v>
                </c:pt>
                <c:pt idx="813">
                  <c:v>176799</c:v>
                </c:pt>
                <c:pt idx="814">
                  <c:v>176799</c:v>
                </c:pt>
                <c:pt idx="815">
                  <c:v>176799</c:v>
                </c:pt>
                <c:pt idx="816">
                  <c:v>176799</c:v>
                </c:pt>
                <c:pt idx="817">
                  <c:v>176799</c:v>
                </c:pt>
                <c:pt idx="818">
                  <c:v>176799</c:v>
                </c:pt>
                <c:pt idx="819">
                  <c:v>176799</c:v>
                </c:pt>
                <c:pt idx="820">
                  <c:v>176799</c:v>
                </c:pt>
                <c:pt idx="821">
                  <c:v>176799</c:v>
                </c:pt>
                <c:pt idx="822">
                  <c:v>176799</c:v>
                </c:pt>
                <c:pt idx="823">
                  <c:v>176799</c:v>
                </c:pt>
                <c:pt idx="824">
                  <c:v>176799</c:v>
                </c:pt>
                <c:pt idx="825">
                  <c:v>176799</c:v>
                </c:pt>
                <c:pt idx="826">
                  <c:v>176799</c:v>
                </c:pt>
                <c:pt idx="827">
                  <c:v>176799</c:v>
                </c:pt>
                <c:pt idx="828">
                  <c:v>176799</c:v>
                </c:pt>
                <c:pt idx="829">
                  <c:v>176799</c:v>
                </c:pt>
                <c:pt idx="830">
                  <c:v>176799</c:v>
                </c:pt>
                <c:pt idx="831">
                  <c:v>176799</c:v>
                </c:pt>
                <c:pt idx="832">
                  <c:v>176799</c:v>
                </c:pt>
                <c:pt idx="833">
                  <c:v>176799</c:v>
                </c:pt>
                <c:pt idx="834">
                  <c:v>176799</c:v>
                </c:pt>
                <c:pt idx="835">
                  <c:v>176799</c:v>
                </c:pt>
                <c:pt idx="836">
                  <c:v>176799</c:v>
                </c:pt>
                <c:pt idx="837">
                  <c:v>176799</c:v>
                </c:pt>
                <c:pt idx="838">
                  <c:v>176799</c:v>
                </c:pt>
                <c:pt idx="839">
                  <c:v>176799</c:v>
                </c:pt>
                <c:pt idx="840">
                  <c:v>176799</c:v>
                </c:pt>
                <c:pt idx="841">
                  <c:v>176799</c:v>
                </c:pt>
                <c:pt idx="842">
                  <c:v>176799</c:v>
                </c:pt>
                <c:pt idx="843">
                  <c:v>176799</c:v>
                </c:pt>
                <c:pt idx="844">
                  <c:v>176799</c:v>
                </c:pt>
                <c:pt idx="845">
                  <c:v>176799</c:v>
                </c:pt>
                <c:pt idx="846">
                  <c:v>176799</c:v>
                </c:pt>
                <c:pt idx="847">
                  <c:v>176799</c:v>
                </c:pt>
                <c:pt idx="848">
                  <c:v>176799</c:v>
                </c:pt>
                <c:pt idx="849">
                  <c:v>176799</c:v>
                </c:pt>
                <c:pt idx="850">
                  <c:v>176799</c:v>
                </c:pt>
                <c:pt idx="851">
                  <c:v>176799</c:v>
                </c:pt>
                <c:pt idx="852">
                  <c:v>176799</c:v>
                </c:pt>
                <c:pt idx="853">
                  <c:v>176799</c:v>
                </c:pt>
                <c:pt idx="854">
                  <c:v>176799</c:v>
                </c:pt>
                <c:pt idx="855">
                  <c:v>176799</c:v>
                </c:pt>
                <c:pt idx="856">
                  <c:v>176799</c:v>
                </c:pt>
                <c:pt idx="857">
                  <c:v>176799</c:v>
                </c:pt>
                <c:pt idx="858">
                  <c:v>176799</c:v>
                </c:pt>
                <c:pt idx="859">
                  <c:v>176799</c:v>
                </c:pt>
                <c:pt idx="860">
                  <c:v>176799</c:v>
                </c:pt>
                <c:pt idx="861">
                  <c:v>176799</c:v>
                </c:pt>
                <c:pt idx="862">
                  <c:v>176799</c:v>
                </c:pt>
                <c:pt idx="863">
                  <c:v>176799</c:v>
                </c:pt>
                <c:pt idx="864">
                  <c:v>176799</c:v>
                </c:pt>
                <c:pt idx="865">
                  <c:v>176799</c:v>
                </c:pt>
                <c:pt idx="866">
                  <c:v>176799</c:v>
                </c:pt>
                <c:pt idx="867">
                  <c:v>176799</c:v>
                </c:pt>
                <c:pt idx="868">
                  <c:v>176799</c:v>
                </c:pt>
                <c:pt idx="869">
                  <c:v>176799</c:v>
                </c:pt>
                <c:pt idx="870">
                  <c:v>176799</c:v>
                </c:pt>
                <c:pt idx="871">
                  <c:v>176799</c:v>
                </c:pt>
                <c:pt idx="872">
                  <c:v>176799</c:v>
                </c:pt>
                <c:pt idx="873">
                  <c:v>176799</c:v>
                </c:pt>
                <c:pt idx="874">
                  <c:v>176799</c:v>
                </c:pt>
                <c:pt idx="875">
                  <c:v>176799</c:v>
                </c:pt>
                <c:pt idx="876">
                  <c:v>176799</c:v>
                </c:pt>
                <c:pt idx="877">
                  <c:v>176799</c:v>
                </c:pt>
                <c:pt idx="878">
                  <c:v>176799</c:v>
                </c:pt>
                <c:pt idx="879">
                  <c:v>176799</c:v>
                </c:pt>
                <c:pt idx="880">
                  <c:v>176799</c:v>
                </c:pt>
                <c:pt idx="881">
                  <c:v>176799</c:v>
                </c:pt>
                <c:pt idx="882">
                  <c:v>176799</c:v>
                </c:pt>
                <c:pt idx="883">
                  <c:v>176799</c:v>
                </c:pt>
                <c:pt idx="884">
                  <c:v>176799</c:v>
                </c:pt>
                <c:pt idx="885">
                  <c:v>176799</c:v>
                </c:pt>
                <c:pt idx="886">
                  <c:v>176799</c:v>
                </c:pt>
                <c:pt idx="887">
                  <c:v>176799</c:v>
                </c:pt>
                <c:pt idx="888">
                  <c:v>176799</c:v>
                </c:pt>
                <c:pt idx="889">
                  <c:v>176799</c:v>
                </c:pt>
                <c:pt idx="890">
                  <c:v>176799</c:v>
                </c:pt>
                <c:pt idx="891">
                  <c:v>176799</c:v>
                </c:pt>
                <c:pt idx="892">
                  <c:v>176799</c:v>
                </c:pt>
                <c:pt idx="893">
                  <c:v>176799</c:v>
                </c:pt>
                <c:pt idx="894">
                  <c:v>176799</c:v>
                </c:pt>
                <c:pt idx="895">
                  <c:v>176799</c:v>
                </c:pt>
                <c:pt idx="896">
                  <c:v>176799</c:v>
                </c:pt>
                <c:pt idx="897">
                  <c:v>176799</c:v>
                </c:pt>
                <c:pt idx="898">
                  <c:v>176799</c:v>
                </c:pt>
                <c:pt idx="899">
                  <c:v>176799</c:v>
                </c:pt>
                <c:pt idx="900">
                  <c:v>176799</c:v>
                </c:pt>
                <c:pt idx="901">
                  <c:v>176799</c:v>
                </c:pt>
                <c:pt idx="902">
                  <c:v>176799</c:v>
                </c:pt>
                <c:pt idx="903">
                  <c:v>176799</c:v>
                </c:pt>
                <c:pt idx="904">
                  <c:v>176799</c:v>
                </c:pt>
                <c:pt idx="905">
                  <c:v>176799</c:v>
                </c:pt>
                <c:pt idx="906">
                  <c:v>176799</c:v>
                </c:pt>
                <c:pt idx="907">
                  <c:v>176799</c:v>
                </c:pt>
                <c:pt idx="908">
                  <c:v>176799</c:v>
                </c:pt>
                <c:pt idx="909">
                  <c:v>176799</c:v>
                </c:pt>
                <c:pt idx="910">
                  <c:v>176799</c:v>
                </c:pt>
                <c:pt idx="911">
                  <c:v>176799</c:v>
                </c:pt>
                <c:pt idx="912">
                  <c:v>176799</c:v>
                </c:pt>
                <c:pt idx="913">
                  <c:v>176799</c:v>
                </c:pt>
                <c:pt idx="914">
                  <c:v>176799</c:v>
                </c:pt>
                <c:pt idx="915">
                  <c:v>176799</c:v>
                </c:pt>
                <c:pt idx="916">
                  <c:v>176799</c:v>
                </c:pt>
                <c:pt idx="917">
                  <c:v>176799</c:v>
                </c:pt>
                <c:pt idx="918">
                  <c:v>183315.9</c:v>
                </c:pt>
                <c:pt idx="919">
                  <c:v>200861.4</c:v>
                </c:pt>
                <c:pt idx="920">
                  <c:v>200861.4</c:v>
                </c:pt>
                <c:pt idx="921">
                  <c:v>204871.8</c:v>
                </c:pt>
                <c:pt idx="922">
                  <c:v>224923.8</c:v>
                </c:pt>
                <c:pt idx="923">
                  <c:v>176799</c:v>
                </c:pt>
                <c:pt idx="924">
                  <c:v>176799</c:v>
                </c:pt>
                <c:pt idx="925">
                  <c:v>176799</c:v>
                </c:pt>
                <c:pt idx="926">
                  <c:v>204871.8</c:v>
                </c:pt>
                <c:pt idx="927">
                  <c:v>176799</c:v>
                </c:pt>
                <c:pt idx="928">
                  <c:v>176799</c:v>
                </c:pt>
                <c:pt idx="929">
                  <c:v>176799</c:v>
                </c:pt>
                <c:pt idx="930">
                  <c:v>176799</c:v>
                </c:pt>
                <c:pt idx="931">
                  <c:v>176799</c:v>
                </c:pt>
                <c:pt idx="932">
                  <c:v>176799</c:v>
                </c:pt>
                <c:pt idx="933">
                  <c:v>176799</c:v>
                </c:pt>
                <c:pt idx="934">
                  <c:v>176799</c:v>
                </c:pt>
                <c:pt idx="935">
                  <c:v>176799</c:v>
                </c:pt>
                <c:pt idx="936">
                  <c:v>176799</c:v>
                </c:pt>
                <c:pt idx="937">
                  <c:v>176799</c:v>
                </c:pt>
                <c:pt idx="938">
                  <c:v>176799</c:v>
                </c:pt>
                <c:pt idx="939">
                  <c:v>176799</c:v>
                </c:pt>
                <c:pt idx="940">
                  <c:v>176799</c:v>
                </c:pt>
                <c:pt idx="941">
                  <c:v>176799</c:v>
                </c:pt>
                <c:pt idx="942">
                  <c:v>176799</c:v>
                </c:pt>
                <c:pt idx="943">
                  <c:v>176799</c:v>
                </c:pt>
                <c:pt idx="944">
                  <c:v>176799</c:v>
                </c:pt>
                <c:pt idx="945">
                  <c:v>176799</c:v>
                </c:pt>
                <c:pt idx="946">
                  <c:v>176799</c:v>
                </c:pt>
                <c:pt idx="947">
                  <c:v>176799</c:v>
                </c:pt>
                <c:pt idx="948">
                  <c:v>176799</c:v>
                </c:pt>
                <c:pt idx="949">
                  <c:v>176799</c:v>
                </c:pt>
                <c:pt idx="950">
                  <c:v>176799</c:v>
                </c:pt>
                <c:pt idx="951">
                  <c:v>176799</c:v>
                </c:pt>
                <c:pt idx="952">
                  <c:v>176799</c:v>
                </c:pt>
                <c:pt idx="953">
                  <c:v>176799</c:v>
                </c:pt>
                <c:pt idx="954">
                  <c:v>176799</c:v>
                </c:pt>
                <c:pt idx="955">
                  <c:v>176799</c:v>
                </c:pt>
                <c:pt idx="956">
                  <c:v>176799</c:v>
                </c:pt>
                <c:pt idx="957">
                  <c:v>176799</c:v>
                </c:pt>
                <c:pt idx="958">
                  <c:v>176799</c:v>
                </c:pt>
                <c:pt idx="959">
                  <c:v>183115.38</c:v>
                </c:pt>
                <c:pt idx="960">
                  <c:v>176799</c:v>
                </c:pt>
                <c:pt idx="961">
                  <c:v>176799</c:v>
                </c:pt>
                <c:pt idx="962">
                  <c:v>176799</c:v>
                </c:pt>
                <c:pt idx="963">
                  <c:v>176799</c:v>
                </c:pt>
                <c:pt idx="964">
                  <c:v>176799</c:v>
                </c:pt>
                <c:pt idx="965">
                  <c:v>176799</c:v>
                </c:pt>
                <c:pt idx="966">
                  <c:v>176799</c:v>
                </c:pt>
                <c:pt idx="967">
                  <c:v>176799</c:v>
                </c:pt>
                <c:pt idx="968">
                  <c:v>176799</c:v>
                </c:pt>
                <c:pt idx="969">
                  <c:v>176799</c:v>
                </c:pt>
                <c:pt idx="970">
                  <c:v>176799</c:v>
                </c:pt>
                <c:pt idx="971">
                  <c:v>176799</c:v>
                </c:pt>
                <c:pt idx="972">
                  <c:v>176799</c:v>
                </c:pt>
                <c:pt idx="973">
                  <c:v>176799</c:v>
                </c:pt>
                <c:pt idx="974">
                  <c:v>176799</c:v>
                </c:pt>
                <c:pt idx="975">
                  <c:v>176799</c:v>
                </c:pt>
                <c:pt idx="976">
                  <c:v>176799</c:v>
                </c:pt>
                <c:pt idx="977">
                  <c:v>176799</c:v>
                </c:pt>
                <c:pt idx="978">
                  <c:v>176799</c:v>
                </c:pt>
                <c:pt idx="979">
                  <c:v>176799</c:v>
                </c:pt>
                <c:pt idx="980">
                  <c:v>176799</c:v>
                </c:pt>
                <c:pt idx="981">
                  <c:v>176799</c:v>
                </c:pt>
                <c:pt idx="982">
                  <c:v>176799</c:v>
                </c:pt>
                <c:pt idx="983">
                  <c:v>176799</c:v>
                </c:pt>
                <c:pt idx="984">
                  <c:v>176799</c:v>
                </c:pt>
                <c:pt idx="985">
                  <c:v>176799</c:v>
                </c:pt>
                <c:pt idx="986">
                  <c:v>176799</c:v>
                </c:pt>
                <c:pt idx="987">
                  <c:v>176799</c:v>
                </c:pt>
                <c:pt idx="988">
                  <c:v>176799</c:v>
                </c:pt>
                <c:pt idx="989">
                  <c:v>176799</c:v>
                </c:pt>
                <c:pt idx="990">
                  <c:v>176799</c:v>
                </c:pt>
                <c:pt idx="991">
                  <c:v>176799</c:v>
                </c:pt>
                <c:pt idx="992">
                  <c:v>176799</c:v>
                </c:pt>
                <c:pt idx="993">
                  <c:v>176799</c:v>
                </c:pt>
                <c:pt idx="994">
                  <c:v>176799</c:v>
                </c:pt>
                <c:pt idx="995">
                  <c:v>176799</c:v>
                </c:pt>
                <c:pt idx="996">
                  <c:v>176799</c:v>
                </c:pt>
                <c:pt idx="997">
                  <c:v>176799</c:v>
                </c:pt>
                <c:pt idx="998">
                  <c:v>176799</c:v>
                </c:pt>
                <c:pt idx="999">
                  <c:v>176799</c:v>
                </c:pt>
                <c:pt idx="1000">
                  <c:v>176799</c:v>
                </c:pt>
                <c:pt idx="1001">
                  <c:v>176799</c:v>
                </c:pt>
                <c:pt idx="1002">
                  <c:v>176799</c:v>
                </c:pt>
                <c:pt idx="1003">
                  <c:v>176799</c:v>
                </c:pt>
                <c:pt idx="1004">
                  <c:v>176799</c:v>
                </c:pt>
                <c:pt idx="1005">
                  <c:v>176799</c:v>
                </c:pt>
                <c:pt idx="1006">
                  <c:v>176799</c:v>
                </c:pt>
                <c:pt idx="1007">
                  <c:v>176799</c:v>
                </c:pt>
                <c:pt idx="1008">
                  <c:v>176799</c:v>
                </c:pt>
                <c:pt idx="1009">
                  <c:v>176799</c:v>
                </c:pt>
                <c:pt idx="1010">
                  <c:v>176799</c:v>
                </c:pt>
                <c:pt idx="1011">
                  <c:v>176799</c:v>
                </c:pt>
                <c:pt idx="1012">
                  <c:v>176799</c:v>
                </c:pt>
                <c:pt idx="1013">
                  <c:v>176799</c:v>
                </c:pt>
                <c:pt idx="1014">
                  <c:v>176799</c:v>
                </c:pt>
                <c:pt idx="1015">
                  <c:v>176799</c:v>
                </c:pt>
                <c:pt idx="1016">
                  <c:v>176799</c:v>
                </c:pt>
                <c:pt idx="1017">
                  <c:v>176799</c:v>
                </c:pt>
                <c:pt idx="1018">
                  <c:v>176799</c:v>
                </c:pt>
                <c:pt idx="1019">
                  <c:v>176799</c:v>
                </c:pt>
                <c:pt idx="1020">
                  <c:v>176799</c:v>
                </c:pt>
                <c:pt idx="1021">
                  <c:v>176799</c:v>
                </c:pt>
                <c:pt idx="1022">
                  <c:v>176799</c:v>
                </c:pt>
                <c:pt idx="1023">
                  <c:v>176799</c:v>
                </c:pt>
                <c:pt idx="1024">
                  <c:v>176799</c:v>
                </c:pt>
                <c:pt idx="1025">
                  <c:v>176799</c:v>
                </c:pt>
                <c:pt idx="1026">
                  <c:v>176799</c:v>
                </c:pt>
                <c:pt idx="1027">
                  <c:v>176799</c:v>
                </c:pt>
                <c:pt idx="1028">
                  <c:v>176799</c:v>
                </c:pt>
                <c:pt idx="1029">
                  <c:v>176799</c:v>
                </c:pt>
                <c:pt idx="1030">
                  <c:v>176799</c:v>
                </c:pt>
                <c:pt idx="1031">
                  <c:v>176799</c:v>
                </c:pt>
                <c:pt idx="1032">
                  <c:v>176799</c:v>
                </c:pt>
                <c:pt idx="1033">
                  <c:v>176799</c:v>
                </c:pt>
                <c:pt idx="1034">
                  <c:v>176799.014</c:v>
                </c:pt>
                <c:pt idx="1035">
                  <c:v>176799</c:v>
                </c:pt>
                <c:pt idx="1036">
                  <c:v>176799</c:v>
                </c:pt>
                <c:pt idx="1037">
                  <c:v>176799</c:v>
                </c:pt>
                <c:pt idx="1038">
                  <c:v>176799</c:v>
                </c:pt>
                <c:pt idx="1039">
                  <c:v>176799</c:v>
                </c:pt>
                <c:pt idx="1040">
                  <c:v>176799</c:v>
                </c:pt>
                <c:pt idx="1041">
                  <c:v>176799</c:v>
                </c:pt>
                <c:pt idx="1042">
                  <c:v>176799</c:v>
                </c:pt>
                <c:pt idx="1043">
                  <c:v>176799</c:v>
                </c:pt>
                <c:pt idx="1044">
                  <c:v>176799</c:v>
                </c:pt>
                <c:pt idx="1045">
                  <c:v>176799</c:v>
                </c:pt>
                <c:pt idx="1046">
                  <c:v>176799</c:v>
                </c:pt>
                <c:pt idx="1047">
                  <c:v>176799</c:v>
                </c:pt>
                <c:pt idx="1048">
                  <c:v>176799</c:v>
                </c:pt>
                <c:pt idx="1049">
                  <c:v>176799</c:v>
                </c:pt>
                <c:pt idx="1050">
                  <c:v>176799</c:v>
                </c:pt>
                <c:pt idx="1051">
                  <c:v>176799</c:v>
                </c:pt>
                <c:pt idx="1052">
                  <c:v>176799</c:v>
                </c:pt>
                <c:pt idx="1053">
                  <c:v>176799</c:v>
                </c:pt>
                <c:pt idx="1054">
                  <c:v>176799</c:v>
                </c:pt>
                <c:pt idx="1055">
                  <c:v>176799</c:v>
                </c:pt>
                <c:pt idx="1056">
                  <c:v>176799</c:v>
                </c:pt>
                <c:pt idx="1057">
                  <c:v>176799</c:v>
                </c:pt>
                <c:pt idx="1058">
                  <c:v>176799</c:v>
                </c:pt>
                <c:pt idx="1059">
                  <c:v>176799</c:v>
                </c:pt>
                <c:pt idx="1060">
                  <c:v>176799</c:v>
                </c:pt>
                <c:pt idx="1061">
                  <c:v>176799</c:v>
                </c:pt>
                <c:pt idx="1062">
                  <c:v>176799</c:v>
                </c:pt>
                <c:pt idx="1063">
                  <c:v>176799</c:v>
                </c:pt>
                <c:pt idx="1064">
                  <c:v>176799</c:v>
                </c:pt>
                <c:pt idx="1065">
                  <c:v>176799</c:v>
                </c:pt>
                <c:pt idx="1066">
                  <c:v>176799</c:v>
                </c:pt>
                <c:pt idx="1067">
                  <c:v>176799</c:v>
                </c:pt>
                <c:pt idx="1068">
                  <c:v>176799</c:v>
                </c:pt>
                <c:pt idx="1069">
                  <c:v>176799</c:v>
                </c:pt>
                <c:pt idx="1070">
                  <c:v>176799</c:v>
                </c:pt>
                <c:pt idx="1071">
                  <c:v>176799</c:v>
                </c:pt>
                <c:pt idx="1072">
                  <c:v>176799</c:v>
                </c:pt>
                <c:pt idx="1073">
                  <c:v>176799</c:v>
                </c:pt>
                <c:pt idx="1074">
                  <c:v>176799</c:v>
                </c:pt>
                <c:pt idx="1075">
                  <c:v>176799</c:v>
                </c:pt>
                <c:pt idx="1076">
                  <c:v>176799</c:v>
                </c:pt>
                <c:pt idx="1077">
                  <c:v>176799</c:v>
                </c:pt>
                <c:pt idx="1078">
                  <c:v>176799</c:v>
                </c:pt>
                <c:pt idx="1079">
                  <c:v>176799</c:v>
                </c:pt>
                <c:pt idx="1080">
                  <c:v>176799</c:v>
                </c:pt>
                <c:pt idx="1081">
                  <c:v>176799</c:v>
                </c:pt>
                <c:pt idx="1082">
                  <c:v>176799</c:v>
                </c:pt>
                <c:pt idx="1083">
                  <c:v>176799</c:v>
                </c:pt>
                <c:pt idx="1084">
                  <c:v>176799</c:v>
                </c:pt>
                <c:pt idx="1085">
                  <c:v>176799</c:v>
                </c:pt>
                <c:pt idx="1086">
                  <c:v>176799</c:v>
                </c:pt>
              </c:numCache>
            </c:numRef>
          </c:val>
          <c:extLst>
            <c:ext xmlns:c16="http://schemas.microsoft.com/office/drawing/2014/chart" uri="{C3380CC4-5D6E-409C-BE32-E72D297353CC}">
              <c16:uniqueId val="{00000000-82DD-4A8C-ACC0-4C5B5F189F98}"/>
            </c:ext>
          </c:extLst>
        </c:ser>
        <c:dLbls>
          <c:showLegendKey val="0"/>
          <c:showVal val="0"/>
          <c:showCatName val="0"/>
          <c:showSerName val="0"/>
          <c:showPercent val="0"/>
          <c:showBubbleSize val="0"/>
        </c:dLbls>
        <c:axId val="1106303408"/>
        <c:axId val="1106309392"/>
      </c:areaChart>
      <c:lineChart>
        <c:grouping val="standard"/>
        <c:varyColors val="0"/>
        <c:ser>
          <c:idx val="0"/>
          <c:order val="0"/>
          <c:tx>
            <c:strRef>
              <c:f>PITTE!$B$1</c:f>
              <c:strCache>
                <c:ptCount val="1"/>
                <c:pt idx="0">
                  <c:v>Total Technical Capacity </c:v>
                </c:pt>
              </c:strCache>
            </c:strRef>
          </c:tx>
          <c:spPr>
            <a:ln w="28575" cap="rnd">
              <a:solidFill>
                <a:srgbClr val="0070C0"/>
              </a:solidFill>
              <a:prstDash val="sysDash"/>
              <a:round/>
            </a:ln>
            <a:effectLst/>
          </c:spPr>
          <c:marker>
            <c:symbol val="none"/>
          </c:marker>
          <c:cat>
            <c:numRef>
              <c:f>PITTE!$A$2:$A$1098</c:f>
              <c:numCache>
                <c:formatCode>m/d/yyyy</c:formatCode>
                <c:ptCount val="1089"/>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42694</c:v>
                </c:pt>
                <c:pt idx="43">
                  <c:v>42695</c:v>
                </c:pt>
                <c:pt idx="44">
                  <c:v>42696</c:v>
                </c:pt>
                <c:pt idx="45">
                  <c:v>42697</c:v>
                </c:pt>
                <c:pt idx="46">
                  <c:v>42698</c:v>
                </c:pt>
                <c:pt idx="47">
                  <c:v>42699</c:v>
                </c:pt>
                <c:pt idx="48">
                  <c:v>42700</c:v>
                </c:pt>
                <c:pt idx="49">
                  <c:v>42701</c:v>
                </c:pt>
                <c:pt idx="50">
                  <c:v>42702</c:v>
                </c:pt>
                <c:pt idx="51">
                  <c:v>42703</c:v>
                </c:pt>
                <c:pt idx="52">
                  <c:v>42704</c:v>
                </c:pt>
                <c:pt idx="53">
                  <c:v>42705</c:v>
                </c:pt>
                <c:pt idx="54">
                  <c:v>42706</c:v>
                </c:pt>
                <c:pt idx="55">
                  <c:v>42707</c:v>
                </c:pt>
                <c:pt idx="56">
                  <c:v>42708</c:v>
                </c:pt>
                <c:pt idx="57">
                  <c:v>42709</c:v>
                </c:pt>
                <c:pt idx="58">
                  <c:v>42710</c:v>
                </c:pt>
                <c:pt idx="59">
                  <c:v>42711</c:v>
                </c:pt>
                <c:pt idx="60">
                  <c:v>42712</c:v>
                </c:pt>
                <c:pt idx="61">
                  <c:v>42713</c:v>
                </c:pt>
                <c:pt idx="62">
                  <c:v>42714</c:v>
                </c:pt>
                <c:pt idx="63">
                  <c:v>42715</c:v>
                </c:pt>
                <c:pt idx="64">
                  <c:v>42716</c:v>
                </c:pt>
                <c:pt idx="65">
                  <c:v>42717</c:v>
                </c:pt>
                <c:pt idx="66">
                  <c:v>42718</c:v>
                </c:pt>
                <c:pt idx="67">
                  <c:v>42719</c:v>
                </c:pt>
                <c:pt idx="68">
                  <c:v>42720</c:v>
                </c:pt>
                <c:pt idx="69">
                  <c:v>42721</c:v>
                </c:pt>
                <c:pt idx="70">
                  <c:v>42722</c:v>
                </c:pt>
                <c:pt idx="71">
                  <c:v>42723</c:v>
                </c:pt>
                <c:pt idx="72">
                  <c:v>42724</c:v>
                </c:pt>
                <c:pt idx="73">
                  <c:v>42725</c:v>
                </c:pt>
                <c:pt idx="74">
                  <c:v>42726</c:v>
                </c:pt>
                <c:pt idx="75">
                  <c:v>42727</c:v>
                </c:pt>
                <c:pt idx="76">
                  <c:v>42728</c:v>
                </c:pt>
                <c:pt idx="77">
                  <c:v>42729</c:v>
                </c:pt>
                <c:pt idx="78">
                  <c:v>42730</c:v>
                </c:pt>
                <c:pt idx="79">
                  <c:v>42731</c:v>
                </c:pt>
                <c:pt idx="80">
                  <c:v>42732</c:v>
                </c:pt>
                <c:pt idx="81">
                  <c:v>42733</c:v>
                </c:pt>
                <c:pt idx="82">
                  <c:v>42734</c:v>
                </c:pt>
                <c:pt idx="83">
                  <c:v>42735</c:v>
                </c:pt>
                <c:pt idx="84">
                  <c:v>42736</c:v>
                </c:pt>
                <c:pt idx="85">
                  <c:v>42737</c:v>
                </c:pt>
                <c:pt idx="86">
                  <c:v>42738</c:v>
                </c:pt>
                <c:pt idx="87">
                  <c:v>42739</c:v>
                </c:pt>
                <c:pt idx="88">
                  <c:v>42740</c:v>
                </c:pt>
                <c:pt idx="89">
                  <c:v>42741</c:v>
                </c:pt>
                <c:pt idx="90">
                  <c:v>42742</c:v>
                </c:pt>
                <c:pt idx="91">
                  <c:v>42743</c:v>
                </c:pt>
                <c:pt idx="92">
                  <c:v>42744</c:v>
                </c:pt>
                <c:pt idx="93">
                  <c:v>42745</c:v>
                </c:pt>
                <c:pt idx="94">
                  <c:v>42746</c:v>
                </c:pt>
                <c:pt idx="95">
                  <c:v>42747</c:v>
                </c:pt>
                <c:pt idx="96">
                  <c:v>42748</c:v>
                </c:pt>
                <c:pt idx="97">
                  <c:v>42749</c:v>
                </c:pt>
                <c:pt idx="98">
                  <c:v>42750</c:v>
                </c:pt>
                <c:pt idx="99">
                  <c:v>42751</c:v>
                </c:pt>
                <c:pt idx="100">
                  <c:v>42752</c:v>
                </c:pt>
                <c:pt idx="101">
                  <c:v>42753</c:v>
                </c:pt>
                <c:pt idx="102">
                  <c:v>42754</c:v>
                </c:pt>
                <c:pt idx="103">
                  <c:v>42755</c:v>
                </c:pt>
                <c:pt idx="104">
                  <c:v>42756</c:v>
                </c:pt>
                <c:pt idx="105">
                  <c:v>42757</c:v>
                </c:pt>
                <c:pt idx="106">
                  <c:v>42758</c:v>
                </c:pt>
                <c:pt idx="107">
                  <c:v>42759</c:v>
                </c:pt>
                <c:pt idx="108">
                  <c:v>42760</c:v>
                </c:pt>
                <c:pt idx="109">
                  <c:v>42761</c:v>
                </c:pt>
                <c:pt idx="110">
                  <c:v>42762</c:v>
                </c:pt>
                <c:pt idx="111">
                  <c:v>42763</c:v>
                </c:pt>
                <c:pt idx="112">
                  <c:v>42764</c:v>
                </c:pt>
                <c:pt idx="113">
                  <c:v>42765</c:v>
                </c:pt>
                <c:pt idx="114">
                  <c:v>42766</c:v>
                </c:pt>
                <c:pt idx="115">
                  <c:v>42767</c:v>
                </c:pt>
                <c:pt idx="116">
                  <c:v>42768</c:v>
                </c:pt>
                <c:pt idx="117">
                  <c:v>42769</c:v>
                </c:pt>
                <c:pt idx="118">
                  <c:v>42770</c:v>
                </c:pt>
                <c:pt idx="119">
                  <c:v>42771</c:v>
                </c:pt>
                <c:pt idx="120">
                  <c:v>42772</c:v>
                </c:pt>
                <c:pt idx="121">
                  <c:v>42773</c:v>
                </c:pt>
                <c:pt idx="122">
                  <c:v>42774</c:v>
                </c:pt>
                <c:pt idx="123">
                  <c:v>42775</c:v>
                </c:pt>
                <c:pt idx="124">
                  <c:v>42776</c:v>
                </c:pt>
                <c:pt idx="125">
                  <c:v>42777</c:v>
                </c:pt>
                <c:pt idx="126">
                  <c:v>42778</c:v>
                </c:pt>
                <c:pt idx="127">
                  <c:v>42779</c:v>
                </c:pt>
                <c:pt idx="128">
                  <c:v>42780</c:v>
                </c:pt>
                <c:pt idx="129">
                  <c:v>42781</c:v>
                </c:pt>
                <c:pt idx="130">
                  <c:v>42782</c:v>
                </c:pt>
                <c:pt idx="131">
                  <c:v>42783</c:v>
                </c:pt>
                <c:pt idx="132">
                  <c:v>42784</c:v>
                </c:pt>
                <c:pt idx="133">
                  <c:v>42785</c:v>
                </c:pt>
                <c:pt idx="134">
                  <c:v>42786</c:v>
                </c:pt>
                <c:pt idx="135">
                  <c:v>42787</c:v>
                </c:pt>
                <c:pt idx="136">
                  <c:v>42788</c:v>
                </c:pt>
                <c:pt idx="137">
                  <c:v>42789</c:v>
                </c:pt>
                <c:pt idx="138">
                  <c:v>42790</c:v>
                </c:pt>
                <c:pt idx="139">
                  <c:v>42791</c:v>
                </c:pt>
                <c:pt idx="140">
                  <c:v>42792</c:v>
                </c:pt>
                <c:pt idx="141">
                  <c:v>42793</c:v>
                </c:pt>
                <c:pt idx="142">
                  <c:v>42794</c:v>
                </c:pt>
                <c:pt idx="143">
                  <c:v>42795</c:v>
                </c:pt>
                <c:pt idx="144">
                  <c:v>42796</c:v>
                </c:pt>
                <c:pt idx="145">
                  <c:v>42797</c:v>
                </c:pt>
                <c:pt idx="146">
                  <c:v>42798</c:v>
                </c:pt>
                <c:pt idx="147">
                  <c:v>42799</c:v>
                </c:pt>
                <c:pt idx="148">
                  <c:v>42800</c:v>
                </c:pt>
                <c:pt idx="149">
                  <c:v>42801</c:v>
                </c:pt>
                <c:pt idx="150">
                  <c:v>42802</c:v>
                </c:pt>
                <c:pt idx="151">
                  <c:v>42803</c:v>
                </c:pt>
                <c:pt idx="152">
                  <c:v>42804</c:v>
                </c:pt>
                <c:pt idx="153">
                  <c:v>42805</c:v>
                </c:pt>
                <c:pt idx="154">
                  <c:v>42806</c:v>
                </c:pt>
                <c:pt idx="155">
                  <c:v>42807</c:v>
                </c:pt>
                <c:pt idx="156">
                  <c:v>42808</c:v>
                </c:pt>
                <c:pt idx="157">
                  <c:v>42809</c:v>
                </c:pt>
                <c:pt idx="158">
                  <c:v>42810</c:v>
                </c:pt>
                <c:pt idx="159">
                  <c:v>42811</c:v>
                </c:pt>
                <c:pt idx="160">
                  <c:v>42812</c:v>
                </c:pt>
                <c:pt idx="161">
                  <c:v>42813</c:v>
                </c:pt>
                <c:pt idx="162">
                  <c:v>42814</c:v>
                </c:pt>
                <c:pt idx="163">
                  <c:v>42815</c:v>
                </c:pt>
                <c:pt idx="164">
                  <c:v>42816</c:v>
                </c:pt>
                <c:pt idx="165">
                  <c:v>42817</c:v>
                </c:pt>
                <c:pt idx="166">
                  <c:v>42818</c:v>
                </c:pt>
                <c:pt idx="167">
                  <c:v>42819</c:v>
                </c:pt>
                <c:pt idx="168">
                  <c:v>42820</c:v>
                </c:pt>
                <c:pt idx="169">
                  <c:v>42821</c:v>
                </c:pt>
                <c:pt idx="170">
                  <c:v>42822</c:v>
                </c:pt>
                <c:pt idx="171">
                  <c:v>42823</c:v>
                </c:pt>
                <c:pt idx="172">
                  <c:v>42824</c:v>
                </c:pt>
                <c:pt idx="173">
                  <c:v>42825</c:v>
                </c:pt>
                <c:pt idx="174">
                  <c:v>42826</c:v>
                </c:pt>
                <c:pt idx="175">
                  <c:v>42827</c:v>
                </c:pt>
                <c:pt idx="176">
                  <c:v>42828</c:v>
                </c:pt>
                <c:pt idx="177">
                  <c:v>42829</c:v>
                </c:pt>
                <c:pt idx="178">
                  <c:v>42830</c:v>
                </c:pt>
                <c:pt idx="179">
                  <c:v>42831</c:v>
                </c:pt>
                <c:pt idx="180">
                  <c:v>42832</c:v>
                </c:pt>
                <c:pt idx="181">
                  <c:v>42833</c:v>
                </c:pt>
                <c:pt idx="182">
                  <c:v>42834</c:v>
                </c:pt>
                <c:pt idx="183">
                  <c:v>42835</c:v>
                </c:pt>
                <c:pt idx="184">
                  <c:v>42836</c:v>
                </c:pt>
                <c:pt idx="185">
                  <c:v>42837</c:v>
                </c:pt>
                <c:pt idx="186">
                  <c:v>42838</c:v>
                </c:pt>
                <c:pt idx="187">
                  <c:v>42839</c:v>
                </c:pt>
                <c:pt idx="188">
                  <c:v>42840</c:v>
                </c:pt>
                <c:pt idx="189">
                  <c:v>42841</c:v>
                </c:pt>
                <c:pt idx="190">
                  <c:v>42842</c:v>
                </c:pt>
                <c:pt idx="191">
                  <c:v>42843</c:v>
                </c:pt>
                <c:pt idx="192">
                  <c:v>42844</c:v>
                </c:pt>
                <c:pt idx="193">
                  <c:v>42845</c:v>
                </c:pt>
                <c:pt idx="194">
                  <c:v>42846</c:v>
                </c:pt>
                <c:pt idx="195">
                  <c:v>42847</c:v>
                </c:pt>
                <c:pt idx="196">
                  <c:v>42848</c:v>
                </c:pt>
                <c:pt idx="197">
                  <c:v>42849</c:v>
                </c:pt>
                <c:pt idx="198">
                  <c:v>42850</c:v>
                </c:pt>
                <c:pt idx="199">
                  <c:v>42851</c:v>
                </c:pt>
                <c:pt idx="200">
                  <c:v>42852</c:v>
                </c:pt>
                <c:pt idx="201">
                  <c:v>42853</c:v>
                </c:pt>
                <c:pt idx="202">
                  <c:v>42854</c:v>
                </c:pt>
                <c:pt idx="203">
                  <c:v>42855</c:v>
                </c:pt>
                <c:pt idx="204">
                  <c:v>42856</c:v>
                </c:pt>
                <c:pt idx="205">
                  <c:v>42857</c:v>
                </c:pt>
                <c:pt idx="206">
                  <c:v>42858</c:v>
                </c:pt>
                <c:pt idx="207">
                  <c:v>42859</c:v>
                </c:pt>
                <c:pt idx="208">
                  <c:v>42860</c:v>
                </c:pt>
                <c:pt idx="209">
                  <c:v>42861</c:v>
                </c:pt>
                <c:pt idx="210">
                  <c:v>42862</c:v>
                </c:pt>
                <c:pt idx="211">
                  <c:v>42863</c:v>
                </c:pt>
                <c:pt idx="212">
                  <c:v>42864</c:v>
                </c:pt>
                <c:pt idx="213">
                  <c:v>42865</c:v>
                </c:pt>
                <c:pt idx="214">
                  <c:v>42866</c:v>
                </c:pt>
                <c:pt idx="215">
                  <c:v>42867</c:v>
                </c:pt>
                <c:pt idx="216">
                  <c:v>42868</c:v>
                </c:pt>
                <c:pt idx="217">
                  <c:v>42869</c:v>
                </c:pt>
                <c:pt idx="218">
                  <c:v>42870</c:v>
                </c:pt>
                <c:pt idx="219">
                  <c:v>42871</c:v>
                </c:pt>
                <c:pt idx="220">
                  <c:v>42872</c:v>
                </c:pt>
                <c:pt idx="221">
                  <c:v>42873</c:v>
                </c:pt>
                <c:pt idx="222">
                  <c:v>42874</c:v>
                </c:pt>
                <c:pt idx="223">
                  <c:v>42875</c:v>
                </c:pt>
                <c:pt idx="224">
                  <c:v>42876</c:v>
                </c:pt>
                <c:pt idx="225">
                  <c:v>42877</c:v>
                </c:pt>
                <c:pt idx="226">
                  <c:v>42878</c:v>
                </c:pt>
                <c:pt idx="227">
                  <c:v>42879</c:v>
                </c:pt>
                <c:pt idx="228">
                  <c:v>42880</c:v>
                </c:pt>
                <c:pt idx="229">
                  <c:v>42881</c:v>
                </c:pt>
                <c:pt idx="230">
                  <c:v>42882</c:v>
                </c:pt>
                <c:pt idx="231">
                  <c:v>42883</c:v>
                </c:pt>
                <c:pt idx="232">
                  <c:v>42884</c:v>
                </c:pt>
                <c:pt idx="233">
                  <c:v>42885</c:v>
                </c:pt>
                <c:pt idx="234">
                  <c:v>42886</c:v>
                </c:pt>
                <c:pt idx="235">
                  <c:v>42887</c:v>
                </c:pt>
                <c:pt idx="236">
                  <c:v>42888</c:v>
                </c:pt>
                <c:pt idx="237">
                  <c:v>42889</c:v>
                </c:pt>
                <c:pt idx="238">
                  <c:v>42890</c:v>
                </c:pt>
                <c:pt idx="239">
                  <c:v>42891</c:v>
                </c:pt>
                <c:pt idx="240">
                  <c:v>42892</c:v>
                </c:pt>
                <c:pt idx="241">
                  <c:v>42893</c:v>
                </c:pt>
                <c:pt idx="242">
                  <c:v>42894</c:v>
                </c:pt>
                <c:pt idx="243">
                  <c:v>42895</c:v>
                </c:pt>
                <c:pt idx="244">
                  <c:v>42896</c:v>
                </c:pt>
                <c:pt idx="245">
                  <c:v>42897</c:v>
                </c:pt>
                <c:pt idx="246">
                  <c:v>42898</c:v>
                </c:pt>
                <c:pt idx="247">
                  <c:v>42899</c:v>
                </c:pt>
                <c:pt idx="248">
                  <c:v>42900</c:v>
                </c:pt>
                <c:pt idx="249">
                  <c:v>42901</c:v>
                </c:pt>
                <c:pt idx="250">
                  <c:v>42902</c:v>
                </c:pt>
                <c:pt idx="251">
                  <c:v>42903</c:v>
                </c:pt>
                <c:pt idx="252">
                  <c:v>42904</c:v>
                </c:pt>
                <c:pt idx="253">
                  <c:v>42905</c:v>
                </c:pt>
                <c:pt idx="254">
                  <c:v>42906</c:v>
                </c:pt>
                <c:pt idx="255">
                  <c:v>42907</c:v>
                </c:pt>
                <c:pt idx="256">
                  <c:v>42908</c:v>
                </c:pt>
                <c:pt idx="257">
                  <c:v>42909</c:v>
                </c:pt>
                <c:pt idx="258">
                  <c:v>42910</c:v>
                </c:pt>
                <c:pt idx="259">
                  <c:v>42911</c:v>
                </c:pt>
                <c:pt idx="260">
                  <c:v>42912</c:v>
                </c:pt>
                <c:pt idx="261">
                  <c:v>42913</c:v>
                </c:pt>
                <c:pt idx="262">
                  <c:v>42914</c:v>
                </c:pt>
                <c:pt idx="263">
                  <c:v>42915</c:v>
                </c:pt>
                <c:pt idx="264">
                  <c:v>42916</c:v>
                </c:pt>
                <c:pt idx="265">
                  <c:v>42917</c:v>
                </c:pt>
                <c:pt idx="266">
                  <c:v>42918</c:v>
                </c:pt>
                <c:pt idx="267">
                  <c:v>42919</c:v>
                </c:pt>
                <c:pt idx="268">
                  <c:v>42920</c:v>
                </c:pt>
                <c:pt idx="269">
                  <c:v>42921</c:v>
                </c:pt>
                <c:pt idx="270">
                  <c:v>42922</c:v>
                </c:pt>
                <c:pt idx="271">
                  <c:v>42923</c:v>
                </c:pt>
                <c:pt idx="272">
                  <c:v>42924</c:v>
                </c:pt>
                <c:pt idx="273">
                  <c:v>42925</c:v>
                </c:pt>
                <c:pt idx="274">
                  <c:v>42926</c:v>
                </c:pt>
                <c:pt idx="275">
                  <c:v>42927</c:v>
                </c:pt>
                <c:pt idx="276">
                  <c:v>42928</c:v>
                </c:pt>
                <c:pt idx="277">
                  <c:v>42929</c:v>
                </c:pt>
                <c:pt idx="278">
                  <c:v>42930</c:v>
                </c:pt>
                <c:pt idx="279">
                  <c:v>42931</c:v>
                </c:pt>
                <c:pt idx="280">
                  <c:v>42932</c:v>
                </c:pt>
                <c:pt idx="281">
                  <c:v>42933</c:v>
                </c:pt>
                <c:pt idx="282">
                  <c:v>42934</c:v>
                </c:pt>
                <c:pt idx="283">
                  <c:v>42935</c:v>
                </c:pt>
                <c:pt idx="284">
                  <c:v>42936</c:v>
                </c:pt>
                <c:pt idx="285">
                  <c:v>42937</c:v>
                </c:pt>
                <c:pt idx="286">
                  <c:v>42938</c:v>
                </c:pt>
                <c:pt idx="287">
                  <c:v>42939</c:v>
                </c:pt>
                <c:pt idx="288">
                  <c:v>42940</c:v>
                </c:pt>
                <c:pt idx="289">
                  <c:v>42941</c:v>
                </c:pt>
                <c:pt idx="290">
                  <c:v>42942</c:v>
                </c:pt>
                <c:pt idx="291">
                  <c:v>42943</c:v>
                </c:pt>
                <c:pt idx="292">
                  <c:v>42944</c:v>
                </c:pt>
                <c:pt idx="293">
                  <c:v>42945</c:v>
                </c:pt>
                <c:pt idx="294">
                  <c:v>42946</c:v>
                </c:pt>
                <c:pt idx="295">
                  <c:v>42947</c:v>
                </c:pt>
                <c:pt idx="296">
                  <c:v>42948</c:v>
                </c:pt>
                <c:pt idx="297">
                  <c:v>42949</c:v>
                </c:pt>
                <c:pt idx="298">
                  <c:v>42950</c:v>
                </c:pt>
                <c:pt idx="299">
                  <c:v>42951</c:v>
                </c:pt>
                <c:pt idx="300">
                  <c:v>42952</c:v>
                </c:pt>
                <c:pt idx="301">
                  <c:v>42953</c:v>
                </c:pt>
                <c:pt idx="302">
                  <c:v>42954</c:v>
                </c:pt>
                <c:pt idx="303">
                  <c:v>42955</c:v>
                </c:pt>
                <c:pt idx="304">
                  <c:v>42956</c:v>
                </c:pt>
                <c:pt idx="305">
                  <c:v>42957</c:v>
                </c:pt>
                <c:pt idx="306">
                  <c:v>42958</c:v>
                </c:pt>
                <c:pt idx="307">
                  <c:v>42959</c:v>
                </c:pt>
                <c:pt idx="308">
                  <c:v>42960</c:v>
                </c:pt>
                <c:pt idx="309">
                  <c:v>42961</c:v>
                </c:pt>
                <c:pt idx="310">
                  <c:v>42962</c:v>
                </c:pt>
                <c:pt idx="311">
                  <c:v>42963</c:v>
                </c:pt>
                <c:pt idx="312">
                  <c:v>42964</c:v>
                </c:pt>
                <c:pt idx="313">
                  <c:v>42965</c:v>
                </c:pt>
                <c:pt idx="314">
                  <c:v>42966</c:v>
                </c:pt>
                <c:pt idx="315">
                  <c:v>42967</c:v>
                </c:pt>
                <c:pt idx="316">
                  <c:v>42968</c:v>
                </c:pt>
                <c:pt idx="317">
                  <c:v>42969</c:v>
                </c:pt>
                <c:pt idx="318">
                  <c:v>42970</c:v>
                </c:pt>
                <c:pt idx="319">
                  <c:v>42971</c:v>
                </c:pt>
                <c:pt idx="320">
                  <c:v>42972</c:v>
                </c:pt>
                <c:pt idx="321">
                  <c:v>42973</c:v>
                </c:pt>
                <c:pt idx="322">
                  <c:v>42974</c:v>
                </c:pt>
                <c:pt idx="323">
                  <c:v>42975</c:v>
                </c:pt>
                <c:pt idx="324">
                  <c:v>42976</c:v>
                </c:pt>
                <c:pt idx="325">
                  <c:v>42977</c:v>
                </c:pt>
                <c:pt idx="326">
                  <c:v>42978</c:v>
                </c:pt>
                <c:pt idx="327">
                  <c:v>42979</c:v>
                </c:pt>
                <c:pt idx="328">
                  <c:v>42980</c:v>
                </c:pt>
                <c:pt idx="329">
                  <c:v>42981</c:v>
                </c:pt>
                <c:pt idx="330">
                  <c:v>42982</c:v>
                </c:pt>
                <c:pt idx="331">
                  <c:v>42983</c:v>
                </c:pt>
                <c:pt idx="332">
                  <c:v>42984</c:v>
                </c:pt>
                <c:pt idx="333">
                  <c:v>42985</c:v>
                </c:pt>
                <c:pt idx="334">
                  <c:v>42986</c:v>
                </c:pt>
                <c:pt idx="335">
                  <c:v>42987</c:v>
                </c:pt>
                <c:pt idx="336">
                  <c:v>42988</c:v>
                </c:pt>
                <c:pt idx="337">
                  <c:v>42989</c:v>
                </c:pt>
                <c:pt idx="338">
                  <c:v>42990</c:v>
                </c:pt>
                <c:pt idx="339">
                  <c:v>42991</c:v>
                </c:pt>
                <c:pt idx="340">
                  <c:v>42992</c:v>
                </c:pt>
                <c:pt idx="341">
                  <c:v>42993</c:v>
                </c:pt>
                <c:pt idx="342">
                  <c:v>42994</c:v>
                </c:pt>
                <c:pt idx="343">
                  <c:v>42995</c:v>
                </c:pt>
                <c:pt idx="344">
                  <c:v>42996</c:v>
                </c:pt>
                <c:pt idx="345">
                  <c:v>42997</c:v>
                </c:pt>
                <c:pt idx="346">
                  <c:v>42998</c:v>
                </c:pt>
                <c:pt idx="347">
                  <c:v>42999</c:v>
                </c:pt>
                <c:pt idx="348">
                  <c:v>43000</c:v>
                </c:pt>
                <c:pt idx="349">
                  <c:v>43001</c:v>
                </c:pt>
                <c:pt idx="350">
                  <c:v>43002</c:v>
                </c:pt>
                <c:pt idx="351">
                  <c:v>43003</c:v>
                </c:pt>
                <c:pt idx="352">
                  <c:v>43004</c:v>
                </c:pt>
                <c:pt idx="353">
                  <c:v>43005</c:v>
                </c:pt>
                <c:pt idx="354">
                  <c:v>43006</c:v>
                </c:pt>
                <c:pt idx="355">
                  <c:v>43007</c:v>
                </c:pt>
                <c:pt idx="356">
                  <c:v>43008</c:v>
                </c:pt>
                <c:pt idx="357">
                  <c:v>43009</c:v>
                </c:pt>
                <c:pt idx="358">
                  <c:v>43010</c:v>
                </c:pt>
                <c:pt idx="359">
                  <c:v>43011</c:v>
                </c:pt>
                <c:pt idx="360">
                  <c:v>43012</c:v>
                </c:pt>
                <c:pt idx="361">
                  <c:v>43013</c:v>
                </c:pt>
                <c:pt idx="362">
                  <c:v>43014</c:v>
                </c:pt>
                <c:pt idx="363">
                  <c:v>43015</c:v>
                </c:pt>
                <c:pt idx="364">
                  <c:v>43016</c:v>
                </c:pt>
                <c:pt idx="365">
                  <c:v>43017</c:v>
                </c:pt>
                <c:pt idx="366">
                  <c:v>43018</c:v>
                </c:pt>
                <c:pt idx="367">
                  <c:v>43019</c:v>
                </c:pt>
                <c:pt idx="368">
                  <c:v>43020</c:v>
                </c:pt>
                <c:pt idx="369">
                  <c:v>43021</c:v>
                </c:pt>
                <c:pt idx="370">
                  <c:v>43022</c:v>
                </c:pt>
                <c:pt idx="371">
                  <c:v>43023</c:v>
                </c:pt>
                <c:pt idx="372">
                  <c:v>43024</c:v>
                </c:pt>
                <c:pt idx="373">
                  <c:v>43025</c:v>
                </c:pt>
                <c:pt idx="374">
                  <c:v>43026</c:v>
                </c:pt>
                <c:pt idx="375">
                  <c:v>43027</c:v>
                </c:pt>
                <c:pt idx="376">
                  <c:v>43028</c:v>
                </c:pt>
                <c:pt idx="377">
                  <c:v>43029</c:v>
                </c:pt>
                <c:pt idx="378">
                  <c:v>43030</c:v>
                </c:pt>
                <c:pt idx="379">
                  <c:v>43031</c:v>
                </c:pt>
                <c:pt idx="380">
                  <c:v>43032</c:v>
                </c:pt>
                <c:pt idx="381">
                  <c:v>43033</c:v>
                </c:pt>
                <c:pt idx="382">
                  <c:v>43034</c:v>
                </c:pt>
                <c:pt idx="383">
                  <c:v>43035</c:v>
                </c:pt>
                <c:pt idx="384">
                  <c:v>43036</c:v>
                </c:pt>
                <c:pt idx="385">
                  <c:v>43037</c:v>
                </c:pt>
                <c:pt idx="386">
                  <c:v>43038</c:v>
                </c:pt>
                <c:pt idx="387">
                  <c:v>43039</c:v>
                </c:pt>
                <c:pt idx="388">
                  <c:v>43040</c:v>
                </c:pt>
                <c:pt idx="389">
                  <c:v>43041</c:v>
                </c:pt>
                <c:pt idx="390">
                  <c:v>43042</c:v>
                </c:pt>
                <c:pt idx="391">
                  <c:v>43043</c:v>
                </c:pt>
                <c:pt idx="392">
                  <c:v>43044</c:v>
                </c:pt>
                <c:pt idx="393">
                  <c:v>43045</c:v>
                </c:pt>
                <c:pt idx="394">
                  <c:v>43046</c:v>
                </c:pt>
                <c:pt idx="395">
                  <c:v>43047</c:v>
                </c:pt>
                <c:pt idx="396">
                  <c:v>43048</c:v>
                </c:pt>
                <c:pt idx="397">
                  <c:v>43049</c:v>
                </c:pt>
                <c:pt idx="398">
                  <c:v>43050</c:v>
                </c:pt>
                <c:pt idx="399">
                  <c:v>43051</c:v>
                </c:pt>
                <c:pt idx="400">
                  <c:v>43052</c:v>
                </c:pt>
                <c:pt idx="401">
                  <c:v>43053</c:v>
                </c:pt>
                <c:pt idx="402">
                  <c:v>43054</c:v>
                </c:pt>
                <c:pt idx="403">
                  <c:v>43055</c:v>
                </c:pt>
                <c:pt idx="404">
                  <c:v>43056</c:v>
                </c:pt>
                <c:pt idx="405">
                  <c:v>43057</c:v>
                </c:pt>
                <c:pt idx="406">
                  <c:v>43058</c:v>
                </c:pt>
                <c:pt idx="407">
                  <c:v>43059</c:v>
                </c:pt>
                <c:pt idx="408">
                  <c:v>43060</c:v>
                </c:pt>
                <c:pt idx="409">
                  <c:v>43061</c:v>
                </c:pt>
                <c:pt idx="410">
                  <c:v>43062</c:v>
                </c:pt>
                <c:pt idx="411">
                  <c:v>43063</c:v>
                </c:pt>
                <c:pt idx="412">
                  <c:v>43064</c:v>
                </c:pt>
                <c:pt idx="413">
                  <c:v>43065</c:v>
                </c:pt>
                <c:pt idx="414">
                  <c:v>43066</c:v>
                </c:pt>
                <c:pt idx="415">
                  <c:v>43067</c:v>
                </c:pt>
                <c:pt idx="416">
                  <c:v>43068</c:v>
                </c:pt>
                <c:pt idx="417">
                  <c:v>43069</c:v>
                </c:pt>
                <c:pt idx="418">
                  <c:v>43070</c:v>
                </c:pt>
                <c:pt idx="419">
                  <c:v>43071</c:v>
                </c:pt>
                <c:pt idx="420">
                  <c:v>43072</c:v>
                </c:pt>
                <c:pt idx="421">
                  <c:v>43073</c:v>
                </c:pt>
                <c:pt idx="422">
                  <c:v>43074</c:v>
                </c:pt>
                <c:pt idx="423">
                  <c:v>43075</c:v>
                </c:pt>
                <c:pt idx="424">
                  <c:v>43076</c:v>
                </c:pt>
                <c:pt idx="425">
                  <c:v>43077</c:v>
                </c:pt>
                <c:pt idx="426">
                  <c:v>43078</c:v>
                </c:pt>
                <c:pt idx="427">
                  <c:v>43079</c:v>
                </c:pt>
                <c:pt idx="428">
                  <c:v>43080</c:v>
                </c:pt>
                <c:pt idx="429">
                  <c:v>43081</c:v>
                </c:pt>
                <c:pt idx="430">
                  <c:v>43082</c:v>
                </c:pt>
                <c:pt idx="431">
                  <c:v>43083</c:v>
                </c:pt>
                <c:pt idx="432">
                  <c:v>43084</c:v>
                </c:pt>
                <c:pt idx="433">
                  <c:v>43085</c:v>
                </c:pt>
                <c:pt idx="434">
                  <c:v>43086</c:v>
                </c:pt>
                <c:pt idx="435">
                  <c:v>43087</c:v>
                </c:pt>
                <c:pt idx="436">
                  <c:v>43088</c:v>
                </c:pt>
                <c:pt idx="437">
                  <c:v>43089</c:v>
                </c:pt>
                <c:pt idx="438">
                  <c:v>43090</c:v>
                </c:pt>
                <c:pt idx="439">
                  <c:v>43091</c:v>
                </c:pt>
                <c:pt idx="440">
                  <c:v>43092</c:v>
                </c:pt>
                <c:pt idx="441">
                  <c:v>43093</c:v>
                </c:pt>
                <c:pt idx="442">
                  <c:v>43094</c:v>
                </c:pt>
                <c:pt idx="443">
                  <c:v>43095</c:v>
                </c:pt>
                <c:pt idx="444">
                  <c:v>43096</c:v>
                </c:pt>
                <c:pt idx="445">
                  <c:v>43097</c:v>
                </c:pt>
                <c:pt idx="446">
                  <c:v>43098</c:v>
                </c:pt>
                <c:pt idx="447">
                  <c:v>43099</c:v>
                </c:pt>
                <c:pt idx="448">
                  <c:v>43100</c:v>
                </c:pt>
                <c:pt idx="449">
                  <c:v>43101</c:v>
                </c:pt>
                <c:pt idx="450">
                  <c:v>43102</c:v>
                </c:pt>
                <c:pt idx="451">
                  <c:v>43103</c:v>
                </c:pt>
                <c:pt idx="452">
                  <c:v>43104</c:v>
                </c:pt>
                <c:pt idx="453">
                  <c:v>43105</c:v>
                </c:pt>
                <c:pt idx="454">
                  <c:v>43106</c:v>
                </c:pt>
                <c:pt idx="455">
                  <c:v>43107</c:v>
                </c:pt>
                <c:pt idx="456">
                  <c:v>43108</c:v>
                </c:pt>
                <c:pt idx="457">
                  <c:v>43109</c:v>
                </c:pt>
                <c:pt idx="458">
                  <c:v>43110</c:v>
                </c:pt>
                <c:pt idx="459">
                  <c:v>43111</c:v>
                </c:pt>
                <c:pt idx="460">
                  <c:v>43112</c:v>
                </c:pt>
                <c:pt idx="461">
                  <c:v>43113</c:v>
                </c:pt>
                <c:pt idx="462">
                  <c:v>43114</c:v>
                </c:pt>
                <c:pt idx="463">
                  <c:v>43115</c:v>
                </c:pt>
                <c:pt idx="464">
                  <c:v>43116</c:v>
                </c:pt>
                <c:pt idx="465">
                  <c:v>43117</c:v>
                </c:pt>
                <c:pt idx="466">
                  <c:v>43118</c:v>
                </c:pt>
                <c:pt idx="467">
                  <c:v>43119</c:v>
                </c:pt>
                <c:pt idx="468">
                  <c:v>43120</c:v>
                </c:pt>
                <c:pt idx="469">
                  <c:v>43121</c:v>
                </c:pt>
                <c:pt idx="470">
                  <c:v>43122</c:v>
                </c:pt>
                <c:pt idx="471">
                  <c:v>43123</c:v>
                </c:pt>
                <c:pt idx="472">
                  <c:v>43124</c:v>
                </c:pt>
                <c:pt idx="473">
                  <c:v>43125</c:v>
                </c:pt>
                <c:pt idx="474">
                  <c:v>43126</c:v>
                </c:pt>
                <c:pt idx="475">
                  <c:v>43127</c:v>
                </c:pt>
                <c:pt idx="476">
                  <c:v>43128</c:v>
                </c:pt>
                <c:pt idx="477">
                  <c:v>43129</c:v>
                </c:pt>
                <c:pt idx="478">
                  <c:v>43130</c:v>
                </c:pt>
                <c:pt idx="479">
                  <c:v>43131</c:v>
                </c:pt>
                <c:pt idx="480">
                  <c:v>43132</c:v>
                </c:pt>
                <c:pt idx="481">
                  <c:v>43133</c:v>
                </c:pt>
                <c:pt idx="482">
                  <c:v>43134</c:v>
                </c:pt>
                <c:pt idx="483">
                  <c:v>43135</c:v>
                </c:pt>
                <c:pt idx="484">
                  <c:v>43136</c:v>
                </c:pt>
                <c:pt idx="485">
                  <c:v>43137</c:v>
                </c:pt>
                <c:pt idx="486">
                  <c:v>43138</c:v>
                </c:pt>
                <c:pt idx="487">
                  <c:v>43139</c:v>
                </c:pt>
                <c:pt idx="488">
                  <c:v>43140</c:v>
                </c:pt>
                <c:pt idx="489">
                  <c:v>43141</c:v>
                </c:pt>
                <c:pt idx="490">
                  <c:v>43142</c:v>
                </c:pt>
                <c:pt idx="491">
                  <c:v>43143</c:v>
                </c:pt>
                <c:pt idx="492">
                  <c:v>43144</c:v>
                </c:pt>
                <c:pt idx="493">
                  <c:v>43145</c:v>
                </c:pt>
                <c:pt idx="494">
                  <c:v>43146</c:v>
                </c:pt>
                <c:pt idx="495">
                  <c:v>43147</c:v>
                </c:pt>
                <c:pt idx="496">
                  <c:v>43148</c:v>
                </c:pt>
                <c:pt idx="497">
                  <c:v>43149</c:v>
                </c:pt>
                <c:pt idx="498">
                  <c:v>43150</c:v>
                </c:pt>
                <c:pt idx="499">
                  <c:v>43151</c:v>
                </c:pt>
                <c:pt idx="500">
                  <c:v>43152</c:v>
                </c:pt>
                <c:pt idx="501">
                  <c:v>43153</c:v>
                </c:pt>
                <c:pt idx="502">
                  <c:v>43154</c:v>
                </c:pt>
                <c:pt idx="503">
                  <c:v>43155</c:v>
                </c:pt>
                <c:pt idx="504">
                  <c:v>43156</c:v>
                </c:pt>
                <c:pt idx="505">
                  <c:v>43157</c:v>
                </c:pt>
                <c:pt idx="506">
                  <c:v>43158</c:v>
                </c:pt>
                <c:pt idx="507">
                  <c:v>43159</c:v>
                </c:pt>
                <c:pt idx="508">
                  <c:v>43160</c:v>
                </c:pt>
                <c:pt idx="509">
                  <c:v>43161</c:v>
                </c:pt>
                <c:pt idx="510">
                  <c:v>43162</c:v>
                </c:pt>
                <c:pt idx="511">
                  <c:v>43163</c:v>
                </c:pt>
                <c:pt idx="512">
                  <c:v>43164</c:v>
                </c:pt>
                <c:pt idx="513">
                  <c:v>43165</c:v>
                </c:pt>
                <c:pt idx="514">
                  <c:v>43166</c:v>
                </c:pt>
                <c:pt idx="515">
                  <c:v>43167</c:v>
                </c:pt>
                <c:pt idx="516">
                  <c:v>43168</c:v>
                </c:pt>
                <c:pt idx="517">
                  <c:v>43169</c:v>
                </c:pt>
                <c:pt idx="518">
                  <c:v>43170</c:v>
                </c:pt>
                <c:pt idx="519">
                  <c:v>43171</c:v>
                </c:pt>
                <c:pt idx="520">
                  <c:v>43172</c:v>
                </c:pt>
                <c:pt idx="521">
                  <c:v>43173</c:v>
                </c:pt>
                <c:pt idx="522">
                  <c:v>43174</c:v>
                </c:pt>
                <c:pt idx="523">
                  <c:v>43175</c:v>
                </c:pt>
                <c:pt idx="524">
                  <c:v>43176</c:v>
                </c:pt>
                <c:pt idx="525">
                  <c:v>43177</c:v>
                </c:pt>
                <c:pt idx="526">
                  <c:v>43178</c:v>
                </c:pt>
                <c:pt idx="527">
                  <c:v>43179</c:v>
                </c:pt>
                <c:pt idx="528">
                  <c:v>43180</c:v>
                </c:pt>
                <c:pt idx="529">
                  <c:v>43181</c:v>
                </c:pt>
                <c:pt idx="530">
                  <c:v>43182</c:v>
                </c:pt>
                <c:pt idx="531">
                  <c:v>43183</c:v>
                </c:pt>
                <c:pt idx="532">
                  <c:v>43184</c:v>
                </c:pt>
                <c:pt idx="533">
                  <c:v>43185</c:v>
                </c:pt>
                <c:pt idx="534">
                  <c:v>43186</c:v>
                </c:pt>
                <c:pt idx="535">
                  <c:v>43187</c:v>
                </c:pt>
                <c:pt idx="536">
                  <c:v>43188</c:v>
                </c:pt>
                <c:pt idx="537">
                  <c:v>43189</c:v>
                </c:pt>
                <c:pt idx="538">
                  <c:v>43190</c:v>
                </c:pt>
                <c:pt idx="539">
                  <c:v>43191</c:v>
                </c:pt>
                <c:pt idx="540">
                  <c:v>43192</c:v>
                </c:pt>
                <c:pt idx="541">
                  <c:v>43193</c:v>
                </c:pt>
                <c:pt idx="542">
                  <c:v>43194</c:v>
                </c:pt>
                <c:pt idx="543">
                  <c:v>43195</c:v>
                </c:pt>
                <c:pt idx="544">
                  <c:v>43196</c:v>
                </c:pt>
                <c:pt idx="545">
                  <c:v>43197</c:v>
                </c:pt>
                <c:pt idx="546">
                  <c:v>43198</c:v>
                </c:pt>
                <c:pt idx="547">
                  <c:v>43199</c:v>
                </c:pt>
                <c:pt idx="548">
                  <c:v>43200</c:v>
                </c:pt>
                <c:pt idx="549">
                  <c:v>43201</c:v>
                </c:pt>
                <c:pt idx="550">
                  <c:v>43202</c:v>
                </c:pt>
                <c:pt idx="551">
                  <c:v>43203</c:v>
                </c:pt>
                <c:pt idx="552">
                  <c:v>43204</c:v>
                </c:pt>
                <c:pt idx="553">
                  <c:v>43205</c:v>
                </c:pt>
                <c:pt idx="554">
                  <c:v>43206</c:v>
                </c:pt>
                <c:pt idx="555">
                  <c:v>43207</c:v>
                </c:pt>
                <c:pt idx="556">
                  <c:v>43208</c:v>
                </c:pt>
                <c:pt idx="557">
                  <c:v>43209</c:v>
                </c:pt>
                <c:pt idx="558">
                  <c:v>43210</c:v>
                </c:pt>
                <c:pt idx="559">
                  <c:v>43211</c:v>
                </c:pt>
                <c:pt idx="560">
                  <c:v>43212</c:v>
                </c:pt>
                <c:pt idx="561">
                  <c:v>43213</c:v>
                </c:pt>
                <c:pt idx="562">
                  <c:v>43214</c:v>
                </c:pt>
                <c:pt idx="563">
                  <c:v>43215</c:v>
                </c:pt>
                <c:pt idx="564">
                  <c:v>43216</c:v>
                </c:pt>
                <c:pt idx="565">
                  <c:v>43217</c:v>
                </c:pt>
                <c:pt idx="566">
                  <c:v>43218</c:v>
                </c:pt>
                <c:pt idx="567">
                  <c:v>43219</c:v>
                </c:pt>
                <c:pt idx="568">
                  <c:v>43220</c:v>
                </c:pt>
                <c:pt idx="569">
                  <c:v>43221</c:v>
                </c:pt>
                <c:pt idx="570">
                  <c:v>43222</c:v>
                </c:pt>
                <c:pt idx="571">
                  <c:v>43223</c:v>
                </c:pt>
                <c:pt idx="572">
                  <c:v>43224</c:v>
                </c:pt>
                <c:pt idx="573">
                  <c:v>43225</c:v>
                </c:pt>
                <c:pt idx="574">
                  <c:v>43226</c:v>
                </c:pt>
                <c:pt idx="575">
                  <c:v>43227</c:v>
                </c:pt>
                <c:pt idx="576">
                  <c:v>43228</c:v>
                </c:pt>
                <c:pt idx="577">
                  <c:v>43229</c:v>
                </c:pt>
                <c:pt idx="578">
                  <c:v>43230</c:v>
                </c:pt>
                <c:pt idx="579">
                  <c:v>43231</c:v>
                </c:pt>
                <c:pt idx="580">
                  <c:v>43232</c:v>
                </c:pt>
                <c:pt idx="581">
                  <c:v>43233</c:v>
                </c:pt>
                <c:pt idx="582">
                  <c:v>43234</c:v>
                </c:pt>
                <c:pt idx="583">
                  <c:v>43235</c:v>
                </c:pt>
                <c:pt idx="584">
                  <c:v>43236</c:v>
                </c:pt>
                <c:pt idx="585">
                  <c:v>43237</c:v>
                </c:pt>
                <c:pt idx="586">
                  <c:v>43238</c:v>
                </c:pt>
                <c:pt idx="587">
                  <c:v>43239</c:v>
                </c:pt>
                <c:pt idx="588">
                  <c:v>43240</c:v>
                </c:pt>
                <c:pt idx="589">
                  <c:v>43241</c:v>
                </c:pt>
                <c:pt idx="590">
                  <c:v>43242</c:v>
                </c:pt>
                <c:pt idx="591">
                  <c:v>43243</c:v>
                </c:pt>
                <c:pt idx="592">
                  <c:v>43244</c:v>
                </c:pt>
                <c:pt idx="593">
                  <c:v>43245</c:v>
                </c:pt>
                <c:pt idx="594">
                  <c:v>43246</c:v>
                </c:pt>
                <c:pt idx="595">
                  <c:v>43247</c:v>
                </c:pt>
                <c:pt idx="596">
                  <c:v>43248</c:v>
                </c:pt>
                <c:pt idx="597">
                  <c:v>43249</c:v>
                </c:pt>
                <c:pt idx="598">
                  <c:v>43250</c:v>
                </c:pt>
                <c:pt idx="599">
                  <c:v>43251</c:v>
                </c:pt>
                <c:pt idx="600">
                  <c:v>43252</c:v>
                </c:pt>
                <c:pt idx="601">
                  <c:v>43253</c:v>
                </c:pt>
                <c:pt idx="602">
                  <c:v>43254</c:v>
                </c:pt>
                <c:pt idx="603">
                  <c:v>43255</c:v>
                </c:pt>
                <c:pt idx="604">
                  <c:v>43256</c:v>
                </c:pt>
                <c:pt idx="605">
                  <c:v>43257</c:v>
                </c:pt>
                <c:pt idx="606">
                  <c:v>43258</c:v>
                </c:pt>
                <c:pt idx="607">
                  <c:v>43259</c:v>
                </c:pt>
                <c:pt idx="608">
                  <c:v>43260</c:v>
                </c:pt>
                <c:pt idx="609">
                  <c:v>43261</c:v>
                </c:pt>
                <c:pt idx="610">
                  <c:v>43262</c:v>
                </c:pt>
                <c:pt idx="611">
                  <c:v>43263</c:v>
                </c:pt>
                <c:pt idx="612">
                  <c:v>43264</c:v>
                </c:pt>
                <c:pt idx="613">
                  <c:v>43265</c:v>
                </c:pt>
                <c:pt idx="614">
                  <c:v>43266</c:v>
                </c:pt>
                <c:pt idx="615">
                  <c:v>43267</c:v>
                </c:pt>
                <c:pt idx="616">
                  <c:v>43268</c:v>
                </c:pt>
                <c:pt idx="617">
                  <c:v>43269</c:v>
                </c:pt>
                <c:pt idx="618">
                  <c:v>43270</c:v>
                </c:pt>
                <c:pt idx="619">
                  <c:v>43271</c:v>
                </c:pt>
                <c:pt idx="620">
                  <c:v>43272</c:v>
                </c:pt>
                <c:pt idx="621">
                  <c:v>43273</c:v>
                </c:pt>
                <c:pt idx="622">
                  <c:v>43274</c:v>
                </c:pt>
                <c:pt idx="623">
                  <c:v>43275</c:v>
                </c:pt>
                <c:pt idx="624">
                  <c:v>43276</c:v>
                </c:pt>
                <c:pt idx="625">
                  <c:v>43277</c:v>
                </c:pt>
                <c:pt idx="626">
                  <c:v>43278</c:v>
                </c:pt>
                <c:pt idx="627">
                  <c:v>43279</c:v>
                </c:pt>
                <c:pt idx="628">
                  <c:v>43280</c:v>
                </c:pt>
                <c:pt idx="629">
                  <c:v>43281</c:v>
                </c:pt>
                <c:pt idx="630">
                  <c:v>43282</c:v>
                </c:pt>
                <c:pt idx="631">
                  <c:v>43283</c:v>
                </c:pt>
                <c:pt idx="632">
                  <c:v>43284</c:v>
                </c:pt>
                <c:pt idx="633">
                  <c:v>43285</c:v>
                </c:pt>
                <c:pt idx="634">
                  <c:v>43286</c:v>
                </c:pt>
                <c:pt idx="635">
                  <c:v>43287</c:v>
                </c:pt>
                <c:pt idx="636">
                  <c:v>43288</c:v>
                </c:pt>
                <c:pt idx="637">
                  <c:v>43289</c:v>
                </c:pt>
                <c:pt idx="638">
                  <c:v>43290</c:v>
                </c:pt>
                <c:pt idx="639">
                  <c:v>43291</c:v>
                </c:pt>
                <c:pt idx="640">
                  <c:v>43292</c:v>
                </c:pt>
                <c:pt idx="641">
                  <c:v>43293</c:v>
                </c:pt>
                <c:pt idx="642">
                  <c:v>43294</c:v>
                </c:pt>
                <c:pt idx="643">
                  <c:v>43295</c:v>
                </c:pt>
                <c:pt idx="644">
                  <c:v>43296</c:v>
                </c:pt>
                <c:pt idx="645">
                  <c:v>43297</c:v>
                </c:pt>
                <c:pt idx="646">
                  <c:v>43298</c:v>
                </c:pt>
                <c:pt idx="647">
                  <c:v>43299</c:v>
                </c:pt>
                <c:pt idx="648">
                  <c:v>43300</c:v>
                </c:pt>
                <c:pt idx="649">
                  <c:v>43301</c:v>
                </c:pt>
                <c:pt idx="650">
                  <c:v>43302</c:v>
                </c:pt>
                <c:pt idx="651">
                  <c:v>43303</c:v>
                </c:pt>
                <c:pt idx="652">
                  <c:v>43304</c:v>
                </c:pt>
                <c:pt idx="653">
                  <c:v>43305</c:v>
                </c:pt>
                <c:pt idx="654">
                  <c:v>43306</c:v>
                </c:pt>
                <c:pt idx="655">
                  <c:v>43307</c:v>
                </c:pt>
                <c:pt idx="656">
                  <c:v>43308</c:v>
                </c:pt>
                <c:pt idx="657">
                  <c:v>43309</c:v>
                </c:pt>
                <c:pt idx="658">
                  <c:v>43310</c:v>
                </c:pt>
                <c:pt idx="659">
                  <c:v>43311</c:v>
                </c:pt>
                <c:pt idx="660">
                  <c:v>43312</c:v>
                </c:pt>
                <c:pt idx="661">
                  <c:v>43313</c:v>
                </c:pt>
                <c:pt idx="662">
                  <c:v>43314</c:v>
                </c:pt>
                <c:pt idx="663">
                  <c:v>43315</c:v>
                </c:pt>
                <c:pt idx="664">
                  <c:v>43316</c:v>
                </c:pt>
                <c:pt idx="665">
                  <c:v>43317</c:v>
                </c:pt>
                <c:pt idx="666">
                  <c:v>43318</c:v>
                </c:pt>
                <c:pt idx="667">
                  <c:v>43319</c:v>
                </c:pt>
                <c:pt idx="668">
                  <c:v>43320</c:v>
                </c:pt>
                <c:pt idx="669">
                  <c:v>43321</c:v>
                </c:pt>
                <c:pt idx="670">
                  <c:v>43322</c:v>
                </c:pt>
                <c:pt idx="671">
                  <c:v>43323</c:v>
                </c:pt>
                <c:pt idx="672">
                  <c:v>43324</c:v>
                </c:pt>
                <c:pt idx="673">
                  <c:v>43325</c:v>
                </c:pt>
                <c:pt idx="674">
                  <c:v>43326</c:v>
                </c:pt>
                <c:pt idx="675">
                  <c:v>43327</c:v>
                </c:pt>
                <c:pt idx="676">
                  <c:v>43328</c:v>
                </c:pt>
                <c:pt idx="677">
                  <c:v>43329</c:v>
                </c:pt>
                <c:pt idx="678">
                  <c:v>43330</c:v>
                </c:pt>
                <c:pt idx="679">
                  <c:v>43331</c:v>
                </c:pt>
                <c:pt idx="680">
                  <c:v>43332</c:v>
                </c:pt>
                <c:pt idx="681">
                  <c:v>43333</c:v>
                </c:pt>
                <c:pt idx="682">
                  <c:v>43334</c:v>
                </c:pt>
                <c:pt idx="683">
                  <c:v>43335</c:v>
                </c:pt>
                <c:pt idx="684">
                  <c:v>43336</c:v>
                </c:pt>
                <c:pt idx="685">
                  <c:v>43337</c:v>
                </c:pt>
                <c:pt idx="686">
                  <c:v>43338</c:v>
                </c:pt>
                <c:pt idx="687">
                  <c:v>43339</c:v>
                </c:pt>
                <c:pt idx="688">
                  <c:v>43340</c:v>
                </c:pt>
                <c:pt idx="689">
                  <c:v>43341</c:v>
                </c:pt>
                <c:pt idx="690">
                  <c:v>43342</c:v>
                </c:pt>
                <c:pt idx="691">
                  <c:v>43343</c:v>
                </c:pt>
                <c:pt idx="692">
                  <c:v>43344</c:v>
                </c:pt>
                <c:pt idx="693">
                  <c:v>43345</c:v>
                </c:pt>
                <c:pt idx="694">
                  <c:v>43346</c:v>
                </c:pt>
                <c:pt idx="695">
                  <c:v>43347</c:v>
                </c:pt>
                <c:pt idx="696">
                  <c:v>43348</c:v>
                </c:pt>
                <c:pt idx="697">
                  <c:v>43349</c:v>
                </c:pt>
                <c:pt idx="698">
                  <c:v>43350</c:v>
                </c:pt>
                <c:pt idx="699">
                  <c:v>43351</c:v>
                </c:pt>
                <c:pt idx="700">
                  <c:v>43352</c:v>
                </c:pt>
                <c:pt idx="701">
                  <c:v>43353</c:v>
                </c:pt>
                <c:pt idx="702">
                  <c:v>43354</c:v>
                </c:pt>
                <c:pt idx="703">
                  <c:v>43355</c:v>
                </c:pt>
                <c:pt idx="704">
                  <c:v>43356</c:v>
                </c:pt>
                <c:pt idx="705">
                  <c:v>43357</c:v>
                </c:pt>
                <c:pt idx="706">
                  <c:v>43358</c:v>
                </c:pt>
                <c:pt idx="707">
                  <c:v>43359</c:v>
                </c:pt>
                <c:pt idx="708">
                  <c:v>43360</c:v>
                </c:pt>
                <c:pt idx="709">
                  <c:v>43361</c:v>
                </c:pt>
                <c:pt idx="710">
                  <c:v>43362</c:v>
                </c:pt>
                <c:pt idx="711">
                  <c:v>43363</c:v>
                </c:pt>
                <c:pt idx="712">
                  <c:v>43364</c:v>
                </c:pt>
                <c:pt idx="713">
                  <c:v>43365</c:v>
                </c:pt>
                <c:pt idx="714">
                  <c:v>43366</c:v>
                </c:pt>
                <c:pt idx="715">
                  <c:v>43367</c:v>
                </c:pt>
                <c:pt idx="716">
                  <c:v>43368</c:v>
                </c:pt>
                <c:pt idx="717">
                  <c:v>43369</c:v>
                </c:pt>
                <c:pt idx="718">
                  <c:v>43370</c:v>
                </c:pt>
                <c:pt idx="719">
                  <c:v>43371</c:v>
                </c:pt>
                <c:pt idx="720">
                  <c:v>43372</c:v>
                </c:pt>
                <c:pt idx="721">
                  <c:v>43373</c:v>
                </c:pt>
                <c:pt idx="722">
                  <c:v>43374</c:v>
                </c:pt>
                <c:pt idx="723">
                  <c:v>43375</c:v>
                </c:pt>
                <c:pt idx="724">
                  <c:v>43376</c:v>
                </c:pt>
                <c:pt idx="725">
                  <c:v>43377</c:v>
                </c:pt>
                <c:pt idx="726">
                  <c:v>43378</c:v>
                </c:pt>
                <c:pt idx="727">
                  <c:v>43379</c:v>
                </c:pt>
                <c:pt idx="728">
                  <c:v>43380</c:v>
                </c:pt>
                <c:pt idx="729">
                  <c:v>43381</c:v>
                </c:pt>
                <c:pt idx="730">
                  <c:v>43382</c:v>
                </c:pt>
                <c:pt idx="731">
                  <c:v>43383</c:v>
                </c:pt>
                <c:pt idx="732">
                  <c:v>43384</c:v>
                </c:pt>
                <c:pt idx="733">
                  <c:v>43385</c:v>
                </c:pt>
                <c:pt idx="734">
                  <c:v>43386</c:v>
                </c:pt>
                <c:pt idx="735">
                  <c:v>43387</c:v>
                </c:pt>
                <c:pt idx="736">
                  <c:v>43388</c:v>
                </c:pt>
                <c:pt idx="737">
                  <c:v>43389</c:v>
                </c:pt>
                <c:pt idx="738">
                  <c:v>43390</c:v>
                </c:pt>
                <c:pt idx="739">
                  <c:v>43391</c:v>
                </c:pt>
                <c:pt idx="740">
                  <c:v>43392</c:v>
                </c:pt>
                <c:pt idx="741">
                  <c:v>43393</c:v>
                </c:pt>
                <c:pt idx="742">
                  <c:v>43394</c:v>
                </c:pt>
                <c:pt idx="743">
                  <c:v>43395</c:v>
                </c:pt>
                <c:pt idx="744">
                  <c:v>43396</c:v>
                </c:pt>
                <c:pt idx="745">
                  <c:v>43397</c:v>
                </c:pt>
                <c:pt idx="746">
                  <c:v>43398</c:v>
                </c:pt>
                <c:pt idx="747">
                  <c:v>43399</c:v>
                </c:pt>
                <c:pt idx="748">
                  <c:v>43400</c:v>
                </c:pt>
                <c:pt idx="749">
                  <c:v>43401</c:v>
                </c:pt>
                <c:pt idx="750">
                  <c:v>43402</c:v>
                </c:pt>
                <c:pt idx="751">
                  <c:v>43403</c:v>
                </c:pt>
                <c:pt idx="752">
                  <c:v>43404</c:v>
                </c:pt>
                <c:pt idx="753">
                  <c:v>43405</c:v>
                </c:pt>
                <c:pt idx="754">
                  <c:v>43406</c:v>
                </c:pt>
                <c:pt idx="755">
                  <c:v>43407</c:v>
                </c:pt>
                <c:pt idx="756">
                  <c:v>43408</c:v>
                </c:pt>
                <c:pt idx="757">
                  <c:v>43409</c:v>
                </c:pt>
                <c:pt idx="758">
                  <c:v>43410</c:v>
                </c:pt>
                <c:pt idx="759">
                  <c:v>43411</c:v>
                </c:pt>
                <c:pt idx="760">
                  <c:v>43412</c:v>
                </c:pt>
                <c:pt idx="761">
                  <c:v>43413</c:v>
                </c:pt>
                <c:pt idx="762">
                  <c:v>43414</c:v>
                </c:pt>
                <c:pt idx="763">
                  <c:v>43415</c:v>
                </c:pt>
                <c:pt idx="764">
                  <c:v>43416</c:v>
                </c:pt>
                <c:pt idx="765">
                  <c:v>43417</c:v>
                </c:pt>
                <c:pt idx="766">
                  <c:v>43418</c:v>
                </c:pt>
                <c:pt idx="767">
                  <c:v>43419</c:v>
                </c:pt>
                <c:pt idx="768">
                  <c:v>43420</c:v>
                </c:pt>
                <c:pt idx="769">
                  <c:v>43421</c:v>
                </c:pt>
                <c:pt idx="770">
                  <c:v>43422</c:v>
                </c:pt>
                <c:pt idx="771">
                  <c:v>43423</c:v>
                </c:pt>
                <c:pt idx="772">
                  <c:v>43424</c:v>
                </c:pt>
                <c:pt idx="773">
                  <c:v>43425</c:v>
                </c:pt>
                <c:pt idx="774">
                  <c:v>43426</c:v>
                </c:pt>
                <c:pt idx="775">
                  <c:v>43427</c:v>
                </c:pt>
                <c:pt idx="776">
                  <c:v>43428</c:v>
                </c:pt>
                <c:pt idx="777">
                  <c:v>43429</c:v>
                </c:pt>
                <c:pt idx="778">
                  <c:v>43430</c:v>
                </c:pt>
                <c:pt idx="779">
                  <c:v>43431</c:v>
                </c:pt>
                <c:pt idx="780">
                  <c:v>43432</c:v>
                </c:pt>
                <c:pt idx="781">
                  <c:v>43433</c:v>
                </c:pt>
                <c:pt idx="782">
                  <c:v>43434</c:v>
                </c:pt>
                <c:pt idx="783">
                  <c:v>43435</c:v>
                </c:pt>
                <c:pt idx="784">
                  <c:v>43436</c:v>
                </c:pt>
                <c:pt idx="785">
                  <c:v>43437</c:v>
                </c:pt>
                <c:pt idx="786">
                  <c:v>43438</c:v>
                </c:pt>
                <c:pt idx="787">
                  <c:v>43439</c:v>
                </c:pt>
                <c:pt idx="788">
                  <c:v>43440</c:v>
                </c:pt>
                <c:pt idx="789">
                  <c:v>43441</c:v>
                </c:pt>
                <c:pt idx="790">
                  <c:v>43442</c:v>
                </c:pt>
                <c:pt idx="791">
                  <c:v>43443</c:v>
                </c:pt>
                <c:pt idx="792">
                  <c:v>43444</c:v>
                </c:pt>
                <c:pt idx="793">
                  <c:v>43445</c:v>
                </c:pt>
                <c:pt idx="794">
                  <c:v>43446</c:v>
                </c:pt>
                <c:pt idx="795">
                  <c:v>43447</c:v>
                </c:pt>
                <c:pt idx="796">
                  <c:v>43448</c:v>
                </c:pt>
                <c:pt idx="797">
                  <c:v>43449</c:v>
                </c:pt>
                <c:pt idx="798">
                  <c:v>43450</c:v>
                </c:pt>
                <c:pt idx="799">
                  <c:v>43451</c:v>
                </c:pt>
                <c:pt idx="800">
                  <c:v>43452</c:v>
                </c:pt>
                <c:pt idx="801">
                  <c:v>43453</c:v>
                </c:pt>
                <c:pt idx="802">
                  <c:v>43454</c:v>
                </c:pt>
                <c:pt idx="803">
                  <c:v>43455</c:v>
                </c:pt>
                <c:pt idx="804">
                  <c:v>43456</c:v>
                </c:pt>
                <c:pt idx="805">
                  <c:v>43457</c:v>
                </c:pt>
                <c:pt idx="806">
                  <c:v>43458</c:v>
                </c:pt>
                <c:pt idx="807">
                  <c:v>43459</c:v>
                </c:pt>
                <c:pt idx="808">
                  <c:v>43460</c:v>
                </c:pt>
                <c:pt idx="809">
                  <c:v>43461</c:v>
                </c:pt>
                <c:pt idx="810">
                  <c:v>43462</c:v>
                </c:pt>
                <c:pt idx="811">
                  <c:v>43463</c:v>
                </c:pt>
                <c:pt idx="812">
                  <c:v>43464</c:v>
                </c:pt>
                <c:pt idx="813">
                  <c:v>43465</c:v>
                </c:pt>
                <c:pt idx="814">
                  <c:v>43466</c:v>
                </c:pt>
                <c:pt idx="815">
                  <c:v>43467</c:v>
                </c:pt>
                <c:pt idx="816">
                  <c:v>43468</c:v>
                </c:pt>
                <c:pt idx="817">
                  <c:v>43469</c:v>
                </c:pt>
                <c:pt idx="818">
                  <c:v>43470</c:v>
                </c:pt>
                <c:pt idx="819">
                  <c:v>43471</c:v>
                </c:pt>
                <c:pt idx="820">
                  <c:v>43472</c:v>
                </c:pt>
                <c:pt idx="821">
                  <c:v>43473</c:v>
                </c:pt>
                <c:pt idx="822">
                  <c:v>43474</c:v>
                </c:pt>
                <c:pt idx="823">
                  <c:v>43475</c:v>
                </c:pt>
                <c:pt idx="824">
                  <c:v>43476</c:v>
                </c:pt>
                <c:pt idx="825">
                  <c:v>43477</c:v>
                </c:pt>
                <c:pt idx="826">
                  <c:v>43478</c:v>
                </c:pt>
                <c:pt idx="827">
                  <c:v>43479</c:v>
                </c:pt>
                <c:pt idx="828">
                  <c:v>43480</c:v>
                </c:pt>
                <c:pt idx="829">
                  <c:v>43481</c:v>
                </c:pt>
                <c:pt idx="830">
                  <c:v>43482</c:v>
                </c:pt>
                <c:pt idx="831">
                  <c:v>43483</c:v>
                </c:pt>
                <c:pt idx="832">
                  <c:v>43484</c:v>
                </c:pt>
                <c:pt idx="833">
                  <c:v>43485</c:v>
                </c:pt>
                <c:pt idx="834">
                  <c:v>43486</c:v>
                </c:pt>
                <c:pt idx="835">
                  <c:v>43487</c:v>
                </c:pt>
                <c:pt idx="836">
                  <c:v>43488</c:v>
                </c:pt>
                <c:pt idx="837">
                  <c:v>43489</c:v>
                </c:pt>
                <c:pt idx="838">
                  <c:v>43490</c:v>
                </c:pt>
                <c:pt idx="839">
                  <c:v>43491</c:v>
                </c:pt>
                <c:pt idx="840">
                  <c:v>43492</c:v>
                </c:pt>
                <c:pt idx="841">
                  <c:v>43493</c:v>
                </c:pt>
                <c:pt idx="842">
                  <c:v>43494</c:v>
                </c:pt>
                <c:pt idx="843">
                  <c:v>43495</c:v>
                </c:pt>
                <c:pt idx="844">
                  <c:v>43496</c:v>
                </c:pt>
                <c:pt idx="845">
                  <c:v>43497</c:v>
                </c:pt>
                <c:pt idx="846">
                  <c:v>43498</c:v>
                </c:pt>
                <c:pt idx="847">
                  <c:v>43499</c:v>
                </c:pt>
                <c:pt idx="848">
                  <c:v>43500</c:v>
                </c:pt>
                <c:pt idx="849">
                  <c:v>43501</c:v>
                </c:pt>
                <c:pt idx="850">
                  <c:v>43502</c:v>
                </c:pt>
                <c:pt idx="851">
                  <c:v>43503</c:v>
                </c:pt>
                <c:pt idx="852">
                  <c:v>43504</c:v>
                </c:pt>
                <c:pt idx="853">
                  <c:v>43505</c:v>
                </c:pt>
                <c:pt idx="854">
                  <c:v>43506</c:v>
                </c:pt>
                <c:pt idx="855">
                  <c:v>43507</c:v>
                </c:pt>
                <c:pt idx="856">
                  <c:v>43508</c:v>
                </c:pt>
                <c:pt idx="857">
                  <c:v>43509</c:v>
                </c:pt>
                <c:pt idx="858">
                  <c:v>43510</c:v>
                </c:pt>
                <c:pt idx="859">
                  <c:v>43511</c:v>
                </c:pt>
                <c:pt idx="860">
                  <c:v>43512</c:v>
                </c:pt>
                <c:pt idx="861">
                  <c:v>43513</c:v>
                </c:pt>
                <c:pt idx="862">
                  <c:v>43514</c:v>
                </c:pt>
                <c:pt idx="863">
                  <c:v>43515</c:v>
                </c:pt>
                <c:pt idx="864">
                  <c:v>43516</c:v>
                </c:pt>
                <c:pt idx="865">
                  <c:v>43517</c:v>
                </c:pt>
                <c:pt idx="866">
                  <c:v>43518</c:v>
                </c:pt>
                <c:pt idx="867">
                  <c:v>43519</c:v>
                </c:pt>
                <c:pt idx="868">
                  <c:v>43520</c:v>
                </c:pt>
                <c:pt idx="869">
                  <c:v>43521</c:v>
                </c:pt>
                <c:pt idx="870">
                  <c:v>43522</c:v>
                </c:pt>
                <c:pt idx="871">
                  <c:v>43523</c:v>
                </c:pt>
                <c:pt idx="872">
                  <c:v>43524</c:v>
                </c:pt>
                <c:pt idx="873">
                  <c:v>43525</c:v>
                </c:pt>
                <c:pt idx="874">
                  <c:v>43526</c:v>
                </c:pt>
                <c:pt idx="875">
                  <c:v>43527</c:v>
                </c:pt>
                <c:pt idx="876">
                  <c:v>43528</c:v>
                </c:pt>
                <c:pt idx="877">
                  <c:v>43529</c:v>
                </c:pt>
                <c:pt idx="878">
                  <c:v>43530</c:v>
                </c:pt>
                <c:pt idx="879">
                  <c:v>43531</c:v>
                </c:pt>
                <c:pt idx="880">
                  <c:v>43532</c:v>
                </c:pt>
                <c:pt idx="881">
                  <c:v>43533</c:v>
                </c:pt>
                <c:pt idx="882">
                  <c:v>43534</c:v>
                </c:pt>
                <c:pt idx="883">
                  <c:v>43535</c:v>
                </c:pt>
                <c:pt idx="884">
                  <c:v>43536</c:v>
                </c:pt>
                <c:pt idx="885">
                  <c:v>43537</c:v>
                </c:pt>
                <c:pt idx="886">
                  <c:v>43538</c:v>
                </c:pt>
                <c:pt idx="887">
                  <c:v>43539</c:v>
                </c:pt>
                <c:pt idx="888">
                  <c:v>43540</c:v>
                </c:pt>
                <c:pt idx="889">
                  <c:v>43541</c:v>
                </c:pt>
                <c:pt idx="890">
                  <c:v>43542</c:v>
                </c:pt>
                <c:pt idx="891">
                  <c:v>43543</c:v>
                </c:pt>
                <c:pt idx="892">
                  <c:v>43544</c:v>
                </c:pt>
                <c:pt idx="893">
                  <c:v>43545</c:v>
                </c:pt>
                <c:pt idx="894">
                  <c:v>43546</c:v>
                </c:pt>
                <c:pt idx="895">
                  <c:v>43547</c:v>
                </c:pt>
                <c:pt idx="896">
                  <c:v>43548</c:v>
                </c:pt>
                <c:pt idx="897">
                  <c:v>43549</c:v>
                </c:pt>
                <c:pt idx="898">
                  <c:v>43550</c:v>
                </c:pt>
                <c:pt idx="899">
                  <c:v>43551</c:v>
                </c:pt>
                <c:pt idx="900">
                  <c:v>43552</c:v>
                </c:pt>
                <c:pt idx="901">
                  <c:v>43553</c:v>
                </c:pt>
                <c:pt idx="902">
                  <c:v>43554</c:v>
                </c:pt>
                <c:pt idx="903">
                  <c:v>43555</c:v>
                </c:pt>
                <c:pt idx="904">
                  <c:v>43556</c:v>
                </c:pt>
                <c:pt idx="905">
                  <c:v>43557</c:v>
                </c:pt>
                <c:pt idx="906">
                  <c:v>43558</c:v>
                </c:pt>
                <c:pt idx="907">
                  <c:v>43559</c:v>
                </c:pt>
                <c:pt idx="908">
                  <c:v>43560</c:v>
                </c:pt>
                <c:pt idx="909">
                  <c:v>43561</c:v>
                </c:pt>
                <c:pt idx="910">
                  <c:v>43562</c:v>
                </c:pt>
                <c:pt idx="911">
                  <c:v>43563</c:v>
                </c:pt>
                <c:pt idx="912">
                  <c:v>43564</c:v>
                </c:pt>
                <c:pt idx="913">
                  <c:v>43565</c:v>
                </c:pt>
                <c:pt idx="914">
                  <c:v>43566</c:v>
                </c:pt>
                <c:pt idx="915">
                  <c:v>43567</c:v>
                </c:pt>
                <c:pt idx="916">
                  <c:v>43568</c:v>
                </c:pt>
                <c:pt idx="917">
                  <c:v>43569</c:v>
                </c:pt>
                <c:pt idx="918">
                  <c:v>43570</c:v>
                </c:pt>
                <c:pt idx="919">
                  <c:v>43571</c:v>
                </c:pt>
                <c:pt idx="920">
                  <c:v>43572</c:v>
                </c:pt>
                <c:pt idx="921">
                  <c:v>43573</c:v>
                </c:pt>
                <c:pt idx="922">
                  <c:v>43574</c:v>
                </c:pt>
                <c:pt idx="923">
                  <c:v>43575</c:v>
                </c:pt>
                <c:pt idx="924">
                  <c:v>43576</c:v>
                </c:pt>
                <c:pt idx="925">
                  <c:v>43577</c:v>
                </c:pt>
                <c:pt idx="926">
                  <c:v>43578</c:v>
                </c:pt>
                <c:pt idx="927">
                  <c:v>43579</c:v>
                </c:pt>
                <c:pt idx="928">
                  <c:v>43580</c:v>
                </c:pt>
                <c:pt idx="929">
                  <c:v>43581</c:v>
                </c:pt>
                <c:pt idx="930">
                  <c:v>43582</c:v>
                </c:pt>
                <c:pt idx="931">
                  <c:v>43583</c:v>
                </c:pt>
                <c:pt idx="932">
                  <c:v>43584</c:v>
                </c:pt>
                <c:pt idx="933">
                  <c:v>43585</c:v>
                </c:pt>
                <c:pt idx="934">
                  <c:v>43586</c:v>
                </c:pt>
                <c:pt idx="935">
                  <c:v>43587</c:v>
                </c:pt>
                <c:pt idx="936">
                  <c:v>43588</c:v>
                </c:pt>
                <c:pt idx="937">
                  <c:v>43589</c:v>
                </c:pt>
                <c:pt idx="938">
                  <c:v>43590</c:v>
                </c:pt>
                <c:pt idx="939">
                  <c:v>43591</c:v>
                </c:pt>
                <c:pt idx="940">
                  <c:v>43592</c:v>
                </c:pt>
                <c:pt idx="941">
                  <c:v>43593</c:v>
                </c:pt>
                <c:pt idx="942">
                  <c:v>43594</c:v>
                </c:pt>
                <c:pt idx="943">
                  <c:v>43595</c:v>
                </c:pt>
                <c:pt idx="944">
                  <c:v>43596</c:v>
                </c:pt>
                <c:pt idx="945">
                  <c:v>43597</c:v>
                </c:pt>
                <c:pt idx="946">
                  <c:v>43598</c:v>
                </c:pt>
                <c:pt idx="947">
                  <c:v>43599</c:v>
                </c:pt>
                <c:pt idx="948">
                  <c:v>43600</c:v>
                </c:pt>
                <c:pt idx="949">
                  <c:v>43601</c:v>
                </c:pt>
                <c:pt idx="950">
                  <c:v>43602</c:v>
                </c:pt>
                <c:pt idx="951">
                  <c:v>43603</c:v>
                </c:pt>
                <c:pt idx="952">
                  <c:v>43604</c:v>
                </c:pt>
                <c:pt idx="953">
                  <c:v>43605</c:v>
                </c:pt>
                <c:pt idx="954">
                  <c:v>43606</c:v>
                </c:pt>
                <c:pt idx="955">
                  <c:v>43607</c:v>
                </c:pt>
                <c:pt idx="956">
                  <c:v>43608</c:v>
                </c:pt>
                <c:pt idx="957">
                  <c:v>43609</c:v>
                </c:pt>
                <c:pt idx="958">
                  <c:v>43610</c:v>
                </c:pt>
                <c:pt idx="959">
                  <c:v>43611</c:v>
                </c:pt>
                <c:pt idx="960">
                  <c:v>43612</c:v>
                </c:pt>
                <c:pt idx="961">
                  <c:v>43613</c:v>
                </c:pt>
                <c:pt idx="962">
                  <c:v>43614</c:v>
                </c:pt>
                <c:pt idx="963">
                  <c:v>43615</c:v>
                </c:pt>
                <c:pt idx="964">
                  <c:v>43616</c:v>
                </c:pt>
                <c:pt idx="965">
                  <c:v>43617</c:v>
                </c:pt>
                <c:pt idx="966">
                  <c:v>43618</c:v>
                </c:pt>
                <c:pt idx="967">
                  <c:v>43619</c:v>
                </c:pt>
                <c:pt idx="968">
                  <c:v>43620</c:v>
                </c:pt>
                <c:pt idx="969">
                  <c:v>43621</c:v>
                </c:pt>
                <c:pt idx="970">
                  <c:v>43622</c:v>
                </c:pt>
                <c:pt idx="971">
                  <c:v>43623</c:v>
                </c:pt>
                <c:pt idx="972">
                  <c:v>43624</c:v>
                </c:pt>
                <c:pt idx="973">
                  <c:v>43625</c:v>
                </c:pt>
                <c:pt idx="974">
                  <c:v>43626</c:v>
                </c:pt>
                <c:pt idx="975">
                  <c:v>43627</c:v>
                </c:pt>
                <c:pt idx="976">
                  <c:v>43628</c:v>
                </c:pt>
                <c:pt idx="977">
                  <c:v>43629</c:v>
                </c:pt>
                <c:pt idx="978">
                  <c:v>43630</c:v>
                </c:pt>
                <c:pt idx="979">
                  <c:v>43631</c:v>
                </c:pt>
                <c:pt idx="980">
                  <c:v>43632</c:v>
                </c:pt>
                <c:pt idx="981">
                  <c:v>43633</c:v>
                </c:pt>
                <c:pt idx="982">
                  <c:v>43634</c:v>
                </c:pt>
                <c:pt idx="983">
                  <c:v>43635</c:v>
                </c:pt>
                <c:pt idx="984">
                  <c:v>43636</c:v>
                </c:pt>
                <c:pt idx="985">
                  <c:v>43637</c:v>
                </c:pt>
                <c:pt idx="986">
                  <c:v>43638</c:v>
                </c:pt>
                <c:pt idx="987">
                  <c:v>43639</c:v>
                </c:pt>
                <c:pt idx="988">
                  <c:v>43640</c:v>
                </c:pt>
                <c:pt idx="989">
                  <c:v>43641</c:v>
                </c:pt>
                <c:pt idx="990">
                  <c:v>43642</c:v>
                </c:pt>
                <c:pt idx="991">
                  <c:v>43643</c:v>
                </c:pt>
                <c:pt idx="992">
                  <c:v>43644</c:v>
                </c:pt>
                <c:pt idx="993">
                  <c:v>43645</c:v>
                </c:pt>
                <c:pt idx="994">
                  <c:v>43646</c:v>
                </c:pt>
                <c:pt idx="995">
                  <c:v>43647</c:v>
                </c:pt>
                <c:pt idx="996">
                  <c:v>43648</c:v>
                </c:pt>
                <c:pt idx="997">
                  <c:v>43649</c:v>
                </c:pt>
                <c:pt idx="998">
                  <c:v>43650</c:v>
                </c:pt>
                <c:pt idx="999">
                  <c:v>43651</c:v>
                </c:pt>
                <c:pt idx="1000">
                  <c:v>43652</c:v>
                </c:pt>
                <c:pt idx="1001">
                  <c:v>43653</c:v>
                </c:pt>
                <c:pt idx="1002">
                  <c:v>43654</c:v>
                </c:pt>
                <c:pt idx="1003">
                  <c:v>43655</c:v>
                </c:pt>
                <c:pt idx="1004">
                  <c:v>43656</c:v>
                </c:pt>
                <c:pt idx="1005">
                  <c:v>43657</c:v>
                </c:pt>
                <c:pt idx="1006">
                  <c:v>43658</c:v>
                </c:pt>
                <c:pt idx="1007">
                  <c:v>43659</c:v>
                </c:pt>
                <c:pt idx="1008">
                  <c:v>43660</c:v>
                </c:pt>
                <c:pt idx="1009">
                  <c:v>43661</c:v>
                </c:pt>
                <c:pt idx="1010">
                  <c:v>43662</c:v>
                </c:pt>
                <c:pt idx="1011">
                  <c:v>43663</c:v>
                </c:pt>
                <c:pt idx="1012">
                  <c:v>43664</c:v>
                </c:pt>
                <c:pt idx="1013">
                  <c:v>43665</c:v>
                </c:pt>
                <c:pt idx="1014">
                  <c:v>43666</c:v>
                </c:pt>
                <c:pt idx="1015">
                  <c:v>43667</c:v>
                </c:pt>
                <c:pt idx="1016">
                  <c:v>43668</c:v>
                </c:pt>
                <c:pt idx="1017">
                  <c:v>43669</c:v>
                </c:pt>
                <c:pt idx="1018">
                  <c:v>43670</c:v>
                </c:pt>
                <c:pt idx="1019">
                  <c:v>43671</c:v>
                </c:pt>
                <c:pt idx="1020">
                  <c:v>43672</c:v>
                </c:pt>
                <c:pt idx="1021">
                  <c:v>43673</c:v>
                </c:pt>
                <c:pt idx="1022">
                  <c:v>43674</c:v>
                </c:pt>
                <c:pt idx="1023">
                  <c:v>43675</c:v>
                </c:pt>
                <c:pt idx="1024">
                  <c:v>43676</c:v>
                </c:pt>
                <c:pt idx="1025">
                  <c:v>43677</c:v>
                </c:pt>
                <c:pt idx="1026">
                  <c:v>43678</c:v>
                </c:pt>
                <c:pt idx="1027">
                  <c:v>43679</c:v>
                </c:pt>
                <c:pt idx="1028">
                  <c:v>43680</c:v>
                </c:pt>
                <c:pt idx="1029">
                  <c:v>43681</c:v>
                </c:pt>
                <c:pt idx="1030">
                  <c:v>43682</c:v>
                </c:pt>
                <c:pt idx="1031">
                  <c:v>43683</c:v>
                </c:pt>
                <c:pt idx="1032">
                  <c:v>43684</c:v>
                </c:pt>
                <c:pt idx="1033">
                  <c:v>43685</c:v>
                </c:pt>
                <c:pt idx="1034">
                  <c:v>43686</c:v>
                </c:pt>
                <c:pt idx="1035">
                  <c:v>43687</c:v>
                </c:pt>
                <c:pt idx="1036">
                  <c:v>43688</c:v>
                </c:pt>
                <c:pt idx="1037">
                  <c:v>43689</c:v>
                </c:pt>
                <c:pt idx="1038">
                  <c:v>43690</c:v>
                </c:pt>
                <c:pt idx="1039">
                  <c:v>43691</c:v>
                </c:pt>
                <c:pt idx="1040">
                  <c:v>43692</c:v>
                </c:pt>
                <c:pt idx="1041">
                  <c:v>43693</c:v>
                </c:pt>
                <c:pt idx="1042">
                  <c:v>43694</c:v>
                </c:pt>
                <c:pt idx="1043">
                  <c:v>43695</c:v>
                </c:pt>
                <c:pt idx="1044">
                  <c:v>43696</c:v>
                </c:pt>
                <c:pt idx="1045">
                  <c:v>43697</c:v>
                </c:pt>
                <c:pt idx="1046">
                  <c:v>43698</c:v>
                </c:pt>
                <c:pt idx="1047">
                  <c:v>43699</c:v>
                </c:pt>
                <c:pt idx="1048">
                  <c:v>43700</c:v>
                </c:pt>
                <c:pt idx="1049">
                  <c:v>43701</c:v>
                </c:pt>
                <c:pt idx="1050">
                  <c:v>43702</c:v>
                </c:pt>
                <c:pt idx="1051">
                  <c:v>43703</c:v>
                </c:pt>
                <c:pt idx="1052">
                  <c:v>43704</c:v>
                </c:pt>
                <c:pt idx="1053">
                  <c:v>43705</c:v>
                </c:pt>
                <c:pt idx="1054">
                  <c:v>43706</c:v>
                </c:pt>
                <c:pt idx="1055">
                  <c:v>43707</c:v>
                </c:pt>
                <c:pt idx="1056">
                  <c:v>43708</c:v>
                </c:pt>
                <c:pt idx="1057">
                  <c:v>43709</c:v>
                </c:pt>
                <c:pt idx="1058">
                  <c:v>43710</c:v>
                </c:pt>
                <c:pt idx="1059">
                  <c:v>43711</c:v>
                </c:pt>
                <c:pt idx="1060">
                  <c:v>43712</c:v>
                </c:pt>
                <c:pt idx="1061">
                  <c:v>43713</c:v>
                </c:pt>
                <c:pt idx="1062">
                  <c:v>43714</c:v>
                </c:pt>
                <c:pt idx="1063">
                  <c:v>43715</c:v>
                </c:pt>
                <c:pt idx="1064">
                  <c:v>43716</c:v>
                </c:pt>
                <c:pt idx="1065">
                  <c:v>43717</c:v>
                </c:pt>
                <c:pt idx="1066">
                  <c:v>43718</c:v>
                </c:pt>
                <c:pt idx="1067">
                  <c:v>43719</c:v>
                </c:pt>
                <c:pt idx="1068">
                  <c:v>43720</c:v>
                </c:pt>
                <c:pt idx="1069">
                  <c:v>43721</c:v>
                </c:pt>
                <c:pt idx="1070">
                  <c:v>43722</c:v>
                </c:pt>
                <c:pt idx="1071">
                  <c:v>43723</c:v>
                </c:pt>
                <c:pt idx="1072">
                  <c:v>43724</c:v>
                </c:pt>
                <c:pt idx="1073">
                  <c:v>43725</c:v>
                </c:pt>
                <c:pt idx="1074">
                  <c:v>43726</c:v>
                </c:pt>
                <c:pt idx="1075">
                  <c:v>43727</c:v>
                </c:pt>
                <c:pt idx="1076">
                  <c:v>43728</c:v>
                </c:pt>
                <c:pt idx="1077">
                  <c:v>43729</c:v>
                </c:pt>
                <c:pt idx="1078">
                  <c:v>43730</c:v>
                </c:pt>
                <c:pt idx="1079">
                  <c:v>43731</c:v>
                </c:pt>
                <c:pt idx="1080">
                  <c:v>43732</c:v>
                </c:pt>
                <c:pt idx="1081">
                  <c:v>43733</c:v>
                </c:pt>
                <c:pt idx="1082">
                  <c:v>43734</c:v>
                </c:pt>
                <c:pt idx="1083">
                  <c:v>43735</c:v>
                </c:pt>
                <c:pt idx="1084">
                  <c:v>43736</c:v>
                </c:pt>
                <c:pt idx="1085">
                  <c:v>43737</c:v>
                </c:pt>
                <c:pt idx="1086">
                  <c:v>43738</c:v>
                </c:pt>
              </c:numCache>
            </c:numRef>
          </c:cat>
          <c:val>
            <c:numRef>
              <c:f>PITTE!$B$2:$B$1098</c:f>
              <c:numCache>
                <c:formatCode>_-* #\ ##0\ _€_-;\-* #\ ##0\ _€_-;_-* "-"??\ _€_-;_-@_-</c:formatCode>
                <c:ptCount val="1089"/>
                <c:pt idx="0">
                  <c:v>225000</c:v>
                </c:pt>
                <c:pt idx="1">
                  <c:v>225000</c:v>
                </c:pt>
                <c:pt idx="2">
                  <c:v>225000</c:v>
                </c:pt>
                <c:pt idx="3">
                  <c:v>225000</c:v>
                </c:pt>
                <c:pt idx="4">
                  <c:v>225000</c:v>
                </c:pt>
                <c:pt idx="5">
                  <c:v>225000</c:v>
                </c:pt>
                <c:pt idx="6">
                  <c:v>225000</c:v>
                </c:pt>
                <c:pt idx="7">
                  <c:v>225000</c:v>
                </c:pt>
                <c:pt idx="8">
                  <c:v>225000</c:v>
                </c:pt>
                <c:pt idx="9">
                  <c:v>225000</c:v>
                </c:pt>
                <c:pt idx="10">
                  <c:v>225000</c:v>
                </c:pt>
                <c:pt idx="11">
                  <c:v>225000</c:v>
                </c:pt>
                <c:pt idx="12">
                  <c:v>225000</c:v>
                </c:pt>
                <c:pt idx="13">
                  <c:v>225000</c:v>
                </c:pt>
                <c:pt idx="14">
                  <c:v>225000</c:v>
                </c:pt>
                <c:pt idx="15">
                  <c:v>225000</c:v>
                </c:pt>
                <c:pt idx="16">
                  <c:v>225000</c:v>
                </c:pt>
                <c:pt idx="17">
                  <c:v>225000</c:v>
                </c:pt>
                <c:pt idx="18">
                  <c:v>225000</c:v>
                </c:pt>
                <c:pt idx="19">
                  <c:v>225000</c:v>
                </c:pt>
                <c:pt idx="20">
                  <c:v>225000</c:v>
                </c:pt>
                <c:pt idx="21">
                  <c:v>225000</c:v>
                </c:pt>
                <c:pt idx="22">
                  <c:v>225000</c:v>
                </c:pt>
                <c:pt idx="23">
                  <c:v>225000</c:v>
                </c:pt>
                <c:pt idx="24">
                  <c:v>225000</c:v>
                </c:pt>
                <c:pt idx="25">
                  <c:v>225000</c:v>
                </c:pt>
                <c:pt idx="26">
                  <c:v>225000</c:v>
                </c:pt>
                <c:pt idx="27">
                  <c:v>225000</c:v>
                </c:pt>
                <c:pt idx="28">
                  <c:v>225000</c:v>
                </c:pt>
                <c:pt idx="29">
                  <c:v>225000</c:v>
                </c:pt>
                <c:pt idx="30">
                  <c:v>225000</c:v>
                </c:pt>
                <c:pt idx="31">
                  <c:v>225000</c:v>
                </c:pt>
                <c:pt idx="32">
                  <c:v>225000</c:v>
                </c:pt>
                <c:pt idx="33">
                  <c:v>225000</c:v>
                </c:pt>
                <c:pt idx="34">
                  <c:v>225000</c:v>
                </c:pt>
                <c:pt idx="35">
                  <c:v>225000</c:v>
                </c:pt>
                <c:pt idx="36">
                  <c:v>225000</c:v>
                </c:pt>
                <c:pt idx="37">
                  <c:v>225000</c:v>
                </c:pt>
                <c:pt idx="38">
                  <c:v>225000</c:v>
                </c:pt>
                <c:pt idx="39">
                  <c:v>225000</c:v>
                </c:pt>
                <c:pt idx="40">
                  <c:v>225000</c:v>
                </c:pt>
                <c:pt idx="41">
                  <c:v>225000</c:v>
                </c:pt>
                <c:pt idx="42">
                  <c:v>225000</c:v>
                </c:pt>
                <c:pt idx="43">
                  <c:v>225000</c:v>
                </c:pt>
                <c:pt idx="44">
                  <c:v>225000</c:v>
                </c:pt>
                <c:pt idx="45">
                  <c:v>225000</c:v>
                </c:pt>
                <c:pt idx="46">
                  <c:v>225000</c:v>
                </c:pt>
                <c:pt idx="47">
                  <c:v>225000</c:v>
                </c:pt>
                <c:pt idx="48">
                  <c:v>225000</c:v>
                </c:pt>
                <c:pt idx="49">
                  <c:v>225000</c:v>
                </c:pt>
                <c:pt idx="50">
                  <c:v>225000</c:v>
                </c:pt>
                <c:pt idx="51">
                  <c:v>225000</c:v>
                </c:pt>
                <c:pt idx="52">
                  <c:v>225000</c:v>
                </c:pt>
                <c:pt idx="53">
                  <c:v>225000</c:v>
                </c:pt>
                <c:pt idx="54">
                  <c:v>225000</c:v>
                </c:pt>
                <c:pt idx="55">
                  <c:v>225000</c:v>
                </c:pt>
                <c:pt idx="56">
                  <c:v>225000</c:v>
                </c:pt>
                <c:pt idx="57">
                  <c:v>225000</c:v>
                </c:pt>
                <c:pt idx="58">
                  <c:v>225000</c:v>
                </c:pt>
                <c:pt idx="59">
                  <c:v>225000</c:v>
                </c:pt>
                <c:pt idx="60">
                  <c:v>225000</c:v>
                </c:pt>
                <c:pt idx="61">
                  <c:v>225000</c:v>
                </c:pt>
                <c:pt idx="62">
                  <c:v>225000</c:v>
                </c:pt>
                <c:pt idx="63">
                  <c:v>225000</c:v>
                </c:pt>
                <c:pt idx="64">
                  <c:v>225000</c:v>
                </c:pt>
                <c:pt idx="65">
                  <c:v>225000</c:v>
                </c:pt>
                <c:pt idx="66">
                  <c:v>225000</c:v>
                </c:pt>
                <c:pt idx="67">
                  <c:v>225000</c:v>
                </c:pt>
                <c:pt idx="68">
                  <c:v>225000</c:v>
                </c:pt>
                <c:pt idx="69">
                  <c:v>225000</c:v>
                </c:pt>
                <c:pt idx="70">
                  <c:v>225000</c:v>
                </c:pt>
                <c:pt idx="71">
                  <c:v>225000</c:v>
                </c:pt>
                <c:pt idx="72">
                  <c:v>225000</c:v>
                </c:pt>
                <c:pt idx="73">
                  <c:v>225000</c:v>
                </c:pt>
                <c:pt idx="74">
                  <c:v>225000</c:v>
                </c:pt>
                <c:pt idx="75">
                  <c:v>225000</c:v>
                </c:pt>
                <c:pt idx="76">
                  <c:v>225000</c:v>
                </c:pt>
                <c:pt idx="77">
                  <c:v>225000</c:v>
                </c:pt>
                <c:pt idx="78">
                  <c:v>225000</c:v>
                </c:pt>
                <c:pt idx="79">
                  <c:v>225000</c:v>
                </c:pt>
                <c:pt idx="80">
                  <c:v>225000</c:v>
                </c:pt>
                <c:pt idx="81">
                  <c:v>225000</c:v>
                </c:pt>
                <c:pt idx="82">
                  <c:v>225000</c:v>
                </c:pt>
                <c:pt idx="83">
                  <c:v>225000</c:v>
                </c:pt>
                <c:pt idx="84">
                  <c:v>225000</c:v>
                </c:pt>
                <c:pt idx="85">
                  <c:v>225000</c:v>
                </c:pt>
                <c:pt idx="86">
                  <c:v>225000</c:v>
                </c:pt>
                <c:pt idx="87">
                  <c:v>225000</c:v>
                </c:pt>
                <c:pt idx="88">
                  <c:v>225000</c:v>
                </c:pt>
                <c:pt idx="89">
                  <c:v>225000</c:v>
                </c:pt>
                <c:pt idx="90">
                  <c:v>225000</c:v>
                </c:pt>
                <c:pt idx="91">
                  <c:v>225000</c:v>
                </c:pt>
                <c:pt idx="92">
                  <c:v>225000</c:v>
                </c:pt>
                <c:pt idx="93">
                  <c:v>225000</c:v>
                </c:pt>
                <c:pt idx="94">
                  <c:v>225000</c:v>
                </c:pt>
                <c:pt idx="95">
                  <c:v>225000</c:v>
                </c:pt>
                <c:pt idx="96">
                  <c:v>225000</c:v>
                </c:pt>
                <c:pt idx="97">
                  <c:v>225000</c:v>
                </c:pt>
                <c:pt idx="98">
                  <c:v>225000</c:v>
                </c:pt>
                <c:pt idx="99">
                  <c:v>225000</c:v>
                </c:pt>
                <c:pt idx="100">
                  <c:v>225000</c:v>
                </c:pt>
                <c:pt idx="101">
                  <c:v>225000</c:v>
                </c:pt>
                <c:pt idx="102">
                  <c:v>225000</c:v>
                </c:pt>
                <c:pt idx="103">
                  <c:v>225000</c:v>
                </c:pt>
                <c:pt idx="104">
                  <c:v>225000</c:v>
                </c:pt>
                <c:pt idx="105">
                  <c:v>225000</c:v>
                </c:pt>
                <c:pt idx="106">
                  <c:v>225000</c:v>
                </c:pt>
                <c:pt idx="107">
                  <c:v>225000</c:v>
                </c:pt>
                <c:pt idx="108">
                  <c:v>225000</c:v>
                </c:pt>
                <c:pt idx="109">
                  <c:v>225000</c:v>
                </c:pt>
                <c:pt idx="110">
                  <c:v>225000</c:v>
                </c:pt>
                <c:pt idx="111">
                  <c:v>225000</c:v>
                </c:pt>
                <c:pt idx="112">
                  <c:v>225000</c:v>
                </c:pt>
                <c:pt idx="113">
                  <c:v>225000</c:v>
                </c:pt>
                <c:pt idx="114">
                  <c:v>225000</c:v>
                </c:pt>
                <c:pt idx="115">
                  <c:v>225000</c:v>
                </c:pt>
                <c:pt idx="116">
                  <c:v>225000</c:v>
                </c:pt>
                <c:pt idx="117">
                  <c:v>225000</c:v>
                </c:pt>
                <c:pt idx="118">
                  <c:v>225000</c:v>
                </c:pt>
                <c:pt idx="119">
                  <c:v>225000</c:v>
                </c:pt>
                <c:pt idx="120">
                  <c:v>225000</c:v>
                </c:pt>
                <c:pt idx="121">
                  <c:v>225000</c:v>
                </c:pt>
                <c:pt idx="122">
                  <c:v>225000</c:v>
                </c:pt>
                <c:pt idx="123">
                  <c:v>225000</c:v>
                </c:pt>
                <c:pt idx="124">
                  <c:v>225000</c:v>
                </c:pt>
                <c:pt idx="125">
                  <c:v>225000</c:v>
                </c:pt>
                <c:pt idx="126">
                  <c:v>225000</c:v>
                </c:pt>
                <c:pt idx="127">
                  <c:v>225000</c:v>
                </c:pt>
                <c:pt idx="128">
                  <c:v>225000</c:v>
                </c:pt>
                <c:pt idx="129">
                  <c:v>225000</c:v>
                </c:pt>
                <c:pt idx="130">
                  <c:v>225000</c:v>
                </c:pt>
                <c:pt idx="131">
                  <c:v>225000</c:v>
                </c:pt>
                <c:pt idx="132">
                  <c:v>225000</c:v>
                </c:pt>
                <c:pt idx="133">
                  <c:v>225000</c:v>
                </c:pt>
                <c:pt idx="134">
                  <c:v>225000</c:v>
                </c:pt>
                <c:pt idx="135">
                  <c:v>225000</c:v>
                </c:pt>
                <c:pt idx="136">
                  <c:v>225000</c:v>
                </c:pt>
                <c:pt idx="137">
                  <c:v>225000</c:v>
                </c:pt>
                <c:pt idx="138">
                  <c:v>225000</c:v>
                </c:pt>
                <c:pt idx="139">
                  <c:v>225000</c:v>
                </c:pt>
                <c:pt idx="140">
                  <c:v>225000</c:v>
                </c:pt>
                <c:pt idx="141">
                  <c:v>225000</c:v>
                </c:pt>
                <c:pt idx="142">
                  <c:v>225000</c:v>
                </c:pt>
                <c:pt idx="143">
                  <c:v>225000</c:v>
                </c:pt>
                <c:pt idx="144">
                  <c:v>225000</c:v>
                </c:pt>
                <c:pt idx="145">
                  <c:v>225000</c:v>
                </c:pt>
                <c:pt idx="146">
                  <c:v>225000</c:v>
                </c:pt>
                <c:pt idx="147">
                  <c:v>225000</c:v>
                </c:pt>
                <c:pt idx="148">
                  <c:v>225000</c:v>
                </c:pt>
                <c:pt idx="149">
                  <c:v>225000</c:v>
                </c:pt>
                <c:pt idx="150">
                  <c:v>225000</c:v>
                </c:pt>
                <c:pt idx="151">
                  <c:v>225000</c:v>
                </c:pt>
                <c:pt idx="152">
                  <c:v>225000</c:v>
                </c:pt>
                <c:pt idx="153">
                  <c:v>225000</c:v>
                </c:pt>
                <c:pt idx="154">
                  <c:v>225000</c:v>
                </c:pt>
                <c:pt idx="155">
                  <c:v>225000</c:v>
                </c:pt>
                <c:pt idx="156">
                  <c:v>225000</c:v>
                </c:pt>
                <c:pt idx="157">
                  <c:v>225000</c:v>
                </c:pt>
                <c:pt idx="158">
                  <c:v>225000</c:v>
                </c:pt>
                <c:pt idx="159">
                  <c:v>225000</c:v>
                </c:pt>
                <c:pt idx="160">
                  <c:v>225000</c:v>
                </c:pt>
                <c:pt idx="161">
                  <c:v>225000</c:v>
                </c:pt>
                <c:pt idx="162">
                  <c:v>225000</c:v>
                </c:pt>
                <c:pt idx="163">
                  <c:v>225000</c:v>
                </c:pt>
                <c:pt idx="164">
                  <c:v>225000</c:v>
                </c:pt>
                <c:pt idx="165">
                  <c:v>225000</c:v>
                </c:pt>
                <c:pt idx="166">
                  <c:v>225000</c:v>
                </c:pt>
                <c:pt idx="167">
                  <c:v>225000</c:v>
                </c:pt>
                <c:pt idx="168">
                  <c:v>225000</c:v>
                </c:pt>
                <c:pt idx="169">
                  <c:v>225000</c:v>
                </c:pt>
                <c:pt idx="170">
                  <c:v>225000</c:v>
                </c:pt>
                <c:pt idx="171">
                  <c:v>225000</c:v>
                </c:pt>
                <c:pt idx="172">
                  <c:v>225000</c:v>
                </c:pt>
                <c:pt idx="173">
                  <c:v>225000</c:v>
                </c:pt>
                <c:pt idx="174">
                  <c:v>225000</c:v>
                </c:pt>
                <c:pt idx="175">
                  <c:v>225000</c:v>
                </c:pt>
                <c:pt idx="176">
                  <c:v>225000</c:v>
                </c:pt>
                <c:pt idx="177">
                  <c:v>225000</c:v>
                </c:pt>
                <c:pt idx="178">
                  <c:v>225000</c:v>
                </c:pt>
                <c:pt idx="179">
                  <c:v>225000</c:v>
                </c:pt>
                <c:pt idx="180">
                  <c:v>225000</c:v>
                </c:pt>
                <c:pt idx="181">
                  <c:v>225000</c:v>
                </c:pt>
                <c:pt idx="182">
                  <c:v>225000</c:v>
                </c:pt>
                <c:pt idx="183">
                  <c:v>225000</c:v>
                </c:pt>
                <c:pt idx="184">
                  <c:v>225000</c:v>
                </c:pt>
                <c:pt idx="185">
                  <c:v>225000</c:v>
                </c:pt>
                <c:pt idx="186">
                  <c:v>225000</c:v>
                </c:pt>
                <c:pt idx="187">
                  <c:v>225000</c:v>
                </c:pt>
                <c:pt idx="188">
                  <c:v>225000</c:v>
                </c:pt>
                <c:pt idx="189">
                  <c:v>225000</c:v>
                </c:pt>
                <c:pt idx="190">
                  <c:v>225000</c:v>
                </c:pt>
                <c:pt idx="191">
                  <c:v>225000</c:v>
                </c:pt>
                <c:pt idx="192">
                  <c:v>225000</c:v>
                </c:pt>
                <c:pt idx="193">
                  <c:v>225000</c:v>
                </c:pt>
                <c:pt idx="194">
                  <c:v>225000</c:v>
                </c:pt>
                <c:pt idx="195">
                  <c:v>225000</c:v>
                </c:pt>
                <c:pt idx="196">
                  <c:v>225000</c:v>
                </c:pt>
                <c:pt idx="197">
                  <c:v>225000</c:v>
                </c:pt>
                <c:pt idx="198">
                  <c:v>225000</c:v>
                </c:pt>
                <c:pt idx="199">
                  <c:v>225000</c:v>
                </c:pt>
                <c:pt idx="200">
                  <c:v>225000</c:v>
                </c:pt>
                <c:pt idx="201">
                  <c:v>225000</c:v>
                </c:pt>
                <c:pt idx="202">
                  <c:v>225000</c:v>
                </c:pt>
                <c:pt idx="203">
                  <c:v>225000</c:v>
                </c:pt>
                <c:pt idx="204">
                  <c:v>225000</c:v>
                </c:pt>
                <c:pt idx="205">
                  <c:v>225000</c:v>
                </c:pt>
                <c:pt idx="206">
                  <c:v>225000</c:v>
                </c:pt>
                <c:pt idx="207">
                  <c:v>225000</c:v>
                </c:pt>
                <c:pt idx="208">
                  <c:v>225000</c:v>
                </c:pt>
                <c:pt idx="209">
                  <c:v>225000</c:v>
                </c:pt>
                <c:pt idx="210">
                  <c:v>225000</c:v>
                </c:pt>
                <c:pt idx="211">
                  <c:v>225000</c:v>
                </c:pt>
                <c:pt idx="212">
                  <c:v>225000</c:v>
                </c:pt>
                <c:pt idx="213">
                  <c:v>225000</c:v>
                </c:pt>
                <c:pt idx="214">
                  <c:v>225000</c:v>
                </c:pt>
                <c:pt idx="215">
                  <c:v>225000</c:v>
                </c:pt>
                <c:pt idx="216">
                  <c:v>225000</c:v>
                </c:pt>
                <c:pt idx="217">
                  <c:v>225000</c:v>
                </c:pt>
                <c:pt idx="218">
                  <c:v>225000</c:v>
                </c:pt>
                <c:pt idx="219">
                  <c:v>225000</c:v>
                </c:pt>
                <c:pt idx="220">
                  <c:v>225000</c:v>
                </c:pt>
                <c:pt idx="221">
                  <c:v>225000</c:v>
                </c:pt>
                <c:pt idx="222">
                  <c:v>225000</c:v>
                </c:pt>
                <c:pt idx="223">
                  <c:v>225000</c:v>
                </c:pt>
                <c:pt idx="224">
                  <c:v>225000</c:v>
                </c:pt>
                <c:pt idx="225">
                  <c:v>225000</c:v>
                </c:pt>
                <c:pt idx="226">
                  <c:v>225000</c:v>
                </c:pt>
                <c:pt idx="227">
                  <c:v>225000</c:v>
                </c:pt>
                <c:pt idx="228">
                  <c:v>225000</c:v>
                </c:pt>
                <c:pt idx="229">
                  <c:v>225000</c:v>
                </c:pt>
                <c:pt idx="230">
                  <c:v>225000</c:v>
                </c:pt>
                <c:pt idx="231">
                  <c:v>225000</c:v>
                </c:pt>
                <c:pt idx="232">
                  <c:v>225000</c:v>
                </c:pt>
                <c:pt idx="233">
                  <c:v>225000</c:v>
                </c:pt>
                <c:pt idx="234">
                  <c:v>225000</c:v>
                </c:pt>
                <c:pt idx="235">
                  <c:v>225000</c:v>
                </c:pt>
                <c:pt idx="236">
                  <c:v>225000</c:v>
                </c:pt>
                <c:pt idx="237">
                  <c:v>225000</c:v>
                </c:pt>
                <c:pt idx="238">
                  <c:v>225000</c:v>
                </c:pt>
                <c:pt idx="239">
                  <c:v>225000</c:v>
                </c:pt>
                <c:pt idx="240">
                  <c:v>225000</c:v>
                </c:pt>
                <c:pt idx="241">
                  <c:v>225000</c:v>
                </c:pt>
                <c:pt idx="242">
                  <c:v>225000</c:v>
                </c:pt>
                <c:pt idx="243">
                  <c:v>225000</c:v>
                </c:pt>
                <c:pt idx="244">
                  <c:v>225000</c:v>
                </c:pt>
                <c:pt idx="245">
                  <c:v>225000</c:v>
                </c:pt>
                <c:pt idx="246">
                  <c:v>225000</c:v>
                </c:pt>
                <c:pt idx="247">
                  <c:v>225000</c:v>
                </c:pt>
                <c:pt idx="248">
                  <c:v>225000</c:v>
                </c:pt>
                <c:pt idx="249">
                  <c:v>225000</c:v>
                </c:pt>
                <c:pt idx="250">
                  <c:v>225000</c:v>
                </c:pt>
                <c:pt idx="251">
                  <c:v>225000</c:v>
                </c:pt>
                <c:pt idx="252">
                  <c:v>225000</c:v>
                </c:pt>
                <c:pt idx="253">
                  <c:v>225000</c:v>
                </c:pt>
                <c:pt idx="254">
                  <c:v>225000</c:v>
                </c:pt>
                <c:pt idx="255">
                  <c:v>225000</c:v>
                </c:pt>
                <c:pt idx="256">
                  <c:v>225000</c:v>
                </c:pt>
                <c:pt idx="257">
                  <c:v>225000</c:v>
                </c:pt>
                <c:pt idx="258">
                  <c:v>225000</c:v>
                </c:pt>
                <c:pt idx="259">
                  <c:v>225000</c:v>
                </c:pt>
                <c:pt idx="260">
                  <c:v>225000</c:v>
                </c:pt>
                <c:pt idx="261">
                  <c:v>225000</c:v>
                </c:pt>
                <c:pt idx="262">
                  <c:v>225000</c:v>
                </c:pt>
                <c:pt idx="263">
                  <c:v>225000</c:v>
                </c:pt>
                <c:pt idx="264">
                  <c:v>225000</c:v>
                </c:pt>
                <c:pt idx="265">
                  <c:v>225000</c:v>
                </c:pt>
                <c:pt idx="266">
                  <c:v>225000</c:v>
                </c:pt>
                <c:pt idx="267">
                  <c:v>225000</c:v>
                </c:pt>
                <c:pt idx="268">
                  <c:v>225000</c:v>
                </c:pt>
                <c:pt idx="269">
                  <c:v>225000</c:v>
                </c:pt>
                <c:pt idx="270">
                  <c:v>225000</c:v>
                </c:pt>
                <c:pt idx="271">
                  <c:v>225000</c:v>
                </c:pt>
                <c:pt idx="272">
                  <c:v>225000</c:v>
                </c:pt>
                <c:pt idx="273">
                  <c:v>225000</c:v>
                </c:pt>
                <c:pt idx="274">
                  <c:v>225000</c:v>
                </c:pt>
                <c:pt idx="275">
                  <c:v>225000</c:v>
                </c:pt>
                <c:pt idx="276">
                  <c:v>225000</c:v>
                </c:pt>
                <c:pt idx="277">
                  <c:v>225000</c:v>
                </c:pt>
                <c:pt idx="278">
                  <c:v>225000</c:v>
                </c:pt>
                <c:pt idx="279">
                  <c:v>225000</c:v>
                </c:pt>
                <c:pt idx="280">
                  <c:v>225000</c:v>
                </c:pt>
                <c:pt idx="281">
                  <c:v>225000</c:v>
                </c:pt>
                <c:pt idx="282">
                  <c:v>225000</c:v>
                </c:pt>
                <c:pt idx="283">
                  <c:v>225000</c:v>
                </c:pt>
                <c:pt idx="284">
                  <c:v>225000</c:v>
                </c:pt>
                <c:pt idx="285">
                  <c:v>225000</c:v>
                </c:pt>
                <c:pt idx="286">
                  <c:v>225000</c:v>
                </c:pt>
                <c:pt idx="287">
                  <c:v>225000</c:v>
                </c:pt>
                <c:pt idx="288">
                  <c:v>225000</c:v>
                </c:pt>
                <c:pt idx="289">
                  <c:v>225000</c:v>
                </c:pt>
                <c:pt idx="290">
                  <c:v>225000</c:v>
                </c:pt>
                <c:pt idx="291">
                  <c:v>225000</c:v>
                </c:pt>
                <c:pt idx="292">
                  <c:v>225000</c:v>
                </c:pt>
                <c:pt idx="293">
                  <c:v>225000</c:v>
                </c:pt>
                <c:pt idx="294">
                  <c:v>225000</c:v>
                </c:pt>
                <c:pt idx="295">
                  <c:v>225000</c:v>
                </c:pt>
                <c:pt idx="296">
                  <c:v>225000</c:v>
                </c:pt>
                <c:pt idx="297">
                  <c:v>225000</c:v>
                </c:pt>
                <c:pt idx="298">
                  <c:v>225000</c:v>
                </c:pt>
                <c:pt idx="299">
                  <c:v>225000</c:v>
                </c:pt>
                <c:pt idx="300">
                  <c:v>225000</c:v>
                </c:pt>
                <c:pt idx="301">
                  <c:v>225000</c:v>
                </c:pt>
                <c:pt idx="302">
                  <c:v>225000</c:v>
                </c:pt>
                <c:pt idx="303">
                  <c:v>225000</c:v>
                </c:pt>
                <c:pt idx="304">
                  <c:v>225000</c:v>
                </c:pt>
                <c:pt idx="305">
                  <c:v>225000</c:v>
                </c:pt>
                <c:pt idx="306">
                  <c:v>225000</c:v>
                </c:pt>
                <c:pt idx="307">
                  <c:v>225000</c:v>
                </c:pt>
                <c:pt idx="308">
                  <c:v>225000</c:v>
                </c:pt>
                <c:pt idx="309">
                  <c:v>225000</c:v>
                </c:pt>
                <c:pt idx="310">
                  <c:v>225000</c:v>
                </c:pt>
                <c:pt idx="311">
                  <c:v>225000</c:v>
                </c:pt>
                <c:pt idx="312">
                  <c:v>225000</c:v>
                </c:pt>
                <c:pt idx="313">
                  <c:v>225000</c:v>
                </c:pt>
                <c:pt idx="314">
                  <c:v>225000</c:v>
                </c:pt>
                <c:pt idx="315">
                  <c:v>225000</c:v>
                </c:pt>
                <c:pt idx="316">
                  <c:v>225000</c:v>
                </c:pt>
                <c:pt idx="317">
                  <c:v>225000</c:v>
                </c:pt>
                <c:pt idx="318">
                  <c:v>225000</c:v>
                </c:pt>
                <c:pt idx="319">
                  <c:v>225000</c:v>
                </c:pt>
                <c:pt idx="320">
                  <c:v>225000</c:v>
                </c:pt>
                <c:pt idx="321">
                  <c:v>225000</c:v>
                </c:pt>
                <c:pt idx="322">
                  <c:v>225000</c:v>
                </c:pt>
                <c:pt idx="323">
                  <c:v>225000</c:v>
                </c:pt>
                <c:pt idx="324">
                  <c:v>225000</c:v>
                </c:pt>
                <c:pt idx="325">
                  <c:v>225000</c:v>
                </c:pt>
                <c:pt idx="326">
                  <c:v>225000</c:v>
                </c:pt>
                <c:pt idx="327">
                  <c:v>225000</c:v>
                </c:pt>
                <c:pt idx="328">
                  <c:v>225000</c:v>
                </c:pt>
                <c:pt idx="329">
                  <c:v>225000</c:v>
                </c:pt>
                <c:pt idx="330">
                  <c:v>225000</c:v>
                </c:pt>
                <c:pt idx="331">
                  <c:v>225000</c:v>
                </c:pt>
                <c:pt idx="332">
                  <c:v>225000</c:v>
                </c:pt>
                <c:pt idx="333">
                  <c:v>225000</c:v>
                </c:pt>
                <c:pt idx="334">
                  <c:v>225000</c:v>
                </c:pt>
                <c:pt idx="335">
                  <c:v>225000</c:v>
                </c:pt>
                <c:pt idx="336">
                  <c:v>225000</c:v>
                </c:pt>
                <c:pt idx="337">
                  <c:v>225000</c:v>
                </c:pt>
                <c:pt idx="338">
                  <c:v>225000</c:v>
                </c:pt>
                <c:pt idx="339">
                  <c:v>225000</c:v>
                </c:pt>
                <c:pt idx="340">
                  <c:v>225000</c:v>
                </c:pt>
                <c:pt idx="341">
                  <c:v>225000</c:v>
                </c:pt>
                <c:pt idx="342">
                  <c:v>225000</c:v>
                </c:pt>
                <c:pt idx="343">
                  <c:v>225000</c:v>
                </c:pt>
                <c:pt idx="344">
                  <c:v>225000</c:v>
                </c:pt>
                <c:pt idx="345">
                  <c:v>225000</c:v>
                </c:pt>
                <c:pt idx="346">
                  <c:v>225000</c:v>
                </c:pt>
                <c:pt idx="347">
                  <c:v>225000</c:v>
                </c:pt>
                <c:pt idx="348">
                  <c:v>225000</c:v>
                </c:pt>
                <c:pt idx="349">
                  <c:v>225000</c:v>
                </c:pt>
                <c:pt idx="350">
                  <c:v>225000</c:v>
                </c:pt>
                <c:pt idx="351">
                  <c:v>225000</c:v>
                </c:pt>
                <c:pt idx="352">
                  <c:v>225000</c:v>
                </c:pt>
                <c:pt idx="353">
                  <c:v>225000</c:v>
                </c:pt>
                <c:pt idx="354">
                  <c:v>225000</c:v>
                </c:pt>
                <c:pt idx="355">
                  <c:v>225000</c:v>
                </c:pt>
                <c:pt idx="356">
                  <c:v>225000</c:v>
                </c:pt>
                <c:pt idx="357">
                  <c:v>225000</c:v>
                </c:pt>
                <c:pt idx="358">
                  <c:v>225000</c:v>
                </c:pt>
                <c:pt idx="359">
                  <c:v>225000</c:v>
                </c:pt>
                <c:pt idx="360">
                  <c:v>225000</c:v>
                </c:pt>
                <c:pt idx="361">
                  <c:v>225000</c:v>
                </c:pt>
                <c:pt idx="362">
                  <c:v>225000</c:v>
                </c:pt>
                <c:pt idx="363">
                  <c:v>225000</c:v>
                </c:pt>
                <c:pt idx="364">
                  <c:v>225000</c:v>
                </c:pt>
                <c:pt idx="365">
                  <c:v>225000</c:v>
                </c:pt>
                <c:pt idx="366">
                  <c:v>225000</c:v>
                </c:pt>
                <c:pt idx="367">
                  <c:v>225000</c:v>
                </c:pt>
                <c:pt idx="368">
                  <c:v>225000</c:v>
                </c:pt>
                <c:pt idx="369">
                  <c:v>225000</c:v>
                </c:pt>
                <c:pt idx="370">
                  <c:v>225000</c:v>
                </c:pt>
                <c:pt idx="371">
                  <c:v>225000</c:v>
                </c:pt>
                <c:pt idx="372">
                  <c:v>225000</c:v>
                </c:pt>
                <c:pt idx="373">
                  <c:v>225000</c:v>
                </c:pt>
                <c:pt idx="374">
                  <c:v>225000</c:v>
                </c:pt>
                <c:pt idx="375">
                  <c:v>225000</c:v>
                </c:pt>
                <c:pt idx="376">
                  <c:v>225000</c:v>
                </c:pt>
                <c:pt idx="377">
                  <c:v>225000</c:v>
                </c:pt>
                <c:pt idx="378">
                  <c:v>225000</c:v>
                </c:pt>
                <c:pt idx="379">
                  <c:v>225000</c:v>
                </c:pt>
                <c:pt idx="380">
                  <c:v>225000</c:v>
                </c:pt>
                <c:pt idx="381">
                  <c:v>225000</c:v>
                </c:pt>
                <c:pt idx="382">
                  <c:v>225000</c:v>
                </c:pt>
                <c:pt idx="383">
                  <c:v>225000</c:v>
                </c:pt>
                <c:pt idx="384">
                  <c:v>225000</c:v>
                </c:pt>
                <c:pt idx="385">
                  <c:v>225000</c:v>
                </c:pt>
                <c:pt idx="386">
                  <c:v>225000</c:v>
                </c:pt>
                <c:pt idx="387">
                  <c:v>225000</c:v>
                </c:pt>
                <c:pt idx="388">
                  <c:v>225000</c:v>
                </c:pt>
                <c:pt idx="389">
                  <c:v>225000</c:v>
                </c:pt>
                <c:pt idx="390">
                  <c:v>225000</c:v>
                </c:pt>
                <c:pt idx="391">
                  <c:v>225000</c:v>
                </c:pt>
                <c:pt idx="392">
                  <c:v>225000</c:v>
                </c:pt>
                <c:pt idx="393">
                  <c:v>225000</c:v>
                </c:pt>
                <c:pt idx="394">
                  <c:v>225000</c:v>
                </c:pt>
                <c:pt idx="395">
                  <c:v>225000</c:v>
                </c:pt>
                <c:pt idx="396">
                  <c:v>225000</c:v>
                </c:pt>
                <c:pt idx="397">
                  <c:v>225000</c:v>
                </c:pt>
                <c:pt idx="398">
                  <c:v>225000</c:v>
                </c:pt>
                <c:pt idx="399">
                  <c:v>225000</c:v>
                </c:pt>
                <c:pt idx="400">
                  <c:v>225000</c:v>
                </c:pt>
                <c:pt idx="401">
                  <c:v>225000</c:v>
                </c:pt>
                <c:pt idx="402">
                  <c:v>225000</c:v>
                </c:pt>
                <c:pt idx="403">
                  <c:v>225000</c:v>
                </c:pt>
                <c:pt idx="404">
                  <c:v>225000</c:v>
                </c:pt>
                <c:pt idx="405">
                  <c:v>225000</c:v>
                </c:pt>
                <c:pt idx="406">
                  <c:v>225000</c:v>
                </c:pt>
                <c:pt idx="407">
                  <c:v>225000</c:v>
                </c:pt>
                <c:pt idx="408">
                  <c:v>225000</c:v>
                </c:pt>
                <c:pt idx="409">
                  <c:v>225000</c:v>
                </c:pt>
                <c:pt idx="410">
                  <c:v>225000</c:v>
                </c:pt>
                <c:pt idx="411">
                  <c:v>225000</c:v>
                </c:pt>
                <c:pt idx="412">
                  <c:v>225000</c:v>
                </c:pt>
                <c:pt idx="413">
                  <c:v>225000</c:v>
                </c:pt>
                <c:pt idx="414">
                  <c:v>225000</c:v>
                </c:pt>
                <c:pt idx="415">
                  <c:v>225000</c:v>
                </c:pt>
                <c:pt idx="416">
                  <c:v>225000</c:v>
                </c:pt>
                <c:pt idx="417">
                  <c:v>225000</c:v>
                </c:pt>
                <c:pt idx="418">
                  <c:v>225000</c:v>
                </c:pt>
                <c:pt idx="419">
                  <c:v>225000</c:v>
                </c:pt>
                <c:pt idx="420">
                  <c:v>225000</c:v>
                </c:pt>
                <c:pt idx="421">
                  <c:v>225000</c:v>
                </c:pt>
                <c:pt idx="422">
                  <c:v>225000</c:v>
                </c:pt>
                <c:pt idx="423">
                  <c:v>225000</c:v>
                </c:pt>
                <c:pt idx="424">
                  <c:v>225000</c:v>
                </c:pt>
                <c:pt idx="425">
                  <c:v>225000</c:v>
                </c:pt>
                <c:pt idx="426">
                  <c:v>225000</c:v>
                </c:pt>
                <c:pt idx="427">
                  <c:v>225000</c:v>
                </c:pt>
                <c:pt idx="428">
                  <c:v>225000</c:v>
                </c:pt>
                <c:pt idx="429">
                  <c:v>225000</c:v>
                </c:pt>
                <c:pt idx="430">
                  <c:v>225000</c:v>
                </c:pt>
                <c:pt idx="431">
                  <c:v>225000</c:v>
                </c:pt>
                <c:pt idx="432">
                  <c:v>225000</c:v>
                </c:pt>
                <c:pt idx="433">
                  <c:v>225000</c:v>
                </c:pt>
                <c:pt idx="434">
                  <c:v>225000</c:v>
                </c:pt>
                <c:pt idx="435">
                  <c:v>225000</c:v>
                </c:pt>
                <c:pt idx="436">
                  <c:v>225000</c:v>
                </c:pt>
                <c:pt idx="437">
                  <c:v>225000</c:v>
                </c:pt>
                <c:pt idx="438">
                  <c:v>225000</c:v>
                </c:pt>
                <c:pt idx="439">
                  <c:v>225000</c:v>
                </c:pt>
                <c:pt idx="440">
                  <c:v>225000</c:v>
                </c:pt>
                <c:pt idx="441">
                  <c:v>225000</c:v>
                </c:pt>
                <c:pt idx="442">
                  <c:v>225000</c:v>
                </c:pt>
                <c:pt idx="443">
                  <c:v>225000</c:v>
                </c:pt>
                <c:pt idx="444">
                  <c:v>225000</c:v>
                </c:pt>
                <c:pt idx="445">
                  <c:v>225000</c:v>
                </c:pt>
                <c:pt idx="446">
                  <c:v>225000</c:v>
                </c:pt>
                <c:pt idx="447">
                  <c:v>225000</c:v>
                </c:pt>
                <c:pt idx="448">
                  <c:v>225000</c:v>
                </c:pt>
                <c:pt idx="449">
                  <c:v>225000</c:v>
                </c:pt>
                <c:pt idx="450">
                  <c:v>225000</c:v>
                </c:pt>
                <c:pt idx="451">
                  <c:v>225000</c:v>
                </c:pt>
                <c:pt idx="452">
                  <c:v>225000</c:v>
                </c:pt>
                <c:pt idx="453">
                  <c:v>225000</c:v>
                </c:pt>
                <c:pt idx="454">
                  <c:v>225000</c:v>
                </c:pt>
                <c:pt idx="455">
                  <c:v>225000</c:v>
                </c:pt>
                <c:pt idx="456">
                  <c:v>225000</c:v>
                </c:pt>
                <c:pt idx="457">
                  <c:v>225000</c:v>
                </c:pt>
                <c:pt idx="458">
                  <c:v>225000</c:v>
                </c:pt>
                <c:pt idx="459">
                  <c:v>225000</c:v>
                </c:pt>
                <c:pt idx="460">
                  <c:v>225000</c:v>
                </c:pt>
                <c:pt idx="461">
                  <c:v>225000</c:v>
                </c:pt>
                <c:pt idx="462">
                  <c:v>225000</c:v>
                </c:pt>
                <c:pt idx="463">
                  <c:v>225000</c:v>
                </c:pt>
                <c:pt idx="464">
                  <c:v>225000</c:v>
                </c:pt>
                <c:pt idx="465">
                  <c:v>225000</c:v>
                </c:pt>
                <c:pt idx="466">
                  <c:v>225000</c:v>
                </c:pt>
                <c:pt idx="467">
                  <c:v>225000</c:v>
                </c:pt>
                <c:pt idx="468">
                  <c:v>225000</c:v>
                </c:pt>
                <c:pt idx="469">
                  <c:v>225000</c:v>
                </c:pt>
                <c:pt idx="470">
                  <c:v>225000</c:v>
                </c:pt>
                <c:pt idx="471">
                  <c:v>225000</c:v>
                </c:pt>
                <c:pt idx="472">
                  <c:v>225000</c:v>
                </c:pt>
                <c:pt idx="473">
                  <c:v>225000</c:v>
                </c:pt>
                <c:pt idx="474">
                  <c:v>225000</c:v>
                </c:pt>
                <c:pt idx="475">
                  <c:v>225000</c:v>
                </c:pt>
                <c:pt idx="476">
                  <c:v>225000</c:v>
                </c:pt>
                <c:pt idx="477">
                  <c:v>225000</c:v>
                </c:pt>
                <c:pt idx="478">
                  <c:v>225000</c:v>
                </c:pt>
                <c:pt idx="479">
                  <c:v>225000</c:v>
                </c:pt>
                <c:pt idx="480">
                  <c:v>225000</c:v>
                </c:pt>
                <c:pt idx="481">
                  <c:v>225000</c:v>
                </c:pt>
                <c:pt idx="482">
                  <c:v>225000</c:v>
                </c:pt>
                <c:pt idx="483">
                  <c:v>225000</c:v>
                </c:pt>
                <c:pt idx="484">
                  <c:v>225000</c:v>
                </c:pt>
                <c:pt idx="485">
                  <c:v>225000</c:v>
                </c:pt>
                <c:pt idx="486">
                  <c:v>225000</c:v>
                </c:pt>
                <c:pt idx="487">
                  <c:v>225000</c:v>
                </c:pt>
                <c:pt idx="488">
                  <c:v>225000</c:v>
                </c:pt>
                <c:pt idx="489">
                  <c:v>225000</c:v>
                </c:pt>
                <c:pt idx="490">
                  <c:v>225000</c:v>
                </c:pt>
                <c:pt idx="491">
                  <c:v>225000</c:v>
                </c:pt>
                <c:pt idx="492">
                  <c:v>225000</c:v>
                </c:pt>
                <c:pt idx="493">
                  <c:v>225000</c:v>
                </c:pt>
                <c:pt idx="494">
                  <c:v>225000</c:v>
                </c:pt>
                <c:pt idx="495">
                  <c:v>225000</c:v>
                </c:pt>
                <c:pt idx="496">
                  <c:v>225000</c:v>
                </c:pt>
                <c:pt idx="497">
                  <c:v>225000</c:v>
                </c:pt>
                <c:pt idx="498">
                  <c:v>225000</c:v>
                </c:pt>
                <c:pt idx="499">
                  <c:v>225000</c:v>
                </c:pt>
                <c:pt idx="500">
                  <c:v>225000</c:v>
                </c:pt>
                <c:pt idx="501">
                  <c:v>225000</c:v>
                </c:pt>
                <c:pt idx="502">
                  <c:v>225000</c:v>
                </c:pt>
                <c:pt idx="503">
                  <c:v>225000</c:v>
                </c:pt>
                <c:pt idx="504">
                  <c:v>225000</c:v>
                </c:pt>
                <c:pt idx="505">
                  <c:v>225000</c:v>
                </c:pt>
                <c:pt idx="506">
                  <c:v>225000</c:v>
                </c:pt>
                <c:pt idx="507">
                  <c:v>225000</c:v>
                </c:pt>
                <c:pt idx="508">
                  <c:v>225000</c:v>
                </c:pt>
                <c:pt idx="509">
                  <c:v>225000</c:v>
                </c:pt>
                <c:pt idx="510">
                  <c:v>225000</c:v>
                </c:pt>
                <c:pt idx="511">
                  <c:v>225000</c:v>
                </c:pt>
                <c:pt idx="512">
                  <c:v>225000</c:v>
                </c:pt>
                <c:pt idx="513">
                  <c:v>225000</c:v>
                </c:pt>
                <c:pt idx="514">
                  <c:v>225000</c:v>
                </c:pt>
                <c:pt idx="515">
                  <c:v>225000</c:v>
                </c:pt>
                <c:pt idx="516">
                  <c:v>225000</c:v>
                </c:pt>
                <c:pt idx="517">
                  <c:v>225000</c:v>
                </c:pt>
                <c:pt idx="518">
                  <c:v>225000</c:v>
                </c:pt>
                <c:pt idx="519">
                  <c:v>225000</c:v>
                </c:pt>
                <c:pt idx="520">
                  <c:v>225000</c:v>
                </c:pt>
                <c:pt idx="521">
                  <c:v>225000</c:v>
                </c:pt>
                <c:pt idx="522">
                  <c:v>225000</c:v>
                </c:pt>
                <c:pt idx="523">
                  <c:v>225000</c:v>
                </c:pt>
                <c:pt idx="524">
                  <c:v>225000</c:v>
                </c:pt>
                <c:pt idx="525">
                  <c:v>225000</c:v>
                </c:pt>
                <c:pt idx="526">
                  <c:v>225000</c:v>
                </c:pt>
                <c:pt idx="527">
                  <c:v>225000</c:v>
                </c:pt>
                <c:pt idx="528">
                  <c:v>225000</c:v>
                </c:pt>
                <c:pt idx="529">
                  <c:v>225000</c:v>
                </c:pt>
                <c:pt idx="530">
                  <c:v>225000</c:v>
                </c:pt>
                <c:pt idx="531">
                  <c:v>225000</c:v>
                </c:pt>
                <c:pt idx="532">
                  <c:v>225000</c:v>
                </c:pt>
                <c:pt idx="533">
                  <c:v>225000</c:v>
                </c:pt>
                <c:pt idx="534">
                  <c:v>225000</c:v>
                </c:pt>
                <c:pt idx="535">
                  <c:v>225000</c:v>
                </c:pt>
                <c:pt idx="536">
                  <c:v>225000</c:v>
                </c:pt>
                <c:pt idx="537">
                  <c:v>225000</c:v>
                </c:pt>
                <c:pt idx="538">
                  <c:v>225000</c:v>
                </c:pt>
                <c:pt idx="539">
                  <c:v>225000</c:v>
                </c:pt>
                <c:pt idx="540">
                  <c:v>225000</c:v>
                </c:pt>
                <c:pt idx="541">
                  <c:v>225000</c:v>
                </c:pt>
                <c:pt idx="542">
                  <c:v>225000</c:v>
                </c:pt>
                <c:pt idx="543">
                  <c:v>225000</c:v>
                </c:pt>
                <c:pt idx="544">
                  <c:v>225000</c:v>
                </c:pt>
                <c:pt idx="545">
                  <c:v>225000</c:v>
                </c:pt>
                <c:pt idx="546">
                  <c:v>225000</c:v>
                </c:pt>
                <c:pt idx="547">
                  <c:v>225000</c:v>
                </c:pt>
                <c:pt idx="548">
                  <c:v>225000</c:v>
                </c:pt>
                <c:pt idx="549">
                  <c:v>225000</c:v>
                </c:pt>
                <c:pt idx="550">
                  <c:v>225000</c:v>
                </c:pt>
                <c:pt idx="551">
                  <c:v>225000</c:v>
                </c:pt>
                <c:pt idx="552">
                  <c:v>225000</c:v>
                </c:pt>
                <c:pt idx="553">
                  <c:v>225000</c:v>
                </c:pt>
                <c:pt idx="554">
                  <c:v>225000</c:v>
                </c:pt>
                <c:pt idx="555">
                  <c:v>225000</c:v>
                </c:pt>
                <c:pt idx="556">
                  <c:v>225000</c:v>
                </c:pt>
                <c:pt idx="557">
                  <c:v>225000</c:v>
                </c:pt>
                <c:pt idx="558">
                  <c:v>225000</c:v>
                </c:pt>
                <c:pt idx="559">
                  <c:v>225000</c:v>
                </c:pt>
                <c:pt idx="560">
                  <c:v>225000</c:v>
                </c:pt>
                <c:pt idx="561">
                  <c:v>225000</c:v>
                </c:pt>
                <c:pt idx="562">
                  <c:v>225000</c:v>
                </c:pt>
                <c:pt idx="563">
                  <c:v>225000</c:v>
                </c:pt>
                <c:pt idx="564">
                  <c:v>225000</c:v>
                </c:pt>
                <c:pt idx="565">
                  <c:v>225000</c:v>
                </c:pt>
                <c:pt idx="566">
                  <c:v>225000</c:v>
                </c:pt>
                <c:pt idx="567">
                  <c:v>225000</c:v>
                </c:pt>
                <c:pt idx="568">
                  <c:v>225000</c:v>
                </c:pt>
                <c:pt idx="569">
                  <c:v>225000</c:v>
                </c:pt>
                <c:pt idx="570">
                  <c:v>225000</c:v>
                </c:pt>
                <c:pt idx="571">
                  <c:v>225000</c:v>
                </c:pt>
                <c:pt idx="572">
                  <c:v>225000</c:v>
                </c:pt>
                <c:pt idx="573">
                  <c:v>225000</c:v>
                </c:pt>
                <c:pt idx="574">
                  <c:v>225000</c:v>
                </c:pt>
                <c:pt idx="575">
                  <c:v>225000</c:v>
                </c:pt>
                <c:pt idx="576">
                  <c:v>225000</c:v>
                </c:pt>
                <c:pt idx="577">
                  <c:v>225000</c:v>
                </c:pt>
                <c:pt idx="578">
                  <c:v>225000</c:v>
                </c:pt>
                <c:pt idx="579">
                  <c:v>225000</c:v>
                </c:pt>
                <c:pt idx="580">
                  <c:v>225000</c:v>
                </c:pt>
                <c:pt idx="581">
                  <c:v>225000</c:v>
                </c:pt>
                <c:pt idx="582">
                  <c:v>225000</c:v>
                </c:pt>
                <c:pt idx="583">
                  <c:v>225000</c:v>
                </c:pt>
                <c:pt idx="584">
                  <c:v>225000</c:v>
                </c:pt>
                <c:pt idx="585">
                  <c:v>225000</c:v>
                </c:pt>
                <c:pt idx="586">
                  <c:v>225000</c:v>
                </c:pt>
                <c:pt idx="587">
                  <c:v>225000</c:v>
                </c:pt>
                <c:pt idx="588">
                  <c:v>225000</c:v>
                </c:pt>
                <c:pt idx="589">
                  <c:v>225000</c:v>
                </c:pt>
                <c:pt idx="590">
                  <c:v>225000</c:v>
                </c:pt>
                <c:pt idx="591">
                  <c:v>225000</c:v>
                </c:pt>
                <c:pt idx="592">
                  <c:v>225000</c:v>
                </c:pt>
                <c:pt idx="593">
                  <c:v>225000</c:v>
                </c:pt>
                <c:pt idx="594">
                  <c:v>225000</c:v>
                </c:pt>
                <c:pt idx="595">
                  <c:v>225000</c:v>
                </c:pt>
                <c:pt idx="596">
                  <c:v>225000</c:v>
                </c:pt>
                <c:pt idx="597">
                  <c:v>225000</c:v>
                </c:pt>
                <c:pt idx="598">
                  <c:v>225000</c:v>
                </c:pt>
                <c:pt idx="599">
                  <c:v>225000</c:v>
                </c:pt>
                <c:pt idx="600">
                  <c:v>225000</c:v>
                </c:pt>
                <c:pt idx="601">
                  <c:v>225000</c:v>
                </c:pt>
                <c:pt idx="602">
                  <c:v>225000</c:v>
                </c:pt>
                <c:pt idx="603">
                  <c:v>225000</c:v>
                </c:pt>
                <c:pt idx="604">
                  <c:v>225000</c:v>
                </c:pt>
                <c:pt idx="605">
                  <c:v>225000</c:v>
                </c:pt>
                <c:pt idx="606">
                  <c:v>225000</c:v>
                </c:pt>
                <c:pt idx="607">
                  <c:v>225000</c:v>
                </c:pt>
                <c:pt idx="608">
                  <c:v>225000</c:v>
                </c:pt>
                <c:pt idx="609">
                  <c:v>225000</c:v>
                </c:pt>
                <c:pt idx="610">
                  <c:v>225000</c:v>
                </c:pt>
                <c:pt idx="611">
                  <c:v>225000</c:v>
                </c:pt>
                <c:pt idx="612">
                  <c:v>225000</c:v>
                </c:pt>
                <c:pt idx="613">
                  <c:v>225000</c:v>
                </c:pt>
                <c:pt idx="614">
                  <c:v>225000</c:v>
                </c:pt>
                <c:pt idx="615">
                  <c:v>225000</c:v>
                </c:pt>
                <c:pt idx="616">
                  <c:v>225000</c:v>
                </c:pt>
                <c:pt idx="617">
                  <c:v>225000</c:v>
                </c:pt>
                <c:pt idx="618">
                  <c:v>225000</c:v>
                </c:pt>
                <c:pt idx="619">
                  <c:v>225000</c:v>
                </c:pt>
                <c:pt idx="620">
                  <c:v>225000</c:v>
                </c:pt>
                <c:pt idx="621">
                  <c:v>225000</c:v>
                </c:pt>
                <c:pt idx="622">
                  <c:v>225000</c:v>
                </c:pt>
                <c:pt idx="623">
                  <c:v>225000</c:v>
                </c:pt>
                <c:pt idx="624">
                  <c:v>225000</c:v>
                </c:pt>
                <c:pt idx="625">
                  <c:v>225000</c:v>
                </c:pt>
                <c:pt idx="626">
                  <c:v>225000</c:v>
                </c:pt>
                <c:pt idx="627">
                  <c:v>225000</c:v>
                </c:pt>
                <c:pt idx="628">
                  <c:v>225000</c:v>
                </c:pt>
                <c:pt idx="629">
                  <c:v>225000</c:v>
                </c:pt>
                <c:pt idx="630">
                  <c:v>225000</c:v>
                </c:pt>
                <c:pt idx="631">
                  <c:v>225000</c:v>
                </c:pt>
                <c:pt idx="632">
                  <c:v>225000</c:v>
                </c:pt>
                <c:pt idx="633">
                  <c:v>225000</c:v>
                </c:pt>
                <c:pt idx="634">
                  <c:v>225000</c:v>
                </c:pt>
                <c:pt idx="635">
                  <c:v>225000</c:v>
                </c:pt>
                <c:pt idx="636">
                  <c:v>225000</c:v>
                </c:pt>
                <c:pt idx="637">
                  <c:v>225000</c:v>
                </c:pt>
                <c:pt idx="638">
                  <c:v>225000</c:v>
                </c:pt>
                <c:pt idx="639">
                  <c:v>225000</c:v>
                </c:pt>
                <c:pt idx="640">
                  <c:v>225000</c:v>
                </c:pt>
                <c:pt idx="641">
                  <c:v>225000</c:v>
                </c:pt>
                <c:pt idx="642">
                  <c:v>225000</c:v>
                </c:pt>
                <c:pt idx="643">
                  <c:v>225000</c:v>
                </c:pt>
                <c:pt idx="644">
                  <c:v>225000</c:v>
                </c:pt>
                <c:pt idx="645">
                  <c:v>225000</c:v>
                </c:pt>
                <c:pt idx="646">
                  <c:v>225000</c:v>
                </c:pt>
                <c:pt idx="647">
                  <c:v>225000</c:v>
                </c:pt>
                <c:pt idx="648">
                  <c:v>225000</c:v>
                </c:pt>
                <c:pt idx="649">
                  <c:v>225000</c:v>
                </c:pt>
                <c:pt idx="650">
                  <c:v>225000</c:v>
                </c:pt>
                <c:pt idx="651">
                  <c:v>225000</c:v>
                </c:pt>
                <c:pt idx="652">
                  <c:v>225000</c:v>
                </c:pt>
                <c:pt idx="653">
                  <c:v>225000</c:v>
                </c:pt>
                <c:pt idx="654">
                  <c:v>225000</c:v>
                </c:pt>
                <c:pt idx="655">
                  <c:v>225000</c:v>
                </c:pt>
                <c:pt idx="656">
                  <c:v>225000</c:v>
                </c:pt>
                <c:pt idx="657">
                  <c:v>225000</c:v>
                </c:pt>
                <c:pt idx="658">
                  <c:v>225000</c:v>
                </c:pt>
                <c:pt idx="659">
                  <c:v>225000</c:v>
                </c:pt>
                <c:pt idx="660">
                  <c:v>225000</c:v>
                </c:pt>
                <c:pt idx="661">
                  <c:v>225000</c:v>
                </c:pt>
                <c:pt idx="662">
                  <c:v>225000</c:v>
                </c:pt>
                <c:pt idx="663">
                  <c:v>225000</c:v>
                </c:pt>
                <c:pt idx="664">
                  <c:v>225000</c:v>
                </c:pt>
                <c:pt idx="665">
                  <c:v>225000</c:v>
                </c:pt>
                <c:pt idx="666">
                  <c:v>225000</c:v>
                </c:pt>
                <c:pt idx="667">
                  <c:v>225000</c:v>
                </c:pt>
                <c:pt idx="668">
                  <c:v>225000</c:v>
                </c:pt>
                <c:pt idx="669">
                  <c:v>225000</c:v>
                </c:pt>
                <c:pt idx="670">
                  <c:v>225000</c:v>
                </c:pt>
                <c:pt idx="671">
                  <c:v>225000</c:v>
                </c:pt>
                <c:pt idx="672">
                  <c:v>225000</c:v>
                </c:pt>
                <c:pt idx="673">
                  <c:v>225000</c:v>
                </c:pt>
                <c:pt idx="674">
                  <c:v>225000</c:v>
                </c:pt>
                <c:pt idx="675">
                  <c:v>225000</c:v>
                </c:pt>
                <c:pt idx="676">
                  <c:v>225000</c:v>
                </c:pt>
                <c:pt idx="677">
                  <c:v>225000</c:v>
                </c:pt>
                <c:pt idx="678">
                  <c:v>225000</c:v>
                </c:pt>
                <c:pt idx="679">
                  <c:v>225000</c:v>
                </c:pt>
                <c:pt idx="680">
                  <c:v>225000</c:v>
                </c:pt>
                <c:pt idx="681">
                  <c:v>225000</c:v>
                </c:pt>
                <c:pt idx="682">
                  <c:v>225000</c:v>
                </c:pt>
                <c:pt idx="683">
                  <c:v>225000</c:v>
                </c:pt>
                <c:pt idx="684">
                  <c:v>225000</c:v>
                </c:pt>
                <c:pt idx="685">
                  <c:v>225000</c:v>
                </c:pt>
                <c:pt idx="686">
                  <c:v>225000</c:v>
                </c:pt>
                <c:pt idx="687">
                  <c:v>225000</c:v>
                </c:pt>
                <c:pt idx="688">
                  <c:v>225000</c:v>
                </c:pt>
                <c:pt idx="689">
                  <c:v>225000</c:v>
                </c:pt>
                <c:pt idx="690">
                  <c:v>225000</c:v>
                </c:pt>
                <c:pt idx="691">
                  <c:v>225000</c:v>
                </c:pt>
                <c:pt idx="692">
                  <c:v>225000</c:v>
                </c:pt>
                <c:pt idx="693">
                  <c:v>225000</c:v>
                </c:pt>
                <c:pt idx="694">
                  <c:v>225000</c:v>
                </c:pt>
                <c:pt idx="695">
                  <c:v>225000</c:v>
                </c:pt>
                <c:pt idx="696">
                  <c:v>225000</c:v>
                </c:pt>
                <c:pt idx="697">
                  <c:v>225000</c:v>
                </c:pt>
                <c:pt idx="698">
                  <c:v>225000</c:v>
                </c:pt>
                <c:pt idx="699">
                  <c:v>225000</c:v>
                </c:pt>
                <c:pt idx="700">
                  <c:v>225000</c:v>
                </c:pt>
                <c:pt idx="701">
                  <c:v>225000</c:v>
                </c:pt>
                <c:pt idx="702">
                  <c:v>225000</c:v>
                </c:pt>
                <c:pt idx="703">
                  <c:v>225000</c:v>
                </c:pt>
                <c:pt idx="704">
                  <c:v>225000</c:v>
                </c:pt>
                <c:pt idx="705">
                  <c:v>225000</c:v>
                </c:pt>
                <c:pt idx="706">
                  <c:v>225000</c:v>
                </c:pt>
                <c:pt idx="707">
                  <c:v>225000</c:v>
                </c:pt>
                <c:pt idx="708">
                  <c:v>225000</c:v>
                </c:pt>
                <c:pt idx="709">
                  <c:v>225000</c:v>
                </c:pt>
                <c:pt idx="710">
                  <c:v>225000</c:v>
                </c:pt>
                <c:pt idx="711">
                  <c:v>225000</c:v>
                </c:pt>
                <c:pt idx="712">
                  <c:v>225000</c:v>
                </c:pt>
                <c:pt idx="713">
                  <c:v>225000</c:v>
                </c:pt>
                <c:pt idx="714">
                  <c:v>225000</c:v>
                </c:pt>
                <c:pt idx="715">
                  <c:v>225000</c:v>
                </c:pt>
                <c:pt idx="716">
                  <c:v>225000</c:v>
                </c:pt>
                <c:pt idx="717">
                  <c:v>225000</c:v>
                </c:pt>
                <c:pt idx="718">
                  <c:v>225000</c:v>
                </c:pt>
                <c:pt idx="719">
                  <c:v>225000</c:v>
                </c:pt>
                <c:pt idx="720">
                  <c:v>225000</c:v>
                </c:pt>
                <c:pt idx="721">
                  <c:v>225000</c:v>
                </c:pt>
                <c:pt idx="722">
                  <c:v>225000</c:v>
                </c:pt>
                <c:pt idx="723">
                  <c:v>225000</c:v>
                </c:pt>
                <c:pt idx="724">
                  <c:v>225000</c:v>
                </c:pt>
                <c:pt idx="725">
                  <c:v>225000</c:v>
                </c:pt>
                <c:pt idx="726">
                  <c:v>225000</c:v>
                </c:pt>
                <c:pt idx="727">
                  <c:v>225000</c:v>
                </c:pt>
                <c:pt idx="728">
                  <c:v>225000</c:v>
                </c:pt>
                <c:pt idx="729">
                  <c:v>225000</c:v>
                </c:pt>
                <c:pt idx="730">
                  <c:v>225000</c:v>
                </c:pt>
                <c:pt idx="731">
                  <c:v>225000</c:v>
                </c:pt>
                <c:pt idx="732">
                  <c:v>225000</c:v>
                </c:pt>
                <c:pt idx="733">
                  <c:v>225000</c:v>
                </c:pt>
                <c:pt idx="734">
                  <c:v>225000</c:v>
                </c:pt>
                <c:pt idx="735">
                  <c:v>225000</c:v>
                </c:pt>
                <c:pt idx="736">
                  <c:v>225000</c:v>
                </c:pt>
                <c:pt idx="737">
                  <c:v>225000</c:v>
                </c:pt>
                <c:pt idx="738">
                  <c:v>225000</c:v>
                </c:pt>
                <c:pt idx="739">
                  <c:v>225000</c:v>
                </c:pt>
                <c:pt idx="740">
                  <c:v>225000</c:v>
                </c:pt>
                <c:pt idx="741">
                  <c:v>225000</c:v>
                </c:pt>
                <c:pt idx="742">
                  <c:v>225000</c:v>
                </c:pt>
                <c:pt idx="743">
                  <c:v>225000</c:v>
                </c:pt>
                <c:pt idx="744">
                  <c:v>225000</c:v>
                </c:pt>
                <c:pt idx="745">
                  <c:v>225000</c:v>
                </c:pt>
                <c:pt idx="746">
                  <c:v>225000</c:v>
                </c:pt>
                <c:pt idx="747">
                  <c:v>225000</c:v>
                </c:pt>
                <c:pt idx="748">
                  <c:v>225000</c:v>
                </c:pt>
                <c:pt idx="749">
                  <c:v>225000</c:v>
                </c:pt>
                <c:pt idx="750">
                  <c:v>225000</c:v>
                </c:pt>
                <c:pt idx="751">
                  <c:v>225000</c:v>
                </c:pt>
                <c:pt idx="752">
                  <c:v>225000</c:v>
                </c:pt>
                <c:pt idx="753">
                  <c:v>225000</c:v>
                </c:pt>
                <c:pt idx="754">
                  <c:v>225000</c:v>
                </c:pt>
                <c:pt idx="755">
                  <c:v>225000</c:v>
                </c:pt>
                <c:pt idx="756">
                  <c:v>225000</c:v>
                </c:pt>
                <c:pt idx="757">
                  <c:v>225000</c:v>
                </c:pt>
                <c:pt idx="758">
                  <c:v>225000</c:v>
                </c:pt>
                <c:pt idx="759">
                  <c:v>225000</c:v>
                </c:pt>
                <c:pt idx="760">
                  <c:v>225000</c:v>
                </c:pt>
                <c:pt idx="761">
                  <c:v>225000</c:v>
                </c:pt>
                <c:pt idx="762">
                  <c:v>225000</c:v>
                </c:pt>
                <c:pt idx="763">
                  <c:v>225000</c:v>
                </c:pt>
                <c:pt idx="764">
                  <c:v>225000</c:v>
                </c:pt>
                <c:pt idx="765">
                  <c:v>225000</c:v>
                </c:pt>
                <c:pt idx="766">
                  <c:v>225000</c:v>
                </c:pt>
                <c:pt idx="767">
                  <c:v>225000</c:v>
                </c:pt>
                <c:pt idx="768">
                  <c:v>225000</c:v>
                </c:pt>
                <c:pt idx="769">
                  <c:v>225000</c:v>
                </c:pt>
                <c:pt idx="770">
                  <c:v>225000</c:v>
                </c:pt>
                <c:pt idx="771">
                  <c:v>225000</c:v>
                </c:pt>
                <c:pt idx="772">
                  <c:v>225000</c:v>
                </c:pt>
                <c:pt idx="773">
                  <c:v>225000</c:v>
                </c:pt>
                <c:pt idx="774">
                  <c:v>225000</c:v>
                </c:pt>
                <c:pt idx="775">
                  <c:v>225000</c:v>
                </c:pt>
                <c:pt idx="776">
                  <c:v>225000</c:v>
                </c:pt>
                <c:pt idx="777">
                  <c:v>225000</c:v>
                </c:pt>
                <c:pt idx="778">
                  <c:v>225000</c:v>
                </c:pt>
                <c:pt idx="779">
                  <c:v>225000</c:v>
                </c:pt>
                <c:pt idx="780">
                  <c:v>225000</c:v>
                </c:pt>
                <c:pt idx="781">
                  <c:v>225000</c:v>
                </c:pt>
                <c:pt idx="782">
                  <c:v>225000</c:v>
                </c:pt>
                <c:pt idx="783">
                  <c:v>225000</c:v>
                </c:pt>
                <c:pt idx="784">
                  <c:v>225000</c:v>
                </c:pt>
                <c:pt idx="785">
                  <c:v>225000</c:v>
                </c:pt>
                <c:pt idx="786">
                  <c:v>225000</c:v>
                </c:pt>
                <c:pt idx="787">
                  <c:v>225000</c:v>
                </c:pt>
                <c:pt idx="788">
                  <c:v>225000</c:v>
                </c:pt>
                <c:pt idx="789">
                  <c:v>225000</c:v>
                </c:pt>
                <c:pt idx="790">
                  <c:v>225000</c:v>
                </c:pt>
                <c:pt idx="791">
                  <c:v>225000</c:v>
                </c:pt>
                <c:pt idx="792">
                  <c:v>225000</c:v>
                </c:pt>
                <c:pt idx="793">
                  <c:v>225000</c:v>
                </c:pt>
                <c:pt idx="794">
                  <c:v>225000</c:v>
                </c:pt>
                <c:pt idx="795">
                  <c:v>225000</c:v>
                </c:pt>
                <c:pt idx="796">
                  <c:v>225000</c:v>
                </c:pt>
                <c:pt idx="797">
                  <c:v>225000</c:v>
                </c:pt>
                <c:pt idx="798">
                  <c:v>225000</c:v>
                </c:pt>
                <c:pt idx="799">
                  <c:v>225000</c:v>
                </c:pt>
                <c:pt idx="800">
                  <c:v>225000</c:v>
                </c:pt>
                <c:pt idx="801">
                  <c:v>225000</c:v>
                </c:pt>
                <c:pt idx="802">
                  <c:v>225000</c:v>
                </c:pt>
                <c:pt idx="803">
                  <c:v>225000</c:v>
                </c:pt>
                <c:pt idx="804">
                  <c:v>225000</c:v>
                </c:pt>
                <c:pt idx="805">
                  <c:v>225000</c:v>
                </c:pt>
                <c:pt idx="806">
                  <c:v>225000</c:v>
                </c:pt>
                <c:pt idx="807">
                  <c:v>225000</c:v>
                </c:pt>
                <c:pt idx="808">
                  <c:v>225000</c:v>
                </c:pt>
                <c:pt idx="809">
                  <c:v>225000</c:v>
                </c:pt>
                <c:pt idx="810">
                  <c:v>225000</c:v>
                </c:pt>
                <c:pt idx="811">
                  <c:v>225000</c:v>
                </c:pt>
                <c:pt idx="812">
                  <c:v>225000</c:v>
                </c:pt>
                <c:pt idx="813">
                  <c:v>225000</c:v>
                </c:pt>
                <c:pt idx="814">
                  <c:v>225000</c:v>
                </c:pt>
                <c:pt idx="815">
                  <c:v>225000</c:v>
                </c:pt>
                <c:pt idx="816">
                  <c:v>225000</c:v>
                </c:pt>
                <c:pt idx="817">
                  <c:v>225000</c:v>
                </c:pt>
                <c:pt idx="818">
                  <c:v>225000</c:v>
                </c:pt>
                <c:pt idx="819">
                  <c:v>225000</c:v>
                </c:pt>
                <c:pt idx="820">
                  <c:v>225000</c:v>
                </c:pt>
                <c:pt idx="821">
                  <c:v>225000</c:v>
                </c:pt>
                <c:pt idx="822">
                  <c:v>225000</c:v>
                </c:pt>
                <c:pt idx="823">
                  <c:v>225000</c:v>
                </c:pt>
                <c:pt idx="824">
                  <c:v>225000</c:v>
                </c:pt>
                <c:pt idx="825">
                  <c:v>225000</c:v>
                </c:pt>
                <c:pt idx="826">
                  <c:v>225000</c:v>
                </c:pt>
                <c:pt idx="827">
                  <c:v>225000</c:v>
                </c:pt>
                <c:pt idx="828">
                  <c:v>225000</c:v>
                </c:pt>
                <c:pt idx="829">
                  <c:v>225000</c:v>
                </c:pt>
                <c:pt idx="830">
                  <c:v>225000</c:v>
                </c:pt>
                <c:pt idx="831">
                  <c:v>225000</c:v>
                </c:pt>
                <c:pt idx="832">
                  <c:v>225000</c:v>
                </c:pt>
                <c:pt idx="833">
                  <c:v>225000</c:v>
                </c:pt>
                <c:pt idx="834">
                  <c:v>225000</c:v>
                </c:pt>
                <c:pt idx="835">
                  <c:v>225000</c:v>
                </c:pt>
                <c:pt idx="836">
                  <c:v>225000</c:v>
                </c:pt>
                <c:pt idx="837">
                  <c:v>225000</c:v>
                </c:pt>
                <c:pt idx="838">
                  <c:v>225000</c:v>
                </c:pt>
                <c:pt idx="839">
                  <c:v>225000</c:v>
                </c:pt>
                <c:pt idx="840">
                  <c:v>225000</c:v>
                </c:pt>
                <c:pt idx="841">
                  <c:v>225000</c:v>
                </c:pt>
                <c:pt idx="842">
                  <c:v>225000</c:v>
                </c:pt>
                <c:pt idx="843">
                  <c:v>225000</c:v>
                </c:pt>
                <c:pt idx="844">
                  <c:v>225000</c:v>
                </c:pt>
                <c:pt idx="845">
                  <c:v>225000</c:v>
                </c:pt>
                <c:pt idx="846">
                  <c:v>225000</c:v>
                </c:pt>
                <c:pt idx="847">
                  <c:v>225000</c:v>
                </c:pt>
                <c:pt idx="848">
                  <c:v>225000</c:v>
                </c:pt>
                <c:pt idx="849">
                  <c:v>225000</c:v>
                </c:pt>
                <c:pt idx="850">
                  <c:v>225000</c:v>
                </c:pt>
                <c:pt idx="851">
                  <c:v>225000</c:v>
                </c:pt>
                <c:pt idx="852">
                  <c:v>225000</c:v>
                </c:pt>
                <c:pt idx="853">
                  <c:v>225000</c:v>
                </c:pt>
                <c:pt idx="854">
                  <c:v>225000</c:v>
                </c:pt>
                <c:pt idx="855">
                  <c:v>225000</c:v>
                </c:pt>
                <c:pt idx="856">
                  <c:v>225000</c:v>
                </c:pt>
                <c:pt idx="857">
                  <c:v>225000</c:v>
                </c:pt>
                <c:pt idx="858">
                  <c:v>225000</c:v>
                </c:pt>
                <c:pt idx="859">
                  <c:v>225000</c:v>
                </c:pt>
                <c:pt idx="860">
                  <c:v>225000</c:v>
                </c:pt>
                <c:pt idx="861">
                  <c:v>225000</c:v>
                </c:pt>
                <c:pt idx="862">
                  <c:v>225000</c:v>
                </c:pt>
                <c:pt idx="863">
                  <c:v>225000</c:v>
                </c:pt>
                <c:pt idx="864">
                  <c:v>225000</c:v>
                </c:pt>
                <c:pt idx="865">
                  <c:v>225000</c:v>
                </c:pt>
                <c:pt idx="866">
                  <c:v>225000</c:v>
                </c:pt>
                <c:pt idx="867">
                  <c:v>225000</c:v>
                </c:pt>
                <c:pt idx="868">
                  <c:v>225000</c:v>
                </c:pt>
                <c:pt idx="869">
                  <c:v>225000</c:v>
                </c:pt>
                <c:pt idx="870">
                  <c:v>225000</c:v>
                </c:pt>
                <c:pt idx="871">
                  <c:v>225000</c:v>
                </c:pt>
                <c:pt idx="872">
                  <c:v>225000</c:v>
                </c:pt>
                <c:pt idx="873">
                  <c:v>225000</c:v>
                </c:pt>
                <c:pt idx="874">
                  <c:v>225000</c:v>
                </c:pt>
                <c:pt idx="875">
                  <c:v>225000</c:v>
                </c:pt>
                <c:pt idx="876">
                  <c:v>225000</c:v>
                </c:pt>
                <c:pt idx="877">
                  <c:v>225000</c:v>
                </c:pt>
                <c:pt idx="878">
                  <c:v>225000</c:v>
                </c:pt>
                <c:pt idx="879">
                  <c:v>225000</c:v>
                </c:pt>
                <c:pt idx="880">
                  <c:v>225000</c:v>
                </c:pt>
                <c:pt idx="881">
                  <c:v>225000</c:v>
                </c:pt>
                <c:pt idx="882">
                  <c:v>225000</c:v>
                </c:pt>
                <c:pt idx="883">
                  <c:v>225000</c:v>
                </c:pt>
                <c:pt idx="884">
                  <c:v>225000</c:v>
                </c:pt>
                <c:pt idx="885">
                  <c:v>225000</c:v>
                </c:pt>
                <c:pt idx="886">
                  <c:v>225000</c:v>
                </c:pt>
                <c:pt idx="887">
                  <c:v>225000</c:v>
                </c:pt>
                <c:pt idx="888">
                  <c:v>225000</c:v>
                </c:pt>
                <c:pt idx="889">
                  <c:v>225000</c:v>
                </c:pt>
                <c:pt idx="890">
                  <c:v>225000</c:v>
                </c:pt>
                <c:pt idx="891">
                  <c:v>225000</c:v>
                </c:pt>
                <c:pt idx="892">
                  <c:v>225000</c:v>
                </c:pt>
                <c:pt idx="893">
                  <c:v>225000</c:v>
                </c:pt>
                <c:pt idx="894">
                  <c:v>225000</c:v>
                </c:pt>
                <c:pt idx="895">
                  <c:v>225000</c:v>
                </c:pt>
                <c:pt idx="896">
                  <c:v>225000</c:v>
                </c:pt>
                <c:pt idx="897">
                  <c:v>225000</c:v>
                </c:pt>
                <c:pt idx="898">
                  <c:v>225000</c:v>
                </c:pt>
                <c:pt idx="899">
                  <c:v>225000</c:v>
                </c:pt>
                <c:pt idx="900">
                  <c:v>225000</c:v>
                </c:pt>
                <c:pt idx="901">
                  <c:v>225000</c:v>
                </c:pt>
                <c:pt idx="902">
                  <c:v>225000</c:v>
                </c:pt>
                <c:pt idx="903">
                  <c:v>225000</c:v>
                </c:pt>
                <c:pt idx="904">
                  <c:v>225000</c:v>
                </c:pt>
                <c:pt idx="905">
                  <c:v>225000</c:v>
                </c:pt>
                <c:pt idx="906">
                  <c:v>225000</c:v>
                </c:pt>
                <c:pt idx="907">
                  <c:v>225000</c:v>
                </c:pt>
                <c:pt idx="908">
                  <c:v>225000</c:v>
                </c:pt>
                <c:pt idx="909">
                  <c:v>225000</c:v>
                </c:pt>
                <c:pt idx="910">
                  <c:v>225000</c:v>
                </c:pt>
                <c:pt idx="911">
                  <c:v>225000</c:v>
                </c:pt>
                <c:pt idx="912">
                  <c:v>225000</c:v>
                </c:pt>
                <c:pt idx="913">
                  <c:v>225000</c:v>
                </c:pt>
                <c:pt idx="914">
                  <c:v>225000</c:v>
                </c:pt>
                <c:pt idx="915">
                  <c:v>225000</c:v>
                </c:pt>
                <c:pt idx="916">
                  <c:v>225000</c:v>
                </c:pt>
                <c:pt idx="917">
                  <c:v>225000</c:v>
                </c:pt>
                <c:pt idx="918">
                  <c:v>225000</c:v>
                </c:pt>
                <c:pt idx="919">
                  <c:v>225000</c:v>
                </c:pt>
                <c:pt idx="920">
                  <c:v>225000</c:v>
                </c:pt>
                <c:pt idx="921">
                  <c:v>225000</c:v>
                </c:pt>
                <c:pt idx="922">
                  <c:v>225000</c:v>
                </c:pt>
                <c:pt idx="923">
                  <c:v>225000</c:v>
                </c:pt>
                <c:pt idx="924">
                  <c:v>225000</c:v>
                </c:pt>
                <c:pt idx="925">
                  <c:v>225000</c:v>
                </c:pt>
                <c:pt idx="926">
                  <c:v>225000</c:v>
                </c:pt>
                <c:pt idx="927">
                  <c:v>225000</c:v>
                </c:pt>
                <c:pt idx="928">
                  <c:v>225000</c:v>
                </c:pt>
                <c:pt idx="929">
                  <c:v>225000</c:v>
                </c:pt>
                <c:pt idx="930">
                  <c:v>225000</c:v>
                </c:pt>
                <c:pt idx="931">
                  <c:v>225000</c:v>
                </c:pt>
                <c:pt idx="932">
                  <c:v>225000</c:v>
                </c:pt>
                <c:pt idx="933">
                  <c:v>225000</c:v>
                </c:pt>
                <c:pt idx="934">
                  <c:v>225000</c:v>
                </c:pt>
                <c:pt idx="935">
                  <c:v>225000</c:v>
                </c:pt>
                <c:pt idx="936">
                  <c:v>225000</c:v>
                </c:pt>
                <c:pt idx="937">
                  <c:v>225000</c:v>
                </c:pt>
                <c:pt idx="938">
                  <c:v>225000</c:v>
                </c:pt>
                <c:pt idx="939">
                  <c:v>225000</c:v>
                </c:pt>
                <c:pt idx="940">
                  <c:v>225000</c:v>
                </c:pt>
                <c:pt idx="941">
                  <c:v>225000</c:v>
                </c:pt>
                <c:pt idx="942">
                  <c:v>225000</c:v>
                </c:pt>
                <c:pt idx="943">
                  <c:v>225000</c:v>
                </c:pt>
                <c:pt idx="944">
                  <c:v>225000</c:v>
                </c:pt>
                <c:pt idx="945">
                  <c:v>225000</c:v>
                </c:pt>
                <c:pt idx="946">
                  <c:v>225000</c:v>
                </c:pt>
                <c:pt idx="947">
                  <c:v>225000</c:v>
                </c:pt>
                <c:pt idx="948">
                  <c:v>225000</c:v>
                </c:pt>
                <c:pt idx="949">
                  <c:v>225000</c:v>
                </c:pt>
                <c:pt idx="950">
                  <c:v>225000</c:v>
                </c:pt>
                <c:pt idx="951">
                  <c:v>225000</c:v>
                </c:pt>
                <c:pt idx="952">
                  <c:v>225000</c:v>
                </c:pt>
                <c:pt idx="953">
                  <c:v>225000</c:v>
                </c:pt>
                <c:pt idx="954">
                  <c:v>225000</c:v>
                </c:pt>
                <c:pt idx="955">
                  <c:v>225000</c:v>
                </c:pt>
                <c:pt idx="956">
                  <c:v>225000</c:v>
                </c:pt>
                <c:pt idx="957">
                  <c:v>225000</c:v>
                </c:pt>
                <c:pt idx="958">
                  <c:v>225000</c:v>
                </c:pt>
                <c:pt idx="959">
                  <c:v>225000</c:v>
                </c:pt>
                <c:pt idx="960">
                  <c:v>225000</c:v>
                </c:pt>
                <c:pt idx="961">
                  <c:v>225000</c:v>
                </c:pt>
                <c:pt idx="962">
                  <c:v>225000</c:v>
                </c:pt>
                <c:pt idx="963">
                  <c:v>225000</c:v>
                </c:pt>
                <c:pt idx="964">
                  <c:v>225000</c:v>
                </c:pt>
                <c:pt idx="965">
                  <c:v>225000</c:v>
                </c:pt>
                <c:pt idx="966">
                  <c:v>225000</c:v>
                </c:pt>
                <c:pt idx="967">
                  <c:v>225000</c:v>
                </c:pt>
                <c:pt idx="968">
                  <c:v>225000</c:v>
                </c:pt>
                <c:pt idx="969">
                  <c:v>225000</c:v>
                </c:pt>
                <c:pt idx="970">
                  <c:v>225000</c:v>
                </c:pt>
                <c:pt idx="971">
                  <c:v>225000</c:v>
                </c:pt>
                <c:pt idx="972">
                  <c:v>225000</c:v>
                </c:pt>
                <c:pt idx="973">
                  <c:v>225000</c:v>
                </c:pt>
                <c:pt idx="974">
                  <c:v>225000</c:v>
                </c:pt>
                <c:pt idx="975">
                  <c:v>225000</c:v>
                </c:pt>
                <c:pt idx="976">
                  <c:v>225000</c:v>
                </c:pt>
                <c:pt idx="977">
                  <c:v>225000</c:v>
                </c:pt>
                <c:pt idx="978">
                  <c:v>225000</c:v>
                </c:pt>
                <c:pt idx="979">
                  <c:v>225000</c:v>
                </c:pt>
                <c:pt idx="980">
                  <c:v>225000</c:v>
                </c:pt>
                <c:pt idx="981">
                  <c:v>225000</c:v>
                </c:pt>
                <c:pt idx="982">
                  <c:v>225000</c:v>
                </c:pt>
                <c:pt idx="983">
                  <c:v>225000</c:v>
                </c:pt>
                <c:pt idx="984">
                  <c:v>225000</c:v>
                </c:pt>
                <c:pt idx="985">
                  <c:v>225000</c:v>
                </c:pt>
                <c:pt idx="986">
                  <c:v>225000</c:v>
                </c:pt>
                <c:pt idx="987">
                  <c:v>225000</c:v>
                </c:pt>
                <c:pt idx="988">
                  <c:v>225000</c:v>
                </c:pt>
                <c:pt idx="989">
                  <c:v>225000</c:v>
                </c:pt>
                <c:pt idx="990">
                  <c:v>225000</c:v>
                </c:pt>
                <c:pt idx="991">
                  <c:v>225000</c:v>
                </c:pt>
                <c:pt idx="992">
                  <c:v>225000</c:v>
                </c:pt>
                <c:pt idx="993">
                  <c:v>225000</c:v>
                </c:pt>
                <c:pt idx="994">
                  <c:v>225000</c:v>
                </c:pt>
                <c:pt idx="995">
                  <c:v>225000</c:v>
                </c:pt>
                <c:pt idx="996">
                  <c:v>225000</c:v>
                </c:pt>
                <c:pt idx="997">
                  <c:v>225000</c:v>
                </c:pt>
                <c:pt idx="998">
                  <c:v>225000</c:v>
                </c:pt>
                <c:pt idx="999">
                  <c:v>225000</c:v>
                </c:pt>
                <c:pt idx="1000">
                  <c:v>225000</c:v>
                </c:pt>
                <c:pt idx="1001">
                  <c:v>225000</c:v>
                </c:pt>
                <c:pt idx="1002">
                  <c:v>225000</c:v>
                </c:pt>
                <c:pt idx="1003">
                  <c:v>225000</c:v>
                </c:pt>
                <c:pt idx="1004">
                  <c:v>225000</c:v>
                </c:pt>
                <c:pt idx="1005">
                  <c:v>225000</c:v>
                </c:pt>
                <c:pt idx="1006">
                  <c:v>225000</c:v>
                </c:pt>
                <c:pt idx="1007">
                  <c:v>225000</c:v>
                </c:pt>
                <c:pt idx="1008">
                  <c:v>225000</c:v>
                </c:pt>
                <c:pt idx="1009">
                  <c:v>225000</c:v>
                </c:pt>
                <c:pt idx="1010">
                  <c:v>225000</c:v>
                </c:pt>
                <c:pt idx="1011">
                  <c:v>225000</c:v>
                </c:pt>
                <c:pt idx="1012">
                  <c:v>225000</c:v>
                </c:pt>
                <c:pt idx="1013">
                  <c:v>225000</c:v>
                </c:pt>
                <c:pt idx="1014">
                  <c:v>225000</c:v>
                </c:pt>
                <c:pt idx="1015">
                  <c:v>225000</c:v>
                </c:pt>
                <c:pt idx="1016">
                  <c:v>225000</c:v>
                </c:pt>
                <c:pt idx="1017">
                  <c:v>225000</c:v>
                </c:pt>
                <c:pt idx="1018">
                  <c:v>225000</c:v>
                </c:pt>
                <c:pt idx="1019">
                  <c:v>225000</c:v>
                </c:pt>
                <c:pt idx="1020">
                  <c:v>225000</c:v>
                </c:pt>
                <c:pt idx="1021">
                  <c:v>225000</c:v>
                </c:pt>
                <c:pt idx="1022">
                  <c:v>225000</c:v>
                </c:pt>
                <c:pt idx="1023">
                  <c:v>225000</c:v>
                </c:pt>
                <c:pt idx="1024">
                  <c:v>225000</c:v>
                </c:pt>
                <c:pt idx="1025">
                  <c:v>225000</c:v>
                </c:pt>
                <c:pt idx="1026">
                  <c:v>225000</c:v>
                </c:pt>
                <c:pt idx="1027">
                  <c:v>225000</c:v>
                </c:pt>
                <c:pt idx="1028">
                  <c:v>225000</c:v>
                </c:pt>
                <c:pt idx="1029">
                  <c:v>225000</c:v>
                </c:pt>
                <c:pt idx="1030">
                  <c:v>225000</c:v>
                </c:pt>
                <c:pt idx="1031">
                  <c:v>225000</c:v>
                </c:pt>
                <c:pt idx="1032">
                  <c:v>225000</c:v>
                </c:pt>
                <c:pt idx="1033">
                  <c:v>225000</c:v>
                </c:pt>
                <c:pt idx="1034">
                  <c:v>225000</c:v>
                </c:pt>
                <c:pt idx="1035">
                  <c:v>225000</c:v>
                </c:pt>
                <c:pt idx="1036">
                  <c:v>225000</c:v>
                </c:pt>
                <c:pt idx="1037">
                  <c:v>225000</c:v>
                </c:pt>
                <c:pt idx="1038">
                  <c:v>225000</c:v>
                </c:pt>
                <c:pt idx="1039">
                  <c:v>225000</c:v>
                </c:pt>
                <c:pt idx="1040">
                  <c:v>225000</c:v>
                </c:pt>
                <c:pt idx="1041">
                  <c:v>225000</c:v>
                </c:pt>
                <c:pt idx="1042">
                  <c:v>225000</c:v>
                </c:pt>
                <c:pt idx="1043">
                  <c:v>225000</c:v>
                </c:pt>
                <c:pt idx="1044">
                  <c:v>225000</c:v>
                </c:pt>
                <c:pt idx="1045">
                  <c:v>225000</c:v>
                </c:pt>
                <c:pt idx="1046">
                  <c:v>225000</c:v>
                </c:pt>
                <c:pt idx="1047">
                  <c:v>225000</c:v>
                </c:pt>
                <c:pt idx="1048">
                  <c:v>225000</c:v>
                </c:pt>
                <c:pt idx="1049">
                  <c:v>225000</c:v>
                </c:pt>
                <c:pt idx="1050">
                  <c:v>225000</c:v>
                </c:pt>
                <c:pt idx="1051">
                  <c:v>225000</c:v>
                </c:pt>
                <c:pt idx="1052">
                  <c:v>225000</c:v>
                </c:pt>
                <c:pt idx="1053">
                  <c:v>225000</c:v>
                </c:pt>
                <c:pt idx="1054">
                  <c:v>225000</c:v>
                </c:pt>
                <c:pt idx="1055">
                  <c:v>225000</c:v>
                </c:pt>
                <c:pt idx="1056">
                  <c:v>225000</c:v>
                </c:pt>
                <c:pt idx="1057">
                  <c:v>225000</c:v>
                </c:pt>
                <c:pt idx="1058">
                  <c:v>225000</c:v>
                </c:pt>
                <c:pt idx="1059">
                  <c:v>225000</c:v>
                </c:pt>
                <c:pt idx="1060">
                  <c:v>225000</c:v>
                </c:pt>
                <c:pt idx="1061">
                  <c:v>225000</c:v>
                </c:pt>
                <c:pt idx="1062">
                  <c:v>225000</c:v>
                </c:pt>
                <c:pt idx="1063">
                  <c:v>225000</c:v>
                </c:pt>
                <c:pt idx="1064">
                  <c:v>225000</c:v>
                </c:pt>
                <c:pt idx="1065">
                  <c:v>225000</c:v>
                </c:pt>
                <c:pt idx="1066">
                  <c:v>225000</c:v>
                </c:pt>
                <c:pt idx="1067">
                  <c:v>225000</c:v>
                </c:pt>
                <c:pt idx="1068">
                  <c:v>225000</c:v>
                </c:pt>
                <c:pt idx="1069">
                  <c:v>225000</c:v>
                </c:pt>
                <c:pt idx="1070">
                  <c:v>225000</c:v>
                </c:pt>
                <c:pt idx="1071">
                  <c:v>225000</c:v>
                </c:pt>
                <c:pt idx="1072">
                  <c:v>225000</c:v>
                </c:pt>
                <c:pt idx="1073">
                  <c:v>225000</c:v>
                </c:pt>
                <c:pt idx="1074">
                  <c:v>225000</c:v>
                </c:pt>
                <c:pt idx="1075">
                  <c:v>225000</c:v>
                </c:pt>
                <c:pt idx="1076">
                  <c:v>225000</c:v>
                </c:pt>
                <c:pt idx="1077">
                  <c:v>225000</c:v>
                </c:pt>
                <c:pt idx="1078">
                  <c:v>225000</c:v>
                </c:pt>
                <c:pt idx="1079">
                  <c:v>225000</c:v>
                </c:pt>
                <c:pt idx="1080">
                  <c:v>225000</c:v>
                </c:pt>
                <c:pt idx="1081">
                  <c:v>225000</c:v>
                </c:pt>
                <c:pt idx="1082">
                  <c:v>225000</c:v>
                </c:pt>
                <c:pt idx="1083">
                  <c:v>225000</c:v>
                </c:pt>
                <c:pt idx="1084">
                  <c:v>225000</c:v>
                </c:pt>
                <c:pt idx="1085">
                  <c:v>225000</c:v>
                </c:pt>
                <c:pt idx="1086">
                  <c:v>225000</c:v>
                </c:pt>
              </c:numCache>
            </c:numRef>
          </c:val>
          <c:smooth val="0"/>
          <c:extLst>
            <c:ext xmlns:c16="http://schemas.microsoft.com/office/drawing/2014/chart" uri="{C3380CC4-5D6E-409C-BE32-E72D297353CC}">
              <c16:uniqueId val="{00000001-82DD-4A8C-ACC0-4C5B5F189F98}"/>
            </c:ext>
          </c:extLst>
        </c:ser>
        <c:ser>
          <c:idx val="3"/>
          <c:order val="3"/>
          <c:tx>
            <c:strRef>
              <c:f>PITTE!$P$1</c:f>
              <c:strCache>
                <c:ptCount val="1"/>
                <c:pt idx="0">
                  <c:v>Allocated capacity</c:v>
                </c:pt>
              </c:strCache>
            </c:strRef>
          </c:tx>
          <c:spPr>
            <a:ln w="12700" cap="rnd">
              <a:solidFill>
                <a:schemeClr val="accent1"/>
              </a:solidFill>
              <a:round/>
            </a:ln>
            <a:effectLst/>
          </c:spPr>
          <c:marker>
            <c:symbol val="none"/>
          </c:marker>
          <c:cat>
            <c:numRef>
              <c:f>PITTE!$A$2:$A$1098</c:f>
              <c:numCache>
                <c:formatCode>m/d/yyyy</c:formatCode>
                <c:ptCount val="1089"/>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42694</c:v>
                </c:pt>
                <c:pt idx="43">
                  <c:v>42695</c:v>
                </c:pt>
                <c:pt idx="44">
                  <c:v>42696</c:v>
                </c:pt>
                <c:pt idx="45">
                  <c:v>42697</c:v>
                </c:pt>
                <c:pt idx="46">
                  <c:v>42698</c:v>
                </c:pt>
                <c:pt idx="47">
                  <c:v>42699</c:v>
                </c:pt>
                <c:pt idx="48">
                  <c:v>42700</c:v>
                </c:pt>
                <c:pt idx="49">
                  <c:v>42701</c:v>
                </c:pt>
                <c:pt idx="50">
                  <c:v>42702</c:v>
                </c:pt>
                <c:pt idx="51">
                  <c:v>42703</c:v>
                </c:pt>
                <c:pt idx="52">
                  <c:v>42704</c:v>
                </c:pt>
                <c:pt idx="53">
                  <c:v>42705</c:v>
                </c:pt>
                <c:pt idx="54">
                  <c:v>42706</c:v>
                </c:pt>
                <c:pt idx="55">
                  <c:v>42707</c:v>
                </c:pt>
                <c:pt idx="56">
                  <c:v>42708</c:v>
                </c:pt>
                <c:pt idx="57">
                  <c:v>42709</c:v>
                </c:pt>
                <c:pt idx="58">
                  <c:v>42710</c:v>
                </c:pt>
                <c:pt idx="59">
                  <c:v>42711</c:v>
                </c:pt>
                <c:pt idx="60">
                  <c:v>42712</c:v>
                </c:pt>
                <c:pt idx="61">
                  <c:v>42713</c:v>
                </c:pt>
                <c:pt idx="62">
                  <c:v>42714</c:v>
                </c:pt>
                <c:pt idx="63">
                  <c:v>42715</c:v>
                </c:pt>
                <c:pt idx="64">
                  <c:v>42716</c:v>
                </c:pt>
                <c:pt idx="65">
                  <c:v>42717</c:v>
                </c:pt>
                <c:pt idx="66">
                  <c:v>42718</c:v>
                </c:pt>
                <c:pt idx="67">
                  <c:v>42719</c:v>
                </c:pt>
                <c:pt idx="68">
                  <c:v>42720</c:v>
                </c:pt>
                <c:pt idx="69">
                  <c:v>42721</c:v>
                </c:pt>
                <c:pt idx="70">
                  <c:v>42722</c:v>
                </c:pt>
                <c:pt idx="71">
                  <c:v>42723</c:v>
                </c:pt>
                <c:pt idx="72">
                  <c:v>42724</c:v>
                </c:pt>
                <c:pt idx="73">
                  <c:v>42725</c:v>
                </c:pt>
                <c:pt idx="74">
                  <c:v>42726</c:v>
                </c:pt>
                <c:pt idx="75">
                  <c:v>42727</c:v>
                </c:pt>
                <c:pt idx="76">
                  <c:v>42728</c:v>
                </c:pt>
                <c:pt idx="77">
                  <c:v>42729</c:v>
                </c:pt>
                <c:pt idx="78">
                  <c:v>42730</c:v>
                </c:pt>
                <c:pt idx="79">
                  <c:v>42731</c:v>
                </c:pt>
                <c:pt idx="80">
                  <c:v>42732</c:v>
                </c:pt>
                <c:pt idx="81">
                  <c:v>42733</c:v>
                </c:pt>
                <c:pt idx="82">
                  <c:v>42734</c:v>
                </c:pt>
                <c:pt idx="83">
                  <c:v>42735</c:v>
                </c:pt>
                <c:pt idx="84">
                  <c:v>42736</c:v>
                </c:pt>
                <c:pt idx="85">
                  <c:v>42737</c:v>
                </c:pt>
                <c:pt idx="86">
                  <c:v>42738</c:v>
                </c:pt>
                <c:pt idx="87">
                  <c:v>42739</c:v>
                </c:pt>
                <c:pt idx="88">
                  <c:v>42740</c:v>
                </c:pt>
                <c:pt idx="89">
                  <c:v>42741</c:v>
                </c:pt>
                <c:pt idx="90">
                  <c:v>42742</c:v>
                </c:pt>
                <c:pt idx="91">
                  <c:v>42743</c:v>
                </c:pt>
                <c:pt idx="92">
                  <c:v>42744</c:v>
                </c:pt>
                <c:pt idx="93">
                  <c:v>42745</c:v>
                </c:pt>
                <c:pt idx="94">
                  <c:v>42746</c:v>
                </c:pt>
                <c:pt idx="95">
                  <c:v>42747</c:v>
                </c:pt>
                <c:pt idx="96">
                  <c:v>42748</c:v>
                </c:pt>
                <c:pt idx="97">
                  <c:v>42749</c:v>
                </c:pt>
                <c:pt idx="98">
                  <c:v>42750</c:v>
                </c:pt>
                <c:pt idx="99">
                  <c:v>42751</c:v>
                </c:pt>
                <c:pt idx="100">
                  <c:v>42752</c:v>
                </c:pt>
                <c:pt idx="101">
                  <c:v>42753</c:v>
                </c:pt>
                <c:pt idx="102">
                  <c:v>42754</c:v>
                </c:pt>
                <c:pt idx="103">
                  <c:v>42755</c:v>
                </c:pt>
                <c:pt idx="104">
                  <c:v>42756</c:v>
                </c:pt>
                <c:pt idx="105">
                  <c:v>42757</c:v>
                </c:pt>
                <c:pt idx="106">
                  <c:v>42758</c:v>
                </c:pt>
                <c:pt idx="107">
                  <c:v>42759</c:v>
                </c:pt>
                <c:pt idx="108">
                  <c:v>42760</c:v>
                </c:pt>
                <c:pt idx="109">
                  <c:v>42761</c:v>
                </c:pt>
                <c:pt idx="110">
                  <c:v>42762</c:v>
                </c:pt>
                <c:pt idx="111">
                  <c:v>42763</c:v>
                </c:pt>
                <c:pt idx="112">
                  <c:v>42764</c:v>
                </c:pt>
                <c:pt idx="113">
                  <c:v>42765</c:v>
                </c:pt>
                <c:pt idx="114">
                  <c:v>42766</c:v>
                </c:pt>
                <c:pt idx="115">
                  <c:v>42767</c:v>
                </c:pt>
                <c:pt idx="116">
                  <c:v>42768</c:v>
                </c:pt>
                <c:pt idx="117">
                  <c:v>42769</c:v>
                </c:pt>
                <c:pt idx="118">
                  <c:v>42770</c:v>
                </c:pt>
                <c:pt idx="119">
                  <c:v>42771</c:v>
                </c:pt>
                <c:pt idx="120">
                  <c:v>42772</c:v>
                </c:pt>
                <c:pt idx="121">
                  <c:v>42773</c:v>
                </c:pt>
                <c:pt idx="122">
                  <c:v>42774</c:v>
                </c:pt>
                <c:pt idx="123">
                  <c:v>42775</c:v>
                </c:pt>
                <c:pt idx="124">
                  <c:v>42776</c:v>
                </c:pt>
                <c:pt idx="125">
                  <c:v>42777</c:v>
                </c:pt>
                <c:pt idx="126">
                  <c:v>42778</c:v>
                </c:pt>
                <c:pt idx="127">
                  <c:v>42779</c:v>
                </c:pt>
                <c:pt idx="128">
                  <c:v>42780</c:v>
                </c:pt>
                <c:pt idx="129">
                  <c:v>42781</c:v>
                </c:pt>
                <c:pt idx="130">
                  <c:v>42782</c:v>
                </c:pt>
                <c:pt idx="131">
                  <c:v>42783</c:v>
                </c:pt>
                <c:pt idx="132">
                  <c:v>42784</c:v>
                </c:pt>
                <c:pt idx="133">
                  <c:v>42785</c:v>
                </c:pt>
                <c:pt idx="134">
                  <c:v>42786</c:v>
                </c:pt>
                <c:pt idx="135">
                  <c:v>42787</c:v>
                </c:pt>
                <c:pt idx="136">
                  <c:v>42788</c:v>
                </c:pt>
                <c:pt idx="137">
                  <c:v>42789</c:v>
                </c:pt>
                <c:pt idx="138">
                  <c:v>42790</c:v>
                </c:pt>
                <c:pt idx="139">
                  <c:v>42791</c:v>
                </c:pt>
                <c:pt idx="140">
                  <c:v>42792</c:v>
                </c:pt>
                <c:pt idx="141">
                  <c:v>42793</c:v>
                </c:pt>
                <c:pt idx="142">
                  <c:v>42794</c:v>
                </c:pt>
                <c:pt idx="143">
                  <c:v>42795</c:v>
                </c:pt>
                <c:pt idx="144">
                  <c:v>42796</c:v>
                </c:pt>
                <c:pt idx="145">
                  <c:v>42797</c:v>
                </c:pt>
                <c:pt idx="146">
                  <c:v>42798</c:v>
                </c:pt>
                <c:pt idx="147">
                  <c:v>42799</c:v>
                </c:pt>
                <c:pt idx="148">
                  <c:v>42800</c:v>
                </c:pt>
                <c:pt idx="149">
                  <c:v>42801</c:v>
                </c:pt>
                <c:pt idx="150">
                  <c:v>42802</c:v>
                </c:pt>
                <c:pt idx="151">
                  <c:v>42803</c:v>
                </c:pt>
                <c:pt idx="152">
                  <c:v>42804</c:v>
                </c:pt>
                <c:pt idx="153">
                  <c:v>42805</c:v>
                </c:pt>
                <c:pt idx="154">
                  <c:v>42806</c:v>
                </c:pt>
                <c:pt idx="155">
                  <c:v>42807</c:v>
                </c:pt>
                <c:pt idx="156">
                  <c:v>42808</c:v>
                </c:pt>
                <c:pt idx="157">
                  <c:v>42809</c:v>
                </c:pt>
                <c:pt idx="158">
                  <c:v>42810</c:v>
                </c:pt>
                <c:pt idx="159">
                  <c:v>42811</c:v>
                </c:pt>
                <c:pt idx="160">
                  <c:v>42812</c:v>
                </c:pt>
                <c:pt idx="161">
                  <c:v>42813</c:v>
                </c:pt>
                <c:pt idx="162">
                  <c:v>42814</c:v>
                </c:pt>
                <c:pt idx="163">
                  <c:v>42815</c:v>
                </c:pt>
                <c:pt idx="164">
                  <c:v>42816</c:v>
                </c:pt>
                <c:pt idx="165">
                  <c:v>42817</c:v>
                </c:pt>
                <c:pt idx="166">
                  <c:v>42818</c:v>
                </c:pt>
                <c:pt idx="167">
                  <c:v>42819</c:v>
                </c:pt>
                <c:pt idx="168">
                  <c:v>42820</c:v>
                </c:pt>
                <c:pt idx="169">
                  <c:v>42821</c:v>
                </c:pt>
                <c:pt idx="170">
                  <c:v>42822</c:v>
                </c:pt>
                <c:pt idx="171">
                  <c:v>42823</c:v>
                </c:pt>
                <c:pt idx="172">
                  <c:v>42824</c:v>
                </c:pt>
                <c:pt idx="173">
                  <c:v>42825</c:v>
                </c:pt>
                <c:pt idx="174">
                  <c:v>42826</c:v>
                </c:pt>
                <c:pt idx="175">
                  <c:v>42827</c:v>
                </c:pt>
                <c:pt idx="176">
                  <c:v>42828</c:v>
                </c:pt>
                <c:pt idx="177">
                  <c:v>42829</c:v>
                </c:pt>
                <c:pt idx="178">
                  <c:v>42830</c:v>
                </c:pt>
                <c:pt idx="179">
                  <c:v>42831</c:v>
                </c:pt>
                <c:pt idx="180">
                  <c:v>42832</c:v>
                </c:pt>
                <c:pt idx="181">
                  <c:v>42833</c:v>
                </c:pt>
                <c:pt idx="182">
                  <c:v>42834</c:v>
                </c:pt>
                <c:pt idx="183">
                  <c:v>42835</c:v>
                </c:pt>
                <c:pt idx="184">
                  <c:v>42836</c:v>
                </c:pt>
                <c:pt idx="185">
                  <c:v>42837</c:v>
                </c:pt>
                <c:pt idx="186">
                  <c:v>42838</c:v>
                </c:pt>
                <c:pt idx="187">
                  <c:v>42839</c:v>
                </c:pt>
                <c:pt idx="188">
                  <c:v>42840</c:v>
                </c:pt>
                <c:pt idx="189">
                  <c:v>42841</c:v>
                </c:pt>
                <c:pt idx="190">
                  <c:v>42842</c:v>
                </c:pt>
                <c:pt idx="191">
                  <c:v>42843</c:v>
                </c:pt>
                <c:pt idx="192">
                  <c:v>42844</c:v>
                </c:pt>
                <c:pt idx="193">
                  <c:v>42845</c:v>
                </c:pt>
                <c:pt idx="194">
                  <c:v>42846</c:v>
                </c:pt>
                <c:pt idx="195">
                  <c:v>42847</c:v>
                </c:pt>
                <c:pt idx="196">
                  <c:v>42848</c:v>
                </c:pt>
                <c:pt idx="197">
                  <c:v>42849</c:v>
                </c:pt>
                <c:pt idx="198">
                  <c:v>42850</c:v>
                </c:pt>
                <c:pt idx="199">
                  <c:v>42851</c:v>
                </c:pt>
                <c:pt idx="200">
                  <c:v>42852</c:v>
                </c:pt>
                <c:pt idx="201">
                  <c:v>42853</c:v>
                </c:pt>
                <c:pt idx="202">
                  <c:v>42854</c:v>
                </c:pt>
                <c:pt idx="203">
                  <c:v>42855</c:v>
                </c:pt>
                <c:pt idx="204">
                  <c:v>42856</c:v>
                </c:pt>
                <c:pt idx="205">
                  <c:v>42857</c:v>
                </c:pt>
                <c:pt idx="206">
                  <c:v>42858</c:v>
                </c:pt>
                <c:pt idx="207">
                  <c:v>42859</c:v>
                </c:pt>
                <c:pt idx="208">
                  <c:v>42860</c:v>
                </c:pt>
                <c:pt idx="209">
                  <c:v>42861</c:v>
                </c:pt>
                <c:pt idx="210">
                  <c:v>42862</c:v>
                </c:pt>
                <c:pt idx="211">
                  <c:v>42863</c:v>
                </c:pt>
                <c:pt idx="212">
                  <c:v>42864</c:v>
                </c:pt>
                <c:pt idx="213">
                  <c:v>42865</c:v>
                </c:pt>
                <c:pt idx="214">
                  <c:v>42866</c:v>
                </c:pt>
                <c:pt idx="215">
                  <c:v>42867</c:v>
                </c:pt>
                <c:pt idx="216">
                  <c:v>42868</c:v>
                </c:pt>
                <c:pt idx="217">
                  <c:v>42869</c:v>
                </c:pt>
                <c:pt idx="218">
                  <c:v>42870</c:v>
                </c:pt>
                <c:pt idx="219">
                  <c:v>42871</c:v>
                </c:pt>
                <c:pt idx="220">
                  <c:v>42872</c:v>
                </c:pt>
                <c:pt idx="221">
                  <c:v>42873</c:v>
                </c:pt>
                <c:pt idx="222">
                  <c:v>42874</c:v>
                </c:pt>
                <c:pt idx="223">
                  <c:v>42875</c:v>
                </c:pt>
                <c:pt idx="224">
                  <c:v>42876</c:v>
                </c:pt>
                <c:pt idx="225">
                  <c:v>42877</c:v>
                </c:pt>
                <c:pt idx="226">
                  <c:v>42878</c:v>
                </c:pt>
                <c:pt idx="227">
                  <c:v>42879</c:v>
                </c:pt>
                <c:pt idx="228">
                  <c:v>42880</c:v>
                </c:pt>
                <c:pt idx="229">
                  <c:v>42881</c:v>
                </c:pt>
                <c:pt idx="230">
                  <c:v>42882</c:v>
                </c:pt>
                <c:pt idx="231">
                  <c:v>42883</c:v>
                </c:pt>
                <c:pt idx="232">
                  <c:v>42884</c:v>
                </c:pt>
                <c:pt idx="233">
                  <c:v>42885</c:v>
                </c:pt>
                <c:pt idx="234">
                  <c:v>42886</c:v>
                </c:pt>
                <c:pt idx="235">
                  <c:v>42887</c:v>
                </c:pt>
                <c:pt idx="236">
                  <c:v>42888</c:v>
                </c:pt>
                <c:pt idx="237">
                  <c:v>42889</c:v>
                </c:pt>
                <c:pt idx="238">
                  <c:v>42890</c:v>
                </c:pt>
                <c:pt idx="239">
                  <c:v>42891</c:v>
                </c:pt>
                <c:pt idx="240">
                  <c:v>42892</c:v>
                </c:pt>
                <c:pt idx="241">
                  <c:v>42893</c:v>
                </c:pt>
                <c:pt idx="242">
                  <c:v>42894</c:v>
                </c:pt>
                <c:pt idx="243">
                  <c:v>42895</c:v>
                </c:pt>
                <c:pt idx="244">
                  <c:v>42896</c:v>
                </c:pt>
                <c:pt idx="245">
                  <c:v>42897</c:v>
                </c:pt>
                <c:pt idx="246">
                  <c:v>42898</c:v>
                </c:pt>
                <c:pt idx="247">
                  <c:v>42899</c:v>
                </c:pt>
                <c:pt idx="248">
                  <c:v>42900</c:v>
                </c:pt>
                <c:pt idx="249">
                  <c:v>42901</c:v>
                </c:pt>
                <c:pt idx="250">
                  <c:v>42902</c:v>
                </c:pt>
                <c:pt idx="251">
                  <c:v>42903</c:v>
                </c:pt>
                <c:pt idx="252">
                  <c:v>42904</c:v>
                </c:pt>
                <c:pt idx="253">
                  <c:v>42905</c:v>
                </c:pt>
                <c:pt idx="254">
                  <c:v>42906</c:v>
                </c:pt>
                <c:pt idx="255">
                  <c:v>42907</c:v>
                </c:pt>
                <c:pt idx="256">
                  <c:v>42908</c:v>
                </c:pt>
                <c:pt idx="257">
                  <c:v>42909</c:v>
                </c:pt>
                <c:pt idx="258">
                  <c:v>42910</c:v>
                </c:pt>
                <c:pt idx="259">
                  <c:v>42911</c:v>
                </c:pt>
                <c:pt idx="260">
                  <c:v>42912</c:v>
                </c:pt>
                <c:pt idx="261">
                  <c:v>42913</c:v>
                </c:pt>
                <c:pt idx="262">
                  <c:v>42914</c:v>
                </c:pt>
                <c:pt idx="263">
                  <c:v>42915</c:v>
                </c:pt>
                <c:pt idx="264">
                  <c:v>42916</c:v>
                </c:pt>
                <c:pt idx="265">
                  <c:v>42917</c:v>
                </c:pt>
                <c:pt idx="266">
                  <c:v>42918</c:v>
                </c:pt>
                <c:pt idx="267">
                  <c:v>42919</c:v>
                </c:pt>
                <c:pt idx="268">
                  <c:v>42920</c:v>
                </c:pt>
                <c:pt idx="269">
                  <c:v>42921</c:v>
                </c:pt>
                <c:pt idx="270">
                  <c:v>42922</c:v>
                </c:pt>
                <c:pt idx="271">
                  <c:v>42923</c:v>
                </c:pt>
                <c:pt idx="272">
                  <c:v>42924</c:v>
                </c:pt>
                <c:pt idx="273">
                  <c:v>42925</c:v>
                </c:pt>
                <c:pt idx="274">
                  <c:v>42926</c:v>
                </c:pt>
                <c:pt idx="275">
                  <c:v>42927</c:v>
                </c:pt>
                <c:pt idx="276">
                  <c:v>42928</c:v>
                </c:pt>
                <c:pt idx="277">
                  <c:v>42929</c:v>
                </c:pt>
                <c:pt idx="278">
                  <c:v>42930</c:v>
                </c:pt>
                <c:pt idx="279">
                  <c:v>42931</c:v>
                </c:pt>
                <c:pt idx="280">
                  <c:v>42932</c:v>
                </c:pt>
                <c:pt idx="281">
                  <c:v>42933</c:v>
                </c:pt>
                <c:pt idx="282">
                  <c:v>42934</c:v>
                </c:pt>
                <c:pt idx="283">
                  <c:v>42935</c:v>
                </c:pt>
                <c:pt idx="284">
                  <c:v>42936</c:v>
                </c:pt>
                <c:pt idx="285">
                  <c:v>42937</c:v>
                </c:pt>
                <c:pt idx="286">
                  <c:v>42938</c:v>
                </c:pt>
                <c:pt idx="287">
                  <c:v>42939</c:v>
                </c:pt>
                <c:pt idx="288">
                  <c:v>42940</c:v>
                </c:pt>
                <c:pt idx="289">
                  <c:v>42941</c:v>
                </c:pt>
                <c:pt idx="290">
                  <c:v>42942</c:v>
                </c:pt>
                <c:pt idx="291">
                  <c:v>42943</c:v>
                </c:pt>
                <c:pt idx="292">
                  <c:v>42944</c:v>
                </c:pt>
                <c:pt idx="293">
                  <c:v>42945</c:v>
                </c:pt>
                <c:pt idx="294">
                  <c:v>42946</c:v>
                </c:pt>
                <c:pt idx="295">
                  <c:v>42947</c:v>
                </c:pt>
                <c:pt idx="296">
                  <c:v>42948</c:v>
                </c:pt>
                <c:pt idx="297">
                  <c:v>42949</c:v>
                </c:pt>
                <c:pt idx="298">
                  <c:v>42950</c:v>
                </c:pt>
                <c:pt idx="299">
                  <c:v>42951</c:v>
                </c:pt>
                <c:pt idx="300">
                  <c:v>42952</c:v>
                </c:pt>
                <c:pt idx="301">
                  <c:v>42953</c:v>
                </c:pt>
                <c:pt idx="302">
                  <c:v>42954</c:v>
                </c:pt>
                <c:pt idx="303">
                  <c:v>42955</c:v>
                </c:pt>
                <c:pt idx="304">
                  <c:v>42956</c:v>
                </c:pt>
                <c:pt idx="305">
                  <c:v>42957</c:v>
                </c:pt>
                <c:pt idx="306">
                  <c:v>42958</c:v>
                </c:pt>
                <c:pt idx="307">
                  <c:v>42959</c:v>
                </c:pt>
                <c:pt idx="308">
                  <c:v>42960</c:v>
                </c:pt>
                <c:pt idx="309">
                  <c:v>42961</c:v>
                </c:pt>
                <c:pt idx="310">
                  <c:v>42962</c:v>
                </c:pt>
                <c:pt idx="311">
                  <c:v>42963</c:v>
                </c:pt>
                <c:pt idx="312">
                  <c:v>42964</c:v>
                </c:pt>
                <c:pt idx="313">
                  <c:v>42965</c:v>
                </c:pt>
                <c:pt idx="314">
                  <c:v>42966</c:v>
                </c:pt>
                <c:pt idx="315">
                  <c:v>42967</c:v>
                </c:pt>
                <c:pt idx="316">
                  <c:v>42968</c:v>
                </c:pt>
                <c:pt idx="317">
                  <c:v>42969</c:v>
                </c:pt>
                <c:pt idx="318">
                  <c:v>42970</c:v>
                </c:pt>
                <c:pt idx="319">
                  <c:v>42971</c:v>
                </c:pt>
                <c:pt idx="320">
                  <c:v>42972</c:v>
                </c:pt>
                <c:pt idx="321">
                  <c:v>42973</c:v>
                </c:pt>
                <c:pt idx="322">
                  <c:v>42974</c:v>
                </c:pt>
                <c:pt idx="323">
                  <c:v>42975</c:v>
                </c:pt>
                <c:pt idx="324">
                  <c:v>42976</c:v>
                </c:pt>
                <c:pt idx="325">
                  <c:v>42977</c:v>
                </c:pt>
                <c:pt idx="326">
                  <c:v>42978</c:v>
                </c:pt>
                <c:pt idx="327">
                  <c:v>42979</c:v>
                </c:pt>
                <c:pt idx="328">
                  <c:v>42980</c:v>
                </c:pt>
                <c:pt idx="329">
                  <c:v>42981</c:v>
                </c:pt>
                <c:pt idx="330">
                  <c:v>42982</c:v>
                </c:pt>
                <c:pt idx="331">
                  <c:v>42983</c:v>
                </c:pt>
                <c:pt idx="332">
                  <c:v>42984</c:v>
                </c:pt>
                <c:pt idx="333">
                  <c:v>42985</c:v>
                </c:pt>
                <c:pt idx="334">
                  <c:v>42986</c:v>
                </c:pt>
                <c:pt idx="335">
                  <c:v>42987</c:v>
                </c:pt>
                <c:pt idx="336">
                  <c:v>42988</c:v>
                </c:pt>
                <c:pt idx="337">
                  <c:v>42989</c:v>
                </c:pt>
                <c:pt idx="338">
                  <c:v>42990</c:v>
                </c:pt>
                <c:pt idx="339">
                  <c:v>42991</c:v>
                </c:pt>
                <c:pt idx="340">
                  <c:v>42992</c:v>
                </c:pt>
                <c:pt idx="341">
                  <c:v>42993</c:v>
                </c:pt>
                <c:pt idx="342">
                  <c:v>42994</c:v>
                </c:pt>
                <c:pt idx="343">
                  <c:v>42995</c:v>
                </c:pt>
                <c:pt idx="344">
                  <c:v>42996</c:v>
                </c:pt>
                <c:pt idx="345">
                  <c:v>42997</c:v>
                </c:pt>
                <c:pt idx="346">
                  <c:v>42998</c:v>
                </c:pt>
                <c:pt idx="347">
                  <c:v>42999</c:v>
                </c:pt>
                <c:pt idx="348">
                  <c:v>43000</c:v>
                </c:pt>
                <c:pt idx="349">
                  <c:v>43001</c:v>
                </c:pt>
                <c:pt idx="350">
                  <c:v>43002</c:v>
                </c:pt>
                <c:pt idx="351">
                  <c:v>43003</c:v>
                </c:pt>
                <c:pt idx="352">
                  <c:v>43004</c:v>
                </c:pt>
                <c:pt idx="353">
                  <c:v>43005</c:v>
                </c:pt>
                <c:pt idx="354">
                  <c:v>43006</c:v>
                </c:pt>
                <c:pt idx="355">
                  <c:v>43007</c:v>
                </c:pt>
                <c:pt idx="356">
                  <c:v>43008</c:v>
                </c:pt>
                <c:pt idx="357">
                  <c:v>43009</c:v>
                </c:pt>
                <c:pt idx="358">
                  <c:v>43010</c:v>
                </c:pt>
                <c:pt idx="359">
                  <c:v>43011</c:v>
                </c:pt>
                <c:pt idx="360">
                  <c:v>43012</c:v>
                </c:pt>
                <c:pt idx="361">
                  <c:v>43013</c:v>
                </c:pt>
                <c:pt idx="362">
                  <c:v>43014</c:v>
                </c:pt>
                <c:pt idx="363">
                  <c:v>43015</c:v>
                </c:pt>
                <c:pt idx="364">
                  <c:v>43016</c:v>
                </c:pt>
                <c:pt idx="365">
                  <c:v>43017</c:v>
                </c:pt>
                <c:pt idx="366">
                  <c:v>43018</c:v>
                </c:pt>
                <c:pt idx="367">
                  <c:v>43019</c:v>
                </c:pt>
                <c:pt idx="368">
                  <c:v>43020</c:v>
                </c:pt>
                <c:pt idx="369">
                  <c:v>43021</c:v>
                </c:pt>
                <c:pt idx="370">
                  <c:v>43022</c:v>
                </c:pt>
                <c:pt idx="371">
                  <c:v>43023</c:v>
                </c:pt>
                <c:pt idx="372">
                  <c:v>43024</c:v>
                </c:pt>
                <c:pt idx="373">
                  <c:v>43025</c:v>
                </c:pt>
                <c:pt idx="374">
                  <c:v>43026</c:v>
                </c:pt>
                <c:pt idx="375">
                  <c:v>43027</c:v>
                </c:pt>
                <c:pt idx="376">
                  <c:v>43028</c:v>
                </c:pt>
                <c:pt idx="377">
                  <c:v>43029</c:v>
                </c:pt>
                <c:pt idx="378">
                  <c:v>43030</c:v>
                </c:pt>
                <c:pt idx="379">
                  <c:v>43031</c:v>
                </c:pt>
                <c:pt idx="380">
                  <c:v>43032</c:v>
                </c:pt>
                <c:pt idx="381">
                  <c:v>43033</c:v>
                </c:pt>
                <c:pt idx="382">
                  <c:v>43034</c:v>
                </c:pt>
                <c:pt idx="383">
                  <c:v>43035</c:v>
                </c:pt>
                <c:pt idx="384">
                  <c:v>43036</c:v>
                </c:pt>
                <c:pt idx="385">
                  <c:v>43037</c:v>
                </c:pt>
                <c:pt idx="386">
                  <c:v>43038</c:v>
                </c:pt>
                <c:pt idx="387">
                  <c:v>43039</c:v>
                </c:pt>
                <c:pt idx="388">
                  <c:v>43040</c:v>
                </c:pt>
                <c:pt idx="389">
                  <c:v>43041</c:v>
                </c:pt>
                <c:pt idx="390">
                  <c:v>43042</c:v>
                </c:pt>
                <c:pt idx="391">
                  <c:v>43043</c:v>
                </c:pt>
                <c:pt idx="392">
                  <c:v>43044</c:v>
                </c:pt>
                <c:pt idx="393">
                  <c:v>43045</c:v>
                </c:pt>
                <c:pt idx="394">
                  <c:v>43046</c:v>
                </c:pt>
                <c:pt idx="395">
                  <c:v>43047</c:v>
                </c:pt>
                <c:pt idx="396">
                  <c:v>43048</c:v>
                </c:pt>
                <c:pt idx="397">
                  <c:v>43049</c:v>
                </c:pt>
                <c:pt idx="398">
                  <c:v>43050</c:v>
                </c:pt>
                <c:pt idx="399">
                  <c:v>43051</c:v>
                </c:pt>
                <c:pt idx="400">
                  <c:v>43052</c:v>
                </c:pt>
                <c:pt idx="401">
                  <c:v>43053</c:v>
                </c:pt>
                <c:pt idx="402">
                  <c:v>43054</c:v>
                </c:pt>
                <c:pt idx="403">
                  <c:v>43055</c:v>
                </c:pt>
                <c:pt idx="404">
                  <c:v>43056</c:v>
                </c:pt>
                <c:pt idx="405">
                  <c:v>43057</c:v>
                </c:pt>
                <c:pt idx="406">
                  <c:v>43058</c:v>
                </c:pt>
                <c:pt idx="407">
                  <c:v>43059</c:v>
                </c:pt>
                <c:pt idx="408">
                  <c:v>43060</c:v>
                </c:pt>
                <c:pt idx="409">
                  <c:v>43061</c:v>
                </c:pt>
                <c:pt idx="410">
                  <c:v>43062</c:v>
                </c:pt>
                <c:pt idx="411">
                  <c:v>43063</c:v>
                </c:pt>
                <c:pt idx="412">
                  <c:v>43064</c:v>
                </c:pt>
                <c:pt idx="413">
                  <c:v>43065</c:v>
                </c:pt>
                <c:pt idx="414">
                  <c:v>43066</c:v>
                </c:pt>
                <c:pt idx="415">
                  <c:v>43067</c:v>
                </c:pt>
                <c:pt idx="416">
                  <c:v>43068</c:v>
                </c:pt>
                <c:pt idx="417">
                  <c:v>43069</c:v>
                </c:pt>
                <c:pt idx="418">
                  <c:v>43070</c:v>
                </c:pt>
                <c:pt idx="419">
                  <c:v>43071</c:v>
                </c:pt>
                <c:pt idx="420">
                  <c:v>43072</c:v>
                </c:pt>
                <c:pt idx="421">
                  <c:v>43073</c:v>
                </c:pt>
                <c:pt idx="422">
                  <c:v>43074</c:v>
                </c:pt>
                <c:pt idx="423">
                  <c:v>43075</c:v>
                </c:pt>
                <c:pt idx="424">
                  <c:v>43076</c:v>
                </c:pt>
                <c:pt idx="425">
                  <c:v>43077</c:v>
                </c:pt>
                <c:pt idx="426">
                  <c:v>43078</c:v>
                </c:pt>
                <c:pt idx="427">
                  <c:v>43079</c:v>
                </c:pt>
                <c:pt idx="428">
                  <c:v>43080</c:v>
                </c:pt>
                <c:pt idx="429">
                  <c:v>43081</c:v>
                </c:pt>
                <c:pt idx="430">
                  <c:v>43082</c:v>
                </c:pt>
                <c:pt idx="431">
                  <c:v>43083</c:v>
                </c:pt>
                <c:pt idx="432">
                  <c:v>43084</c:v>
                </c:pt>
                <c:pt idx="433">
                  <c:v>43085</c:v>
                </c:pt>
                <c:pt idx="434">
                  <c:v>43086</c:v>
                </c:pt>
                <c:pt idx="435">
                  <c:v>43087</c:v>
                </c:pt>
                <c:pt idx="436">
                  <c:v>43088</c:v>
                </c:pt>
                <c:pt idx="437">
                  <c:v>43089</c:v>
                </c:pt>
                <c:pt idx="438">
                  <c:v>43090</c:v>
                </c:pt>
                <c:pt idx="439">
                  <c:v>43091</c:v>
                </c:pt>
                <c:pt idx="440">
                  <c:v>43092</c:v>
                </c:pt>
                <c:pt idx="441">
                  <c:v>43093</c:v>
                </c:pt>
                <c:pt idx="442">
                  <c:v>43094</c:v>
                </c:pt>
                <c:pt idx="443">
                  <c:v>43095</c:v>
                </c:pt>
                <c:pt idx="444">
                  <c:v>43096</c:v>
                </c:pt>
                <c:pt idx="445">
                  <c:v>43097</c:v>
                </c:pt>
                <c:pt idx="446">
                  <c:v>43098</c:v>
                </c:pt>
                <c:pt idx="447">
                  <c:v>43099</c:v>
                </c:pt>
                <c:pt idx="448">
                  <c:v>43100</c:v>
                </c:pt>
                <c:pt idx="449">
                  <c:v>43101</c:v>
                </c:pt>
                <c:pt idx="450">
                  <c:v>43102</c:v>
                </c:pt>
                <c:pt idx="451">
                  <c:v>43103</c:v>
                </c:pt>
                <c:pt idx="452">
                  <c:v>43104</c:v>
                </c:pt>
                <c:pt idx="453">
                  <c:v>43105</c:v>
                </c:pt>
                <c:pt idx="454">
                  <c:v>43106</c:v>
                </c:pt>
                <c:pt idx="455">
                  <c:v>43107</c:v>
                </c:pt>
                <c:pt idx="456">
                  <c:v>43108</c:v>
                </c:pt>
                <c:pt idx="457">
                  <c:v>43109</c:v>
                </c:pt>
                <c:pt idx="458">
                  <c:v>43110</c:v>
                </c:pt>
                <c:pt idx="459">
                  <c:v>43111</c:v>
                </c:pt>
                <c:pt idx="460">
                  <c:v>43112</c:v>
                </c:pt>
                <c:pt idx="461">
                  <c:v>43113</c:v>
                </c:pt>
                <c:pt idx="462">
                  <c:v>43114</c:v>
                </c:pt>
                <c:pt idx="463">
                  <c:v>43115</c:v>
                </c:pt>
                <c:pt idx="464">
                  <c:v>43116</c:v>
                </c:pt>
                <c:pt idx="465">
                  <c:v>43117</c:v>
                </c:pt>
                <c:pt idx="466">
                  <c:v>43118</c:v>
                </c:pt>
                <c:pt idx="467">
                  <c:v>43119</c:v>
                </c:pt>
                <c:pt idx="468">
                  <c:v>43120</c:v>
                </c:pt>
                <c:pt idx="469">
                  <c:v>43121</c:v>
                </c:pt>
                <c:pt idx="470">
                  <c:v>43122</c:v>
                </c:pt>
                <c:pt idx="471">
                  <c:v>43123</c:v>
                </c:pt>
                <c:pt idx="472">
                  <c:v>43124</c:v>
                </c:pt>
                <c:pt idx="473">
                  <c:v>43125</c:v>
                </c:pt>
                <c:pt idx="474">
                  <c:v>43126</c:v>
                </c:pt>
                <c:pt idx="475">
                  <c:v>43127</c:v>
                </c:pt>
                <c:pt idx="476">
                  <c:v>43128</c:v>
                </c:pt>
                <c:pt idx="477">
                  <c:v>43129</c:v>
                </c:pt>
                <c:pt idx="478">
                  <c:v>43130</c:v>
                </c:pt>
                <c:pt idx="479">
                  <c:v>43131</c:v>
                </c:pt>
                <c:pt idx="480">
                  <c:v>43132</c:v>
                </c:pt>
                <c:pt idx="481">
                  <c:v>43133</c:v>
                </c:pt>
                <c:pt idx="482">
                  <c:v>43134</c:v>
                </c:pt>
                <c:pt idx="483">
                  <c:v>43135</c:v>
                </c:pt>
                <c:pt idx="484">
                  <c:v>43136</c:v>
                </c:pt>
                <c:pt idx="485">
                  <c:v>43137</c:v>
                </c:pt>
                <c:pt idx="486">
                  <c:v>43138</c:v>
                </c:pt>
                <c:pt idx="487">
                  <c:v>43139</c:v>
                </c:pt>
                <c:pt idx="488">
                  <c:v>43140</c:v>
                </c:pt>
                <c:pt idx="489">
                  <c:v>43141</c:v>
                </c:pt>
                <c:pt idx="490">
                  <c:v>43142</c:v>
                </c:pt>
                <c:pt idx="491">
                  <c:v>43143</c:v>
                </c:pt>
                <c:pt idx="492">
                  <c:v>43144</c:v>
                </c:pt>
                <c:pt idx="493">
                  <c:v>43145</c:v>
                </c:pt>
                <c:pt idx="494">
                  <c:v>43146</c:v>
                </c:pt>
                <c:pt idx="495">
                  <c:v>43147</c:v>
                </c:pt>
                <c:pt idx="496">
                  <c:v>43148</c:v>
                </c:pt>
                <c:pt idx="497">
                  <c:v>43149</c:v>
                </c:pt>
                <c:pt idx="498">
                  <c:v>43150</c:v>
                </c:pt>
                <c:pt idx="499">
                  <c:v>43151</c:v>
                </c:pt>
                <c:pt idx="500">
                  <c:v>43152</c:v>
                </c:pt>
                <c:pt idx="501">
                  <c:v>43153</c:v>
                </c:pt>
                <c:pt idx="502">
                  <c:v>43154</c:v>
                </c:pt>
                <c:pt idx="503">
                  <c:v>43155</c:v>
                </c:pt>
                <c:pt idx="504">
                  <c:v>43156</c:v>
                </c:pt>
                <c:pt idx="505">
                  <c:v>43157</c:v>
                </c:pt>
                <c:pt idx="506">
                  <c:v>43158</c:v>
                </c:pt>
                <c:pt idx="507">
                  <c:v>43159</c:v>
                </c:pt>
                <c:pt idx="508">
                  <c:v>43160</c:v>
                </c:pt>
                <c:pt idx="509">
                  <c:v>43161</c:v>
                </c:pt>
                <c:pt idx="510">
                  <c:v>43162</c:v>
                </c:pt>
                <c:pt idx="511">
                  <c:v>43163</c:v>
                </c:pt>
                <c:pt idx="512">
                  <c:v>43164</c:v>
                </c:pt>
                <c:pt idx="513">
                  <c:v>43165</c:v>
                </c:pt>
                <c:pt idx="514">
                  <c:v>43166</c:v>
                </c:pt>
                <c:pt idx="515">
                  <c:v>43167</c:v>
                </c:pt>
                <c:pt idx="516">
                  <c:v>43168</c:v>
                </c:pt>
                <c:pt idx="517">
                  <c:v>43169</c:v>
                </c:pt>
                <c:pt idx="518">
                  <c:v>43170</c:v>
                </c:pt>
                <c:pt idx="519">
                  <c:v>43171</c:v>
                </c:pt>
                <c:pt idx="520">
                  <c:v>43172</c:v>
                </c:pt>
                <c:pt idx="521">
                  <c:v>43173</c:v>
                </c:pt>
                <c:pt idx="522">
                  <c:v>43174</c:v>
                </c:pt>
                <c:pt idx="523">
                  <c:v>43175</c:v>
                </c:pt>
                <c:pt idx="524">
                  <c:v>43176</c:v>
                </c:pt>
                <c:pt idx="525">
                  <c:v>43177</c:v>
                </c:pt>
                <c:pt idx="526">
                  <c:v>43178</c:v>
                </c:pt>
                <c:pt idx="527">
                  <c:v>43179</c:v>
                </c:pt>
                <c:pt idx="528">
                  <c:v>43180</c:v>
                </c:pt>
                <c:pt idx="529">
                  <c:v>43181</c:v>
                </c:pt>
                <c:pt idx="530">
                  <c:v>43182</c:v>
                </c:pt>
                <c:pt idx="531">
                  <c:v>43183</c:v>
                </c:pt>
                <c:pt idx="532">
                  <c:v>43184</c:v>
                </c:pt>
                <c:pt idx="533">
                  <c:v>43185</c:v>
                </c:pt>
                <c:pt idx="534">
                  <c:v>43186</c:v>
                </c:pt>
                <c:pt idx="535">
                  <c:v>43187</c:v>
                </c:pt>
                <c:pt idx="536">
                  <c:v>43188</c:v>
                </c:pt>
                <c:pt idx="537">
                  <c:v>43189</c:v>
                </c:pt>
                <c:pt idx="538">
                  <c:v>43190</c:v>
                </c:pt>
                <c:pt idx="539">
                  <c:v>43191</c:v>
                </c:pt>
                <c:pt idx="540">
                  <c:v>43192</c:v>
                </c:pt>
                <c:pt idx="541">
                  <c:v>43193</c:v>
                </c:pt>
                <c:pt idx="542">
                  <c:v>43194</c:v>
                </c:pt>
                <c:pt idx="543">
                  <c:v>43195</c:v>
                </c:pt>
                <c:pt idx="544">
                  <c:v>43196</c:v>
                </c:pt>
                <c:pt idx="545">
                  <c:v>43197</c:v>
                </c:pt>
                <c:pt idx="546">
                  <c:v>43198</c:v>
                </c:pt>
                <c:pt idx="547">
                  <c:v>43199</c:v>
                </c:pt>
                <c:pt idx="548">
                  <c:v>43200</c:v>
                </c:pt>
                <c:pt idx="549">
                  <c:v>43201</c:v>
                </c:pt>
                <c:pt idx="550">
                  <c:v>43202</c:v>
                </c:pt>
                <c:pt idx="551">
                  <c:v>43203</c:v>
                </c:pt>
                <c:pt idx="552">
                  <c:v>43204</c:v>
                </c:pt>
                <c:pt idx="553">
                  <c:v>43205</c:v>
                </c:pt>
                <c:pt idx="554">
                  <c:v>43206</c:v>
                </c:pt>
                <c:pt idx="555">
                  <c:v>43207</c:v>
                </c:pt>
                <c:pt idx="556">
                  <c:v>43208</c:v>
                </c:pt>
                <c:pt idx="557">
                  <c:v>43209</c:v>
                </c:pt>
                <c:pt idx="558">
                  <c:v>43210</c:v>
                </c:pt>
                <c:pt idx="559">
                  <c:v>43211</c:v>
                </c:pt>
                <c:pt idx="560">
                  <c:v>43212</c:v>
                </c:pt>
                <c:pt idx="561">
                  <c:v>43213</c:v>
                </c:pt>
                <c:pt idx="562">
                  <c:v>43214</c:v>
                </c:pt>
                <c:pt idx="563">
                  <c:v>43215</c:v>
                </c:pt>
                <c:pt idx="564">
                  <c:v>43216</c:v>
                </c:pt>
                <c:pt idx="565">
                  <c:v>43217</c:v>
                </c:pt>
                <c:pt idx="566">
                  <c:v>43218</c:v>
                </c:pt>
                <c:pt idx="567">
                  <c:v>43219</c:v>
                </c:pt>
                <c:pt idx="568">
                  <c:v>43220</c:v>
                </c:pt>
                <c:pt idx="569">
                  <c:v>43221</c:v>
                </c:pt>
                <c:pt idx="570">
                  <c:v>43222</c:v>
                </c:pt>
                <c:pt idx="571">
                  <c:v>43223</c:v>
                </c:pt>
                <c:pt idx="572">
                  <c:v>43224</c:v>
                </c:pt>
                <c:pt idx="573">
                  <c:v>43225</c:v>
                </c:pt>
                <c:pt idx="574">
                  <c:v>43226</c:v>
                </c:pt>
                <c:pt idx="575">
                  <c:v>43227</c:v>
                </c:pt>
                <c:pt idx="576">
                  <c:v>43228</c:v>
                </c:pt>
                <c:pt idx="577">
                  <c:v>43229</c:v>
                </c:pt>
                <c:pt idx="578">
                  <c:v>43230</c:v>
                </c:pt>
                <c:pt idx="579">
                  <c:v>43231</c:v>
                </c:pt>
                <c:pt idx="580">
                  <c:v>43232</c:v>
                </c:pt>
                <c:pt idx="581">
                  <c:v>43233</c:v>
                </c:pt>
                <c:pt idx="582">
                  <c:v>43234</c:v>
                </c:pt>
                <c:pt idx="583">
                  <c:v>43235</c:v>
                </c:pt>
                <c:pt idx="584">
                  <c:v>43236</c:v>
                </c:pt>
                <c:pt idx="585">
                  <c:v>43237</c:v>
                </c:pt>
                <c:pt idx="586">
                  <c:v>43238</c:v>
                </c:pt>
                <c:pt idx="587">
                  <c:v>43239</c:v>
                </c:pt>
                <c:pt idx="588">
                  <c:v>43240</c:v>
                </c:pt>
                <c:pt idx="589">
                  <c:v>43241</c:v>
                </c:pt>
                <c:pt idx="590">
                  <c:v>43242</c:v>
                </c:pt>
                <c:pt idx="591">
                  <c:v>43243</c:v>
                </c:pt>
                <c:pt idx="592">
                  <c:v>43244</c:v>
                </c:pt>
                <c:pt idx="593">
                  <c:v>43245</c:v>
                </c:pt>
                <c:pt idx="594">
                  <c:v>43246</c:v>
                </c:pt>
                <c:pt idx="595">
                  <c:v>43247</c:v>
                </c:pt>
                <c:pt idx="596">
                  <c:v>43248</c:v>
                </c:pt>
                <c:pt idx="597">
                  <c:v>43249</c:v>
                </c:pt>
                <c:pt idx="598">
                  <c:v>43250</c:v>
                </c:pt>
                <c:pt idx="599">
                  <c:v>43251</c:v>
                </c:pt>
                <c:pt idx="600">
                  <c:v>43252</c:v>
                </c:pt>
                <c:pt idx="601">
                  <c:v>43253</c:v>
                </c:pt>
                <c:pt idx="602">
                  <c:v>43254</c:v>
                </c:pt>
                <c:pt idx="603">
                  <c:v>43255</c:v>
                </c:pt>
                <c:pt idx="604">
                  <c:v>43256</c:v>
                </c:pt>
                <c:pt idx="605">
                  <c:v>43257</c:v>
                </c:pt>
                <c:pt idx="606">
                  <c:v>43258</c:v>
                </c:pt>
                <c:pt idx="607">
                  <c:v>43259</c:v>
                </c:pt>
                <c:pt idx="608">
                  <c:v>43260</c:v>
                </c:pt>
                <c:pt idx="609">
                  <c:v>43261</c:v>
                </c:pt>
                <c:pt idx="610">
                  <c:v>43262</c:v>
                </c:pt>
                <c:pt idx="611">
                  <c:v>43263</c:v>
                </c:pt>
                <c:pt idx="612">
                  <c:v>43264</c:v>
                </c:pt>
                <c:pt idx="613">
                  <c:v>43265</c:v>
                </c:pt>
                <c:pt idx="614">
                  <c:v>43266</c:v>
                </c:pt>
                <c:pt idx="615">
                  <c:v>43267</c:v>
                </c:pt>
                <c:pt idx="616">
                  <c:v>43268</c:v>
                </c:pt>
                <c:pt idx="617">
                  <c:v>43269</c:v>
                </c:pt>
                <c:pt idx="618">
                  <c:v>43270</c:v>
                </c:pt>
                <c:pt idx="619">
                  <c:v>43271</c:v>
                </c:pt>
                <c:pt idx="620">
                  <c:v>43272</c:v>
                </c:pt>
                <c:pt idx="621">
                  <c:v>43273</c:v>
                </c:pt>
                <c:pt idx="622">
                  <c:v>43274</c:v>
                </c:pt>
                <c:pt idx="623">
                  <c:v>43275</c:v>
                </c:pt>
                <c:pt idx="624">
                  <c:v>43276</c:v>
                </c:pt>
                <c:pt idx="625">
                  <c:v>43277</c:v>
                </c:pt>
                <c:pt idx="626">
                  <c:v>43278</c:v>
                </c:pt>
                <c:pt idx="627">
                  <c:v>43279</c:v>
                </c:pt>
                <c:pt idx="628">
                  <c:v>43280</c:v>
                </c:pt>
                <c:pt idx="629">
                  <c:v>43281</c:v>
                </c:pt>
                <c:pt idx="630">
                  <c:v>43282</c:v>
                </c:pt>
                <c:pt idx="631">
                  <c:v>43283</c:v>
                </c:pt>
                <c:pt idx="632">
                  <c:v>43284</c:v>
                </c:pt>
                <c:pt idx="633">
                  <c:v>43285</c:v>
                </c:pt>
                <c:pt idx="634">
                  <c:v>43286</c:v>
                </c:pt>
                <c:pt idx="635">
                  <c:v>43287</c:v>
                </c:pt>
                <c:pt idx="636">
                  <c:v>43288</c:v>
                </c:pt>
                <c:pt idx="637">
                  <c:v>43289</c:v>
                </c:pt>
                <c:pt idx="638">
                  <c:v>43290</c:v>
                </c:pt>
                <c:pt idx="639">
                  <c:v>43291</c:v>
                </c:pt>
                <c:pt idx="640">
                  <c:v>43292</c:v>
                </c:pt>
                <c:pt idx="641">
                  <c:v>43293</c:v>
                </c:pt>
                <c:pt idx="642">
                  <c:v>43294</c:v>
                </c:pt>
                <c:pt idx="643">
                  <c:v>43295</c:v>
                </c:pt>
                <c:pt idx="644">
                  <c:v>43296</c:v>
                </c:pt>
                <c:pt idx="645">
                  <c:v>43297</c:v>
                </c:pt>
                <c:pt idx="646">
                  <c:v>43298</c:v>
                </c:pt>
                <c:pt idx="647">
                  <c:v>43299</c:v>
                </c:pt>
                <c:pt idx="648">
                  <c:v>43300</c:v>
                </c:pt>
                <c:pt idx="649">
                  <c:v>43301</c:v>
                </c:pt>
                <c:pt idx="650">
                  <c:v>43302</c:v>
                </c:pt>
                <c:pt idx="651">
                  <c:v>43303</c:v>
                </c:pt>
                <c:pt idx="652">
                  <c:v>43304</c:v>
                </c:pt>
                <c:pt idx="653">
                  <c:v>43305</c:v>
                </c:pt>
                <c:pt idx="654">
                  <c:v>43306</c:v>
                </c:pt>
                <c:pt idx="655">
                  <c:v>43307</c:v>
                </c:pt>
                <c:pt idx="656">
                  <c:v>43308</c:v>
                </c:pt>
                <c:pt idx="657">
                  <c:v>43309</c:v>
                </c:pt>
                <c:pt idx="658">
                  <c:v>43310</c:v>
                </c:pt>
                <c:pt idx="659">
                  <c:v>43311</c:v>
                </c:pt>
                <c:pt idx="660">
                  <c:v>43312</c:v>
                </c:pt>
                <c:pt idx="661">
                  <c:v>43313</c:v>
                </c:pt>
                <c:pt idx="662">
                  <c:v>43314</c:v>
                </c:pt>
                <c:pt idx="663">
                  <c:v>43315</c:v>
                </c:pt>
                <c:pt idx="664">
                  <c:v>43316</c:v>
                </c:pt>
                <c:pt idx="665">
                  <c:v>43317</c:v>
                </c:pt>
                <c:pt idx="666">
                  <c:v>43318</c:v>
                </c:pt>
                <c:pt idx="667">
                  <c:v>43319</c:v>
                </c:pt>
                <c:pt idx="668">
                  <c:v>43320</c:v>
                </c:pt>
                <c:pt idx="669">
                  <c:v>43321</c:v>
                </c:pt>
                <c:pt idx="670">
                  <c:v>43322</c:v>
                </c:pt>
                <c:pt idx="671">
                  <c:v>43323</c:v>
                </c:pt>
                <c:pt idx="672">
                  <c:v>43324</c:v>
                </c:pt>
                <c:pt idx="673">
                  <c:v>43325</c:v>
                </c:pt>
                <c:pt idx="674">
                  <c:v>43326</c:v>
                </c:pt>
                <c:pt idx="675">
                  <c:v>43327</c:v>
                </c:pt>
                <c:pt idx="676">
                  <c:v>43328</c:v>
                </c:pt>
                <c:pt idx="677">
                  <c:v>43329</c:v>
                </c:pt>
                <c:pt idx="678">
                  <c:v>43330</c:v>
                </c:pt>
                <c:pt idx="679">
                  <c:v>43331</c:v>
                </c:pt>
                <c:pt idx="680">
                  <c:v>43332</c:v>
                </c:pt>
                <c:pt idx="681">
                  <c:v>43333</c:v>
                </c:pt>
                <c:pt idx="682">
                  <c:v>43334</c:v>
                </c:pt>
                <c:pt idx="683">
                  <c:v>43335</c:v>
                </c:pt>
                <c:pt idx="684">
                  <c:v>43336</c:v>
                </c:pt>
                <c:pt idx="685">
                  <c:v>43337</c:v>
                </c:pt>
                <c:pt idx="686">
                  <c:v>43338</c:v>
                </c:pt>
                <c:pt idx="687">
                  <c:v>43339</c:v>
                </c:pt>
                <c:pt idx="688">
                  <c:v>43340</c:v>
                </c:pt>
                <c:pt idx="689">
                  <c:v>43341</c:v>
                </c:pt>
                <c:pt idx="690">
                  <c:v>43342</c:v>
                </c:pt>
                <c:pt idx="691">
                  <c:v>43343</c:v>
                </c:pt>
                <c:pt idx="692">
                  <c:v>43344</c:v>
                </c:pt>
                <c:pt idx="693">
                  <c:v>43345</c:v>
                </c:pt>
                <c:pt idx="694">
                  <c:v>43346</c:v>
                </c:pt>
                <c:pt idx="695">
                  <c:v>43347</c:v>
                </c:pt>
                <c:pt idx="696">
                  <c:v>43348</c:v>
                </c:pt>
                <c:pt idx="697">
                  <c:v>43349</c:v>
                </c:pt>
                <c:pt idx="698">
                  <c:v>43350</c:v>
                </c:pt>
                <c:pt idx="699">
                  <c:v>43351</c:v>
                </c:pt>
                <c:pt idx="700">
                  <c:v>43352</c:v>
                </c:pt>
                <c:pt idx="701">
                  <c:v>43353</c:v>
                </c:pt>
                <c:pt idx="702">
                  <c:v>43354</c:v>
                </c:pt>
                <c:pt idx="703">
                  <c:v>43355</c:v>
                </c:pt>
                <c:pt idx="704">
                  <c:v>43356</c:v>
                </c:pt>
                <c:pt idx="705">
                  <c:v>43357</c:v>
                </c:pt>
                <c:pt idx="706">
                  <c:v>43358</c:v>
                </c:pt>
                <c:pt idx="707">
                  <c:v>43359</c:v>
                </c:pt>
                <c:pt idx="708">
                  <c:v>43360</c:v>
                </c:pt>
                <c:pt idx="709">
                  <c:v>43361</c:v>
                </c:pt>
                <c:pt idx="710">
                  <c:v>43362</c:v>
                </c:pt>
                <c:pt idx="711">
                  <c:v>43363</c:v>
                </c:pt>
                <c:pt idx="712">
                  <c:v>43364</c:v>
                </c:pt>
                <c:pt idx="713">
                  <c:v>43365</c:v>
                </c:pt>
                <c:pt idx="714">
                  <c:v>43366</c:v>
                </c:pt>
                <c:pt idx="715">
                  <c:v>43367</c:v>
                </c:pt>
                <c:pt idx="716">
                  <c:v>43368</c:v>
                </c:pt>
                <c:pt idx="717">
                  <c:v>43369</c:v>
                </c:pt>
                <c:pt idx="718">
                  <c:v>43370</c:v>
                </c:pt>
                <c:pt idx="719">
                  <c:v>43371</c:v>
                </c:pt>
                <c:pt idx="720">
                  <c:v>43372</c:v>
                </c:pt>
                <c:pt idx="721">
                  <c:v>43373</c:v>
                </c:pt>
                <c:pt idx="722">
                  <c:v>43374</c:v>
                </c:pt>
                <c:pt idx="723">
                  <c:v>43375</c:v>
                </c:pt>
                <c:pt idx="724">
                  <c:v>43376</c:v>
                </c:pt>
                <c:pt idx="725">
                  <c:v>43377</c:v>
                </c:pt>
                <c:pt idx="726">
                  <c:v>43378</c:v>
                </c:pt>
                <c:pt idx="727">
                  <c:v>43379</c:v>
                </c:pt>
                <c:pt idx="728">
                  <c:v>43380</c:v>
                </c:pt>
                <c:pt idx="729">
                  <c:v>43381</c:v>
                </c:pt>
                <c:pt idx="730">
                  <c:v>43382</c:v>
                </c:pt>
                <c:pt idx="731">
                  <c:v>43383</c:v>
                </c:pt>
                <c:pt idx="732">
                  <c:v>43384</c:v>
                </c:pt>
                <c:pt idx="733">
                  <c:v>43385</c:v>
                </c:pt>
                <c:pt idx="734">
                  <c:v>43386</c:v>
                </c:pt>
                <c:pt idx="735">
                  <c:v>43387</c:v>
                </c:pt>
                <c:pt idx="736">
                  <c:v>43388</c:v>
                </c:pt>
                <c:pt idx="737">
                  <c:v>43389</c:v>
                </c:pt>
                <c:pt idx="738">
                  <c:v>43390</c:v>
                </c:pt>
                <c:pt idx="739">
                  <c:v>43391</c:v>
                </c:pt>
                <c:pt idx="740">
                  <c:v>43392</c:v>
                </c:pt>
                <c:pt idx="741">
                  <c:v>43393</c:v>
                </c:pt>
                <c:pt idx="742">
                  <c:v>43394</c:v>
                </c:pt>
                <c:pt idx="743">
                  <c:v>43395</c:v>
                </c:pt>
                <c:pt idx="744">
                  <c:v>43396</c:v>
                </c:pt>
                <c:pt idx="745">
                  <c:v>43397</c:v>
                </c:pt>
                <c:pt idx="746">
                  <c:v>43398</c:v>
                </c:pt>
                <c:pt idx="747">
                  <c:v>43399</c:v>
                </c:pt>
                <c:pt idx="748">
                  <c:v>43400</c:v>
                </c:pt>
                <c:pt idx="749">
                  <c:v>43401</c:v>
                </c:pt>
                <c:pt idx="750">
                  <c:v>43402</c:v>
                </c:pt>
                <c:pt idx="751">
                  <c:v>43403</c:v>
                </c:pt>
                <c:pt idx="752">
                  <c:v>43404</c:v>
                </c:pt>
                <c:pt idx="753">
                  <c:v>43405</c:v>
                </c:pt>
                <c:pt idx="754">
                  <c:v>43406</c:v>
                </c:pt>
                <c:pt idx="755">
                  <c:v>43407</c:v>
                </c:pt>
                <c:pt idx="756">
                  <c:v>43408</c:v>
                </c:pt>
                <c:pt idx="757">
                  <c:v>43409</c:v>
                </c:pt>
                <c:pt idx="758">
                  <c:v>43410</c:v>
                </c:pt>
                <c:pt idx="759">
                  <c:v>43411</c:v>
                </c:pt>
                <c:pt idx="760">
                  <c:v>43412</c:v>
                </c:pt>
                <c:pt idx="761">
                  <c:v>43413</c:v>
                </c:pt>
                <c:pt idx="762">
                  <c:v>43414</c:v>
                </c:pt>
                <c:pt idx="763">
                  <c:v>43415</c:v>
                </c:pt>
                <c:pt idx="764">
                  <c:v>43416</c:v>
                </c:pt>
                <c:pt idx="765">
                  <c:v>43417</c:v>
                </c:pt>
                <c:pt idx="766">
                  <c:v>43418</c:v>
                </c:pt>
                <c:pt idx="767">
                  <c:v>43419</c:v>
                </c:pt>
                <c:pt idx="768">
                  <c:v>43420</c:v>
                </c:pt>
                <c:pt idx="769">
                  <c:v>43421</c:v>
                </c:pt>
                <c:pt idx="770">
                  <c:v>43422</c:v>
                </c:pt>
                <c:pt idx="771">
                  <c:v>43423</c:v>
                </c:pt>
                <c:pt idx="772">
                  <c:v>43424</c:v>
                </c:pt>
                <c:pt idx="773">
                  <c:v>43425</c:v>
                </c:pt>
                <c:pt idx="774">
                  <c:v>43426</c:v>
                </c:pt>
                <c:pt idx="775">
                  <c:v>43427</c:v>
                </c:pt>
                <c:pt idx="776">
                  <c:v>43428</c:v>
                </c:pt>
                <c:pt idx="777">
                  <c:v>43429</c:v>
                </c:pt>
                <c:pt idx="778">
                  <c:v>43430</c:v>
                </c:pt>
                <c:pt idx="779">
                  <c:v>43431</c:v>
                </c:pt>
                <c:pt idx="780">
                  <c:v>43432</c:v>
                </c:pt>
                <c:pt idx="781">
                  <c:v>43433</c:v>
                </c:pt>
                <c:pt idx="782">
                  <c:v>43434</c:v>
                </c:pt>
                <c:pt idx="783">
                  <c:v>43435</c:v>
                </c:pt>
                <c:pt idx="784">
                  <c:v>43436</c:v>
                </c:pt>
                <c:pt idx="785">
                  <c:v>43437</c:v>
                </c:pt>
                <c:pt idx="786">
                  <c:v>43438</c:v>
                </c:pt>
                <c:pt idx="787">
                  <c:v>43439</c:v>
                </c:pt>
                <c:pt idx="788">
                  <c:v>43440</c:v>
                </c:pt>
                <c:pt idx="789">
                  <c:v>43441</c:v>
                </c:pt>
                <c:pt idx="790">
                  <c:v>43442</c:v>
                </c:pt>
                <c:pt idx="791">
                  <c:v>43443</c:v>
                </c:pt>
                <c:pt idx="792">
                  <c:v>43444</c:v>
                </c:pt>
                <c:pt idx="793">
                  <c:v>43445</c:v>
                </c:pt>
                <c:pt idx="794">
                  <c:v>43446</c:v>
                </c:pt>
                <c:pt idx="795">
                  <c:v>43447</c:v>
                </c:pt>
                <c:pt idx="796">
                  <c:v>43448</c:v>
                </c:pt>
                <c:pt idx="797">
                  <c:v>43449</c:v>
                </c:pt>
                <c:pt idx="798">
                  <c:v>43450</c:v>
                </c:pt>
                <c:pt idx="799">
                  <c:v>43451</c:v>
                </c:pt>
                <c:pt idx="800">
                  <c:v>43452</c:v>
                </c:pt>
                <c:pt idx="801">
                  <c:v>43453</c:v>
                </c:pt>
                <c:pt idx="802">
                  <c:v>43454</c:v>
                </c:pt>
                <c:pt idx="803">
                  <c:v>43455</c:v>
                </c:pt>
                <c:pt idx="804">
                  <c:v>43456</c:v>
                </c:pt>
                <c:pt idx="805">
                  <c:v>43457</c:v>
                </c:pt>
                <c:pt idx="806">
                  <c:v>43458</c:v>
                </c:pt>
                <c:pt idx="807">
                  <c:v>43459</c:v>
                </c:pt>
                <c:pt idx="808">
                  <c:v>43460</c:v>
                </c:pt>
                <c:pt idx="809">
                  <c:v>43461</c:v>
                </c:pt>
                <c:pt idx="810">
                  <c:v>43462</c:v>
                </c:pt>
                <c:pt idx="811">
                  <c:v>43463</c:v>
                </c:pt>
                <c:pt idx="812">
                  <c:v>43464</c:v>
                </c:pt>
                <c:pt idx="813">
                  <c:v>43465</c:v>
                </c:pt>
                <c:pt idx="814">
                  <c:v>43466</c:v>
                </c:pt>
                <c:pt idx="815">
                  <c:v>43467</c:v>
                </c:pt>
                <c:pt idx="816">
                  <c:v>43468</c:v>
                </c:pt>
                <c:pt idx="817">
                  <c:v>43469</c:v>
                </c:pt>
                <c:pt idx="818">
                  <c:v>43470</c:v>
                </c:pt>
                <c:pt idx="819">
                  <c:v>43471</c:v>
                </c:pt>
                <c:pt idx="820">
                  <c:v>43472</c:v>
                </c:pt>
                <c:pt idx="821">
                  <c:v>43473</c:v>
                </c:pt>
                <c:pt idx="822">
                  <c:v>43474</c:v>
                </c:pt>
                <c:pt idx="823">
                  <c:v>43475</c:v>
                </c:pt>
                <c:pt idx="824">
                  <c:v>43476</c:v>
                </c:pt>
                <c:pt idx="825">
                  <c:v>43477</c:v>
                </c:pt>
                <c:pt idx="826">
                  <c:v>43478</c:v>
                </c:pt>
                <c:pt idx="827">
                  <c:v>43479</c:v>
                </c:pt>
                <c:pt idx="828">
                  <c:v>43480</c:v>
                </c:pt>
                <c:pt idx="829">
                  <c:v>43481</c:v>
                </c:pt>
                <c:pt idx="830">
                  <c:v>43482</c:v>
                </c:pt>
                <c:pt idx="831">
                  <c:v>43483</c:v>
                </c:pt>
                <c:pt idx="832">
                  <c:v>43484</c:v>
                </c:pt>
                <c:pt idx="833">
                  <c:v>43485</c:v>
                </c:pt>
                <c:pt idx="834">
                  <c:v>43486</c:v>
                </c:pt>
                <c:pt idx="835">
                  <c:v>43487</c:v>
                </c:pt>
                <c:pt idx="836">
                  <c:v>43488</c:v>
                </c:pt>
                <c:pt idx="837">
                  <c:v>43489</c:v>
                </c:pt>
                <c:pt idx="838">
                  <c:v>43490</c:v>
                </c:pt>
                <c:pt idx="839">
                  <c:v>43491</c:v>
                </c:pt>
                <c:pt idx="840">
                  <c:v>43492</c:v>
                </c:pt>
                <c:pt idx="841">
                  <c:v>43493</c:v>
                </c:pt>
                <c:pt idx="842">
                  <c:v>43494</c:v>
                </c:pt>
                <c:pt idx="843">
                  <c:v>43495</c:v>
                </c:pt>
                <c:pt idx="844">
                  <c:v>43496</c:v>
                </c:pt>
                <c:pt idx="845">
                  <c:v>43497</c:v>
                </c:pt>
                <c:pt idx="846">
                  <c:v>43498</c:v>
                </c:pt>
                <c:pt idx="847">
                  <c:v>43499</c:v>
                </c:pt>
                <c:pt idx="848">
                  <c:v>43500</c:v>
                </c:pt>
                <c:pt idx="849">
                  <c:v>43501</c:v>
                </c:pt>
                <c:pt idx="850">
                  <c:v>43502</c:v>
                </c:pt>
                <c:pt idx="851">
                  <c:v>43503</c:v>
                </c:pt>
                <c:pt idx="852">
                  <c:v>43504</c:v>
                </c:pt>
                <c:pt idx="853">
                  <c:v>43505</c:v>
                </c:pt>
                <c:pt idx="854">
                  <c:v>43506</c:v>
                </c:pt>
                <c:pt idx="855">
                  <c:v>43507</c:v>
                </c:pt>
                <c:pt idx="856">
                  <c:v>43508</c:v>
                </c:pt>
                <c:pt idx="857">
                  <c:v>43509</c:v>
                </c:pt>
                <c:pt idx="858">
                  <c:v>43510</c:v>
                </c:pt>
                <c:pt idx="859">
                  <c:v>43511</c:v>
                </c:pt>
                <c:pt idx="860">
                  <c:v>43512</c:v>
                </c:pt>
                <c:pt idx="861">
                  <c:v>43513</c:v>
                </c:pt>
                <c:pt idx="862">
                  <c:v>43514</c:v>
                </c:pt>
                <c:pt idx="863">
                  <c:v>43515</c:v>
                </c:pt>
                <c:pt idx="864">
                  <c:v>43516</c:v>
                </c:pt>
                <c:pt idx="865">
                  <c:v>43517</c:v>
                </c:pt>
                <c:pt idx="866">
                  <c:v>43518</c:v>
                </c:pt>
                <c:pt idx="867">
                  <c:v>43519</c:v>
                </c:pt>
                <c:pt idx="868">
                  <c:v>43520</c:v>
                </c:pt>
                <c:pt idx="869">
                  <c:v>43521</c:v>
                </c:pt>
                <c:pt idx="870">
                  <c:v>43522</c:v>
                </c:pt>
                <c:pt idx="871">
                  <c:v>43523</c:v>
                </c:pt>
                <c:pt idx="872">
                  <c:v>43524</c:v>
                </c:pt>
                <c:pt idx="873">
                  <c:v>43525</c:v>
                </c:pt>
                <c:pt idx="874">
                  <c:v>43526</c:v>
                </c:pt>
                <c:pt idx="875">
                  <c:v>43527</c:v>
                </c:pt>
                <c:pt idx="876">
                  <c:v>43528</c:v>
                </c:pt>
                <c:pt idx="877">
                  <c:v>43529</c:v>
                </c:pt>
                <c:pt idx="878">
                  <c:v>43530</c:v>
                </c:pt>
                <c:pt idx="879">
                  <c:v>43531</c:v>
                </c:pt>
                <c:pt idx="880">
                  <c:v>43532</c:v>
                </c:pt>
                <c:pt idx="881">
                  <c:v>43533</c:v>
                </c:pt>
                <c:pt idx="882">
                  <c:v>43534</c:v>
                </c:pt>
                <c:pt idx="883">
                  <c:v>43535</c:v>
                </c:pt>
                <c:pt idx="884">
                  <c:v>43536</c:v>
                </c:pt>
                <c:pt idx="885">
                  <c:v>43537</c:v>
                </c:pt>
                <c:pt idx="886">
                  <c:v>43538</c:v>
                </c:pt>
                <c:pt idx="887">
                  <c:v>43539</c:v>
                </c:pt>
                <c:pt idx="888">
                  <c:v>43540</c:v>
                </c:pt>
                <c:pt idx="889">
                  <c:v>43541</c:v>
                </c:pt>
                <c:pt idx="890">
                  <c:v>43542</c:v>
                </c:pt>
                <c:pt idx="891">
                  <c:v>43543</c:v>
                </c:pt>
                <c:pt idx="892">
                  <c:v>43544</c:v>
                </c:pt>
                <c:pt idx="893">
                  <c:v>43545</c:v>
                </c:pt>
                <c:pt idx="894">
                  <c:v>43546</c:v>
                </c:pt>
                <c:pt idx="895">
                  <c:v>43547</c:v>
                </c:pt>
                <c:pt idx="896">
                  <c:v>43548</c:v>
                </c:pt>
                <c:pt idx="897">
                  <c:v>43549</c:v>
                </c:pt>
                <c:pt idx="898">
                  <c:v>43550</c:v>
                </c:pt>
                <c:pt idx="899">
                  <c:v>43551</c:v>
                </c:pt>
                <c:pt idx="900">
                  <c:v>43552</c:v>
                </c:pt>
                <c:pt idx="901">
                  <c:v>43553</c:v>
                </c:pt>
                <c:pt idx="902">
                  <c:v>43554</c:v>
                </c:pt>
                <c:pt idx="903">
                  <c:v>43555</c:v>
                </c:pt>
                <c:pt idx="904">
                  <c:v>43556</c:v>
                </c:pt>
                <c:pt idx="905">
                  <c:v>43557</c:v>
                </c:pt>
                <c:pt idx="906">
                  <c:v>43558</c:v>
                </c:pt>
                <c:pt idx="907">
                  <c:v>43559</c:v>
                </c:pt>
                <c:pt idx="908">
                  <c:v>43560</c:v>
                </c:pt>
                <c:pt idx="909">
                  <c:v>43561</c:v>
                </c:pt>
                <c:pt idx="910">
                  <c:v>43562</c:v>
                </c:pt>
                <c:pt idx="911">
                  <c:v>43563</c:v>
                </c:pt>
                <c:pt idx="912">
                  <c:v>43564</c:v>
                </c:pt>
                <c:pt idx="913">
                  <c:v>43565</c:v>
                </c:pt>
                <c:pt idx="914">
                  <c:v>43566</c:v>
                </c:pt>
                <c:pt idx="915">
                  <c:v>43567</c:v>
                </c:pt>
                <c:pt idx="916">
                  <c:v>43568</c:v>
                </c:pt>
                <c:pt idx="917">
                  <c:v>43569</c:v>
                </c:pt>
                <c:pt idx="918">
                  <c:v>43570</c:v>
                </c:pt>
                <c:pt idx="919">
                  <c:v>43571</c:v>
                </c:pt>
                <c:pt idx="920">
                  <c:v>43572</c:v>
                </c:pt>
                <c:pt idx="921">
                  <c:v>43573</c:v>
                </c:pt>
                <c:pt idx="922">
                  <c:v>43574</c:v>
                </c:pt>
                <c:pt idx="923">
                  <c:v>43575</c:v>
                </c:pt>
                <c:pt idx="924">
                  <c:v>43576</c:v>
                </c:pt>
                <c:pt idx="925">
                  <c:v>43577</c:v>
                </c:pt>
                <c:pt idx="926">
                  <c:v>43578</c:v>
                </c:pt>
                <c:pt idx="927">
                  <c:v>43579</c:v>
                </c:pt>
                <c:pt idx="928">
                  <c:v>43580</c:v>
                </c:pt>
                <c:pt idx="929">
                  <c:v>43581</c:v>
                </c:pt>
                <c:pt idx="930">
                  <c:v>43582</c:v>
                </c:pt>
                <c:pt idx="931">
                  <c:v>43583</c:v>
                </c:pt>
                <c:pt idx="932">
                  <c:v>43584</c:v>
                </c:pt>
                <c:pt idx="933">
                  <c:v>43585</c:v>
                </c:pt>
                <c:pt idx="934">
                  <c:v>43586</c:v>
                </c:pt>
                <c:pt idx="935">
                  <c:v>43587</c:v>
                </c:pt>
                <c:pt idx="936">
                  <c:v>43588</c:v>
                </c:pt>
                <c:pt idx="937">
                  <c:v>43589</c:v>
                </c:pt>
                <c:pt idx="938">
                  <c:v>43590</c:v>
                </c:pt>
                <c:pt idx="939">
                  <c:v>43591</c:v>
                </c:pt>
                <c:pt idx="940">
                  <c:v>43592</c:v>
                </c:pt>
                <c:pt idx="941">
                  <c:v>43593</c:v>
                </c:pt>
                <c:pt idx="942">
                  <c:v>43594</c:v>
                </c:pt>
                <c:pt idx="943">
                  <c:v>43595</c:v>
                </c:pt>
                <c:pt idx="944">
                  <c:v>43596</c:v>
                </c:pt>
                <c:pt idx="945">
                  <c:v>43597</c:v>
                </c:pt>
                <c:pt idx="946">
                  <c:v>43598</c:v>
                </c:pt>
                <c:pt idx="947">
                  <c:v>43599</c:v>
                </c:pt>
                <c:pt idx="948">
                  <c:v>43600</c:v>
                </c:pt>
                <c:pt idx="949">
                  <c:v>43601</c:v>
                </c:pt>
                <c:pt idx="950">
                  <c:v>43602</c:v>
                </c:pt>
                <c:pt idx="951">
                  <c:v>43603</c:v>
                </c:pt>
                <c:pt idx="952">
                  <c:v>43604</c:v>
                </c:pt>
                <c:pt idx="953">
                  <c:v>43605</c:v>
                </c:pt>
                <c:pt idx="954">
                  <c:v>43606</c:v>
                </c:pt>
                <c:pt idx="955">
                  <c:v>43607</c:v>
                </c:pt>
                <c:pt idx="956">
                  <c:v>43608</c:v>
                </c:pt>
                <c:pt idx="957">
                  <c:v>43609</c:v>
                </c:pt>
                <c:pt idx="958">
                  <c:v>43610</c:v>
                </c:pt>
                <c:pt idx="959">
                  <c:v>43611</c:v>
                </c:pt>
                <c:pt idx="960">
                  <c:v>43612</c:v>
                </c:pt>
                <c:pt idx="961">
                  <c:v>43613</c:v>
                </c:pt>
                <c:pt idx="962">
                  <c:v>43614</c:v>
                </c:pt>
                <c:pt idx="963">
                  <c:v>43615</c:v>
                </c:pt>
                <c:pt idx="964">
                  <c:v>43616</c:v>
                </c:pt>
                <c:pt idx="965">
                  <c:v>43617</c:v>
                </c:pt>
                <c:pt idx="966">
                  <c:v>43618</c:v>
                </c:pt>
                <c:pt idx="967">
                  <c:v>43619</c:v>
                </c:pt>
                <c:pt idx="968">
                  <c:v>43620</c:v>
                </c:pt>
                <c:pt idx="969">
                  <c:v>43621</c:v>
                </c:pt>
                <c:pt idx="970">
                  <c:v>43622</c:v>
                </c:pt>
                <c:pt idx="971">
                  <c:v>43623</c:v>
                </c:pt>
                <c:pt idx="972">
                  <c:v>43624</c:v>
                </c:pt>
                <c:pt idx="973">
                  <c:v>43625</c:v>
                </c:pt>
                <c:pt idx="974">
                  <c:v>43626</c:v>
                </c:pt>
                <c:pt idx="975">
                  <c:v>43627</c:v>
                </c:pt>
                <c:pt idx="976">
                  <c:v>43628</c:v>
                </c:pt>
                <c:pt idx="977">
                  <c:v>43629</c:v>
                </c:pt>
                <c:pt idx="978">
                  <c:v>43630</c:v>
                </c:pt>
                <c:pt idx="979">
                  <c:v>43631</c:v>
                </c:pt>
                <c:pt idx="980">
                  <c:v>43632</c:v>
                </c:pt>
                <c:pt idx="981">
                  <c:v>43633</c:v>
                </c:pt>
                <c:pt idx="982">
                  <c:v>43634</c:v>
                </c:pt>
                <c:pt idx="983">
                  <c:v>43635</c:v>
                </c:pt>
                <c:pt idx="984">
                  <c:v>43636</c:v>
                </c:pt>
                <c:pt idx="985">
                  <c:v>43637</c:v>
                </c:pt>
                <c:pt idx="986">
                  <c:v>43638</c:v>
                </c:pt>
                <c:pt idx="987">
                  <c:v>43639</c:v>
                </c:pt>
                <c:pt idx="988">
                  <c:v>43640</c:v>
                </c:pt>
                <c:pt idx="989">
                  <c:v>43641</c:v>
                </c:pt>
                <c:pt idx="990">
                  <c:v>43642</c:v>
                </c:pt>
                <c:pt idx="991">
                  <c:v>43643</c:v>
                </c:pt>
                <c:pt idx="992">
                  <c:v>43644</c:v>
                </c:pt>
                <c:pt idx="993">
                  <c:v>43645</c:v>
                </c:pt>
                <c:pt idx="994">
                  <c:v>43646</c:v>
                </c:pt>
                <c:pt idx="995">
                  <c:v>43647</c:v>
                </c:pt>
                <c:pt idx="996">
                  <c:v>43648</c:v>
                </c:pt>
                <c:pt idx="997">
                  <c:v>43649</c:v>
                </c:pt>
                <c:pt idx="998">
                  <c:v>43650</c:v>
                </c:pt>
                <c:pt idx="999">
                  <c:v>43651</c:v>
                </c:pt>
                <c:pt idx="1000">
                  <c:v>43652</c:v>
                </c:pt>
                <c:pt idx="1001">
                  <c:v>43653</c:v>
                </c:pt>
                <c:pt idx="1002">
                  <c:v>43654</c:v>
                </c:pt>
                <c:pt idx="1003">
                  <c:v>43655</c:v>
                </c:pt>
                <c:pt idx="1004">
                  <c:v>43656</c:v>
                </c:pt>
                <c:pt idx="1005">
                  <c:v>43657</c:v>
                </c:pt>
                <c:pt idx="1006">
                  <c:v>43658</c:v>
                </c:pt>
                <c:pt idx="1007">
                  <c:v>43659</c:v>
                </c:pt>
                <c:pt idx="1008">
                  <c:v>43660</c:v>
                </c:pt>
                <c:pt idx="1009">
                  <c:v>43661</c:v>
                </c:pt>
                <c:pt idx="1010">
                  <c:v>43662</c:v>
                </c:pt>
                <c:pt idx="1011">
                  <c:v>43663</c:v>
                </c:pt>
                <c:pt idx="1012">
                  <c:v>43664</c:v>
                </c:pt>
                <c:pt idx="1013">
                  <c:v>43665</c:v>
                </c:pt>
                <c:pt idx="1014">
                  <c:v>43666</c:v>
                </c:pt>
                <c:pt idx="1015">
                  <c:v>43667</c:v>
                </c:pt>
                <c:pt idx="1016">
                  <c:v>43668</c:v>
                </c:pt>
                <c:pt idx="1017">
                  <c:v>43669</c:v>
                </c:pt>
                <c:pt idx="1018">
                  <c:v>43670</c:v>
                </c:pt>
                <c:pt idx="1019">
                  <c:v>43671</c:v>
                </c:pt>
                <c:pt idx="1020">
                  <c:v>43672</c:v>
                </c:pt>
                <c:pt idx="1021">
                  <c:v>43673</c:v>
                </c:pt>
                <c:pt idx="1022">
                  <c:v>43674</c:v>
                </c:pt>
                <c:pt idx="1023">
                  <c:v>43675</c:v>
                </c:pt>
                <c:pt idx="1024">
                  <c:v>43676</c:v>
                </c:pt>
                <c:pt idx="1025">
                  <c:v>43677</c:v>
                </c:pt>
                <c:pt idx="1026">
                  <c:v>43678</c:v>
                </c:pt>
                <c:pt idx="1027">
                  <c:v>43679</c:v>
                </c:pt>
                <c:pt idx="1028">
                  <c:v>43680</c:v>
                </c:pt>
                <c:pt idx="1029">
                  <c:v>43681</c:v>
                </c:pt>
                <c:pt idx="1030">
                  <c:v>43682</c:v>
                </c:pt>
                <c:pt idx="1031">
                  <c:v>43683</c:v>
                </c:pt>
                <c:pt idx="1032">
                  <c:v>43684</c:v>
                </c:pt>
                <c:pt idx="1033">
                  <c:v>43685</c:v>
                </c:pt>
                <c:pt idx="1034">
                  <c:v>43686</c:v>
                </c:pt>
                <c:pt idx="1035">
                  <c:v>43687</c:v>
                </c:pt>
                <c:pt idx="1036">
                  <c:v>43688</c:v>
                </c:pt>
                <c:pt idx="1037">
                  <c:v>43689</c:v>
                </c:pt>
                <c:pt idx="1038">
                  <c:v>43690</c:v>
                </c:pt>
                <c:pt idx="1039">
                  <c:v>43691</c:v>
                </c:pt>
                <c:pt idx="1040">
                  <c:v>43692</c:v>
                </c:pt>
                <c:pt idx="1041">
                  <c:v>43693</c:v>
                </c:pt>
                <c:pt idx="1042">
                  <c:v>43694</c:v>
                </c:pt>
                <c:pt idx="1043">
                  <c:v>43695</c:v>
                </c:pt>
                <c:pt idx="1044">
                  <c:v>43696</c:v>
                </c:pt>
                <c:pt idx="1045">
                  <c:v>43697</c:v>
                </c:pt>
                <c:pt idx="1046">
                  <c:v>43698</c:v>
                </c:pt>
                <c:pt idx="1047">
                  <c:v>43699</c:v>
                </c:pt>
                <c:pt idx="1048">
                  <c:v>43700</c:v>
                </c:pt>
                <c:pt idx="1049">
                  <c:v>43701</c:v>
                </c:pt>
                <c:pt idx="1050">
                  <c:v>43702</c:v>
                </c:pt>
                <c:pt idx="1051">
                  <c:v>43703</c:v>
                </c:pt>
                <c:pt idx="1052">
                  <c:v>43704</c:v>
                </c:pt>
                <c:pt idx="1053">
                  <c:v>43705</c:v>
                </c:pt>
                <c:pt idx="1054">
                  <c:v>43706</c:v>
                </c:pt>
                <c:pt idx="1055">
                  <c:v>43707</c:v>
                </c:pt>
                <c:pt idx="1056">
                  <c:v>43708</c:v>
                </c:pt>
                <c:pt idx="1057">
                  <c:v>43709</c:v>
                </c:pt>
                <c:pt idx="1058">
                  <c:v>43710</c:v>
                </c:pt>
                <c:pt idx="1059">
                  <c:v>43711</c:v>
                </c:pt>
                <c:pt idx="1060">
                  <c:v>43712</c:v>
                </c:pt>
                <c:pt idx="1061">
                  <c:v>43713</c:v>
                </c:pt>
                <c:pt idx="1062">
                  <c:v>43714</c:v>
                </c:pt>
                <c:pt idx="1063">
                  <c:v>43715</c:v>
                </c:pt>
                <c:pt idx="1064">
                  <c:v>43716</c:v>
                </c:pt>
                <c:pt idx="1065">
                  <c:v>43717</c:v>
                </c:pt>
                <c:pt idx="1066">
                  <c:v>43718</c:v>
                </c:pt>
                <c:pt idx="1067">
                  <c:v>43719</c:v>
                </c:pt>
                <c:pt idx="1068">
                  <c:v>43720</c:v>
                </c:pt>
                <c:pt idx="1069">
                  <c:v>43721</c:v>
                </c:pt>
                <c:pt idx="1070">
                  <c:v>43722</c:v>
                </c:pt>
                <c:pt idx="1071">
                  <c:v>43723</c:v>
                </c:pt>
                <c:pt idx="1072">
                  <c:v>43724</c:v>
                </c:pt>
                <c:pt idx="1073">
                  <c:v>43725</c:v>
                </c:pt>
                <c:pt idx="1074">
                  <c:v>43726</c:v>
                </c:pt>
                <c:pt idx="1075">
                  <c:v>43727</c:v>
                </c:pt>
                <c:pt idx="1076">
                  <c:v>43728</c:v>
                </c:pt>
                <c:pt idx="1077">
                  <c:v>43729</c:v>
                </c:pt>
                <c:pt idx="1078">
                  <c:v>43730</c:v>
                </c:pt>
                <c:pt idx="1079">
                  <c:v>43731</c:v>
                </c:pt>
                <c:pt idx="1080">
                  <c:v>43732</c:v>
                </c:pt>
                <c:pt idx="1081">
                  <c:v>43733</c:v>
                </c:pt>
                <c:pt idx="1082">
                  <c:v>43734</c:v>
                </c:pt>
                <c:pt idx="1083">
                  <c:v>43735</c:v>
                </c:pt>
                <c:pt idx="1084">
                  <c:v>43736</c:v>
                </c:pt>
                <c:pt idx="1085">
                  <c:v>43737</c:v>
                </c:pt>
                <c:pt idx="1086">
                  <c:v>43738</c:v>
                </c:pt>
              </c:numCache>
            </c:numRef>
          </c:cat>
          <c:val>
            <c:numRef>
              <c:f>PITTE!$P$2:$P$1098</c:f>
              <c:numCache>
                <c:formatCode>General</c:formatCode>
                <c:ptCount val="1089"/>
                <c:pt idx="0">
                  <c:v>5475.7330000000002</c:v>
                </c:pt>
                <c:pt idx="1">
                  <c:v>5475.7330000000002</c:v>
                </c:pt>
                <c:pt idx="2">
                  <c:v>5475.7330000000002</c:v>
                </c:pt>
                <c:pt idx="3">
                  <c:v>5475.7330000000002</c:v>
                </c:pt>
                <c:pt idx="4">
                  <c:v>2975.7330000000002</c:v>
                </c:pt>
                <c:pt idx="5">
                  <c:v>581.50800000000004</c:v>
                </c:pt>
                <c:pt idx="6">
                  <c:v>0</c:v>
                </c:pt>
                <c:pt idx="7">
                  <c:v>4894.2250000000004</c:v>
                </c:pt>
                <c:pt idx="8">
                  <c:v>4894.2250000000004</c:v>
                </c:pt>
                <c:pt idx="9">
                  <c:v>581.50800000000004</c:v>
                </c:pt>
                <c:pt idx="10">
                  <c:v>0</c:v>
                </c:pt>
                <c:pt idx="11">
                  <c:v>5475.7330000000002</c:v>
                </c:pt>
                <c:pt idx="12">
                  <c:v>0</c:v>
                </c:pt>
                <c:pt idx="13">
                  <c:v>1002.6</c:v>
                </c:pt>
                <c:pt idx="14">
                  <c:v>581.50800000000004</c:v>
                </c:pt>
                <c:pt idx="15">
                  <c:v>581.50800000000004</c:v>
                </c:pt>
                <c:pt idx="16">
                  <c:v>0</c:v>
                </c:pt>
                <c:pt idx="17">
                  <c:v>0</c:v>
                </c:pt>
                <c:pt idx="18">
                  <c:v>1754.2249999999999</c:v>
                </c:pt>
                <c:pt idx="19">
                  <c:v>0</c:v>
                </c:pt>
                <c:pt idx="20">
                  <c:v>581.50800000000004</c:v>
                </c:pt>
                <c:pt idx="21">
                  <c:v>2335.7330000000002</c:v>
                </c:pt>
                <c:pt idx="22">
                  <c:v>2335.7330000000002</c:v>
                </c:pt>
                <c:pt idx="23">
                  <c:v>581.50800000000004</c:v>
                </c:pt>
                <c:pt idx="24">
                  <c:v>1754.2249999999999</c:v>
                </c:pt>
                <c:pt idx="25">
                  <c:v>1754.2249999999999</c:v>
                </c:pt>
                <c:pt idx="26">
                  <c:v>0</c:v>
                </c:pt>
                <c:pt idx="27">
                  <c:v>1754.2249999999999</c:v>
                </c:pt>
                <c:pt idx="28">
                  <c:v>2252.1819999999998</c:v>
                </c:pt>
                <c:pt idx="29">
                  <c:v>2335.7330000000002</c:v>
                </c:pt>
                <c:pt idx="30">
                  <c:v>1754.2249999999999</c:v>
                </c:pt>
                <c:pt idx="31">
                  <c:v>1082.808</c:v>
                </c:pt>
                <c:pt idx="32">
                  <c:v>0</c:v>
                </c:pt>
                <c:pt idx="33">
                  <c:v>0</c:v>
                </c:pt>
                <c:pt idx="34">
                  <c:v>0</c:v>
                </c:pt>
                <c:pt idx="35">
                  <c:v>7457.9620000000004</c:v>
                </c:pt>
                <c:pt idx="36">
                  <c:v>7457.9620000000004</c:v>
                </c:pt>
                <c:pt idx="37">
                  <c:v>501.3</c:v>
                </c:pt>
                <c:pt idx="38">
                  <c:v>0</c:v>
                </c:pt>
                <c:pt idx="39">
                  <c:v>0</c:v>
                </c:pt>
                <c:pt idx="40">
                  <c:v>0</c:v>
                </c:pt>
                <c:pt idx="41">
                  <c:v>270.702</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350.91</c:v>
                </c:pt>
                <c:pt idx="58">
                  <c:v>0</c:v>
                </c:pt>
                <c:pt idx="59">
                  <c:v>350.91</c:v>
                </c:pt>
                <c:pt idx="60">
                  <c:v>350.91</c:v>
                </c:pt>
                <c:pt idx="61">
                  <c:v>350.91</c:v>
                </c:pt>
                <c:pt idx="62">
                  <c:v>0</c:v>
                </c:pt>
                <c:pt idx="63">
                  <c:v>0</c:v>
                </c:pt>
                <c:pt idx="64">
                  <c:v>350.91</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1612.806</c:v>
                </c:pt>
                <c:pt idx="97">
                  <c:v>2700</c:v>
                </c:pt>
                <c:pt idx="98">
                  <c:v>2700</c:v>
                </c:pt>
                <c:pt idx="99">
                  <c:v>1950</c:v>
                </c:pt>
                <c:pt idx="100">
                  <c:v>2130</c:v>
                </c:pt>
                <c:pt idx="101">
                  <c:v>1400</c:v>
                </c:pt>
                <c:pt idx="102">
                  <c:v>0</c:v>
                </c:pt>
                <c:pt idx="103">
                  <c:v>0</c:v>
                </c:pt>
                <c:pt idx="104">
                  <c:v>1000</c:v>
                </c:pt>
                <c:pt idx="105">
                  <c:v>1000</c:v>
                </c:pt>
                <c:pt idx="106">
                  <c:v>5345.6019999999999</c:v>
                </c:pt>
                <c:pt idx="107">
                  <c:v>1381</c:v>
                </c:pt>
                <c:pt idx="108">
                  <c:v>0</c:v>
                </c:pt>
                <c:pt idx="109">
                  <c:v>0</c:v>
                </c:pt>
                <c:pt idx="110">
                  <c:v>0</c:v>
                </c:pt>
                <c:pt idx="111">
                  <c:v>0</c:v>
                </c:pt>
                <c:pt idx="112">
                  <c:v>0</c:v>
                </c:pt>
                <c:pt idx="113">
                  <c:v>0</c:v>
                </c:pt>
                <c:pt idx="114">
                  <c:v>0</c:v>
                </c:pt>
                <c:pt idx="115">
                  <c:v>4510.2830000000004</c:v>
                </c:pt>
                <c:pt idx="116">
                  <c:v>4510.2830000000004</c:v>
                </c:pt>
                <c:pt idx="117">
                  <c:v>6020.6570000000002</c:v>
                </c:pt>
                <c:pt idx="118">
                  <c:v>4510.2830000000004</c:v>
                </c:pt>
                <c:pt idx="119">
                  <c:v>4510.2830000000004</c:v>
                </c:pt>
                <c:pt idx="120">
                  <c:v>4510.2830000000004</c:v>
                </c:pt>
                <c:pt idx="121">
                  <c:v>4510.2830000000004</c:v>
                </c:pt>
                <c:pt idx="122">
                  <c:v>1518.0719999999999</c:v>
                </c:pt>
                <c:pt idx="123">
                  <c:v>4088.8780000000002</c:v>
                </c:pt>
                <c:pt idx="124">
                  <c:v>346</c:v>
                </c:pt>
                <c:pt idx="125">
                  <c:v>4510.2830000000004</c:v>
                </c:pt>
                <c:pt idx="126">
                  <c:v>4510.2830000000004</c:v>
                </c:pt>
                <c:pt idx="127">
                  <c:v>4510.2830000000004</c:v>
                </c:pt>
                <c:pt idx="128">
                  <c:v>4510.2830000000004</c:v>
                </c:pt>
                <c:pt idx="129">
                  <c:v>520.65700000000004</c:v>
                </c:pt>
                <c:pt idx="130">
                  <c:v>4510.2830000000004</c:v>
                </c:pt>
                <c:pt idx="131">
                  <c:v>4510.2830000000004</c:v>
                </c:pt>
                <c:pt idx="132">
                  <c:v>4610.2830000000004</c:v>
                </c:pt>
                <c:pt idx="133">
                  <c:v>4610.2830000000004</c:v>
                </c:pt>
                <c:pt idx="134">
                  <c:v>4510.2830000000004</c:v>
                </c:pt>
                <c:pt idx="135">
                  <c:v>4510.2830000000004</c:v>
                </c:pt>
                <c:pt idx="136">
                  <c:v>4511.2830000000004</c:v>
                </c:pt>
                <c:pt idx="137">
                  <c:v>5892.6880000000001</c:v>
                </c:pt>
                <c:pt idx="138">
                  <c:v>11411.579</c:v>
                </c:pt>
                <c:pt idx="139">
                  <c:v>4011.5790000000002</c:v>
                </c:pt>
                <c:pt idx="140">
                  <c:v>4011.5790000000002</c:v>
                </c:pt>
                <c:pt idx="141">
                  <c:v>6512.8789999999999</c:v>
                </c:pt>
                <c:pt idx="142">
                  <c:v>7411.5550000000003</c:v>
                </c:pt>
                <c:pt idx="143">
                  <c:v>18584.964</c:v>
                </c:pt>
                <c:pt idx="144">
                  <c:v>18584.964</c:v>
                </c:pt>
                <c:pt idx="145">
                  <c:v>18584.964</c:v>
                </c:pt>
                <c:pt idx="146">
                  <c:v>23584.947</c:v>
                </c:pt>
                <c:pt idx="147">
                  <c:v>23584.947</c:v>
                </c:pt>
                <c:pt idx="148">
                  <c:v>26384.944</c:v>
                </c:pt>
                <c:pt idx="149">
                  <c:v>25362.464</c:v>
                </c:pt>
                <c:pt idx="150">
                  <c:v>21084.964</c:v>
                </c:pt>
                <c:pt idx="151">
                  <c:v>17994.058000000001</c:v>
                </c:pt>
                <c:pt idx="152">
                  <c:v>21906.63</c:v>
                </c:pt>
                <c:pt idx="153">
                  <c:v>25185.186000000002</c:v>
                </c:pt>
                <c:pt idx="154">
                  <c:v>25235.885999999999</c:v>
                </c:pt>
                <c:pt idx="155">
                  <c:v>25205.421999999999</c:v>
                </c:pt>
                <c:pt idx="156">
                  <c:v>23613.694</c:v>
                </c:pt>
                <c:pt idx="157">
                  <c:v>19516.201000000001</c:v>
                </c:pt>
                <c:pt idx="158">
                  <c:v>17190.687999999998</c:v>
                </c:pt>
                <c:pt idx="159">
                  <c:v>16584.964</c:v>
                </c:pt>
                <c:pt idx="160">
                  <c:v>21905.324000000001</c:v>
                </c:pt>
                <c:pt idx="161">
                  <c:v>21940.876</c:v>
                </c:pt>
                <c:pt idx="162">
                  <c:v>17188.574000000001</c:v>
                </c:pt>
                <c:pt idx="163">
                  <c:v>20064.948</c:v>
                </c:pt>
                <c:pt idx="164">
                  <c:v>12614.924000000001</c:v>
                </c:pt>
                <c:pt idx="165">
                  <c:v>16638.487000000001</c:v>
                </c:pt>
                <c:pt idx="166">
                  <c:v>57.698999999999998</c:v>
                </c:pt>
                <c:pt idx="167">
                  <c:v>16584.967000000001</c:v>
                </c:pt>
                <c:pt idx="168">
                  <c:v>16599.467000000001</c:v>
                </c:pt>
                <c:pt idx="169">
                  <c:v>16592.698</c:v>
                </c:pt>
                <c:pt idx="170">
                  <c:v>12198.049000000001</c:v>
                </c:pt>
                <c:pt idx="171">
                  <c:v>12599.463</c:v>
                </c:pt>
                <c:pt idx="172">
                  <c:v>16591.758999999998</c:v>
                </c:pt>
                <c:pt idx="173">
                  <c:v>16584.964</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998</c:v>
                </c:pt>
                <c:pt idx="307">
                  <c:v>0</c:v>
                </c:pt>
                <c:pt idx="308">
                  <c:v>0</c:v>
                </c:pt>
                <c:pt idx="309">
                  <c:v>0</c:v>
                </c:pt>
                <c:pt idx="310">
                  <c:v>0</c:v>
                </c:pt>
                <c:pt idx="311">
                  <c:v>0</c:v>
                </c:pt>
                <c:pt idx="312">
                  <c:v>0</c:v>
                </c:pt>
                <c:pt idx="313">
                  <c:v>0</c:v>
                </c:pt>
                <c:pt idx="314">
                  <c:v>2542.5219999999999</c:v>
                </c:pt>
                <c:pt idx="315">
                  <c:v>742</c:v>
                </c:pt>
                <c:pt idx="316">
                  <c:v>0</c:v>
                </c:pt>
                <c:pt idx="317">
                  <c:v>0</c:v>
                </c:pt>
                <c:pt idx="318">
                  <c:v>0</c:v>
                </c:pt>
                <c:pt idx="319">
                  <c:v>0</c:v>
                </c:pt>
                <c:pt idx="320">
                  <c:v>0</c:v>
                </c:pt>
                <c:pt idx="321">
                  <c:v>0</c:v>
                </c:pt>
                <c:pt idx="322">
                  <c:v>0</c:v>
                </c:pt>
                <c:pt idx="323">
                  <c:v>0</c:v>
                </c:pt>
                <c:pt idx="324">
                  <c:v>0</c:v>
                </c:pt>
                <c:pt idx="325">
                  <c:v>0</c:v>
                </c:pt>
                <c:pt idx="326">
                  <c:v>0</c:v>
                </c:pt>
                <c:pt idx="327">
                  <c:v>4500</c:v>
                </c:pt>
                <c:pt idx="328">
                  <c:v>5850</c:v>
                </c:pt>
                <c:pt idx="329">
                  <c:v>3350</c:v>
                </c:pt>
                <c:pt idx="330">
                  <c:v>850</c:v>
                </c:pt>
                <c:pt idx="331">
                  <c:v>3187.5569999999998</c:v>
                </c:pt>
                <c:pt idx="332">
                  <c:v>9680</c:v>
                </c:pt>
                <c:pt idx="333">
                  <c:v>6227.4070000000002</c:v>
                </c:pt>
                <c:pt idx="334">
                  <c:v>4950</c:v>
                </c:pt>
                <c:pt idx="335">
                  <c:v>7393.6469999999999</c:v>
                </c:pt>
                <c:pt idx="336">
                  <c:v>7393.6469999999999</c:v>
                </c:pt>
                <c:pt idx="337">
                  <c:v>7184.1909999999998</c:v>
                </c:pt>
                <c:pt idx="338">
                  <c:v>4200</c:v>
                </c:pt>
                <c:pt idx="339">
                  <c:v>4000</c:v>
                </c:pt>
                <c:pt idx="340">
                  <c:v>4950</c:v>
                </c:pt>
                <c:pt idx="341">
                  <c:v>7948.4539999999997</c:v>
                </c:pt>
                <c:pt idx="342">
                  <c:v>0</c:v>
                </c:pt>
                <c:pt idx="343">
                  <c:v>0</c:v>
                </c:pt>
                <c:pt idx="344">
                  <c:v>7500</c:v>
                </c:pt>
                <c:pt idx="345">
                  <c:v>4550</c:v>
                </c:pt>
                <c:pt idx="346">
                  <c:v>0</c:v>
                </c:pt>
                <c:pt idx="347">
                  <c:v>0</c:v>
                </c:pt>
                <c:pt idx="348">
                  <c:v>0</c:v>
                </c:pt>
                <c:pt idx="349">
                  <c:v>0</c:v>
                </c:pt>
                <c:pt idx="350">
                  <c:v>0</c:v>
                </c:pt>
                <c:pt idx="351">
                  <c:v>0</c:v>
                </c:pt>
                <c:pt idx="352">
                  <c:v>0</c:v>
                </c:pt>
                <c:pt idx="353">
                  <c:v>0</c:v>
                </c:pt>
                <c:pt idx="354">
                  <c:v>0</c:v>
                </c:pt>
                <c:pt idx="355">
                  <c:v>0</c:v>
                </c:pt>
                <c:pt idx="356">
                  <c:v>0</c:v>
                </c:pt>
                <c:pt idx="357">
                  <c:v>2992.22</c:v>
                </c:pt>
                <c:pt idx="358">
                  <c:v>2992.22</c:v>
                </c:pt>
                <c:pt idx="359">
                  <c:v>2992.22</c:v>
                </c:pt>
                <c:pt idx="360">
                  <c:v>2992.22</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2000</c:v>
                </c:pt>
                <c:pt idx="388">
                  <c:v>0</c:v>
                </c:pt>
                <c:pt idx="389">
                  <c:v>0</c:v>
                </c:pt>
                <c:pt idx="390">
                  <c:v>0</c:v>
                </c:pt>
                <c:pt idx="391">
                  <c:v>0</c:v>
                </c:pt>
                <c:pt idx="392">
                  <c:v>0</c:v>
                </c:pt>
                <c:pt idx="393">
                  <c:v>0</c:v>
                </c:pt>
                <c:pt idx="394">
                  <c:v>2591.8539999999998</c:v>
                </c:pt>
                <c:pt idx="395">
                  <c:v>1980</c:v>
                </c:pt>
                <c:pt idx="396">
                  <c:v>0</c:v>
                </c:pt>
                <c:pt idx="397">
                  <c:v>0</c:v>
                </c:pt>
                <c:pt idx="398">
                  <c:v>3226.77</c:v>
                </c:pt>
                <c:pt idx="399">
                  <c:v>2728.0619999999999</c:v>
                </c:pt>
                <c:pt idx="400">
                  <c:v>5192.22</c:v>
                </c:pt>
                <c:pt idx="401">
                  <c:v>7322</c:v>
                </c:pt>
                <c:pt idx="402">
                  <c:v>0</c:v>
                </c:pt>
                <c:pt idx="403">
                  <c:v>0</c:v>
                </c:pt>
                <c:pt idx="404">
                  <c:v>5342</c:v>
                </c:pt>
                <c:pt idx="405">
                  <c:v>4330</c:v>
                </c:pt>
                <c:pt idx="406">
                  <c:v>4330</c:v>
                </c:pt>
                <c:pt idx="407">
                  <c:v>0</c:v>
                </c:pt>
                <c:pt idx="408">
                  <c:v>0</c:v>
                </c:pt>
                <c:pt idx="409">
                  <c:v>0</c:v>
                </c:pt>
                <c:pt idx="410">
                  <c:v>0</c:v>
                </c:pt>
                <c:pt idx="411">
                  <c:v>0</c:v>
                </c:pt>
                <c:pt idx="412">
                  <c:v>1980</c:v>
                </c:pt>
                <c:pt idx="413">
                  <c:v>1980</c:v>
                </c:pt>
                <c:pt idx="414">
                  <c:v>0</c:v>
                </c:pt>
                <c:pt idx="415">
                  <c:v>0</c:v>
                </c:pt>
                <c:pt idx="416">
                  <c:v>0</c:v>
                </c:pt>
                <c:pt idx="417">
                  <c:v>0</c:v>
                </c:pt>
                <c:pt idx="418">
                  <c:v>0</c:v>
                </c:pt>
                <c:pt idx="419">
                  <c:v>0</c:v>
                </c:pt>
                <c:pt idx="420">
                  <c:v>0</c:v>
                </c:pt>
                <c:pt idx="421">
                  <c:v>0</c:v>
                </c:pt>
                <c:pt idx="422">
                  <c:v>0</c:v>
                </c:pt>
                <c:pt idx="423">
                  <c:v>0</c:v>
                </c:pt>
                <c:pt idx="424">
                  <c:v>0</c:v>
                </c:pt>
                <c:pt idx="425">
                  <c:v>1.4999999999999999E-2</c:v>
                </c:pt>
                <c:pt idx="426">
                  <c:v>0</c:v>
                </c:pt>
                <c:pt idx="427">
                  <c:v>0</c:v>
                </c:pt>
                <c:pt idx="428">
                  <c:v>0</c:v>
                </c:pt>
                <c:pt idx="429">
                  <c:v>33.332999999999998</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4800</c:v>
                </c:pt>
                <c:pt idx="453">
                  <c:v>1400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9856.1740000000009</c:v>
                </c:pt>
                <c:pt idx="481">
                  <c:v>0</c:v>
                </c:pt>
                <c:pt idx="482">
                  <c:v>0</c:v>
                </c:pt>
                <c:pt idx="483">
                  <c:v>0</c:v>
                </c:pt>
                <c:pt idx="484">
                  <c:v>0</c:v>
                </c:pt>
                <c:pt idx="485">
                  <c:v>0</c:v>
                </c:pt>
                <c:pt idx="486">
                  <c:v>0</c:v>
                </c:pt>
                <c:pt idx="487">
                  <c:v>0</c:v>
                </c:pt>
                <c:pt idx="488">
                  <c:v>0</c:v>
                </c:pt>
                <c:pt idx="489">
                  <c:v>14456.174000000001</c:v>
                </c:pt>
                <c:pt idx="490">
                  <c:v>14456.174000000001</c:v>
                </c:pt>
                <c:pt idx="491">
                  <c:v>0</c:v>
                </c:pt>
                <c:pt idx="492">
                  <c:v>0</c:v>
                </c:pt>
                <c:pt idx="493">
                  <c:v>0</c:v>
                </c:pt>
                <c:pt idx="494">
                  <c:v>0</c:v>
                </c:pt>
                <c:pt idx="495">
                  <c:v>0</c:v>
                </c:pt>
                <c:pt idx="496">
                  <c:v>14456.174000000001</c:v>
                </c:pt>
                <c:pt idx="497">
                  <c:v>14456.174000000001</c:v>
                </c:pt>
                <c:pt idx="498">
                  <c:v>0</c:v>
                </c:pt>
                <c:pt idx="499">
                  <c:v>14456.174000000001</c:v>
                </c:pt>
                <c:pt idx="500">
                  <c:v>14456.174000000001</c:v>
                </c:pt>
                <c:pt idx="501">
                  <c:v>14456.174000000001</c:v>
                </c:pt>
                <c:pt idx="502">
                  <c:v>14456.174000000001</c:v>
                </c:pt>
                <c:pt idx="503">
                  <c:v>14456.174000000001</c:v>
                </c:pt>
                <c:pt idx="504">
                  <c:v>17456.173999999999</c:v>
                </c:pt>
                <c:pt idx="505">
                  <c:v>28197.357</c:v>
                </c:pt>
                <c:pt idx="506">
                  <c:v>32402.782999999999</c:v>
                </c:pt>
                <c:pt idx="507">
                  <c:v>86028.076000000001</c:v>
                </c:pt>
                <c:pt idx="508">
                  <c:v>157033.89000000001</c:v>
                </c:pt>
                <c:pt idx="509">
                  <c:v>209606.50700000001</c:v>
                </c:pt>
                <c:pt idx="510">
                  <c:v>52995.652999999998</c:v>
                </c:pt>
                <c:pt idx="511">
                  <c:v>39466.652999999998</c:v>
                </c:pt>
                <c:pt idx="512">
                  <c:v>26561.296999999999</c:v>
                </c:pt>
                <c:pt idx="513">
                  <c:v>11849.049000000001</c:v>
                </c:pt>
                <c:pt idx="514">
                  <c:v>7349.049</c:v>
                </c:pt>
                <c:pt idx="515">
                  <c:v>2849.049</c:v>
                </c:pt>
                <c:pt idx="516">
                  <c:v>6849.049</c:v>
                </c:pt>
                <c:pt idx="517">
                  <c:v>16849.048999999999</c:v>
                </c:pt>
                <c:pt idx="518">
                  <c:v>16849.048999999999</c:v>
                </c:pt>
                <c:pt idx="519">
                  <c:v>16851.044000000002</c:v>
                </c:pt>
                <c:pt idx="520">
                  <c:v>16849.048999999999</c:v>
                </c:pt>
                <c:pt idx="521">
                  <c:v>16849.048999999999</c:v>
                </c:pt>
                <c:pt idx="522">
                  <c:v>16849.048999999999</c:v>
                </c:pt>
                <c:pt idx="523">
                  <c:v>16849.048999999999</c:v>
                </c:pt>
                <c:pt idx="524">
                  <c:v>16849.048999999999</c:v>
                </c:pt>
                <c:pt idx="525">
                  <c:v>16849.048999999999</c:v>
                </c:pt>
                <c:pt idx="526">
                  <c:v>16849.048999999999</c:v>
                </c:pt>
                <c:pt idx="527">
                  <c:v>16849.048999999999</c:v>
                </c:pt>
                <c:pt idx="528">
                  <c:v>11849.049000000001</c:v>
                </c:pt>
                <c:pt idx="529">
                  <c:v>16849.048999999999</c:v>
                </c:pt>
                <c:pt idx="530">
                  <c:v>0</c:v>
                </c:pt>
                <c:pt idx="531">
                  <c:v>16849.048999999999</c:v>
                </c:pt>
                <c:pt idx="532">
                  <c:v>16849.048999999999</c:v>
                </c:pt>
                <c:pt idx="533">
                  <c:v>8449.0490000000009</c:v>
                </c:pt>
                <c:pt idx="534">
                  <c:v>0</c:v>
                </c:pt>
                <c:pt idx="535">
                  <c:v>12849.049000000001</c:v>
                </c:pt>
                <c:pt idx="536">
                  <c:v>18549.048999999999</c:v>
                </c:pt>
                <c:pt idx="537">
                  <c:v>26859.599999999999</c:v>
                </c:pt>
                <c:pt idx="538">
                  <c:v>16849.048999999999</c:v>
                </c:pt>
                <c:pt idx="539">
                  <c:v>15443.866</c:v>
                </c:pt>
                <c:pt idx="540">
                  <c:v>15443.866</c:v>
                </c:pt>
                <c:pt idx="541">
                  <c:v>17441.232</c:v>
                </c:pt>
                <c:pt idx="542">
                  <c:v>17441.232</c:v>
                </c:pt>
                <c:pt idx="543">
                  <c:v>19789.232</c:v>
                </c:pt>
                <c:pt idx="544">
                  <c:v>22183.008000000002</c:v>
                </c:pt>
                <c:pt idx="545">
                  <c:v>19835.008000000002</c:v>
                </c:pt>
                <c:pt idx="546">
                  <c:v>19835.008000000002</c:v>
                </c:pt>
                <c:pt idx="547">
                  <c:v>10497.844999999999</c:v>
                </c:pt>
                <c:pt idx="548">
                  <c:v>10497.844999999999</c:v>
                </c:pt>
                <c:pt idx="549">
                  <c:v>23962.835999999999</c:v>
                </c:pt>
                <c:pt idx="550">
                  <c:v>20901.620999999999</c:v>
                </c:pt>
                <c:pt idx="551">
                  <c:v>16803.069</c:v>
                </c:pt>
                <c:pt idx="552">
                  <c:v>10497.844999999999</c:v>
                </c:pt>
                <c:pt idx="553">
                  <c:v>10497.844999999999</c:v>
                </c:pt>
                <c:pt idx="554">
                  <c:v>10497.844999999999</c:v>
                </c:pt>
                <c:pt idx="555">
                  <c:v>17397.845000000001</c:v>
                </c:pt>
                <c:pt idx="556">
                  <c:v>10497.844999999999</c:v>
                </c:pt>
                <c:pt idx="557">
                  <c:v>21392.657999999999</c:v>
                </c:pt>
                <c:pt idx="558">
                  <c:v>19397.845000000001</c:v>
                </c:pt>
                <c:pt idx="559">
                  <c:v>19397.845000000001</c:v>
                </c:pt>
                <c:pt idx="560">
                  <c:v>19397.845000000001</c:v>
                </c:pt>
                <c:pt idx="561">
                  <c:v>17397.845000000001</c:v>
                </c:pt>
                <c:pt idx="562">
                  <c:v>20685.845000000001</c:v>
                </c:pt>
                <c:pt idx="563">
                  <c:v>23185.600999999999</c:v>
                </c:pt>
                <c:pt idx="564">
                  <c:v>24183.008000000002</c:v>
                </c:pt>
                <c:pt idx="565">
                  <c:v>24183.008000000002</c:v>
                </c:pt>
                <c:pt idx="566">
                  <c:v>28129.248</c:v>
                </c:pt>
                <c:pt idx="567">
                  <c:v>28129.248</c:v>
                </c:pt>
                <c:pt idx="568">
                  <c:v>24738.064999999999</c:v>
                </c:pt>
                <c:pt idx="569">
                  <c:v>22942.733</c:v>
                </c:pt>
                <c:pt idx="570">
                  <c:v>17042.733</c:v>
                </c:pt>
                <c:pt idx="571">
                  <c:v>17042.733</c:v>
                </c:pt>
                <c:pt idx="572">
                  <c:v>22942.733</c:v>
                </c:pt>
                <c:pt idx="573">
                  <c:v>14694.733</c:v>
                </c:pt>
                <c:pt idx="574">
                  <c:v>15002.733</c:v>
                </c:pt>
                <c:pt idx="575">
                  <c:v>14694.733</c:v>
                </c:pt>
                <c:pt idx="576">
                  <c:v>12694.733</c:v>
                </c:pt>
                <c:pt idx="577">
                  <c:v>12694.733</c:v>
                </c:pt>
                <c:pt idx="578">
                  <c:v>14694.733</c:v>
                </c:pt>
                <c:pt idx="579">
                  <c:v>22029.767</c:v>
                </c:pt>
                <c:pt idx="580">
                  <c:v>45364.436000000002</c:v>
                </c:pt>
                <c:pt idx="581">
                  <c:v>45414.953000000001</c:v>
                </c:pt>
                <c:pt idx="582">
                  <c:v>17694.733</c:v>
                </c:pt>
                <c:pt idx="583">
                  <c:v>20594.733</c:v>
                </c:pt>
                <c:pt idx="584">
                  <c:v>18694.733</c:v>
                </c:pt>
                <c:pt idx="585">
                  <c:v>37436.843000000001</c:v>
                </c:pt>
                <c:pt idx="586">
                  <c:v>35589.534</c:v>
                </c:pt>
                <c:pt idx="587">
                  <c:v>24838.12</c:v>
                </c:pt>
                <c:pt idx="588">
                  <c:v>24838.12</c:v>
                </c:pt>
                <c:pt idx="589">
                  <c:v>21638.12</c:v>
                </c:pt>
                <c:pt idx="590">
                  <c:v>17846.455999999998</c:v>
                </c:pt>
                <c:pt idx="591">
                  <c:v>19638.12</c:v>
                </c:pt>
                <c:pt idx="592">
                  <c:v>19638.12</c:v>
                </c:pt>
                <c:pt idx="593">
                  <c:v>28009.056</c:v>
                </c:pt>
                <c:pt idx="594">
                  <c:v>21638.12</c:v>
                </c:pt>
                <c:pt idx="595">
                  <c:v>21638.12</c:v>
                </c:pt>
                <c:pt idx="596">
                  <c:v>30188.12</c:v>
                </c:pt>
                <c:pt idx="597">
                  <c:v>25138.12</c:v>
                </c:pt>
                <c:pt idx="598">
                  <c:v>34238.120000000003</c:v>
                </c:pt>
                <c:pt idx="599">
                  <c:v>33638.139000000003</c:v>
                </c:pt>
                <c:pt idx="600">
                  <c:v>49414.267</c:v>
                </c:pt>
                <c:pt idx="601">
                  <c:v>59933.7</c:v>
                </c:pt>
                <c:pt idx="602">
                  <c:v>59933.7</c:v>
                </c:pt>
                <c:pt idx="603">
                  <c:v>42194.425999999999</c:v>
                </c:pt>
                <c:pt idx="604">
                  <c:v>55605.678</c:v>
                </c:pt>
                <c:pt idx="605">
                  <c:v>50105.14</c:v>
                </c:pt>
                <c:pt idx="606">
                  <c:v>48774.534</c:v>
                </c:pt>
                <c:pt idx="607">
                  <c:v>45664.534</c:v>
                </c:pt>
                <c:pt idx="608">
                  <c:v>41774.534</c:v>
                </c:pt>
                <c:pt idx="609">
                  <c:v>41774.534</c:v>
                </c:pt>
                <c:pt idx="610">
                  <c:v>40174.534</c:v>
                </c:pt>
                <c:pt idx="611">
                  <c:v>43903.966</c:v>
                </c:pt>
                <c:pt idx="612">
                  <c:v>48122.534</c:v>
                </c:pt>
                <c:pt idx="613">
                  <c:v>57766.754000000001</c:v>
                </c:pt>
                <c:pt idx="614">
                  <c:v>59341.02</c:v>
                </c:pt>
                <c:pt idx="615">
                  <c:v>61109.567999999999</c:v>
                </c:pt>
                <c:pt idx="616">
                  <c:v>61109.567999999999</c:v>
                </c:pt>
                <c:pt idx="617">
                  <c:v>55009.567999999999</c:v>
                </c:pt>
                <c:pt idx="618">
                  <c:v>78154.911999999997</c:v>
                </c:pt>
                <c:pt idx="619">
                  <c:v>71575.656000000003</c:v>
                </c:pt>
                <c:pt idx="620">
                  <c:v>62100.182000000001</c:v>
                </c:pt>
                <c:pt idx="621">
                  <c:v>42278.224999999999</c:v>
                </c:pt>
                <c:pt idx="622">
                  <c:v>46122.334999999999</c:v>
                </c:pt>
                <c:pt idx="623">
                  <c:v>48122.334999999999</c:v>
                </c:pt>
                <c:pt idx="624">
                  <c:v>72582.14</c:v>
                </c:pt>
                <c:pt idx="625">
                  <c:v>56960.85</c:v>
                </c:pt>
                <c:pt idx="626">
                  <c:v>57786.995000000003</c:v>
                </c:pt>
                <c:pt idx="627">
                  <c:v>65772.028000000006</c:v>
                </c:pt>
                <c:pt idx="628">
                  <c:v>76497.909</c:v>
                </c:pt>
                <c:pt idx="629">
                  <c:v>98939.741999999998</c:v>
                </c:pt>
                <c:pt idx="630">
                  <c:v>23140.417000000001</c:v>
                </c:pt>
                <c:pt idx="631">
                  <c:v>27938.988000000001</c:v>
                </c:pt>
                <c:pt idx="632">
                  <c:v>32753.98</c:v>
                </c:pt>
                <c:pt idx="633">
                  <c:v>40826.648999999998</c:v>
                </c:pt>
                <c:pt idx="634">
                  <c:v>41056.498</c:v>
                </c:pt>
                <c:pt idx="635">
                  <c:v>23235.803</c:v>
                </c:pt>
                <c:pt idx="636">
                  <c:v>33204.277000000002</c:v>
                </c:pt>
                <c:pt idx="637">
                  <c:v>30212.057000000001</c:v>
                </c:pt>
                <c:pt idx="638">
                  <c:v>32219.837</c:v>
                </c:pt>
                <c:pt idx="639">
                  <c:v>28232.803</c:v>
                </c:pt>
                <c:pt idx="640">
                  <c:v>26992.803</c:v>
                </c:pt>
                <c:pt idx="641">
                  <c:v>32232.803</c:v>
                </c:pt>
                <c:pt idx="642">
                  <c:v>24963.155999999999</c:v>
                </c:pt>
                <c:pt idx="643">
                  <c:v>29932.782999999999</c:v>
                </c:pt>
                <c:pt idx="644">
                  <c:v>29932.782999999999</c:v>
                </c:pt>
                <c:pt idx="645">
                  <c:v>39217.597000000002</c:v>
                </c:pt>
                <c:pt idx="646">
                  <c:v>52487.597000000002</c:v>
                </c:pt>
                <c:pt idx="647">
                  <c:v>54351.86</c:v>
                </c:pt>
                <c:pt idx="648">
                  <c:v>58788.459000000003</c:v>
                </c:pt>
                <c:pt idx="649">
                  <c:v>81660.172999999995</c:v>
                </c:pt>
                <c:pt idx="650">
                  <c:v>48658.146999999997</c:v>
                </c:pt>
                <c:pt idx="651">
                  <c:v>47660.741000000002</c:v>
                </c:pt>
                <c:pt idx="652">
                  <c:v>45344.08</c:v>
                </c:pt>
                <c:pt idx="653">
                  <c:v>47516.32</c:v>
                </c:pt>
                <c:pt idx="654">
                  <c:v>40736.743000000002</c:v>
                </c:pt>
                <c:pt idx="655">
                  <c:v>37636.32</c:v>
                </c:pt>
                <c:pt idx="656">
                  <c:v>37386.32</c:v>
                </c:pt>
                <c:pt idx="657">
                  <c:v>32853.156999999999</c:v>
                </c:pt>
                <c:pt idx="658">
                  <c:v>31357.046999999999</c:v>
                </c:pt>
                <c:pt idx="659">
                  <c:v>24625.905999999999</c:v>
                </c:pt>
                <c:pt idx="660">
                  <c:v>25386.32</c:v>
                </c:pt>
                <c:pt idx="661">
                  <c:v>56590.686000000002</c:v>
                </c:pt>
                <c:pt idx="662">
                  <c:v>54243.790999999997</c:v>
                </c:pt>
                <c:pt idx="663">
                  <c:v>51850.014999999999</c:v>
                </c:pt>
                <c:pt idx="664">
                  <c:v>54150.014999999999</c:v>
                </c:pt>
                <c:pt idx="665">
                  <c:v>54190.014999999999</c:v>
                </c:pt>
                <c:pt idx="666">
                  <c:v>49850.014999999999</c:v>
                </c:pt>
                <c:pt idx="667">
                  <c:v>48852.608</c:v>
                </c:pt>
                <c:pt idx="668">
                  <c:v>52230.014999999999</c:v>
                </c:pt>
                <c:pt idx="669">
                  <c:v>74423.532000000007</c:v>
                </c:pt>
                <c:pt idx="670">
                  <c:v>68222.235000000001</c:v>
                </c:pt>
                <c:pt idx="671">
                  <c:v>61730.014999999999</c:v>
                </c:pt>
                <c:pt idx="672">
                  <c:v>60730.014999999999</c:v>
                </c:pt>
                <c:pt idx="673">
                  <c:v>53730.014999999999</c:v>
                </c:pt>
                <c:pt idx="674">
                  <c:v>54230.014999999999</c:v>
                </c:pt>
                <c:pt idx="675">
                  <c:v>59222.235000000001</c:v>
                </c:pt>
                <c:pt idx="676">
                  <c:v>51351.311000000002</c:v>
                </c:pt>
                <c:pt idx="677">
                  <c:v>65474.18</c:v>
                </c:pt>
                <c:pt idx="678">
                  <c:v>57230.014999999999</c:v>
                </c:pt>
                <c:pt idx="679">
                  <c:v>54230.014999999999</c:v>
                </c:pt>
                <c:pt idx="680">
                  <c:v>61230.014999999999</c:v>
                </c:pt>
                <c:pt idx="681">
                  <c:v>72715.751999999993</c:v>
                </c:pt>
                <c:pt idx="682">
                  <c:v>63346.642999999996</c:v>
                </c:pt>
                <c:pt idx="683">
                  <c:v>53800.014999999999</c:v>
                </c:pt>
                <c:pt idx="684">
                  <c:v>52230.014999999999</c:v>
                </c:pt>
                <c:pt idx="685">
                  <c:v>61230.014999999999</c:v>
                </c:pt>
                <c:pt idx="686">
                  <c:v>58850.014999999999</c:v>
                </c:pt>
                <c:pt idx="687">
                  <c:v>51850.014999999999</c:v>
                </c:pt>
                <c:pt idx="688">
                  <c:v>48353.904999999999</c:v>
                </c:pt>
                <c:pt idx="689">
                  <c:v>42868.167000000001</c:v>
                </c:pt>
                <c:pt idx="690">
                  <c:v>49850.014999999999</c:v>
                </c:pt>
                <c:pt idx="691">
                  <c:v>49850.014999999999</c:v>
                </c:pt>
                <c:pt idx="692">
                  <c:v>17846.455999999998</c:v>
                </c:pt>
                <c:pt idx="693">
                  <c:v>17846.455999999998</c:v>
                </c:pt>
                <c:pt idx="694">
                  <c:v>17846.455999999998</c:v>
                </c:pt>
                <c:pt idx="695">
                  <c:v>17846.455999999998</c:v>
                </c:pt>
                <c:pt idx="696">
                  <c:v>17846.455999999998</c:v>
                </c:pt>
                <c:pt idx="697">
                  <c:v>17846.455999999998</c:v>
                </c:pt>
                <c:pt idx="698">
                  <c:v>17846.455999999998</c:v>
                </c:pt>
                <c:pt idx="699">
                  <c:v>17846.455999999998</c:v>
                </c:pt>
                <c:pt idx="700">
                  <c:v>17846.455999999998</c:v>
                </c:pt>
                <c:pt idx="701">
                  <c:v>17846.455999999998</c:v>
                </c:pt>
                <c:pt idx="702">
                  <c:v>22046.455999999998</c:v>
                </c:pt>
                <c:pt idx="703">
                  <c:v>23846.455999999998</c:v>
                </c:pt>
                <c:pt idx="704">
                  <c:v>17846.455999999998</c:v>
                </c:pt>
                <c:pt idx="705">
                  <c:v>17846.455999999998</c:v>
                </c:pt>
                <c:pt idx="706">
                  <c:v>17846.455999999998</c:v>
                </c:pt>
                <c:pt idx="707">
                  <c:v>17846.455999999998</c:v>
                </c:pt>
                <c:pt idx="708">
                  <c:v>17846.455999999998</c:v>
                </c:pt>
                <c:pt idx="709">
                  <c:v>17846.455999999998</c:v>
                </c:pt>
                <c:pt idx="710">
                  <c:v>17846.455999999998</c:v>
                </c:pt>
                <c:pt idx="711">
                  <c:v>17846.455999999998</c:v>
                </c:pt>
                <c:pt idx="712">
                  <c:v>17846.455999999998</c:v>
                </c:pt>
                <c:pt idx="713">
                  <c:v>17846.455999999998</c:v>
                </c:pt>
                <c:pt idx="714">
                  <c:v>17846.455999999998</c:v>
                </c:pt>
                <c:pt idx="715">
                  <c:v>20846.455999999998</c:v>
                </c:pt>
                <c:pt idx="716">
                  <c:v>22846.455999999998</c:v>
                </c:pt>
                <c:pt idx="717">
                  <c:v>22846.455999999998</c:v>
                </c:pt>
                <c:pt idx="718">
                  <c:v>17846.455999999998</c:v>
                </c:pt>
                <c:pt idx="719">
                  <c:v>17846.455999999998</c:v>
                </c:pt>
                <c:pt idx="720">
                  <c:v>17846.455999999998</c:v>
                </c:pt>
                <c:pt idx="721">
                  <c:v>17846.455999999998</c:v>
                </c:pt>
                <c:pt idx="722">
                  <c:v>27846.455999999998</c:v>
                </c:pt>
                <c:pt idx="723">
                  <c:v>43856.809000000001</c:v>
                </c:pt>
                <c:pt idx="724">
                  <c:v>22846.455999999998</c:v>
                </c:pt>
                <c:pt idx="725">
                  <c:v>17846.455999999998</c:v>
                </c:pt>
                <c:pt idx="726">
                  <c:v>17846.455999999998</c:v>
                </c:pt>
                <c:pt idx="727">
                  <c:v>19846.455999999998</c:v>
                </c:pt>
                <c:pt idx="728">
                  <c:v>19846.455999999998</c:v>
                </c:pt>
                <c:pt idx="729">
                  <c:v>17846.455999999998</c:v>
                </c:pt>
                <c:pt idx="730">
                  <c:v>17846.455999999998</c:v>
                </c:pt>
                <c:pt idx="731">
                  <c:v>17846.455999999998</c:v>
                </c:pt>
                <c:pt idx="732">
                  <c:v>17846.455999999998</c:v>
                </c:pt>
                <c:pt idx="733">
                  <c:v>17846.455999999998</c:v>
                </c:pt>
                <c:pt idx="734">
                  <c:v>17846.455999999998</c:v>
                </c:pt>
                <c:pt idx="735">
                  <c:v>17846.455999999998</c:v>
                </c:pt>
                <c:pt idx="736">
                  <c:v>17846.455999999998</c:v>
                </c:pt>
                <c:pt idx="737">
                  <c:v>17846.455999999998</c:v>
                </c:pt>
                <c:pt idx="738">
                  <c:v>17846.455999999998</c:v>
                </c:pt>
                <c:pt idx="739">
                  <c:v>17846.455999999998</c:v>
                </c:pt>
                <c:pt idx="740">
                  <c:v>17846.455999999998</c:v>
                </c:pt>
                <c:pt idx="741">
                  <c:v>26446.455999999998</c:v>
                </c:pt>
                <c:pt idx="742">
                  <c:v>19346.455999999998</c:v>
                </c:pt>
                <c:pt idx="743">
                  <c:v>23146.455999999998</c:v>
                </c:pt>
                <c:pt idx="744">
                  <c:v>17846.455999999998</c:v>
                </c:pt>
                <c:pt idx="745">
                  <c:v>17846.455999999998</c:v>
                </c:pt>
                <c:pt idx="746">
                  <c:v>17846.455999999998</c:v>
                </c:pt>
                <c:pt idx="747">
                  <c:v>17846.455999999998</c:v>
                </c:pt>
                <c:pt idx="748">
                  <c:v>17846.455999999998</c:v>
                </c:pt>
                <c:pt idx="749">
                  <c:v>17846.455999999998</c:v>
                </c:pt>
                <c:pt idx="750">
                  <c:v>17846.455999999998</c:v>
                </c:pt>
                <c:pt idx="751">
                  <c:v>5846.4560000000001</c:v>
                </c:pt>
                <c:pt idx="752">
                  <c:v>846.45600000000002</c:v>
                </c:pt>
                <c:pt idx="753">
                  <c:v>8846.3559999999998</c:v>
                </c:pt>
                <c:pt idx="754">
                  <c:v>8846.3559999999998</c:v>
                </c:pt>
                <c:pt idx="755">
                  <c:v>8846.3559999999998</c:v>
                </c:pt>
                <c:pt idx="756">
                  <c:v>8846.3559999999998</c:v>
                </c:pt>
                <c:pt idx="757">
                  <c:v>8846.3559999999998</c:v>
                </c:pt>
                <c:pt idx="758">
                  <c:v>8846.3559999999998</c:v>
                </c:pt>
                <c:pt idx="759">
                  <c:v>8846.3559999999998</c:v>
                </c:pt>
                <c:pt idx="760">
                  <c:v>8846.3559999999998</c:v>
                </c:pt>
                <c:pt idx="761">
                  <c:v>8846.3559999999998</c:v>
                </c:pt>
                <c:pt idx="762">
                  <c:v>8846.3559999999998</c:v>
                </c:pt>
                <c:pt idx="763">
                  <c:v>8846.3559999999998</c:v>
                </c:pt>
                <c:pt idx="764">
                  <c:v>8846.3559999999998</c:v>
                </c:pt>
                <c:pt idx="765">
                  <c:v>8846.3559999999998</c:v>
                </c:pt>
                <c:pt idx="766">
                  <c:v>8846.3559999999998</c:v>
                </c:pt>
                <c:pt idx="767">
                  <c:v>8846.3559999999998</c:v>
                </c:pt>
                <c:pt idx="768">
                  <c:v>8846.3559999999998</c:v>
                </c:pt>
                <c:pt idx="769">
                  <c:v>15846.356</c:v>
                </c:pt>
                <c:pt idx="770">
                  <c:v>15846.356</c:v>
                </c:pt>
                <c:pt idx="771">
                  <c:v>5846.3559999999998</c:v>
                </c:pt>
                <c:pt idx="772">
                  <c:v>0</c:v>
                </c:pt>
                <c:pt idx="773">
                  <c:v>3846.3560000000002</c:v>
                </c:pt>
                <c:pt idx="774">
                  <c:v>0</c:v>
                </c:pt>
                <c:pt idx="775">
                  <c:v>46.356000000000002</c:v>
                </c:pt>
                <c:pt idx="776">
                  <c:v>8846.3559999999998</c:v>
                </c:pt>
                <c:pt idx="777">
                  <c:v>8846.3559999999998</c:v>
                </c:pt>
                <c:pt idx="778">
                  <c:v>8846.3559999999998</c:v>
                </c:pt>
                <c:pt idx="779">
                  <c:v>8846.3559999999998</c:v>
                </c:pt>
                <c:pt idx="780">
                  <c:v>46.356000000000002</c:v>
                </c:pt>
                <c:pt idx="781">
                  <c:v>5846.3559999999998</c:v>
                </c:pt>
                <c:pt idx="782">
                  <c:v>8846.3559999999998</c:v>
                </c:pt>
                <c:pt idx="783">
                  <c:v>7846.4560000000001</c:v>
                </c:pt>
                <c:pt idx="784">
                  <c:v>7846.4560000000001</c:v>
                </c:pt>
                <c:pt idx="785">
                  <c:v>6426.4560000000001</c:v>
                </c:pt>
                <c:pt idx="786">
                  <c:v>1886.4559999999999</c:v>
                </c:pt>
                <c:pt idx="787">
                  <c:v>1846.4559999999999</c:v>
                </c:pt>
                <c:pt idx="788">
                  <c:v>7846.4560000000001</c:v>
                </c:pt>
                <c:pt idx="789">
                  <c:v>7846.4560000000001</c:v>
                </c:pt>
                <c:pt idx="790">
                  <c:v>7846.4560000000001</c:v>
                </c:pt>
                <c:pt idx="791">
                  <c:v>7846.4560000000001</c:v>
                </c:pt>
                <c:pt idx="792">
                  <c:v>7846.4560000000001</c:v>
                </c:pt>
                <c:pt idx="793">
                  <c:v>7846.4560000000001</c:v>
                </c:pt>
                <c:pt idx="794">
                  <c:v>7846.4560000000001</c:v>
                </c:pt>
                <c:pt idx="795">
                  <c:v>7846.4560000000001</c:v>
                </c:pt>
                <c:pt idx="796">
                  <c:v>7846.4560000000001</c:v>
                </c:pt>
                <c:pt idx="797">
                  <c:v>7846.4560000000001</c:v>
                </c:pt>
                <c:pt idx="798">
                  <c:v>7846.4560000000001</c:v>
                </c:pt>
                <c:pt idx="799">
                  <c:v>3923.2289999999998</c:v>
                </c:pt>
                <c:pt idx="800">
                  <c:v>0</c:v>
                </c:pt>
                <c:pt idx="801">
                  <c:v>7346.4560000000001</c:v>
                </c:pt>
                <c:pt idx="802">
                  <c:v>7846.4560000000001</c:v>
                </c:pt>
                <c:pt idx="803">
                  <c:v>7846.4560000000001</c:v>
                </c:pt>
                <c:pt idx="804">
                  <c:v>7846.4560000000001</c:v>
                </c:pt>
                <c:pt idx="805">
                  <c:v>7846.4560000000001</c:v>
                </c:pt>
                <c:pt idx="806">
                  <c:v>7846.4560000000001</c:v>
                </c:pt>
                <c:pt idx="807">
                  <c:v>7846.4560000000001</c:v>
                </c:pt>
                <c:pt idx="808">
                  <c:v>7846.4560000000001</c:v>
                </c:pt>
                <c:pt idx="809">
                  <c:v>7846.4560000000001</c:v>
                </c:pt>
                <c:pt idx="810">
                  <c:v>7846.4560000000001</c:v>
                </c:pt>
                <c:pt idx="811">
                  <c:v>7846.4560000000001</c:v>
                </c:pt>
                <c:pt idx="812">
                  <c:v>7846.4560000000001</c:v>
                </c:pt>
                <c:pt idx="813">
                  <c:v>7846.4560000000001</c:v>
                </c:pt>
                <c:pt idx="814">
                  <c:v>4000</c:v>
                </c:pt>
                <c:pt idx="815">
                  <c:v>4000</c:v>
                </c:pt>
                <c:pt idx="816">
                  <c:v>2000</c:v>
                </c:pt>
                <c:pt idx="817">
                  <c:v>0</c:v>
                </c:pt>
                <c:pt idx="818">
                  <c:v>2780</c:v>
                </c:pt>
                <c:pt idx="819">
                  <c:v>2780</c:v>
                </c:pt>
                <c:pt idx="820">
                  <c:v>2000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4000</c:v>
                </c:pt>
                <c:pt idx="837">
                  <c:v>2000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6015.6</c:v>
                </c:pt>
                <c:pt idx="919">
                  <c:v>34698.654000000002</c:v>
                </c:pt>
                <c:pt idx="920">
                  <c:v>55884.902000000002</c:v>
                </c:pt>
                <c:pt idx="921">
                  <c:v>54481.637000000002</c:v>
                </c:pt>
                <c:pt idx="922">
                  <c:v>65424.642</c:v>
                </c:pt>
                <c:pt idx="923">
                  <c:v>10915.512000000001</c:v>
                </c:pt>
                <c:pt idx="924">
                  <c:v>7923.8819999999996</c:v>
                </c:pt>
                <c:pt idx="925">
                  <c:v>2005.2</c:v>
                </c:pt>
                <c:pt idx="926">
                  <c:v>33547.800000000003</c:v>
                </c:pt>
                <c:pt idx="927">
                  <c:v>0</c:v>
                </c:pt>
                <c:pt idx="928">
                  <c:v>0</c:v>
                </c:pt>
                <c:pt idx="929">
                  <c:v>0</c:v>
                </c:pt>
                <c:pt idx="930">
                  <c:v>0</c:v>
                </c:pt>
                <c:pt idx="931">
                  <c:v>0</c:v>
                </c:pt>
                <c:pt idx="932">
                  <c:v>0</c:v>
                </c:pt>
                <c:pt idx="933">
                  <c:v>0</c:v>
                </c:pt>
                <c:pt idx="934">
                  <c:v>60.155999999999999</c:v>
                </c:pt>
                <c:pt idx="935">
                  <c:v>4291.1279999999997</c:v>
                </c:pt>
                <c:pt idx="936">
                  <c:v>2065.3560000000002</c:v>
                </c:pt>
                <c:pt idx="937">
                  <c:v>4451.5439999999999</c:v>
                </c:pt>
                <c:pt idx="938">
                  <c:v>6451.5439999999999</c:v>
                </c:pt>
                <c:pt idx="939">
                  <c:v>0</c:v>
                </c:pt>
                <c:pt idx="940">
                  <c:v>0</c:v>
                </c:pt>
                <c:pt idx="941">
                  <c:v>0</c:v>
                </c:pt>
                <c:pt idx="942">
                  <c:v>0</c:v>
                </c:pt>
                <c:pt idx="943">
                  <c:v>2005.2</c:v>
                </c:pt>
                <c:pt idx="944">
                  <c:v>2005.2</c:v>
                </c:pt>
                <c:pt idx="945">
                  <c:v>2005.2</c:v>
                </c:pt>
                <c:pt idx="946">
                  <c:v>0</c:v>
                </c:pt>
                <c:pt idx="947">
                  <c:v>0</c:v>
                </c:pt>
                <c:pt idx="948">
                  <c:v>0</c:v>
                </c:pt>
                <c:pt idx="949">
                  <c:v>0</c:v>
                </c:pt>
                <c:pt idx="950">
                  <c:v>2456.37</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1.4E-2</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numCache>
            </c:numRef>
          </c:val>
          <c:smooth val="0"/>
          <c:extLst>
            <c:ext xmlns:c16="http://schemas.microsoft.com/office/drawing/2014/chart" uri="{C3380CC4-5D6E-409C-BE32-E72D297353CC}">
              <c16:uniqueId val="{00000002-82DD-4A8C-ACC0-4C5B5F189F98}"/>
            </c:ext>
          </c:extLst>
        </c:ser>
        <c:dLbls>
          <c:showLegendKey val="0"/>
          <c:showVal val="0"/>
          <c:showCatName val="0"/>
          <c:showSerName val="0"/>
          <c:showPercent val="0"/>
          <c:showBubbleSize val="0"/>
        </c:dLbls>
        <c:marker val="1"/>
        <c:smooth val="0"/>
        <c:axId val="1106303408"/>
        <c:axId val="1106309392"/>
        <c:extLst>
          <c:ext xmlns:c15="http://schemas.microsoft.com/office/drawing/2012/chart" uri="{02D57815-91ED-43cb-92C2-25804820EDAC}">
            <c15:filteredLineSeries>
              <c15:ser>
                <c:idx val="2"/>
                <c:order val="2"/>
                <c:tx>
                  <c:strRef>
                    <c:extLst>
                      <c:ext uri="{02D57815-91ED-43cb-92C2-25804820EDAC}">
                        <c15:formulaRef>
                          <c15:sqref>PITTE!$O$1</c15:sqref>
                        </c15:formulaRef>
                      </c:ext>
                    </c:extLst>
                    <c:strCache>
                      <c:ptCount val="1"/>
                      <c:pt idx="0">
                        <c:v>Physical flow (SP-&gt;FR)</c:v>
                      </c:pt>
                    </c:strCache>
                  </c:strRef>
                </c:tx>
                <c:spPr>
                  <a:ln w="28575" cap="rnd">
                    <a:solidFill>
                      <a:srgbClr val="92D050"/>
                    </a:solidFill>
                    <a:round/>
                  </a:ln>
                  <a:effectLst/>
                </c:spPr>
                <c:marker>
                  <c:symbol val="none"/>
                </c:marker>
                <c:cat>
                  <c:numRef>
                    <c:extLst>
                      <c:ext uri="{02D57815-91ED-43cb-92C2-25804820EDAC}">
                        <c15:formulaRef>
                          <c15:sqref>PITTE!$A$2:$A$1098</c15:sqref>
                        </c15:formulaRef>
                      </c:ext>
                    </c:extLst>
                    <c:numCache>
                      <c:formatCode>m/d/yyyy</c:formatCode>
                      <c:ptCount val="1089"/>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42694</c:v>
                      </c:pt>
                      <c:pt idx="43">
                        <c:v>42695</c:v>
                      </c:pt>
                      <c:pt idx="44">
                        <c:v>42696</c:v>
                      </c:pt>
                      <c:pt idx="45">
                        <c:v>42697</c:v>
                      </c:pt>
                      <c:pt idx="46">
                        <c:v>42698</c:v>
                      </c:pt>
                      <c:pt idx="47">
                        <c:v>42699</c:v>
                      </c:pt>
                      <c:pt idx="48">
                        <c:v>42700</c:v>
                      </c:pt>
                      <c:pt idx="49">
                        <c:v>42701</c:v>
                      </c:pt>
                      <c:pt idx="50">
                        <c:v>42702</c:v>
                      </c:pt>
                      <c:pt idx="51">
                        <c:v>42703</c:v>
                      </c:pt>
                      <c:pt idx="52">
                        <c:v>42704</c:v>
                      </c:pt>
                      <c:pt idx="53">
                        <c:v>42705</c:v>
                      </c:pt>
                      <c:pt idx="54">
                        <c:v>42706</c:v>
                      </c:pt>
                      <c:pt idx="55">
                        <c:v>42707</c:v>
                      </c:pt>
                      <c:pt idx="56">
                        <c:v>42708</c:v>
                      </c:pt>
                      <c:pt idx="57">
                        <c:v>42709</c:v>
                      </c:pt>
                      <c:pt idx="58">
                        <c:v>42710</c:v>
                      </c:pt>
                      <c:pt idx="59">
                        <c:v>42711</c:v>
                      </c:pt>
                      <c:pt idx="60">
                        <c:v>42712</c:v>
                      </c:pt>
                      <c:pt idx="61">
                        <c:v>42713</c:v>
                      </c:pt>
                      <c:pt idx="62">
                        <c:v>42714</c:v>
                      </c:pt>
                      <c:pt idx="63">
                        <c:v>42715</c:v>
                      </c:pt>
                      <c:pt idx="64">
                        <c:v>42716</c:v>
                      </c:pt>
                      <c:pt idx="65">
                        <c:v>42717</c:v>
                      </c:pt>
                      <c:pt idx="66">
                        <c:v>42718</c:v>
                      </c:pt>
                      <c:pt idx="67">
                        <c:v>42719</c:v>
                      </c:pt>
                      <c:pt idx="68">
                        <c:v>42720</c:v>
                      </c:pt>
                      <c:pt idx="69">
                        <c:v>42721</c:v>
                      </c:pt>
                      <c:pt idx="70">
                        <c:v>42722</c:v>
                      </c:pt>
                      <c:pt idx="71">
                        <c:v>42723</c:v>
                      </c:pt>
                      <c:pt idx="72">
                        <c:v>42724</c:v>
                      </c:pt>
                      <c:pt idx="73">
                        <c:v>42725</c:v>
                      </c:pt>
                      <c:pt idx="74">
                        <c:v>42726</c:v>
                      </c:pt>
                      <c:pt idx="75">
                        <c:v>42727</c:v>
                      </c:pt>
                      <c:pt idx="76">
                        <c:v>42728</c:v>
                      </c:pt>
                      <c:pt idx="77">
                        <c:v>42729</c:v>
                      </c:pt>
                      <c:pt idx="78">
                        <c:v>42730</c:v>
                      </c:pt>
                      <c:pt idx="79">
                        <c:v>42731</c:v>
                      </c:pt>
                      <c:pt idx="80">
                        <c:v>42732</c:v>
                      </c:pt>
                      <c:pt idx="81">
                        <c:v>42733</c:v>
                      </c:pt>
                      <c:pt idx="82">
                        <c:v>42734</c:v>
                      </c:pt>
                      <c:pt idx="83">
                        <c:v>42735</c:v>
                      </c:pt>
                      <c:pt idx="84">
                        <c:v>42736</c:v>
                      </c:pt>
                      <c:pt idx="85">
                        <c:v>42737</c:v>
                      </c:pt>
                      <c:pt idx="86">
                        <c:v>42738</c:v>
                      </c:pt>
                      <c:pt idx="87">
                        <c:v>42739</c:v>
                      </c:pt>
                      <c:pt idx="88">
                        <c:v>42740</c:v>
                      </c:pt>
                      <c:pt idx="89">
                        <c:v>42741</c:v>
                      </c:pt>
                      <c:pt idx="90">
                        <c:v>42742</c:v>
                      </c:pt>
                      <c:pt idx="91">
                        <c:v>42743</c:v>
                      </c:pt>
                      <c:pt idx="92">
                        <c:v>42744</c:v>
                      </c:pt>
                      <c:pt idx="93">
                        <c:v>42745</c:v>
                      </c:pt>
                      <c:pt idx="94">
                        <c:v>42746</c:v>
                      </c:pt>
                      <c:pt idx="95">
                        <c:v>42747</c:v>
                      </c:pt>
                      <c:pt idx="96">
                        <c:v>42748</c:v>
                      </c:pt>
                      <c:pt idx="97">
                        <c:v>42749</c:v>
                      </c:pt>
                      <c:pt idx="98">
                        <c:v>42750</c:v>
                      </c:pt>
                      <c:pt idx="99">
                        <c:v>42751</c:v>
                      </c:pt>
                      <c:pt idx="100">
                        <c:v>42752</c:v>
                      </c:pt>
                      <c:pt idx="101">
                        <c:v>42753</c:v>
                      </c:pt>
                      <c:pt idx="102">
                        <c:v>42754</c:v>
                      </c:pt>
                      <c:pt idx="103">
                        <c:v>42755</c:v>
                      </c:pt>
                      <c:pt idx="104">
                        <c:v>42756</c:v>
                      </c:pt>
                      <c:pt idx="105">
                        <c:v>42757</c:v>
                      </c:pt>
                      <c:pt idx="106">
                        <c:v>42758</c:v>
                      </c:pt>
                      <c:pt idx="107">
                        <c:v>42759</c:v>
                      </c:pt>
                      <c:pt idx="108">
                        <c:v>42760</c:v>
                      </c:pt>
                      <c:pt idx="109">
                        <c:v>42761</c:v>
                      </c:pt>
                      <c:pt idx="110">
                        <c:v>42762</c:v>
                      </c:pt>
                      <c:pt idx="111">
                        <c:v>42763</c:v>
                      </c:pt>
                      <c:pt idx="112">
                        <c:v>42764</c:v>
                      </c:pt>
                      <c:pt idx="113">
                        <c:v>42765</c:v>
                      </c:pt>
                      <c:pt idx="114">
                        <c:v>42766</c:v>
                      </c:pt>
                      <c:pt idx="115">
                        <c:v>42767</c:v>
                      </c:pt>
                      <c:pt idx="116">
                        <c:v>42768</c:v>
                      </c:pt>
                      <c:pt idx="117">
                        <c:v>42769</c:v>
                      </c:pt>
                      <c:pt idx="118">
                        <c:v>42770</c:v>
                      </c:pt>
                      <c:pt idx="119">
                        <c:v>42771</c:v>
                      </c:pt>
                      <c:pt idx="120">
                        <c:v>42772</c:v>
                      </c:pt>
                      <c:pt idx="121">
                        <c:v>42773</c:v>
                      </c:pt>
                      <c:pt idx="122">
                        <c:v>42774</c:v>
                      </c:pt>
                      <c:pt idx="123">
                        <c:v>42775</c:v>
                      </c:pt>
                      <c:pt idx="124">
                        <c:v>42776</c:v>
                      </c:pt>
                      <c:pt idx="125">
                        <c:v>42777</c:v>
                      </c:pt>
                      <c:pt idx="126">
                        <c:v>42778</c:v>
                      </c:pt>
                      <c:pt idx="127">
                        <c:v>42779</c:v>
                      </c:pt>
                      <c:pt idx="128">
                        <c:v>42780</c:v>
                      </c:pt>
                      <c:pt idx="129">
                        <c:v>42781</c:v>
                      </c:pt>
                      <c:pt idx="130">
                        <c:v>42782</c:v>
                      </c:pt>
                      <c:pt idx="131">
                        <c:v>42783</c:v>
                      </c:pt>
                      <c:pt idx="132">
                        <c:v>42784</c:v>
                      </c:pt>
                      <c:pt idx="133">
                        <c:v>42785</c:v>
                      </c:pt>
                      <c:pt idx="134">
                        <c:v>42786</c:v>
                      </c:pt>
                      <c:pt idx="135">
                        <c:v>42787</c:v>
                      </c:pt>
                      <c:pt idx="136">
                        <c:v>42788</c:v>
                      </c:pt>
                      <c:pt idx="137">
                        <c:v>42789</c:v>
                      </c:pt>
                      <c:pt idx="138">
                        <c:v>42790</c:v>
                      </c:pt>
                      <c:pt idx="139">
                        <c:v>42791</c:v>
                      </c:pt>
                      <c:pt idx="140">
                        <c:v>42792</c:v>
                      </c:pt>
                      <c:pt idx="141">
                        <c:v>42793</c:v>
                      </c:pt>
                      <c:pt idx="142">
                        <c:v>42794</c:v>
                      </c:pt>
                      <c:pt idx="143">
                        <c:v>42795</c:v>
                      </c:pt>
                      <c:pt idx="144">
                        <c:v>42796</c:v>
                      </c:pt>
                      <c:pt idx="145">
                        <c:v>42797</c:v>
                      </c:pt>
                      <c:pt idx="146">
                        <c:v>42798</c:v>
                      </c:pt>
                      <c:pt idx="147">
                        <c:v>42799</c:v>
                      </c:pt>
                      <c:pt idx="148">
                        <c:v>42800</c:v>
                      </c:pt>
                      <c:pt idx="149">
                        <c:v>42801</c:v>
                      </c:pt>
                      <c:pt idx="150">
                        <c:v>42802</c:v>
                      </c:pt>
                      <c:pt idx="151">
                        <c:v>42803</c:v>
                      </c:pt>
                      <c:pt idx="152">
                        <c:v>42804</c:v>
                      </c:pt>
                      <c:pt idx="153">
                        <c:v>42805</c:v>
                      </c:pt>
                      <c:pt idx="154">
                        <c:v>42806</c:v>
                      </c:pt>
                      <c:pt idx="155">
                        <c:v>42807</c:v>
                      </c:pt>
                      <c:pt idx="156">
                        <c:v>42808</c:v>
                      </c:pt>
                      <c:pt idx="157">
                        <c:v>42809</c:v>
                      </c:pt>
                      <c:pt idx="158">
                        <c:v>42810</c:v>
                      </c:pt>
                      <c:pt idx="159">
                        <c:v>42811</c:v>
                      </c:pt>
                      <c:pt idx="160">
                        <c:v>42812</c:v>
                      </c:pt>
                      <c:pt idx="161">
                        <c:v>42813</c:v>
                      </c:pt>
                      <c:pt idx="162">
                        <c:v>42814</c:v>
                      </c:pt>
                      <c:pt idx="163">
                        <c:v>42815</c:v>
                      </c:pt>
                      <c:pt idx="164">
                        <c:v>42816</c:v>
                      </c:pt>
                      <c:pt idx="165">
                        <c:v>42817</c:v>
                      </c:pt>
                      <c:pt idx="166">
                        <c:v>42818</c:v>
                      </c:pt>
                      <c:pt idx="167">
                        <c:v>42819</c:v>
                      </c:pt>
                      <c:pt idx="168">
                        <c:v>42820</c:v>
                      </c:pt>
                      <c:pt idx="169">
                        <c:v>42821</c:v>
                      </c:pt>
                      <c:pt idx="170">
                        <c:v>42822</c:v>
                      </c:pt>
                      <c:pt idx="171">
                        <c:v>42823</c:v>
                      </c:pt>
                      <c:pt idx="172">
                        <c:v>42824</c:v>
                      </c:pt>
                      <c:pt idx="173">
                        <c:v>42825</c:v>
                      </c:pt>
                      <c:pt idx="174">
                        <c:v>42826</c:v>
                      </c:pt>
                      <c:pt idx="175">
                        <c:v>42827</c:v>
                      </c:pt>
                      <c:pt idx="176">
                        <c:v>42828</c:v>
                      </c:pt>
                      <c:pt idx="177">
                        <c:v>42829</c:v>
                      </c:pt>
                      <c:pt idx="178">
                        <c:v>42830</c:v>
                      </c:pt>
                      <c:pt idx="179">
                        <c:v>42831</c:v>
                      </c:pt>
                      <c:pt idx="180">
                        <c:v>42832</c:v>
                      </c:pt>
                      <c:pt idx="181">
                        <c:v>42833</c:v>
                      </c:pt>
                      <c:pt idx="182">
                        <c:v>42834</c:v>
                      </c:pt>
                      <c:pt idx="183">
                        <c:v>42835</c:v>
                      </c:pt>
                      <c:pt idx="184">
                        <c:v>42836</c:v>
                      </c:pt>
                      <c:pt idx="185">
                        <c:v>42837</c:v>
                      </c:pt>
                      <c:pt idx="186">
                        <c:v>42838</c:v>
                      </c:pt>
                      <c:pt idx="187">
                        <c:v>42839</c:v>
                      </c:pt>
                      <c:pt idx="188">
                        <c:v>42840</c:v>
                      </c:pt>
                      <c:pt idx="189">
                        <c:v>42841</c:v>
                      </c:pt>
                      <c:pt idx="190">
                        <c:v>42842</c:v>
                      </c:pt>
                      <c:pt idx="191">
                        <c:v>42843</c:v>
                      </c:pt>
                      <c:pt idx="192">
                        <c:v>42844</c:v>
                      </c:pt>
                      <c:pt idx="193">
                        <c:v>42845</c:v>
                      </c:pt>
                      <c:pt idx="194">
                        <c:v>42846</c:v>
                      </c:pt>
                      <c:pt idx="195">
                        <c:v>42847</c:v>
                      </c:pt>
                      <c:pt idx="196">
                        <c:v>42848</c:v>
                      </c:pt>
                      <c:pt idx="197">
                        <c:v>42849</c:v>
                      </c:pt>
                      <c:pt idx="198">
                        <c:v>42850</c:v>
                      </c:pt>
                      <c:pt idx="199">
                        <c:v>42851</c:v>
                      </c:pt>
                      <c:pt idx="200">
                        <c:v>42852</c:v>
                      </c:pt>
                      <c:pt idx="201">
                        <c:v>42853</c:v>
                      </c:pt>
                      <c:pt idx="202">
                        <c:v>42854</c:v>
                      </c:pt>
                      <c:pt idx="203">
                        <c:v>42855</c:v>
                      </c:pt>
                      <c:pt idx="204">
                        <c:v>42856</c:v>
                      </c:pt>
                      <c:pt idx="205">
                        <c:v>42857</c:v>
                      </c:pt>
                      <c:pt idx="206">
                        <c:v>42858</c:v>
                      </c:pt>
                      <c:pt idx="207">
                        <c:v>42859</c:v>
                      </c:pt>
                      <c:pt idx="208">
                        <c:v>42860</c:v>
                      </c:pt>
                      <c:pt idx="209">
                        <c:v>42861</c:v>
                      </c:pt>
                      <c:pt idx="210">
                        <c:v>42862</c:v>
                      </c:pt>
                      <c:pt idx="211">
                        <c:v>42863</c:v>
                      </c:pt>
                      <c:pt idx="212">
                        <c:v>42864</c:v>
                      </c:pt>
                      <c:pt idx="213">
                        <c:v>42865</c:v>
                      </c:pt>
                      <c:pt idx="214">
                        <c:v>42866</c:v>
                      </c:pt>
                      <c:pt idx="215">
                        <c:v>42867</c:v>
                      </c:pt>
                      <c:pt idx="216">
                        <c:v>42868</c:v>
                      </c:pt>
                      <c:pt idx="217">
                        <c:v>42869</c:v>
                      </c:pt>
                      <c:pt idx="218">
                        <c:v>42870</c:v>
                      </c:pt>
                      <c:pt idx="219">
                        <c:v>42871</c:v>
                      </c:pt>
                      <c:pt idx="220">
                        <c:v>42872</c:v>
                      </c:pt>
                      <c:pt idx="221">
                        <c:v>42873</c:v>
                      </c:pt>
                      <c:pt idx="222">
                        <c:v>42874</c:v>
                      </c:pt>
                      <c:pt idx="223">
                        <c:v>42875</c:v>
                      </c:pt>
                      <c:pt idx="224">
                        <c:v>42876</c:v>
                      </c:pt>
                      <c:pt idx="225">
                        <c:v>42877</c:v>
                      </c:pt>
                      <c:pt idx="226">
                        <c:v>42878</c:v>
                      </c:pt>
                      <c:pt idx="227">
                        <c:v>42879</c:v>
                      </c:pt>
                      <c:pt idx="228">
                        <c:v>42880</c:v>
                      </c:pt>
                      <c:pt idx="229">
                        <c:v>42881</c:v>
                      </c:pt>
                      <c:pt idx="230">
                        <c:v>42882</c:v>
                      </c:pt>
                      <c:pt idx="231">
                        <c:v>42883</c:v>
                      </c:pt>
                      <c:pt idx="232">
                        <c:v>42884</c:v>
                      </c:pt>
                      <c:pt idx="233">
                        <c:v>42885</c:v>
                      </c:pt>
                      <c:pt idx="234">
                        <c:v>42886</c:v>
                      </c:pt>
                      <c:pt idx="235">
                        <c:v>42887</c:v>
                      </c:pt>
                      <c:pt idx="236">
                        <c:v>42888</c:v>
                      </c:pt>
                      <c:pt idx="237">
                        <c:v>42889</c:v>
                      </c:pt>
                      <c:pt idx="238">
                        <c:v>42890</c:v>
                      </c:pt>
                      <c:pt idx="239">
                        <c:v>42891</c:v>
                      </c:pt>
                      <c:pt idx="240">
                        <c:v>42892</c:v>
                      </c:pt>
                      <c:pt idx="241">
                        <c:v>42893</c:v>
                      </c:pt>
                      <c:pt idx="242">
                        <c:v>42894</c:v>
                      </c:pt>
                      <c:pt idx="243">
                        <c:v>42895</c:v>
                      </c:pt>
                      <c:pt idx="244">
                        <c:v>42896</c:v>
                      </c:pt>
                      <c:pt idx="245">
                        <c:v>42897</c:v>
                      </c:pt>
                      <c:pt idx="246">
                        <c:v>42898</c:v>
                      </c:pt>
                      <c:pt idx="247">
                        <c:v>42899</c:v>
                      </c:pt>
                      <c:pt idx="248">
                        <c:v>42900</c:v>
                      </c:pt>
                      <c:pt idx="249">
                        <c:v>42901</c:v>
                      </c:pt>
                      <c:pt idx="250">
                        <c:v>42902</c:v>
                      </c:pt>
                      <c:pt idx="251">
                        <c:v>42903</c:v>
                      </c:pt>
                      <c:pt idx="252">
                        <c:v>42904</c:v>
                      </c:pt>
                      <c:pt idx="253">
                        <c:v>42905</c:v>
                      </c:pt>
                      <c:pt idx="254">
                        <c:v>42906</c:v>
                      </c:pt>
                      <c:pt idx="255">
                        <c:v>42907</c:v>
                      </c:pt>
                      <c:pt idx="256">
                        <c:v>42908</c:v>
                      </c:pt>
                      <c:pt idx="257">
                        <c:v>42909</c:v>
                      </c:pt>
                      <c:pt idx="258">
                        <c:v>42910</c:v>
                      </c:pt>
                      <c:pt idx="259">
                        <c:v>42911</c:v>
                      </c:pt>
                      <c:pt idx="260">
                        <c:v>42912</c:v>
                      </c:pt>
                      <c:pt idx="261">
                        <c:v>42913</c:v>
                      </c:pt>
                      <c:pt idx="262">
                        <c:v>42914</c:v>
                      </c:pt>
                      <c:pt idx="263">
                        <c:v>42915</c:v>
                      </c:pt>
                      <c:pt idx="264">
                        <c:v>42916</c:v>
                      </c:pt>
                      <c:pt idx="265">
                        <c:v>42917</c:v>
                      </c:pt>
                      <c:pt idx="266">
                        <c:v>42918</c:v>
                      </c:pt>
                      <c:pt idx="267">
                        <c:v>42919</c:v>
                      </c:pt>
                      <c:pt idx="268">
                        <c:v>42920</c:v>
                      </c:pt>
                      <c:pt idx="269">
                        <c:v>42921</c:v>
                      </c:pt>
                      <c:pt idx="270">
                        <c:v>42922</c:v>
                      </c:pt>
                      <c:pt idx="271">
                        <c:v>42923</c:v>
                      </c:pt>
                      <c:pt idx="272">
                        <c:v>42924</c:v>
                      </c:pt>
                      <c:pt idx="273">
                        <c:v>42925</c:v>
                      </c:pt>
                      <c:pt idx="274">
                        <c:v>42926</c:v>
                      </c:pt>
                      <c:pt idx="275">
                        <c:v>42927</c:v>
                      </c:pt>
                      <c:pt idx="276">
                        <c:v>42928</c:v>
                      </c:pt>
                      <c:pt idx="277">
                        <c:v>42929</c:v>
                      </c:pt>
                      <c:pt idx="278">
                        <c:v>42930</c:v>
                      </c:pt>
                      <c:pt idx="279">
                        <c:v>42931</c:v>
                      </c:pt>
                      <c:pt idx="280">
                        <c:v>42932</c:v>
                      </c:pt>
                      <c:pt idx="281">
                        <c:v>42933</c:v>
                      </c:pt>
                      <c:pt idx="282">
                        <c:v>42934</c:v>
                      </c:pt>
                      <c:pt idx="283">
                        <c:v>42935</c:v>
                      </c:pt>
                      <c:pt idx="284">
                        <c:v>42936</c:v>
                      </c:pt>
                      <c:pt idx="285">
                        <c:v>42937</c:v>
                      </c:pt>
                      <c:pt idx="286">
                        <c:v>42938</c:v>
                      </c:pt>
                      <c:pt idx="287">
                        <c:v>42939</c:v>
                      </c:pt>
                      <c:pt idx="288">
                        <c:v>42940</c:v>
                      </c:pt>
                      <c:pt idx="289">
                        <c:v>42941</c:v>
                      </c:pt>
                      <c:pt idx="290">
                        <c:v>42942</c:v>
                      </c:pt>
                      <c:pt idx="291">
                        <c:v>42943</c:v>
                      </c:pt>
                      <c:pt idx="292">
                        <c:v>42944</c:v>
                      </c:pt>
                      <c:pt idx="293">
                        <c:v>42945</c:v>
                      </c:pt>
                      <c:pt idx="294">
                        <c:v>42946</c:v>
                      </c:pt>
                      <c:pt idx="295">
                        <c:v>42947</c:v>
                      </c:pt>
                      <c:pt idx="296">
                        <c:v>42948</c:v>
                      </c:pt>
                      <c:pt idx="297">
                        <c:v>42949</c:v>
                      </c:pt>
                      <c:pt idx="298">
                        <c:v>42950</c:v>
                      </c:pt>
                      <c:pt idx="299">
                        <c:v>42951</c:v>
                      </c:pt>
                      <c:pt idx="300">
                        <c:v>42952</c:v>
                      </c:pt>
                      <c:pt idx="301">
                        <c:v>42953</c:v>
                      </c:pt>
                      <c:pt idx="302">
                        <c:v>42954</c:v>
                      </c:pt>
                      <c:pt idx="303">
                        <c:v>42955</c:v>
                      </c:pt>
                      <c:pt idx="304">
                        <c:v>42956</c:v>
                      </c:pt>
                      <c:pt idx="305">
                        <c:v>42957</c:v>
                      </c:pt>
                      <c:pt idx="306">
                        <c:v>42958</c:v>
                      </c:pt>
                      <c:pt idx="307">
                        <c:v>42959</c:v>
                      </c:pt>
                      <c:pt idx="308">
                        <c:v>42960</c:v>
                      </c:pt>
                      <c:pt idx="309">
                        <c:v>42961</c:v>
                      </c:pt>
                      <c:pt idx="310">
                        <c:v>42962</c:v>
                      </c:pt>
                      <c:pt idx="311">
                        <c:v>42963</c:v>
                      </c:pt>
                      <c:pt idx="312">
                        <c:v>42964</c:v>
                      </c:pt>
                      <c:pt idx="313">
                        <c:v>42965</c:v>
                      </c:pt>
                      <c:pt idx="314">
                        <c:v>42966</c:v>
                      </c:pt>
                      <c:pt idx="315">
                        <c:v>42967</c:v>
                      </c:pt>
                      <c:pt idx="316">
                        <c:v>42968</c:v>
                      </c:pt>
                      <c:pt idx="317">
                        <c:v>42969</c:v>
                      </c:pt>
                      <c:pt idx="318">
                        <c:v>42970</c:v>
                      </c:pt>
                      <c:pt idx="319">
                        <c:v>42971</c:v>
                      </c:pt>
                      <c:pt idx="320">
                        <c:v>42972</c:v>
                      </c:pt>
                      <c:pt idx="321">
                        <c:v>42973</c:v>
                      </c:pt>
                      <c:pt idx="322">
                        <c:v>42974</c:v>
                      </c:pt>
                      <c:pt idx="323">
                        <c:v>42975</c:v>
                      </c:pt>
                      <c:pt idx="324">
                        <c:v>42976</c:v>
                      </c:pt>
                      <c:pt idx="325">
                        <c:v>42977</c:v>
                      </c:pt>
                      <c:pt idx="326">
                        <c:v>42978</c:v>
                      </c:pt>
                      <c:pt idx="327">
                        <c:v>42979</c:v>
                      </c:pt>
                      <c:pt idx="328">
                        <c:v>42980</c:v>
                      </c:pt>
                      <c:pt idx="329">
                        <c:v>42981</c:v>
                      </c:pt>
                      <c:pt idx="330">
                        <c:v>42982</c:v>
                      </c:pt>
                      <c:pt idx="331">
                        <c:v>42983</c:v>
                      </c:pt>
                      <c:pt idx="332">
                        <c:v>42984</c:v>
                      </c:pt>
                      <c:pt idx="333">
                        <c:v>42985</c:v>
                      </c:pt>
                      <c:pt idx="334">
                        <c:v>42986</c:v>
                      </c:pt>
                      <c:pt idx="335">
                        <c:v>42987</c:v>
                      </c:pt>
                      <c:pt idx="336">
                        <c:v>42988</c:v>
                      </c:pt>
                      <c:pt idx="337">
                        <c:v>42989</c:v>
                      </c:pt>
                      <c:pt idx="338">
                        <c:v>42990</c:v>
                      </c:pt>
                      <c:pt idx="339">
                        <c:v>42991</c:v>
                      </c:pt>
                      <c:pt idx="340">
                        <c:v>42992</c:v>
                      </c:pt>
                      <c:pt idx="341">
                        <c:v>42993</c:v>
                      </c:pt>
                      <c:pt idx="342">
                        <c:v>42994</c:v>
                      </c:pt>
                      <c:pt idx="343">
                        <c:v>42995</c:v>
                      </c:pt>
                      <c:pt idx="344">
                        <c:v>42996</c:v>
                      </c:pt>
                      <c:pt idx="345">
                        <c:v>42997</c:v>
                      </c:pt>
                      <c:pt idx="346">
                        <c:v>42998</c:v>
                      </c:pt>
                      <c:pt idx="347">
                        <c:v>42999</c:v>
                      </c:pt>
                      <c:pt idx="348">
                        <c:v>43000</c:v>
                      </c:pt>
                      <c:pt idx="349">
                        <c:v>43001</c:v>
                      </c:pt>
                      <c:pt idx="350">
                        <c:v>43002</c:v>
                      </c:pt>
                      <c:pt idx="351">
                        <c:v>43003</c:v>
                      </c:pt>
                      <c:pt idx="352">
                        <c:v>43004</c:v>
                      </c:pt>
                      <c:pt idx="353">
                        <c:v>43005</c:v>
                      </c:pt>
                      <c:pt idx="354">
                        <c:v>43006</c:v>
                      </c:pt>
                      <c:pt idx="355">
                        <c:v>43007</c:v>
                      </c:pt>
                      <c:pt idx="356">
                        <c:v>43008</c:v>
                      </c:pt>
                      <c:pt idx="357">
                        <c:v>43009</c:v>
                      </c:pt>
                      <c:pt idx="358">
                        <c:v>43010</c:v>
                      </c:pt>
                      <c:pt idx="359">
                        <c:v>43011</c:v>
                      </c:pt>
                      <c:pt idx="360">
                        <c:v>43012</c:v>
                      </c:pt>
                      <c:pt idx="361">
                        <c:v>43013</c:v>
                      </c:pt>
                      <c:pt idx="362">
                        <c:v>43014</c:v>
                      </c:pt>
                      <c:pt idx="363">
                        <c:v>43015</c:v>
                      </c:pt>
                      <c:pt idx="364">
                        <c:v>43016</c:v>
                      </c:pt>
                      <c:pt idx="365">
                        <c:v>43017</c:v>
                      </c:pt>
                      <c:pt idx="366">
                        <c:v>43018</c:v>
                      </c:pt>
                      <c:pt idx="367">
                        <c:v>43019</c:v>
                      </c:pt>
                      <c:pt idx="368">
                        <c:v>43020</c:v>
                      </c:pt>
                      <c:pt idx="369">
                        <c:v>43021</c:v>
                      </c:pt>
                      <c:pt idx="370">
                        <c:v>43022</c:v>
                      </c:pt>
                      <c:pt idx="371">
                        <c:v>43023</c:v>
                      </c:pt>
                      <c:pt idx="372">
                        <c:v>43024</c:v>
                      </c:pt>
                      <c:pt idx="373">
                        <c:v>43025</c:v>
                      </c:pt>
                      <c:pt idx="374">
                        <c:v>43026</c:v>
                      </c:pt>
                      <c:pt idx="375">
                        <c:v>43027</c:v>
                      </c:pt>
                      <c:pt idx="376">
                        <c:v>43028</c:v>
                      </c:pt>
                      <c:pt idx="377">
                        <c:v>43029</c:v>
                      </c:pt>
                      <c:pt idx="378">
                        <c:v>43030</c:v>
                      </c:pt>
                      <c:pt idx="379">
                        <c:v>43031</c:v>
                      </c:pt>
                      <c:pt idx="380">
                        <c:v>43032</c:v>
                      </c:pt>
                      <c:pt idx="381">
                        <c:v>43033</c:v>
                      </c:pt>
                      <c:pt idx="382">
                        <c:v>43034</c:v>
                      </c:pt>
                      <c:pt idx="383">
                        <c:v>43035</c:v>
                      </c:pt>
                      <c:pt idx="384">
                        <c:v>43036</c:v>
                      </c:pt>
                      <c:pt idx="385">
                        <c:v>43037</c:v>
                      </c:pt>
                      <c:pt idx="386">
                        <c:v>43038</c:v>
                      </c:pt>
                      <c:pt idx="387">
                        <c:v>43039</c:v>
                      </c:pt>
                      <c:pt idx="388">
                        <c:v>43040</c:v>
                      </c:pt>
                      <c:pt idx="389">
                        <c:v>43041</c:v>
                      </c:pt>
                      <c:pt idx="390">
                        <c:v>43042</c:v>
                      </c:pt>
                      <c:pt idx="391">
                        <c:v>43043</c:v>
                      </c:pt>
                      <c:pt idx="392">
                        <c:v>43044</c:v>
                      </c:pt>
                      <c:pt idx="393">
                        <c:v>43045</c:v>
                      </c:pt>
                      <c:pt idx="394">
                        <c:v>43046</c:v>
                      </c:pt>
                      <c:pt idx="395">
                        <c:v>43047</c:v>
                      </c:pt>
                      <c:pt idx="396">
                        <c:v>43048</c:v>
                      </c:pt>
                      <c:pt idx="397">
                        <c:v>43049</c:v>
                      </c:pt>
                      <c:pt idx="398">
                        <c:v>43050</c:v>
                      </c:pt>
                      <c:pt idx="399">
                        <c:v>43051</c:v>
                      </c:pt>
                      <c:pt idx="400">
                        <c:v>43052</c:v>
                      </c:pt>
                      <c:pt idx="401">
                        <c:v>43053</c:v>
                      </c:pt>
                      <c:pt idx="402">
                        <c:v>43054</c:v>
                      </c:pt>
                      <c:pt idx="403">
                        <c:v>43055</c:v>
                      </c:pt>
                      <c:pt idx="404">
                        <c:v>43056</c:v>
                      </c:pt>
                      <c:pt idx="405">
                        <c:v>43057</c:v>
                      </c:pt>
                      <c:pt idx="406">
                        <c:v>43058</c:v>
                      </c:pt>
                      <c:pt idx="407">
                        <c:v>43059</c:v>
                      </c:pt>
                      <c:pt idx="408">
                        <c:v>43060</c:v>
                      </c:pt>
                      <c:pt idx="409">
                        <c:v>43061</c:v>
                      </c:pt>
                      <c:pt idx="410">
                        <c:v>43062</c:v>
                      </c:pt>
                      <c:pt idx="411">
                        <c:v>43063</c:v>
                      </c:pt>
                      <c:pt idx="412">
                        <c:v>43064</c:v>
                      </c:pt>
                      <c:pt idx="413">
                        <c:v>43065</c:v>
                      </c:pt>
                      <c:pt idx="414">
                        <c:v>43066</c:v>
                      </c:pt>
                      <c:pt idx="415">
                        <c:v>43067</c:v>
                      </c:pt>
                      <c:pt idx="416">
                        <c:v>43068</c:v>
                      </c:pt>
                      <c:pt idx="417">
                        <c:v>43069</c:v>
                      </c:pt>
                      <c:pt idx="418">
                        <c:v>43070</c:v>
                      </c:pt>
                      <c:pt idx="419">
                        <c:v>43071</c:v>
                      </c:pt>
                      <c:pt idx="420">
                        <c:v>43072</c:v>
                      </c:pt>
                      <c:pt idx="421">
                        <c:v>43073</c:v>
                      </c:pt>
                      <c:pt idx="422">
                        <c:v>43074</c:v>
                      </c:pt>
                      <c:pt idx="423">
                        <c:v>43075</c:v>
                      </c:pt>
                      <c:pt idx="424">
                        <c:v>43076</c:v>
                      </c:pt>
                      <c:pt idx="425">
                        <c:v>43077</c:v>
                      </c:pt>
                      <c:pt idx="426">
                        <c:v>43078</c:v>
                      </c:pt>
                      <c:pt idx="427">
                        <c:v>43079</c:v>
                      </c:pt>
                      <c:pt idx="428">
                        <c:v>43080</c:v>
                      </c:pt>
                      <c:pt idx="429">
                        <c:v>43081</c:v>
                      </c:pt>
                      <c:pt idx="430">
                        <c:v>43082</c:v>
                      </c:pt>
                      <c:pt idx="431">
                        <c:v>43083</c:v>
                      </c:pt>
                      <c:pt idx="432">
                        <c:v>43084</c:v>
                      </c:pt>
                      <c:pt idx="433">
                        <c:v>43085</c:v>
                      </c:pt>
                      <c:pt idx="434">
                        <c:v>43086</c:v>
                      </c:pt>
                      <c:pt idx="435">
                        <c:v>43087</c:v>
                      </c:pt>
                      <c:pt idx="436">
                        <c:v>43088</c:v>
                      </c:pt>
                      <c:pt idx="437">
                        <c:v>43089</c:v>
                      </c:pt>
                      <c:pt idx="438">
                        <c:v>43090</c:v>
                      </c:pt>
                      <c:pt idx="439">
                        <c:v>43091</c:v>
                      </c:pt>
                      <c:pt idx="440">
                        <c:v>43092</c:v>
                      </c:pt>
                      <c:pt idx="441">
                        <c:v>43093</c:v>
                      </c:pt>
                      <c:pt idx="442">
                        <c:v>43094</c:v>
                      </c:pt>
                      <c:pt idx="443">
                        <c:v>43095</c:v>
                      </c:pt>
                      <c:pt idx="444">
                        <c:v>43096</c:v>
                      </c:pt>
                      <c:pt idx="445">
                        <c:v>43097</c:v>
                      </c:pt>
                      <c:pt idx="446">
                        <c:v>43098</c:v>
                      </c:pt>
                      <c:pt idx="447">
                        <c:v>43099</c:v>
                      </c:pt>
                      <c:pt idx="448">
                        <c:v>43100</c:v>
                      </c:pt>
                      <c:pt idx="449">
                        <c:v>43101</c:v>
                      </c:pt>
                      <c:pt idx="450">
                        <c:v>43102</c:v>
                      </c:pt>
                      <c:pt idx="451">
                        <c:v>43103</c:v>
                      </c:pt>
                      <c:pt idx="452">
                        <c:v>43104</c:v>
                      </c:pt>
                      <c:pt idx="453">
                        <c:v>43105</c:v>
                      </c:pt>
                      <c:pt idx="454">
                        <c:v>43106</c:v>
                      </c:pt>
                      <c:pt idx="455">
                        <c:v>43107</c:v>
                      </c:pt>
                      <c:pt idx="456">
                        <c:v>43108</c:v>
                      </c:pt>
                      <c:pt idx="457">
                        <c:v>43109</c:v>
                      </c:pt>
                      <c:pt idx="458">
                        <c:v>43110</c:v>
                      </c:pt>
                      <c:pt idx="459">
                        <c:v>43111</c:v>
                      </c:pt>
                      <c:pt idx="460">
                        <c:v>43112</c:v>
                      </c:pt>
                      <c:pt idx="461">
                        <c:v>43113</c:v>
                      </c:pt>
                      <c:pt idx="462">
                        <c:v>43114</c:v>
                      </c:pt>
                      <c:pt idx="463">
                        <c:v>43115</c:v>
                      </c:pt>
                      <c:pt idx="464">
                        <c:v>43116</c:v>
                      </c:pt>
                      <c:pt idx="465">
                        <c:v>43117</c:v>
                      </c:pt>
                      <c:pt idx="466">
                        <c:v>43118</c:v>
                      </c:pt>
                      <c:pt idx="467">
                        <c:v>43119</c:v>
                      </c:pt>
                      <c:pt idx="468">
                        <c:v>43120</c:v>
                      </c:pt>
                      <c:pt idx="469">
                        <c:v>43121</c:v>
                      </c:pt>
                      <c:pt idx="470">
                        <c:v>43122</c:v>
                      </c:pt>
                      <c:pt idx="471">
                        <c:v>43123</c:v>
                      </c:pt>
                      <c:pt idx="472">
                        <c:v>43124</c:v>
                      </c:pt>
                      <c:pt idx="473">
                        <c:v>43125</c:v>
                      </c:pt>
                      <c:pt idx="474">
                        <c:v>43126</c:v>
                      </c:pt>
                      <c:pt idx="475">
                        <c:v>43127</c:v>
                      </c:pt>
                      <c:pt idx="476">
                        <c:v>43128</c:v>
                      </c:pt>
                      <c:pt idx="477">
                        <c:v>43129</c:v>
                      </c:pt>
                      <c:pt idx="478">
                        <c:v>43130</c:v>
                      </c:pt>
                      <c:pt idx="479">
                        <c:v>43131</c:v>
                      </c:pt>
                      <c:pt idx="480">
                        <c:v>43132</c:v>
                      </c:pt>
                      <c:pt idx="481">
                        <c:v>43133</c:v>
                      </c:pt>
                      <c:pt idx="482">
                        <c:v>43134</c:v>
                      </c:pt>
                      <c:pt idx="483">
                        <c:v>43135</c:v>
                      </c:pt>
                      <c:pt idx="484">
                        <c:v>43136</c:v>
                      </c:pt>
                      <c:pt idx="485">
                        <c:v>43137</c:v>
                      </c:pt>
                      <c:pt idx="486">
                        <c:v>43138</c:v>
                      </c:pt>
                      <c:pt idx="487">
                        <c:v>43139</c:v>
                      </c:pt>
                      <c:pt idx="488">
                        <c:v>43140</c:v>
                      </c:pt>
                      <c:pt idx="489">
                        <c:v>43141</c:v>
                      </c:pt>
                      <c:pt idx="490">
                        <c:v>43142</c:v>
                      </c:pt>
                      <c:pt idx="491">
                        <c:v>43143</c:v>
                      </c:pt>
                      <c:pt idx="492">
                        <c:v>43144</c:v>
                      </c:pt>
                      <c:pt idx="493">
                        <c:v>43145</c:v>
                      </c:pt>
                      <c:pt idx="494">
                        <c:v>43146</c:v>
                      </c:pt>
                      <c:pt idx="495">
                        <c:v>43147</c:v>
                      </c:pt>
                      <c:pt idx="496">
                        <c:v>43148</c:v>
                      </c:pt>
                      <c:pt idx="497">
                        <c:v>43149</c:v>
                      </c:pt>
                      <c:pt idx="498">
                        <c:v>43150</c:v>
                      </c:pt>
                      <c:pt idx="499">
                        <c:v>43151</c:v>
                      </c:pt>
                      <c:pt idx="500">
                        <c:v>43152</c:v>
                      </c:pt>
                      <c:pt idx="501">
                        <c:v>43153</c:v>
                      </c:pt>
                      <c:pt idx="502">
                        <c:v>43154</c:v>
                      </c:pt>
                      <c:pt idx="503">
                        <c:v>43155</c:v>
                      </c:pt>
                      <c:pt idx="504">
                        <c:v>43156</c:v>
                      </c:pt>
                      <c:pt idx="505">
                        <c:v>43157</c:v>
                      </c:pt>
                      <c:pt idx="506">
                        <c:v>43158</c:v>
                      </c:pt>
                      <c:pt idx="507">
                        <c:v>43159</c:v>
                      </c:pt>
                      <c:pt idx="508">
                        <c:v>43160</c:v>
                      </c:pt>
                      <c:pt idx="509">
                        <c:v>43161</c:v>
                      </c:pt>
                      <c:pt idx="510">
                        <c:v>43162</c:v>
                      </c:pt>
                      <c:pt idx="511">
                        <c:v>43163</c:v>
                      </c:pt>
                      <c:pt idx="512">
                        <c:v>43164</c:v>
                      </c:pt>
                      <c:pt idx="513">
                        <c:v>43165</c:v>
                      </c:pt>
                      <c:pt idx="514">
                        <c:v>43166</c:v>
                      </c:pt>
                      <c:pt idx="515">
                        <c:v>43167</c:v>
                      </c:pt>
                      <c:pt idx="516">
                        <c:v>43168</c:v>
                      </c:pt>
                      <c:pt idx="517">
                        <c:v>43169</c:v>
                      </c:pt>
                      <c:pt idx="518">
                        <c:v>43170</c:v>
                      </c:pt>
                      <c:pt idx="519">
                        <c:v>43171</c:v>
                      </c:pt>
                      <c:pt idx="520">
                        <c:v>43172</c:v>
                      </c:pt>
                      <c:pt idx="521">
                        <c:v>43173</c:v>
                      </c:pt>
                      <c:pt idx="522">
                        <c:v>43174</c:v>
                      </c:pt>
                      <c:pt idx="523">
                        <c:v>43175</c:v>
                      </c:pt>
                      <c:pt idx="524">
                        <c:v>43176</c:v>
                      </c:pt>
                      <c:pt idx="525">
                        <c:v>43177</c:v>
                      </c:pt>
                      <c:pt idx="526">
                        <c:v>43178</c:v>
                      </c:pt>
                      <c:pt idx="527">
                        <c:v>43179</c:v>
                      </c:pt>
                      <c:pt idx="528">
                        <c:v>43180</c:v>
                      </c:pt>
                      <c:pt idx="529">
                        <c:v>43181</c:v>
                      </c:pt>
                      <c:pt idx="530">
                        <c:v>43182</c:v>
                      </c:pt>
                      <c:pt idx="531">
                        <c:v>43183</c:v>
                      </c:pt>
                      <c:pt idx="532">
                        <c:v>43184</c:v>
                      </c:pt>
                      <c:pt idx="533">
                        <c:v>43185</c:v>
                      </c:pt>
                      <c:pt idx="534">
                        <c:v>43186</c:v>
                      </c:pt>
                      <c:pt idx="535">
                        <c:v>43187</c:v>
                      </c:pt>
                      <c:pt idx="536">
                        <c:v>43188</c:v>
                      </c:pt>
                      <c:pt idx="537">
                        <c:v>43189</c:v>
                      </c:pt>
                      <c:pt idx="538">
                        <c:v>43190</c:v>
                      </c:pt>
                      <c:pt idx="539">
                        <c:v>43191</c:v>
                      </c:pt>
                      <c:pt idx="540">
                        <c:v>43192</c:v>
                      </c:pt>
                      <c:pt idx="541">
                        <c:v>43193</c:v>
                      </c:pt>
                      <c:pt idx="542">
                        <c:v>43194</c:v>
                      </c:pt>
                      <c:pt idx="543">
                        <c:v>43195</c:v>
                      </c:pt>
                      <c:pt idx="544">
                        <c:v>43196</c:v>
                      </c:pt>
                      <c:pt idx="545">
                        <c:v>43197</c:v>
                      </c:pt>
                      <c:pt idx="546">
                        <c:v>43198</c:v>
                      </c:pt>
                      <c:pt idx="547">
                        <c:v>43199</c:v>
                      </c:pt>
                      <c:pt idx="548">
                        <c:v>43200</c:v>
                      </c:pt>
                      <c:pt idx="549">
                        <c:v>43201</c:v>
                      </c:pt>
                      <c:pt idx="550">
                        <c:v>43202</c:v>
                      </c:pt>
                      <c:pt idx="551">
                        <c:v>43203</c:v>
                      </c:pt>
                      <c:pt idx="552">
                        <c:v>43204</c:v>
                      </c:pt>
                      <c:pt idx="553">
                        <c:v>43205</c:v>
                      </c:pt>
                      <c:pt idx="554">
                        <c:v>43206</c:v>
                      </c:pt>
                      <c:pt idx="555">
                        <c:v>43207</c:v>
                      </c:pt>
                      <c:pt idx="556">
                        <c:v>43208</c:v>
                      </c:pt>
                      <c:pt idx="557">
                        <c:v>43209</c:v>
                      </c:pt>
                      <c:pt idx="558">
                        <c:v>43210</c:v>
                      </c:pt>
                      <c:pt idx="559">
                        <c:v>43211</c:v>
                      </c:pt>
                      <c:pt idx="560">
                        <c:v>43212</c:v>
                      </c:pt>
                      <c:pt idx="561">
                        <c:v>43213</c:v>
                      </c:pt>
                      <c:pt idx="562">
                        <c:v>43214</c:v>
                      </c:pt>
                      <c:pt idx="563">
                        <c:v>43215</c:v>
                      </c:pt>
                      <c:pt idx="564">
                        <c:v>43216</c:v>
                      </c:pt>
                      <c:pt idx="565">
                        <c:v>43217</c:v>
                      </c:pt>
                      <c:pt idx="566">
                        <c:v>43218</c:v>
                      </c:pt>
                      <c:pt idx="567">
                        <c:v>43219</c:v>
                      </c:pt>
                      <c:pt idx="568">
                        <c:v>43220</c:v>
                      </c:pt>
                      <c:pt idx="569">
                        <c:v>43221</c:v>
                      </c:pt>
                      <c:pt idx="570">
                        <c:v>43222</c:v>
                      </c:pt>
                      <c:pt idx="571">
                        <c:v>43223</c:v>
                      </c:pt>
                      <c:pt idx="572">
                        <c:v>43224</c:v>
                      </c:pt>
                      <c:pt idx="573">
                        <c:v>43225</c:v>
                      </c:pt>
                      <c:pt idx="574">
                        <c:v>43226</c:v>
                      </c:pt>
                      <c:pt idx="575">
                        <c:v>43227</c:v>
                      </c:pt>
                      <c:pt idx="576">
                        <c:v>43228</c:v>
                      </c:pt>
                      <c:pt idx="577">
                        <c:v>43229</c:v>
                      </c:pt>
                      <c:pt idx="578">
                        <c:v>43230</c:v>
                      </c:pt>
                      <c:pt idx="579">
                        <c:v>43231</c:v>
                      </c:pt>
                      <c:pt idx="580">
                        <c:v>43232</c:v>
                      </c:pt>
                      <c:pt idx="581">
                        <c:v>43233</c:v>
                      </c:pt>
                      <c:pt idx="582">
                        <c:v>43234</c:v>
                      </c:pt>
                      <c:pt idx="583">
                        <c:v>43235</c:v>
                      </c:pt>
                      <c:pt idx="584">
                        <c:v>43236</c:v>
                      </c:pt>
                      <c:pt idx="585">
                        <c:v>43237</c:v>
                      </c:pt>
                      <c:pt idx="586">
                        <c:v>43238</c:v>
                      </c:pt>
                      <c:pt idx="587">
                        <c:v>43239</c:v>
                      </c:pt>
                      <c:pt idx="588">
                        <c:v>43240</c:v>
                      </c:pt>
                      <c:pt idx="589">
                        <c:v>43241</c:v>
                      </c:pt>
                      <c:pt idx="590">
                        <c:v>43242</c:v>
                      </c:pt>
                      <c:pt idx="591">
                        <c:v>43243</c:v>
                      </c:pt>
                      <c:pt idx="592">
                        <c:v>43244</c:v>
                      </c:pt>
                      <c:pt idx="593">
                        <c:v>43245</c:v>
                      </c:pt>
                      <c:pt idx="594">
                        <c:v>43246</c:v>
                      </c:pt>
                      <c:pt idx="595">
                        <c:v>43247</c:v>
                      </c:pt>
                      <c:pt idx="596">
                        <c:v>43248</c:v>
                      </c:pt>
                      <c:pt idx="597">
                        <c:v>43249</c:v>
                      </c:pt>
                      <c:pt idx="598">
                        <c:v>43250</c:v>
                      </c:pt>
                      <c:pt idx="599">
                        <c:v>43251</c:v>
                      </c:pt>
                      <c:pt idx="600">
                        <c:v>43252</c:v>
                      </c:pt>
                      <c:pt idx="601">
                        <c:v>43253</c:v>
                      </c:pt>
                      <c:pt idx="602">
                        <c:v>43254</c:v>
                      </c:pt>
                      <c:pt idx="603">
                        <c:v>43255</c:v>
                      </c:pt>
                      <c:pt idx="604">
                        <c:v>43256</c:v>
                      </c:pt>
                      <c:pt idx="605">
                        <c:v>43257</c:v>
                      </c:pt>
                      <c:pt idx="606">
                        <c:v>43258</c:v>
                      </c:pt>
                      <c:pt idx="607">
                        <c:v>43259</c:v>
                      </c:pt>
                      <c:pt idx="608">
                        <c:v>43260</c:v>
                      </c:pt>
                      <c:pt idx="609">
                        <c:v>43261</c:v>
                      </c:pt>
                      <c:pt idx="610">
                        <c:v>43262</c:v>
                      </c:pt>
                      <c:pt idx="611">
                        <c:v>43263</c:v>
                      </c:pt>
                      <c:pt idx="612">
                        <c:v>43264</c:v>
                      </c:pt>
                      <c:pt idx="613">
                        <c:v>43265</c:v>
                      </c:pt>
                      <c:pt idx="614">
                        <c:v>43266</c:v>
                      </c:pt>
                      <c:pt idx="615">
                        <c:v>43267</c:v>
                      </c:pt>
                      <c:pt idx="616">
                        <c:v>43268</c:v>
                      </c:pt>
                      <c:pt idx="617">
                        <c:v>43269</c:v>
                      </c:pt>
                      <c:pt idx="618">
                        <c:v>43270</c:v>
                      </c:pt>
                      <c:pt idx="619">
                        <c:v>43271</c:v>
                      </c:pt>
                      <c:pt idx="620">
                        <c:v>43272</c:v>
                      </c:pt>
                      <c:pt idx="621">
                        <c:v>43273</c:v>
                      </c:pt>
                      <c:pt idx="622">
                        <c:v>43274</c:v>
                      </c:pt>
                      <c:pt idx="623">
                        <c:v>43275</c:v>
                      </c:pt>
                      <c:pt idx="624">
                        <c:v>43276</c:v>
                      </c:pt>
                      <c:pt idx="625">
                        <c:v>43277</c:v>
                      </c:pt>
                      <c:pt idx="626">
                        <c:v>43278</c:v>
                      </c:pt>
                      <c:pt idx="627">
                        <c:v>43279</c:v>
                      </c:pt>
                      <c:pt idx="628">
                        <c:v>43280</c:v>
                      </c:pt>
                      <c:pt idx="629">
                        <c:v>43281</c:v>
                      </c:pt>
                      <c:pt idx="630">
                        <c:v>43282</c:v>
                      </c:pt>
                      <c:pt idx="631">
                        <c:v>43283</c:v>
                      </c:pt>
                      <c:pt idx="632">
                        <c:v>43284</c:v>
                      </c:pt>
                      <c:pt idx="633">
                        <c:v>43285</c:v>
                      </c:pt>
                      <c:pt idx="634">
                        <c:v>43286</c:v>
                      </c:pt>
                      <c:pt idx="635">
                        <c:v>43287</c:v>
                      </c:pt>
                      <c:pt idx="636">
                        <c:v>43288</c:v>
                      </c:pt>
                      <c:pt idx="637">
                        <c:v>43289</c:v>
                      </c:pt>
                      <c:pt idx="638">
                        <c:v>43290</c:v>
                      </c:pt>
                      <c:pt idx="639">
                        <c:v>43291</c:v>
                      </c:pt>
                      <c:pt idx="640">
                        <c:v>43292</c:v>
                      </c:pt>
                      <c:pt idx="641">
                        <c:v>43293</c:v>
                      </c:pt>
                      <c:pt idx="642">
                        <c:v>43294</c:v>
                      </c:pt>
                      <c:pt idx="643">
                        <c:v>43295</c:v>
                      </c:pt>
                      <c:pt idx="644">
                        <c:v>43296</c:v>
                      </c:pt>
                      <c:pt idx="645">
                        <c:v>43297</c:v>
                      </c:pt>
                      <c:pt idx="646">
                        <c:v>43298</c:v>
                      </c:pt>
                      <c:pt idx="647">
                        <c:v>43299</c:v>
                      </c:pt>
                      <c:pt idx="648">
                        <c:v>43300</c:v>
                      </c:pt>
                      <c:pt idx="649">
                        <c:v>43301</c:v>
                      </c:pt>
                      <c:pt idx="650">
                        <c:v>43302</c:v>
                      </c:pt>
                      <c:pt idx="651">
                        <c:v>43303</c:v>
                      </c:pt>
                      <c:pt idx="652">
                        <c:v>43304</c:v>
                      </c:pt>
                      <c:pt idx="653">
                        <c:v>43305</c:v>
                      </c:pt>
                      <c:pt idx="654">
                        <c:v>43306</c:v>
                      </c:pt>
                      <c:pt idx="655">
                        <c:v>43307</c:v>
                      </c:pt>
                      <c:pt idx="656">
                        <c:v>43308</c:v>
                      </c:pt>
                      <c:pt idx="657">
                        <c:v>43309</c:v>
                      </c:pt>
                      <c:pt idx="658">
                        <c:v>43310</c:v>
                      </c:pt>
                      <c:pt idx="659">
                        <c:v>43311</c:v>
                      </c:pt>
                      <c:pt idx="660">
                        <c:v>43312</c:v>
                      </c:pt>
                      <c:pt idx="661">
                        <c:v>43313</c:v>
                      </c:pt>
                      <c:pt idx="662">
                        <c:v>43314</c:v>
                      </c:pt>
                      <c:pt idx="663">
                        <c:v>43315</c:v>
                      </c:pt>
                      <c:pt idx="664">
                        <c:v>43316</c:v>
                      </c:pt>
                      <c:pt idx="665">
                        <c:v>43317</c:v>
                      </c:pt>
                      <c:pt idx="666">
                        <c:v>43318</c:v>
                      </c:pt>
                      <c:pt idx="667">
                        <c:v>43319</c:v>
                      </c:pt>
                      <c:pt idx="668">
                        <c:v>43320</c:v>
                      </c:pt>
                      <c:pt idx="669">
                        <c:v>43321</c:v>
                      </c:pt>
                      <c:pt idx="670">
                        <c:v>43322</c:v>
                      </c:pt>
                      <c:pt idx="671">
                        <c:v>43323</c:v>
                      </c:pt>
                      <c:pt idx="672">
                        <c:v>43324</c:v>
                      </c:pt>
                      <c:pt idx="673">
                        <c:v>43325</c:v>
                      </c:pt>
                      <c:pt idx="674">
                        <c:v>43326</c:v>
                      </c:pt>
                      <c:pt idx="675">
                        <c:v>43327</c:v>
                      </c:pt>
                      <c:pt idx="676">
                        <c:v>43328</c:v>
                      </c:pt>
                      <c:pt idx="677">
                        <c:v>43329</c:v>
                      </c:pt>
                      <c:pt idx="678">
                        <c:v>43330</c:v>
                      </c:pt>
                      <c:pt idx="679">
                        <c:v>43331</c:v>
                      </c:pt>
                      <c:pt idx="680">
                        <c:v>43332</c:v>
                      </c:pt>
                      <c:pt idx="681">
                        <c:v>43333</c:v>
                      </c:pt>
                      <c:pt idx="682">
                        <c:v>43334</c:v>
                      </c:pt>
                      <c:pt idx="683">
                        <c:v>43335</c:v>
                      </c:pt>
                      <c:pt idx="684">
                        <c:v>43336</c:v>
                      </c:pt>
                      <c:pt idx="685">
                        <c:v>43337</c:v>
                      </c:pt>
                      <c:pt idx="686">
                        <c:v>43338</c:v>
                      </c:pt>
                      <c:pt idx="687">
                        <c:v>43339</c:v>
                      </c:pt>
                      <c:pt idx="688">
                        <c:v>43340</c:v>
                      </c:pt>
                      <c:pt idx="689">
                        <c:v>43341</c:v>
                      </c:pt>
                      <c:pt idx="690">
                        <c:v>43342</c:v>
                      </c:pt>
                      <c:pt idx="691">
                        <c:v>43343</c:v>
                      </c:pt>
                      <c:pt idx="692">
                        <c:v>43344</c:v>
                      </c:pt>
                      <c:pt idx="693">
                        <c:v>43345</c:v>
                      </c:pt>
                      <c:pt idx="694">
                        <c:v>43346</c:v>
                      </c:pt>
                      <c:pt idx="695">
                        <c:v>43347</c:v>
                      </c:pt>
                      <c:pt idx="696">
                        <c:v>43348</c:v>
                      </c:pt>
                      <c:pt idx="697">
                        <c:v>43349</c:v>
                      </c:pt>
                      <c:pt idx="698">
                        <c:v>43350</c:v>
                      </c:pt>
                      <c:pt idx="699">
                        <c:v>43351</c:v>
                      </c:pt>
                      <c:pt idx="700">
                        <c:v>43352</c:v>
                      </c:pt>
                      <c:pt idx="701">
                        <c:v>43353</c:v>
                      </c:pt>
                      <c:pt idx="702">
                        <c:v>43354</c:v>
                      </c:pt>
                      <c:pt idx="703">
                        <c:v>43355</c:v>
                      </c:pt>
                      <c:pt idx="704">
                        <c:v>43356</c:v>
                      </c:pt>
                      <c:pt idx="705">
                        <c:v>43357</c:v>
                      </c:pt>
                      <c:pt idx="706">
                        <c:v>43358</c:v>
                      </c:pt>
                      <c:pt idx="707">
                        <c:v>43359</c:v>
                      </c:pt>
                      <c:pt idx="708">
                        <c:v>43360</c:v>
                      </c:pt>
                      <c:pt idx="709">
                        <c:v>43361</c:v>
                      </c:pt>
                      <c:pt idx="710">
                        <c:v>43362</c:v>
                      </c:pt>
                      <c:pt idx="711">
                        <c:v>43363</c:v>
                      </c:pt>
                      <c:pt idx="712">
                        <c:v>43364</c:v>
                      </c:pt>
                      <c:pt idx="713">
                        <c:v>43365</c:v>
                      </c:pt>
                      <c:pt idx="714">
                        <c:v>43366</c:v>
                      </c:pt>
                      <c:pt idx="715">
                        <c:v>43367</c:v>
                      </c:pt>
                      <c:pt idx="716">
                        <c:v>43368</c:v>
                      </c:pt>
                      <c:pt idx="717">
                        <c:v>43369</c:v>
                      </c:pt>
                      <c:pt idx="718">
                        <c:v>43370</c:v>
                      </c:pt>
                      <c:pt idx="719">
                        <c:v>43371</c:v>
                      </c:pt>
                      <c:pt idx="720">
                        <c:v>43372</c:v>
                      </c:pt>
                      <c:pt idx="721">
                        <c:v>43373</c:v>
                      </c:pt>
                      <c:pt idx="722">
                        <c:v>43374</c:v>
                      </c:pt>
                      <c:pt idx="723">
                        <c:v>43375</c:v>
                      </c:pt>
                      <c:pt idx="724">
                        <c:v>43376</c:v>
                      </c:pt>
                      <c:pt idx="725">
                        <c:v>43377</c:v>
                      </c:pt>
                      <c:pt idx="726">
                        <c:v>43378</c:v>
                      </c:pt>
                      <c:pt idx="727">
                        <c:v>43379</c:v>
                      </c:pt>
                      <c:pt idx="728">
                        <c:v>43380</c:v>
                      </c:pt>
                      <c:pt idx="729">
                        <c:v>43381</c:v>
                      </c:pt>
                      <c:pt idx="730">
                        <c:v>43382</c:v>
                      </c:pt>
                      <c:pt idx="731">
                        <c:v>43383</c:v>
                      </c:pt>
                      <c:pt idx="732">
                        <c:v>43384</c:v>
                      </c:pt>
                      <c:pt idx="733">
                        <c:v>43385</c:v>
                      </c:pt>
                      <c:pt idx="734">
                        <c:v>43386</c:v>
                      </c:pt>
                      <c:pt idx="735">
                        <c:v>43387</c:v>
                      </c:pt>
                      <c:pt idx="736">
                        <c:v>43388</c:v>
                      </c:pt>
                      <c:pt idx="737">
                        <c:v>43389</c:v>
                      </c:pt>
                      <c:pt idx="738">
                        <c:v>43390</c:v>
                      </c:pt>
                      <c:pt idx="739">
                        <c:v>43391</c:v>
                      </c:pt>
                      <c:pt idx="740">
                        <c:v>43392</c:v>
                      </c:pt>
                      <c:pt idx="741">
                        <c:v>43393</c:v>
                      </c:pt>
                      <c:pt idx="742">
                        <c:v>43394</c:v>
                      </c:pt>
                      <c:pt idx="743">
                        <c:v>43395</c:v>
                      </c:pt>
                      <c:pt idx="744">
                        <c:v>43396</c:v>
                      </c:pt>
                      <c:pt idx="745">
                        <c:v>43397</c:v>
                      </c:pt>
                      <c:pt idx="746">
                        <c:v>43398</c:v>
                      </c:pt>
                      <c:pt idx="747">
                        <c:v>43399</c:v>
                      </c:pt>
                      <c:pt idx="748">
                        <c:v>43400</c:v>
                      </c:pt>
                      <c:pt idx="749">
                        <c:v>43401</c:v>
                      </c:pt>
                      <c:pt idx="750">
                        <c:v>43402</c:v>
                      </c:pt>
                      <c:pt idx="751">
                        <c:v>43403</c:v>
                      </c:pt>
                      <c:pt idx="752">
                        <c:v>43404</c:v>
                      </c:pt>
                      <c:pt idx="753">
                        <c:v>43405</c:v>
                      </c:pt>
                      <c:pt idx="754">
                        <c:v>43406</c:v>
                      </c:pt>
                      <c:pt idx="755">
                        <c:v>43407</c:v>
                      </c:pt>
                      <c:pt idx="756">
                        <c:v>43408</c:v>
                      </c:pt>
                      <c:pt idx="757">
                        <c:v>43409</c:v>
                      </c:pt>
                      <c:pt idx="758">
                        <c:v>43410</c:v>
                      </c:pt>
                      <c:pt idx="759">
                        <c:v>43411</c:v>
                      </c:pt>
                      <c:pt idx="760">
                        <c:v>43412</c:v>
                      </c:pt>
                      <c:pt idx="761">
                        <c:v>43413</c:v>
                      </c:pt>
                      <c:pt idx="762">
                        <c:v>43414</c:v>
                      </c:pt>
                      <c:pt idx="763">
                        <c:v>43415</c:v>
                      </c:pt>
                      <c:pt idx="764">
                        <c:v>43416</c:v>
                      </c:pt>
                      <c:pt idx="765">
                        <c:v>43417</c:v>
                      </c:pt>
                      <c:pt idx="766">
                        <c:v>43418</c:v>
                      </c:pt>
                      <c:pt idx="767">
                        <c:v>43419</c:v>
                      </c:pt>
                      <c:pt idx="768">
                        <c:v>43420</c:v>
                      </c:pt>
                      <c:pt idx="769">
                        <c:v>43421</c:v>
                      </c:pt>
                      <c:pt idx="770">
                        <c:v>43422</c:v>
                      </c:pt>
                      <c:pt idx="771">
                        <c:v>43423</c:v>
                      </c:pt>
                      <c:pt idx="772">
                        <c:v>43424</c:v>
                      </c:pt>
                      <c:pt idx="773">
                        <c:v>43425</c:v>
                      </c:pt>
                      <c:pt idx="774">
                        <c:v>43426</c:v>
                      </c:pt>
                      <c:pt idx="775">
                        <c:v>43427</c:v>
                      </c:pt>
                      <c:pt idx="776">
                        <c:v>43428</c:v>
                      </c:pt>
                      <c:pt idx="777">
                        <c:v>43429</c:v>
                      </c:pt>
                      <c:pt idx="778">
                        <c:v>43430</c:v>
                      </c:pt>
                      <c:pt idx="779">
                        <c:v>43431</c:v>
                      </c:pt>
                      <c:pt idx="780">
                        <c:v>43432</c:v>
                      </c:pt>
                      <c:pt idx="781">
                        <c:v>43433</c:v>
                      </c:pt>
                      <c:pt idx="782">
                        <c:v>43434</c:v>
                      </c:pt>
                      <c:pt idx="783">
                        <c:v>43435</c:v>
                      </c:pt>
                      <c:pt idx="784">
                        <c:v>43436</c:v>
                      </c:pt>
                      <c:pt idx="785">
                        <c:v>43437</c:v>
                      </c:pt>
                      <c:pt idx="786">
                        <c:v>43438</c:v>
                      </c:pt>
                      <c:pt idx="787">
                        <c:v>43439</c:v>
                      </c:pt>
                      <c:pt idx="788">
                        <c:v>43440</c:v>
                      </c:pt>
                      <c:pt idx="789">
                        <c:v>43441</c:v>
                      </c:pt>
                      <c:pt idx="790">
                        <c:v>43442</c:v>
                      </c:pt>
                      <c:pt idx="791">
                        <c:v>43443</c:v>
                      </c:pt>
                      <c:pt idx="792">
                        <c:v>43444</c:v>
                      </c:pt>
                      <c:pt idx="793">
                        <c:v>43445</c:v>
                      </c:pt>
                      <c:pt idx="794">
                        <c:v>43446</c:v>
                      </c:pt>
                      <c:pt idx="795">
                        <c:v>43447</c:v>
                      </c:pt>
                      <c:pt idx="796">
                        <c:v>43448</c:v>
                      </c:pt>
                      <c:pt idx="797">
                        <c:v>43449</c:v>
                      </c:pt>
                      <c:pt idx="798">
                        <c:v>43450</c:v>
                      </c:pt>
                      <c:pt idx="799">
                        <c:v>43451</c:v>
                      </c:pt>
                      <c:pt idx="800">
                        <c:v>43452</c:v>
                      </c:pt>
                      <c:pt idx="801">
                        <c:v>43453</c:v>
                      </c:pt>
                      <c:pt idx="802">
                        <c:v>43454</c:v>
                      </c:pt>
                      <c:pt idx="803">
                        <c:v>43455</c:v>
                      </c:pt>
                      <c:pt idx="804">
                        <c:v>43456</c:v>
                      </c:pt>
                      <c:pt idx="805">
                        <c:v>43457</c:v>
                      </c:pt>
                      <c:pt idx="806">
                        <c:v>43458</c:v>
                      </c:pt>
                      <c:pt idx="807">
                        <c:v>43459</c:v>
                      </c:pt>
                      <c:pt idx="808">
                        <c:v>43460</c:v>
                      </c:pt>
                      <c:pt idx="809">
                        <c:v>43461</c:v>
                      </c:pt>
                      <c:pt idx="810">
                        <c:v>43462</c:v>
                      </c:pt>
                      <c:pt idx="811">
                        <c:v>43463</c:v>
                      </c:pt>
                      <c:pt idx="812">
                        <c:v>43464</c:v>
                      </c:pt>
                      <c:pt idx="813">
                        <c:v>43465</c:v>
                      </c:pt>
                      <c:pt idx="814">
                        <c:v>43466</c:v>
                      </c:pt>
                      <c:pt idx="815">
                        <c:v>43467</c:v>
                      </c:pt>
                      <c:pt idx="816">
                        <c:v>43468</c:v>
                      </c:pt>
                      <c:pt idx="817">
                        <c:v>43469</c:v>
                      </c:pt>
                      <c:pt idx="818">
                        <c:v>43470</c:v>
                      </c:pt>
                      <c:pt idx="819">
                        <c:v>43471</c:v>
                      </c:pt>
                      <c:pt idx="820">
                        <c:v>43472</c:v>
                      </c:pt>
                      <c:pt idx="821">
                        <c:v>43473</c:v>
                      </c:pt>
                      <c:pt idx="822">
                        <c:v>43474</c:v>
                      </c:pt>
                      <c:pt idx="823">
                        <c:v>43475</c:v>
                      </c:pt>
                      <c:pt idx="824">
                        <c:v>43476</c:v>
                      </c:pt>
                      <c:pt idx="825">
                        <c:v>43477</c:v>
                      </c:pt>
                      <c:pt idx="826">
                        <c:v>43478</c:v>
                      </c:pt>
                      <c:pt idx="827">
                        <c:v>43479</c:v>
                      </c:pt>
                      <c:pt idx="828">
                        <c:v>43480</c:v>
                      </c:pt>
                      <c:pt idx="829">
                        <c:v>43481</c:v>
                      </c:pt>
                      <c:pt idx="830">
                        <c:v>43482</c:v>
                      </c:pt>
                      <c:pt idx="831">
                        <c:v>43483</c:v>
                      </c:pt>
                      <c:pt idx="832">
                        <c:v>43484</c:v>
                      </c:pt>
                      <c:pt idx="833">
                        <c:v>43485</c:v>
                      </c:pt>
                      <c:pt idx="834">
                        <c:v>43486</c:v>
                      </c:pt>
                      <c:pt idx="835">
                        <c:v>43487</c:v>
                      </c:pt>
                      <c:pt idx="836">
                        <c:v>43488</c:v>
                      </c:pt>
                      <c:pt idx="837">
                        <c:v>43489</c:v>
                      </c:pt>
                      <c:pt idx="838">
                        <c:v>43490</c:v>
                      </c:pt>
                      <c:pt idx="839">
                        <c:v>43491</c:v>
                      </c:pt>
                      <c:pt idx="840">
                        <c:v>43492</c:v>
                      </c:pt>
                      <c:pt idx="841">
                        <c:v>43493</c:v>
                      </c:pt>
                      <c:pt idx="842">
                        <c:v>43494</c:v>
                      </c:pt>
                      <c:pt idx="843">
                        <c:v>43495</c:v>
                      </c:pt>
                      <c:pt idx="844">
                        <c:v>43496</c:v>
                      </c:pt>
                      <c:pt idx="845">
                        <c:v>43497</c:v>
                      </c:pt>
                      <c:pt idx="846">
                        <c:v>43498</c:v>
                      </c:pt>
                      <c:pt idx="847">
                        <c:v>43499</c:v>
                      </c:pt>
                      <c:pt idx="848">
                        <c:v>43500</c:v>
                      </c:pt>
                      <c:pt idx="849">
                        <c:v>43501</c:v>
                      </c:pt>
                      <c:pt idx="850">
                        <c:v>43502</c:v>
                      </c:pt>
                      <c:pt idx="851">
                        <c:v>43503</c:v>
                      </c:pt>
                      <c:pt idx="852">
                        <c:v>43504</c:v>
                      </c:pt>
                      <c:pt idx="853">
                        <c:v>43505</c:v>
                      </c:pt>
                      <c:pt idx="854">
                        <c:v>43506</c:v>
                      </c:pt>
                      <c:pt idx="855">
                        <c:v>43507</c:v>
                      </c:pt>
                      <c:pt idx="856">
                        <c:v>43508</c:v>
                      </c:pt>
                      <c:pt idx="857">
                        <c:v>43509</c:v>
                      </c:pt>
                      <c:pt idx="858">
                        <c:v>43510</c:v>
                      </c:pt>
                      <c:pt idx="859">
                        <c:v>43511</c:v>
                      </c:pt>
                      <c:pt idx="860">
                        <c:v>43512</c:v>
                      </c:pt>
                      <c:pt idx="861">
                        <c:v>43513</c:v>
                      </c:pt>
                      <c:pt idx="862">
                        <c:v>43514</c:v>
                      </c:pt>
                      <c:pt idx="863">
                        <c:v>43515</c:v>
                      </c:pt>
                      <c:pt idx="864">
                        <c:v>43516</c:v>
                      </c:pt>
                      <c:pt idx="865">
                        <c:v>43517</c:v>
                      </c:pt>
                      <c:pt idx="866">
                        <c:v>43518</c:v>
                      </c:pt>
                      <c:pt idx="867">
                        <c:v>43519</c:v>
                      </c:pt>
                      <c:pt idx="868">
                        <c:v>43520</c:v>
                      </c:pt>
                      <c:pt idx="869">
                        <c:v>43521</c:v>
                      </c:pt>
                      <c:pt idx="870">
                        <c:v>43522</c:v>
                      </c:pt>
                      <c:pt idx="871">
                        <c:v>43523</c:v>
                      </c:pt>
                      <c:pt idx="872">
                        <c:v>43524</c:v>
                      </c:pt>
                      <c:pt idx="873">
                        <c:v>43525</c:v>
                      </c:pt>
                      <c:pt idx="874">
                        <c:v>43526</c:v>
                      </c:pt>
                      <c:pt idx="875">
                        <c:v>43527</c:v>
                      </c:pt>
                      <c:pt idx="876">
                        <c:v>43528</c:v>
                      </c:pt>
                      <c:pt idx="877">
                        <c:v>43529</c:v>
                      </c:pt>
                      <c:pt idx="878">
                        <c:v>43530</c:v>
                      </c:pt>
                      <c:pt idx="879">
                        <c:v>43531</c:v>
                      </c:pt>
                      <c:pt idx="880">
                        <c:v>43532</c:v>
                      </c:pt>
                      <c:pt idx="881">
                        <c:v>43533</c:v>
                      </c:pt>
                      <c:pt idx="882">
                        <c:v>43534</c:v>
                      </c:pt>
                      <c:pt idx="883">
                        <c:v>43535</c:v>
                      </c:pt>
                      <c:pt idx="884">
                        <c:v>43536</c:v>
                      </c:pt>
                      <c:pt idx="885">
                        <c:v>43537</c:v>
                      </c:pt>
                      <c:pt idx="886">
                        <c:v>43538</c:v>
                      </c:pt>
                      <c:pt idx="887">
                        <c:v>43539</c:v>
                      </c:pt>
                      <c:pt idx="888">
                        <c:v>43540</c:v>
                      </c:pt>
                      <c:pt idx="889">
                        <c:v>43541</c:v>
                      </c:pt>
                      <c:pt idx="890">
                        <c:v>43542</c:v>
                      </c:pt>
                      <c:pt idx="891">
                        <c:v>43543</c:v>
                      </c:pt>
                      <c:pt idx="892">
                        <c:v>43544</c:v>
                      </c:pt>
                      <c:pt idx="893">
                        <c:v>43545</c:v>
                      </c:pt>
                      <c:pt idx="894">
                        <c:v>43546</c:v>
                      </c:pt>
                      <c:pt idx="895">
                        <c:v>43547</c:v>
                      </c:pt>
                      <c:pt idx="896">
                        <c:v>43548</c:v>
                      </c:pt>
                      <c:pt idx="897">
                        <c:v>43549</c:v>
                      </c:pt>
                      <c:pt idx="898">
                        <c:v>43550</c:v>
                      </c:pt>
                      <c:pt idx="899">
                        <c:v>43551</c:v>
                      </c:pt>
                      <c:pt idx="900">
                        <c:v>43552</c:v>
                      </c:pt>
                      <c:pt idx="901">
                        <c:v>43553</c:v>
                      </c:pt>
                      <c:pt idx="902">
                        <c:v>43554</c:v>
                      </c:pt>
                      <c:pt idx="903">
                        <c:v>43555</c:v>
                      </c:pt>
                      <c:pt idx="904">
                        <c:v>43556</c:v>
                      </c:pt>
                      <c:pt idx="905">
                        <c:v>43557</c:v>
                      </c:pt>
                      <c:pt idx="906">
                        <c:v>43558</c:v>
                      </c:pt>
                      <c:pt idx="907">
                        <c:v>43559</c:v>
                      </c:pt>
                      <c:pt idx="908">
                        <c:v>43560</c:v>
                      </c:pt>
                      <c:pt idx="909">
                        <c:v>43561</c:v>
                      </c:pt>
                      <c:pt idx="910">
                        <c:v>43562</c:v>
                      </c:pt>
                      <c:pt idx="911">
                        <c:v>43563</c:v>
                      </c:pt>
                      <c:pt idx="912">
                        <c:v>43564</c:v>
                      </c:pt>
                      <c:pt idx="913">
                        <c:v>43565</c:v>
                      </c:pt>
                      <c:pt idx="914">
                        <c:v>43566</c:v>
                      </c:pt>
                      <c:pt idx="915">
                        <c:v>43567</c:v>
                      </c:pt>
                      <c:pt idx="916">
                        <c:v>43568</c:v>
                      </c:pt>
                      <c:pt idx="917">
                        <c:v>43569</c:v>
                      </c:pt>
                      <c:pt idx="918">
                        <c:v>43570</c:v>
                      </c:pt>
                      <c:pt idx="919">
                        <c:v>43571</c:v>
                      </c:pt>
                      <c:pt idx="920">
                        <c:v>43572</c:v>
                      </c:pt>
                      <c:pt idx="921">
                        <c:v>43573</c:v>
                      </c:pt>
                      <c:pt idx="922">
                        <c:v>43574</c:v>
                      </c:pt>
                      <c:pt idx="923">
                        <c:v>43575</c:v>
                      </c:pt>
                      <c:pt idx="924">
                        <c:v>43576</c:v>
                      </c:pt>
                      <c:pt idx="925">
                        <c:v>43577</c:v>
                      </c:pt>
                      <c:pt idx="926">
                        <c:v>43578</c:v>
                      </c:pt>
                      <c:pt idx="927">
                        <c:v>43579</c:v>
                      </c:pt>
                      <c:pt idx="928">
                        <c:v>43580</c:v>
                      </c:pt>
                      <c:pt idx="929">
                        <c:v>43581</c:v>
                      </c:pt>
                      <c:pt idx="930">
                        <c:v>43582</c:v>
                      </c:pt>
                      <c:pt idx="931">
                        <c:v>43583</c:v>
                      </c:pt>
                      <c:pt idx="932">
                        <c:v>43584</c:v>
                      </c:pt>
                      <c:pt idx="933">
                        <c:v>43585</c:v>
                      </c:pt>
                      <c:pt idx="934">
                        <c:v>43586</c:v>
                      </c:pt>
                      <c:pt idx="935">
                        <c:v>43587</c:v>
                      </c:pt>
                      <c:pt idx="936">
                        <c:v>43588</c:v>
                      </c:pt>
                      <c:pt idx="937">
                        <c:v>43589</c:v>
                      </c:pt>
                      <c:pt idx="938">
                        <c:v>43590</c:v>
                      </c:pt>
                      <c:pt idx="939">
                        <c:v>43591</c:v>
                      </c:pt>
                      <c:pt idx="940">
                        <c:v>43592</c:v>
                      </c:pt>
                      <c:pt idx="941">
                        <c:v>43593</c:v>
                      </c:pt>
                      <c:pt idx="942">
                        <c:v>43594</c:v>
                      </c:pt>
                      <c:pt idx="943">
                        <c:v>43595</c:v>
                      </c:pt>
                      <c:pt idx="944">
                        <c:v>43596</c:v>
                      </c:pt>
                      <c:pt idx="945">
                        <c:v>43597</c:v>
                      </c:pt>
                      <c:pt idx="946">
                        <c:v>43598</c:v>
                      </c:pt>
                      <c:pt idx="947">
                        <c:v>43599</c:v>
                      </c:pt>
                      <c:pt idx="948">
                        <c:v>43600</c:v>
                      </c:pt>
                      <c:pt idx="949">
                        <c:v>43601</c:v>
                      </c:pt>
                      <c:pt idx="950">
                        <c:v>43602</c:v>
                      </c:pt>
                      <c:pt idx="951">
                        <c:v>43603</c:v>
                      </c:pt>
                      <c:pt idx="952">
                        <c:v>43604</c:v>
                      </c:pt>
                      <c:pt idx="953">
                        <c:v>43605</c:v>
                      </c:pt>
                      <c:pt idx="954">
                        <c:v>43606</c:v>
                      </c:pt>
                      <c:pt idx="955">
                        <c:v>43607</c:v>
                      </c:pt>
                      <c:pt idx="956">
                        <c:v>43608</c:v>
                      </c:pt>
                      <c:pt idx="957">
                        <c:v>43609</c:v>
                      </c:pt>
                      <c:pt idx="958">
                        <c:v>43610</c:v>
                      </c:pt>
                      <c:pt idx="959">
                        <c:v>43611</c:v>
                      </c:pt>
                      <c:pt idx="960">
                        <c:v>43612</c:v>
                      </c:pt>
                      <c:pt idx="961">
                        <c:v>43613</c:v>
                      </c:pt>
                      <c:pt idx="962">
                        <c:v>43614</c:v>
                      </c:pt>
                      <c:pt idx="963">
                        <c:v>43615</c:v>
                      </c:pt>
                      <c:pt idx="964">
                        <c:v>43616</c:v>
                      </c:pt>
                      <c:pt idx="965">
                        <c:v>43617</c:v>
                      </c:pt>
                      <c:pt idx="966">
                        <c:v>43618</c:v>
                      </c:pt>
                      <c:pt idx="967">
                        <c:v>43619</c:v>
                      </c:pt>
                      <c:pt idx="968">
                        <c:v>43620</c:v>
                      </c:pt>
                      <c:pt idx="969">
                        <c:v>43621</c:v>
                      </c:pt>
                      <c:pt idx="970">
                        <c:v>43622</c:v>
                      </c:pt>
                      <c:pt idx="971">
                        <c:v>43623</c:v>
                      </c:pt>
                      <c:pt idx="972">
                        <c:v>43624</c:v>
                      </c:pt>
                      <c:pt idx="973">
                        <c:v>43625</c:v>
                      </c:pt>
                      <c:pt idx="974">
                        <c:v>43626</c:v>
                      </c:pt>
                      <c:pt idx="975">
                        <c:v>43627</c:v>
                      </c:pt>
                      <c:pt idx="976">
                        <c:v>43628</c:v>
                      </c:pt>
                      <c:pt idx="977">
                        <c:v>43629</c:v>
                      </c:pt>
                      <c:pt idx="978">
                        <c:v>43630</c:v>
                      </c:pt>
                      <c:pt idx="979">
                        <c:v>43631</c:v>
                      </c:pt>
                      <c:pt idx="980">
                        <c:v>43632</c:v>
                      </c:pt>
                      <c:pt idx="981">
                        <c:v>43633</c:v>
                      </c:pt>
                      <c:pt idx="982">
                        <c:v>43634</c:v>
                      </c:pt>
                      <c:pt idx="983">
                        <c:v>43635</c:v>
                      </c:pt>
                      <c:pt idx="984">
                        <c:v>43636</c:v>
                      </c:pt>
                      <c:pt idx="985">
                        <c:v>43637</c:v>
                      </c:pt>
                      <c:pt idx="986">
                        <c:v>43638</c:v>
                      </c:pt>
                      <c:pt idx="987">
                        <c:v>43639</c:v>
                      </c:pt>
                      <c:pt idx="988">
                        <c:v>43640</c:v>
                      </c:pt>
                      <c:pt idx="989">
                        <c:v>43641</c:v>
                      </c:pt>
                      <c:pt idx="990">
                        <c:v>43642</c:v>
                      </c:pt>
                      <c:pt idx="991">
                        <c:v>43643</c:v>
                      </c:pt>
                      <c:pt idx="992">
                        <c:v>43644</c:v>
                      </c:pt>
                      <c:pt idx="993">
                        <c:v>43645</c:v>
                      </c:pt>
                      <c:pt idx="994">
                        <c:v>43646</c:v>
                      </c:pt>
                      <c:pt idx="995">
                        <c:v>43647</c:v>
                      </c:pt>
                      <c:pt idx="996">
                        <c:v>43648</c:v>
                      </c:pt>
                      <c:pt idx="997">
                        <c:v>43649</c:v>
                      </c:pt>
                      <c:pt idx="998">
                        <c:v>43650</c:v>
                      </c:pt>
                      <c:pt idx="999">
                        <c:v>43651</c:v>
                      </c:pt>
                      <c:pt idx="1000">
                        <c:v>43652</c:v>
                      </c:pt>
                      <c:pt idx="1001">
                        <c:v>43653</c:v>
                      </c:pt>
                      <c:pt idx="1002">
                        <c:v>43654</c:v>
                      </c:pt>
                      <c:pt idx="1003">
                        <c:v>43655</c:v>
                      </c:pt>
                      <c:pt idx="1004">
                        <c:v>43656</c:v>
                      </c:pt>
                      <c:pt idx="1005">
                        <c:v>43657</c:v>
                      </c:pt>
                      <c:pt idx="1006">
                        <c:v>43658</c:v>
                      </c:pt>
                      <c:pt idx="1007">
                        <c:v>43659</c:v>
                      </c:pt>
                      <c:pt idx="1008">
                        <c:v>43660</c:v>
                      </c:pt>
                      <c:pt idx="1009">
                        <c:v>43661</c:v>
                      </c:pt>
                      <c:pt idx="1010">
                        <c:v>43662</c:v>
                      </c:pt>
                      <c:pt idx="1011">
                        <c:v>43663</c:v>
                      </c:pt>
                      <c:pt idx="1012">
                        <c:v>43664</c:v>
                      </c:pt>
                      <c:pt idx="1013">
                        <c:v>43665</c:v>
                      </c:pt>
                      <c:pt idx="1014">
                        <c:v>43666</c:v>
                      </c:pt>
                      <c:pt idx="1015">
                        <c:v>43667</c:v>
                      </c:pt>
                      <c:pt idx="1016">
                        <c:v>43668</c:v>
                      </c:pt>
                      <c:pt idx="1017">
                        <c:v>43669</c:v>
                      </c:pt>
                      <c:pt idx="1018">
                        <c:v>43670</c:v>
                      </c:pt>
                      <c:pt idx="1019">
                        <c:v>43671</c:v>
                      </c:pt>
                      <c:pt idx="1020">
                        <c:v>43672</c:v>
                      </c:pt>
                      <c:pt idx="1021">
                        <c:v>43673</c:v>
                      </c:pt>
                      <c:pt idx="1022">
                        <c:v>43674</c:v>
                      </c:pt>
                      <c:pt idx="1023">
                        <c:v>43675</c:v>
                      </c:pt>
                      <c:pt idx="1024">
                        <c:v>43676</c:v>
                      </c:pt>
                      <c:pt idx="1025">
                        <c:v>43677</c:v>
                      </c:pt>
                      <c:pt idx="1026">
                        <c:v>43678</c:v>
                      </c:pt>
                      <c:pt idx="1027">
                        <c:v>43679</c:v>
                      </c:pt>
                      <c:pt idx="1028">
                        <c:v>43680</c:v>
                      </c:pt>
                      <c:pt idx="1029">
                        <c:v>43681</c:v>
                      </c:pt>
                      <c:pt idx="1030">
                        <c:v>43682</c:v>
                      </c:pt>
                      <c:pt idx="1031">
                        <c:v>43683</c:v>
                      </c:pt>
                      <c:pt idx="1032">
                        <c:v>43684</c:v>
                      </c:pt>
                      <c:pt idx="1033">
                        <c:v>43685</c:v>
                      </c:pt>
                      <c:pt idx="1034">
                        <c:v>43686</c:v>
                      </c:pt>
                      <c:pt idx="1035">
                        <c:v>43687</c:v>
                      </c:pt>
                      <c:pt idx="1036">
                        <c:v>43688</c:v>
                      </c:pt>
                      <c:pt idx="1037">
                        <c:v>43689</c:v>
                      </c:pt>
                      <c:pt idx="1038">
                        <c:v>43690</c:v>
                      </c:pt>
                      <c:pt idx="1039">
                        <c:v>43691</c:v>
                      </c:pt>
                      <c:pt idx="1040">
                        <c:v>43692</c:v>
                      </c:pt>
                      <c:pt idx="1041">
                        <c:v>43693</c:v>
                      </c:pt>
                      <c:pt idx="1042">
                        <c:v>43694</c:v>
                      </c:pt>
                      <c:pt idx="1043">
                        <c:v>43695</c:v>
                      </c:pt>
                      <c:pt idx="1044">
                        <c:v>43696</c:v>
                      </c:pt>
                      <c:pt idx="1045">
                        <c:v>43697</c:v>
                      </c:pt>
                      <c:pt idx="1046">
                        <c:v>43698</c:v>
                      </c:pt>
                      <c:pt idx="1047">
                        <c:v>43699</c:v>
                      </c:pt>
                      <c:pt idx="1048">
                        <c:v>43700</c:v>
                      </c:pt>
                      <c:pt idx="1049">
                        <c:v>43701</c:v>
                      </c:pt>
                      <c:pt idx="1050">
                        <c:v>43702</c:v>
                      </c:pt>
                      <c:pt idx="1051">
                        <c:v>43703</c:v>
                      </c:pt>
                      <c:pt idx="1052">
                        <c:v>43704</c:v>
                      </c:pt>
                      <c:pt idx="1053">
                        <c:v>43705</c:v>
                      </c:pt>
                      <c:pt idx="1054">
                        <c:v>43706</c:v>
                      </c:pt>
                      <c:pt idx="1055">
                        <c:v>43707</c:v>
                      </c:pt>
                      <c:pt idx="1056">
                        <c:v>43708</c:v>
                      </c:pt>
                      <c:pt idx="1057">
                        <c:v>43709</c:v>
                      </c:pt>
                      <c:pt idx="1058">
                        <c:v>43710</c:v>
                      </c:pt>
                      <c:pt idx="1059">
                        <c:v>43711</c:v>
                      </c:pt>
                      <c:pt idx="1060">
                        <c:v>43712</c:v>
                      </c:pt>
                      <c:pt idx="1061">
                        <c:v>43713</c:v>
                      </c:pt>
                      <c:pt idx="1062">
                        <c:v>43714</c:v>
                      </c:pt>
                      <c:pt idx="1063">
                        <c:v>43715</c:v>
                      </c:pt>
                      <c:pt idx="1064">
                        <c:v>43716</c:v>
                      </c:pt>
                      <c:pt idx="1065">
                        <c:v>43717</c:v>
                      </c:pt>
                      <c:pt idx="1066">
                        <c:v>43718</c:v>
                      </c:pt>
                      <c:pt idx="1067">
                        <c:v>43719</c:v>
                      </c:pt>
                      <c:pt idx="1068">
                        <c:v>43720</c:v>
                      </c:pt>
                      <c:pt idx="1069">
                        <c:v>43721</c:v>
                      </c:pt>
                      <c:pt idx="1070">
                        <c:v>43722</c:v>
                      </c:pt>
                      <c:pt idx="1071">
                        <c:v>43723</c:v>
                      </c:pt>
                      <c:pt idx="1072">
                        <c:v>43724</c:v>
                      </c:pt>
                      <c:pt idx="1073">
                        <c:v>43725</c:v>
                      </c:pt>
                      <c:pt idx="1074">
                        <c:v>43726</c:v>
                      </c:pt>
                      <c:pt idx="1075">
                        <c:v>43727</c:v>
                      </c:pt>
                      <c:pt idx="1076">
                        <c:v>43728</c:v>
                      </c:pt>
                      <c:pt idx="1077">
                        <c:v>43729</c:v>
                      </c:pt>
                      <c:pt idx="1078">
                        <c:v>43730</c:v>
                      </c:pt>
                      <c:pt idx="1079">
                        <c:v>43731</c:v>
                      </c:pt>
                      <c:pt idx="1080">
                        <c:v>43732</c:v>
                      </c:pt>
                      <c:pt idx="1081">
                        <c:v>43733</c:v>
                      </c:pt>
                      <c:pt idx="1082">
                        <c:v>43734</c:v>
                      </c:pt>
                      <c:pt idx="1083">
                        <c:v>43735</c:v>
                      </c:pt>
                      <c:pt idx="1084">
                        <c:v>43736</c:v>
                      </c:pt>
                      <c:pt idx="1085">
                        <c:v>43737</c:v>
                      </c:pt>
                      <c:pt idx="1086">
                        <c:v>43738</c:v>
                      </c:pt>
                    </c:numCache>
                  </c:numRef>
                </c:cat>
                <c:val>
                  <c:numRef>
                    <c:extLst>
                      <c:ext uri="{02D57815-91ED-43cb-92C2-25804820EDAC}">
                        <c15:formulaRef>
                          <c15:sqref>PITTE!$O$2:$O$1098</c15:sqref>
                        </c15:formulaRef>
                      </c:ext>
                    </c:extLst>
                    <c:numCache>
                      <c:formatCode>General</c:formatCode>
                      <c:ptCount val="108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480.15699999999998</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7.8849999999999998</c:v>
                      </c:pt>
                      <c:pt idx="34">
                        <c:v>6.2069999999999999</c:v>
                      </c:pt>
                      <c:pt idx="35">
                        <c:v>0</c:v>
                      </c:pt>
                      <c:pt idx="36">
                        <c:v>0</c:v>
                      </c:pt>
                      <c:pt idx="37">
                        <c:v>0</c:v>
                      </c:pt>
                      <c:pt idx="38">
                        <c:v>0</c:v>
                      </c:pt>
                      <c:pt idx="39">
                        <c:v>0</c:v>
                      </c:pt>
                      <c:pt idx="40">
                        <c:v>2.6739999999999999</c:v>
                      </c:pt>
                      <c:pt idx="41">
                        <c:v>1.179</c:v>
                      </c:pt>
                      <c:pt idx="42">
                        <c:v>0</c:v>
                      </c:pt>
                      <c:pt idx="43">
                        <c:v>1.6859999999999999</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113.51</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0.57599999999999996</c:v>
                      </c:pt>
                      <c:pt idx="366">
                        <c:v>10.212</c:v>
                      </c:pt>
                      <c:pt idx="367">
                        <c:v>4.7270000000000003</c:v>
                      </c:pt>
                      <c:pt idx="368">
                        <c:v>0</c:v>
                      </c:pt>
                      <c:pt idx="369">
                        <c:v>0</c:v>
                      </c:pt>
                      <c:pt idx="370">
                        <c:v>0</c:v>
                      </c:pt>
                      <c:pt idx="371">
                        <c:v>0</c:v>
                      </c:pt>
                      <c:pt idx="372">
                        <c:v>57.41</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15.211</c:v>
                      </c:pt>
                      <c:pt idx="506">
                        <c:v>28.373000000000001</c:v>
                      </c:pt>
                      <c:pt idx="507">
                        <c:v>23872.028999999999</c:v>
                      </c:pt>
                      <c:pt idx="508">
                        <c:v>115425.175</c:v>
                      </c:pt>
                      <c:pt idx="509">
                        <c:v>133723.27600000001</c:v>
                      </c:pt>
                      <c:pt idx="510">
                        <c:v>2179.7310000000002</c:v>
                      </c:pt>
                      <c:pt idx="511">
                        <c:v>0</c:v>
                      </c:pt>
                      <c:pt idx="512">
                        <c:v>4.5119999999999996</c:v>
                      </c:pt>
                      <c:pt idx="513">
                        <c:v>1.095</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4.1219999999999999</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2.5339999999999998</c:v>
                      </c:pt>
                      <c:pt idx="575">
                        <c:v>0</c:v>
                      </c:pt>
                      <c:pt idx="576">
                        <c:v>0</c:v>
                      </c:pt>
                      <c:pt idx="577">
                        <c:v>0</c:v>
                      </c:pt>
                      <c:pt idx="578">
                        <c:v>0</c:v>
                      </c:pt>
                      <c:pt idx="579">
                        <c:v>0</c:v>
                      </c:pt>
                      <c:pt idx="580">
                        <c:v>0.25600000000000001</c:v>
                      </c:pt>
                      <c:pt idx="581">
                        <c:v>0</c:v>
                      </c:pt>
                      <c:pt idx="582">
                        <c:v>0</c:v>
                      </c:pt>
                      <c:pt idx="583">
                        <c:v>0</c:v>
                      </c:pt>
                      <c:pt idx="584">
                        <c:v>0</c:v>
                      </c:pt>
                      <c:pt idx="585">
                        <c:v>0</c:v>
                      </c:pt>
                      <c:pt idx="586">
                        <c:v>0.99099999999999999</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9344.7150000000001</c:v>
                      </c:pt>
                      <c:pt idx="621">
                        <c:v>288.40199999999999</c:v>
                      </c:pt>
                      <c:pt idx="622">
                        <c:v>0</c:v>
                      </c:pt>
                      <c:pt idx="623">
                        <c:v>0</c:v>
                      </c:pt>
                      <c:pt idx="624">
                        <c:v>6858.01</c:v>
                      </c:pt>
                      <c:pt idx="625">
                        <c:v>103.857</c:v>
                      </c:pt>
                      <c:pt idx="626">
                        <c:v>0</c:v>
                      </c:pt>
                      <c:pt idx="627">
                        <c:v>0.873</c:v>
                      </c:pt>
                      <c:pt idx="628">
                        <c:v>10945.51</c:v>
                      </c:pt>
                      <c:pt idx="629">
                        <c:v>32688.120999999999</c:v>
                      </c:pt>
                      <c:pt idx="630">
                        <c:v>540.56600000000003</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1782.097</c:v>
                      </c:pt>
                      <c:pt idx="648">
                        <c:v>0</c:v>
                      </c:pt>
                      <c:pt idx="649">
                        <c:v>9974.0210000000006</c:v>
                      </c:pt>
                      <c:pt idx="650">
                        <c:v>40.636000000000003</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11531.397000000001</c:v>
                      </c:pt>
                      <c:pt idx="670">
                        <c:v>300.52499999999998</c:v>
                      </c:pt>
                      <c:pt idx="671">
                        <c:v>57.585000000000001</c:v>
                      </c:pt>
                      <c:pt idx="672">
                        <c:v>42.188000000000002</c:v>
                      </c:pt>
                      <c:pt idx="673">
                        <c:v>0</c:v>
                      </c:pt>
                      <c:pt idx="674">
                        <c:v>0</c:v>
                      </c:pt>
                      <c:pt idx="675">
                        <c:v>235.505</c:v>
                      </c:pt>
                      <c:pt idx="676">
                        <c:v>20.699000000000002</c:v>
                      </c:pt>
                      <c:pt idx="677">
                        <c:v>117.32299999999999</c:v>
                      </c:pt>
                      <c:pt idx="678">
                        <c:v>112.614</c:v>
                      </c:pt>
                      <c:pt idx="679">
                        <c:v>0</c:v>
                      </c:pt>
                      <c:pt idx="680">
                        <c:v>0</c:v>
                      </c:pt>
                      <c:pt idx="681">
                        <c:v>19791.457999999999</c:v>
                      </c:pt>
                      <c:pt idx="682">
                        <c:v>6549.7479999999996</c:v>
                      </c:pt>
                      <c:pt idx="683">
                        <c:v>0</c:v>
                      </c:pt>
                      <c:pt idx="684">
                        <c:v>0</c:v>
                      </c:pt>
                      <c:pt idx="685">
                        <c:v>0</c:v>
                      </c:pt>
                      <c:pt idx="686">
                        <c:v>0</c:v>
                      </c:pt>
                      <c:pt idx="687">
                        <c:v>0</c:v>
                      </c:pt>
                      <c:pt idx="688">
                        <c:v>0</c:v>
                      </c:pt>
                      <c:pt idx="689">
                        <c:v>0</c:v>
                      </c:pt>
                      <c:pt idx="690">
                        <c:v>0</c:v>
                      </c:pt>
                      <c:pt idx="691">
                        <c:v>0</c:v>
                      </c:pt>
                      <c:pt idx="692">
                        <c:v>4.54</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1.9990000000000001</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2.294</c:v>
                      </c:pt>
                      <c:pt idx="749">
                        <c:v>46.472000000000001</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14.856999999999999</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0.32100000000000001</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1.653</c:v>
                      </c:pt>
                      <c:pt idx="920">
                        <c:v>1915.854</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150.43799999999999</c:v>
                      </c:pt>
                      <c:pt idx="1066">
                        <c:v>0</c:v>
                      </c:pt>
                      <c:pt idx="1067">
                        <c:v>0</c:v>
                      </c:pt>
                      <c:pt idx="1068">
                        <c:v>0</c:v>
                      </c:pt>
                      <c:pt idx="1069">
                        <c:v>0</c:v>
                      </c:pt>
                      <c:pt idx="1070">
                        <c:v>0</c:v>
                      </c:pt>
                      <c:pt idx="1071">
                        <c:v>0</c:v>
                      </c:pt>
                      <c:pt idx="1072">
                        <c:v>1.395</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numCache>
                  </c:numRef>
                </c:val>
                <c:smooth val="0"/>
                <c:extLst>
                  <c:ext xmlns:c16="http://schemas.microsoft.com/office/drawing/2014/chart" uri="{C3380CC4-5D6E-409C-BE32-E72D297353CC}">
                    <c16:uniqueId val="{00000003-82DD-4A8C-ACC0-4C5B5F189F98}"/>
                  </c:ext>
                </c:extLst>
              </c15:ser>
            </c15:filteredLineSeries>
          </c:ext>
        </c:extLst>
      </c:lineChart>
      <c:dateAx>
        <c:axId val="110630340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6309392"/>
        <c:crosses val="autoZero"/>
        <c:auto val="1"/>
        <c:lblOffset val="100"/>
        <c:baseTimeUnit val="days"/>
      </c:dateAx>
      <c:valAx>
        <c:axId val="1106309392"/>
        <c:scaling>
          <c:orientation val="minMax"/>
          <c:max val="2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MWh/day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63034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18577485506619E-2"/>
          <c:y val="2.6911277901606689E-2"/>
          <c:w val="0.89151380115947043"/>
          <c:h val="0.80268457966895623"/>
        </c:manualLayout>
      </c:layout>
      <c:areaChart>
        <c:grouping val="standard"/>
        <c:varyColors val="0"/>
        <c:ser>
          <c:idx val="1"/>
          <c:order val="1"/>
          <c:tx>
            <c:strRef>
              <c:f>'[Gráfico en Microsoft PowerPoint]Situacion VIP PIRINEOS'!$D$3</c:f>
              <c:strCache>
                <c:ptCount val="1"/>
                <c:pt idx="0">
                  <c:v>Entry short term booked capacity (Daily and whithin day)</c:v>
                </c:pt>
              </c:strCache>
            </c:strRef>
          </c:tx>
          <c:spPr>
            <a:solidFill>
              <a:srgbClr val="007AAE"/>
            </a:solidFill>
            <a:ln>
              <a:noFill/>
            </a:ln>
            <a:effectLst/>
          </c:spPr>
          <c:cat>
            <c:numRef>
              <c:f>'[Gráfico en Microsoft PowerPoint]Situacion VIP PIRINEOS'!$B$4:$B$641</c:f>
              <c:numCache>
                <c:formatCode>m/d/yyyy</c:formatCode>
                <c:ptCount val="638"/>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pt idx="365">
                  <c:v>43466</c:v>
                </c:pt>
                <c:pt idx="366">
                  <c:v>43467</c:v>
                </c:pt>
                <c:pt idx="367">
                  <c:v>43468</c:v>
                </c:pt>
                <c:pt idx="368">
                  <c:v>43469</c:v>
                </c:pt>
                <c:pt idx="369">
                  <c:v>43470</c:v>
                </c:pt>
                <c:pt idx="370">
                  <c:v>43471</c:v>
                </c:pt>
                <c:pt idx="371">
                  <c:v>43472</c:v>
                </c:pt>
                <c:pt idx="372">
                  <c:v>43473</c:v>
                </c:pt>
                <c:pt idx="373">
                  <c:v>43474</c:v>
                </c:pt>
                <c:pt idx="374">
                  <c:v>43475</c:v>
                </c:pt>
                <c:pt idx="375">
                  <c:v>43476</c:v>
                </c:pt>
                <c:pt idx="376">
                  <c:v>43477</c:v>
                </c:pt>
                <c:pt idx="377">
                  <c:v>43478</c:v>
                </c:pt>
                <c:pt idx="378">
                  <c:v>43479</c:v>
                </c:pt>
                <c:pt idx="379">
                  <c:v>43480</c:v>
                </c:pt>
                <c:pt idx="380">
                  <c:v>43481</c:v>
                </c:pt>
                <c:pt idx="381">
                  <c:v>43482</c:v>
                </c:pt>
                <c:pt idx="382">
                  <c:v>43483</c:v>
                </c:pt>
                <c:pt idx="383">
                  <c:v>43484</c:v>
                </c:pt>
                <c:pt idx="384">
                  <c:v>43485</c:v>
                </c:pt>
                <c:pt idx="385">
                  <c:v>43486</c:v>
                </c:pt>
                <c:pt idx="386">
                  <c:v>43487</c:v>
                </c:pt>
                <c:pt idx="387">
                  <c:v>43488</c:v>
                </c:pt>
                <c:pt idx="388">
                  <c:v>43489</c:v>
                </c:pt>
                <c:pt idx="389">
                  <c:v>43490</c:v>
                </c:pt>
                <c:pt idx="390">
                  <c:v>43491</c:v>
                </c:pt>
                <c:pt idx="391">
                  <c:v>43492</c:v>
                </c:pt>
                <c:pt idx="392">
                  <c:v>43493</c:v>
                </c:pt>
                <c:pt idx="393">
                  <c:v>43494</c:v>
                </c:pt>
                <c:pt idx="394">
                  <c:v>43495</c:v>
                </c:pt>
                <c:pt idx="395">
                  <c:v>43496</c:v>
                </c:pt>
                <c:pt idx="396">
                  <c:v>43497</c:v>
                </c:pt>
                <c:pt idx="397">
                  <c:v>43498</c:v>
                </c:pt>
                <c:pt idx="398">
                  <c:v>43499</c:v>
                </c:pt>
                <c:pt idx="399">
                  <c:v>43500</c:v>
                </c:pt>
                <c:pt idx="400">
                  <c:v>43501</c:v>
                </c:pt>
                <c:pt idx="401">
                  <c:v>43502</c:v>
                </c:pt>
                <c:pt idx="402">
                  <c:v>43503</c:v>
                </c:pt>
                <c:pt idx="403">
                  <c:v>43504</c:v>
                </c:pt>
                <c:pt idx="404">
                  <c:v>43505</c:v>
                </c:pt>
                <c:pt idx="405">
                  <c:v>43506</c:v>
                </c:pt>
                <c:pt idx="406">
                  <c:v>43507</c:v>
                </c:pt>
                <c:pt idx="407">
                  <c:v>43508</c:v>
                </c:pt>
                <c:pt idx="408">
                  <c:v>43509</c:v>
                </c:pt>
                <c:pt idx="409">
                  <c:v>43510</c:v>
                </c:pt>
                <c:pt idx="410">
                  <c:v>43511</c:v>
                </c:pt>
                <c:pt idx="411">
                  <c:v>43512</c:v>
                </c:pt>
                <c:pt idx="412">
                  <c:v>43513</c:v>
                </c:pt>
                <c:pt idx="413">
                  <c:v>43514</c:v>
                </c:pt>
                <c:pt idx="414">
                  <c:v>43515</c:v>
                </c:pt>
                <c:pt idx="415">
                  <c:v>43516</c:v>
                </c:pt>
                <c:pt idx="416">
                  <c:v>43517</c:v>
                </c:pt>
                <c:pt idx="417">
                  <c:v>43518</c:v>
                </c:pt>
                <c:pt idx="418">
                  <c:v>43519</c:v>
                </c:pt>
                <c:pt idx="419">
                  <c:v>43520</c:v>
                </c:pt>
                <c:pt idx="420">
                  <c:v>43521</c:v>
                </c:pt>
                <c:pt idx="421">
                  <c:v>43522</c:v>
                </c:pt>
                <c:pt idx="422">
                  <c:v>43523</c:v>
                </c:pt>
                <c:pt idx="423">
                  <c:v>43524</c:v>
                </c:pt>
                <c:pt idx="424">
                  <c:v>43525</c:v>
                </c:pt>
                <c:pt idx="425">
                  <c:v>43526</c:v>
                </c:pt>
                <c:pt idx="426">
                  <c:v>43527</c:v>
                </c:pt>
                <c:pt idx="427">
                  <c:v>43528</c:v>
                </c:pt>
                <c:pt idx="428">
                  <c:v>43529</c:v>
                </c:pt>
                <c:pt idx="429">
                  <c:v>43530</c:v>
                </c:pt>
                <c:pt idx="430">
                  <c:v>43531</c:v>
                </c:pt>
                <c:pt idx="431">
                  <c:v>43532</c:v>
                </c:pt>
                <c:pt idx="432">
                  <c:v>43533</c:v>
                </c:pt>
                <c:pt idx="433">
                  <c:v>43534</c:v>
                </c:pt>
                <c:pt idx="434">
                  <c:v>43535</c:v>
                </c:pt>
                <c:pt idx="435">
                  <c:v>43536</c:v>
                </c:pt>
                <c:pt idx="436">
                  <c:v>43537</c:v>
                </c:pt>
                <c:pt idx="437">
                  <c:v>43538</c:v>
                </c:pt>
                <c:pt idx="438">
                  <c:v>43539</c:v>
                </c:pt>
                <c:pt idx="439">
                  <c:v>43540</c:v>
                </c:pt>
                <c:pt idx="440">
                  <c:v>43541</c:v>
                </c:pt>
                <c:pt idx="441">
                  <c:v>43542</c:v>
                </c:pt>
                <c:pt idx="442">
                  <c:v>43543</c:v>
                </c:pt>
                <c:pt idx="443">
                  <c:v>43544</c:v>
                </c:pt>
                <c:pt idx="444">
                  <c:v>43545</c:v>
                </c:pt>
                <c:pt idx="445">
                  <c:v>43546</c:v>
                </c:pt>
                <c:pt idx="446">
                  <c:v>43547</c:v>
                </c:pt>
                <c:pt idx="447">
                  <c:v>43548</c:v>
                </c:pt>
                <c:pt idx="448">
                  <c:v>43549</c:v>
                </c:pt>
                <c:pt idx="449">
                  <c:v>43550</c:v>
                </c:pt>
                <c:pt idx="450">
                  <c:v>43551</c:v>
                </c:pt>
                <c:pt idx="451">
                  <c:v>43552</c:v>
                </c:pt>
                <c:pt idx="452">
                  <c:v>43553</c:v>
                </c:pt>
                <c:pt idx="453">
                  <c:v>43554</c:v>
                </c:pt>
                <c:pt idx="454">
                  <c:v>43555</c:v>
                </c:pt>
                <c:pt idx="455">
                  <c:v>43556</c:v>
                </c:pt>
                <c:pt idx="456">
                  <c:v>43557</c:v>
                </c:pt>
                <c:pt idx="457">
                  <c:v>43558</c:v>
                </c:pt>
                <c:pt idx="458">
                  <c:v>43559</c:v>
                </c:pt>
                <c:pt idx="459">
                  <c:v>43560</c:v>
                </c:pt>
                <c:pt idx="460">
                  <c:v>43561</c:v>
                </c:pt>
                <c:pt idx="461">
                  <c:v>43562</c:v>
                </c:pt>
                <c:pt idx="462">
                  <c:v>43563</c:v>
                </c:pt>
                <c:pt idx="463">
                  <c:v>43564</c:v>
                </c:pt>
                <c:pt idx="464">
                  <c:v>43565</c:v>
                </c:pt>
                <c:pt idx="465">
                  <c:v>43566</c:v>
                </c:pt>
                <c:pt idx="466">
                  <c:v>43567</c:v>
                </c:pt>
                <c:pt idx="467">
                  <c:v>43568</c:v>
                </c:pt>
                <c:pt idx="468">
                  <c:v>43569</c:v>
                </c:pt>
                <c:pt idx="469">
                  <c:v>43570</c:v>
                </c:pt>
                <c:pt idx="470">
                  <c:v>43571</c:v>
                </c:pt>
                <c:pt idx="471">
                  <c:v>43572</c:v>
                </c:pt>
                <c:pt idx="472">
                  <c:v>43573</c:v>
                </c:pt>
                <c:pt idx="473">
                  <c:v>43574</c:v>
                </c:pt>
                <c:pt idx="474">
                  <c:v>43575</c:v>
                </c:pt>
                <c:pt idx="475">
                  <c:v>43576</c:v>
                </c:pt>
                <c:pt idx="476">
                  <c:v>43577</c:v>
                </c:pt>
                <c:pt idx="477">
                  <c:v>43578</c:v>
                </c:pt>
                <c:pt idx="478">
                  <c:v>43579</c:v>
                </c:pt>
                <c:pt idx="479">
                  <c:v>43580</c:v>
                </c:pt>
                <c:pt idx="480">
                  <c:v>43581</c:v>
                </c:pt>
                <c:pt idx="481">
                  <c:v>43582</c:v>
                </c:pt>
                <c:pt idx="482">
                  <c:v>43583</c:v>
                </c:pt>
                <c:pt idx="483">
                  <c:v>43584</c:v>
                </c:pt>
                <c:pt idx="484">
                  <c:v>43585</c:v>
                </c:pt>
                <c:pt idx="485">
                  <c:v>43586</c:v>
                </c:pt>
                <c:pt idx="486">
                  <c:v>43587</c:v>
                </c:pt>
                <c:pt idx="487">
                  <c:v>43588</c:v>
                </c:pt>
                <c:pt idx="488">
                  <c:v>43589</c:v>
                </c:pt>
                <c:pt idx="489">
                  <c:v>43590</c:v>
                </c:pt>
                <c:pt idx="490">
                  <c:v>43591</c:v>
                </c:pt>
                <c:pt idx="491">
                  <c:v>43592</c:v>
                </c:pt>
                <c:pt idx="492">
                  <c:v>43593</c:v>
                </c:pt>
                <c:pt idx="493">
                  <c:v>43594</c:v>
                </c:pt>
                <c:pt idx="494">
                  <c:v>43595</c:v>
                </c:pt>
                <c:pt idx="495">
                  <c:v>43596</c:v>
                </c:pt>
                <c:pt idx="496">
                  <c:v>43597</c:v>
                </c:pt>
                <c:pt idx="497">
                  <c:v>43598</c:v>
                </c:pt>
                <c:pt idx="498">
                  <c:v>43599</c:v>
                </c:pt>
                <c:pt idx="499">
                  <c:v>43600</c:v>
                </c:pt>
                <c:pt idx="500">
                  <c:v>43601</c:v>
                </c:pt>
                <c:pt idx="501">
                  <c:v>43602</c:v>
                </c:pt>
                <c:pt idx="502">
                  <c:v>43603</c:v>
                </c:pt>
                <c:pt idx="503">
                  <c:v>43604</c:v>
                </c:pt>
                <c:pt idx="504">
                  <c:v>43605</c:v>
                </c:pt>
                <c:pt idx="505">
                  <c:v>43606</c:v>
                </c:pt>
                <c:pt idx="506">
                  <c:v>43607</c:v>
                </c:pt>
                <c:pt idx="507">
                  <c:v>43608</c:v>
                </c:pt>
                <c:pt idx="508">
                  <c:v>43609</c:v>
                </c:pt>
                <c:pt idx="509">
                  <c:v>43610</c:v>
                </c:pt>
                <c:pt idx="510">
                  <c:v>43611</c:v>
                </c:pt>
                <c:pt idx="511">
                  <c:v>43612</c:v>
                </c:pt>
                <c:pt idx="512">
                  <c:v>43613</c:v>
                </c:pt>
                <c:pt idx="513">
                  <c:v>43614</c:v>
                </c:pt>
                <c:pt idx="514">
                  <c:v>43615</c:v>
                </c:pt>
                <c:pt idx="515">
                  <c:v>43616</c:v>
                </c:pt>
                <c:pt idx="516">
                  <c:v>43617</c:v>
                </c:pt>
                <c:pt idx="517">
                  <c:v>43618</c:v>
                </c:pt>
                <c:pt idx="518">
                  <c:v>43619</c:v>
                </c:pt>
                <c:pt idx="519">
                  <c:v>43620</c:v>
                </c:pt>
                <c:pt idx="520">
                  <c:v>43621</c:v>
                </c:pt>
                <c:pt idx="521">
                  <c:v>43622</c:v>
                </c:pt>
                <c:pt idx="522">
                  <c:v>43623</c:v>
                </c:pt>
                <c:pt idx="523">
                  <c:v>43624</c:v>
                </c:pt>
                <c:pt idx="524">
                  <c:v>43625</c:v>
                </c:pt>
                <c:pt idx="525">
                  <c:v>43626</c:v>
                </c:pt>
                <c:pt idx="526">
                  <c:v>43627</c:v>
                </c:pt>
                <c:pt idx="527">
                  <c:v>43628</c:v>
                </c:pt>
                <c:pt idx="528">
                  <c:v>43629</c:v>
                </c:pt>
                <c:pt idx="529">
                  <c:v>43630</c:v>
                </c:pt>
                <c:pt idx="530">
                  <c:v>43631</c:v>
                </c:pt>
                <c:pt idx="531">
                  <c:v>43632</c:v>
                </c:pt>
                <c:pt idx="532">
                  <c:v>43633</c:v>
                </c:pt>
                <c:pt idx="533">
                  <c:v>43634</c:v>
                </c:pt>
                <c:pt idx="534">
                  <c:v>43635</c:v>
                </c:pt>
                <c:pt idx="535">
                  <c:v>43636</c:v>
                </c:pt>
                <c:pt idx="536">
                  <c:v>43637</c:v>
                </c:pt>
                <c:pt idx="537">
                  <c:v>43638</c:v>
                </c:pt>
                <c:pt idx="538">
                  <c:v>43639</c:v>
                </c:pt>
                <c:pt idx="539">
                  <c:v>43640</c:v>
                </c:pt>
                <c:pt idx="540">
                  <c:v>43641</c:v>
                </c:pt>
                <c:pt idx="541">
                  <c:v>43642</c:v>
                </c:pt>
                <c:pt idx="542">
                  <c:v>43643</c:v>
                </c:pt>
                <c:pt idx="543">
                  <c:v>43644</c:v>
                </c:pt>
                <c:pt idx="544">
                  <c:v>43645</c:v>
                </c:pt>
                <c:pt idx="545">
                  <c:v>43646</c:v>
                </c:pt>
                <c:pt idx="546">
                  <c:v>43647</c:v>
                </c:pt>
                <c:pt idx="547">
                  <c:v>43648</c:v>
                </c:pt>
                <c:pt idx="548">
                  <c:v>43649</c:v>
                </c:pt>
                <c:pt idx="549">
                  <c:v>43650</c:v>
                </c:pt>
                <c:pt idx="550">
                  <c:v>43651</c:v>
                </c:pt>
                <c:pt idx="551">
                  <c:v>43652</c:v>
                </c:pt>
                <c:pt idx="552">
                  <c:v>43653</c:v>
                </c:pt>
                <c:pt idx="553">
                  <c:v>43654</c:v>
                </c:pt>
                <c:pt idx="554">
                  <c:v>43655</c:v>
                </c:pt>
                <c:pt idx="555">
                  <c:v>43656</c:v>
                </c:pt>
                <c:pt idx="556">
                  <c:v>43657</c:v>
                </c:pt>
                <c:pt idx="557">
                  <c:v>43658</c:v>
                </c:pt>
                <c:pt idx="558">
                  <c:v>43659</c:v>
                </c:pt>
                <c:pt idx="559">
                  <c:v>43660</c:v>
                </c:pt>
                <c:pt idx="560">
                  <c:v>43661</c:v>
                </c:pt>
                <c:pt idx="561">
                  <c:v>43662</c:v>
                </c:pt>
                <c:pt idx="562">
                  <c:v>43663</c:v>
                </c:pt>
                <c:pt idx="563">
                  <c:v>43664</c:v>
                </c:pt>
                <c:pt idx="564">
                  <c:v>43665</c:v>
                </c:pt>
                <c:pt idx="565">
                  <c:v>43666</c:v>
                </c:pt>
                <c:pt idx="566">
                  <c:v>43667</c:v>
                </c:pt>
                <c:pt idx="567">
                  <c:v>43668</c:v>
                </c:pt>
                <c:pt idx="568">
                  <c:v>43669</c:v>
                </c:pt>
                <c:pt idx="569">
                  <c:v>43670</c:v>
                </c:pt>
                <c:pt idx="570">
                  <c:v>43671</c:v>
                </c:pt>
                <c:pt idx="571">
                  <c:v>43672</c:v>
                </c:pt>
                <c:pt idx="572">
                  <c:v>43673</c:v>
                </c:pt>
                <c:pt idx="573">
                  <c:v>43674</c:v>
                </c:pt>
                <c:pt idx="574">
                  <c:v>43675</c:v>
                </c:pt>
                <c:pt idx="575">
                  <c:v>43676</c:v>
                </c:pt>
                <c:pt idx="576">
                  <c:v>43677</c:v>
                </c:pt>
                <c:pt idx="577">
                  <c:v>43678</c:v>
                </c:pt>
                <c:pt idx="578">
                  <c:v>43679</c:v>
                </c:pt>
                <c:pt idx="579">
                  <c:v>43680</c:v>
                </c:pt>
                <c:pt idx="580">
                  <c:v>43681</c:v>
                </c:pt>
                <c:pt idx="581">
                  <c:v>43682</c:v>
                </c:pt>
                <c:pt idx="582">
                  <c:v>43683</c:v>
                </c:pt>
                <c:pt idx="583">
                  <c:v>43684</c:v>
                </c:pt>
                <c:pt idx="584">
                  <c:v>43685</c:v>
                </c:pt>
                <c:pt idx="585">
                  <c:v>43686</c:v>
                </c:pt>
                <c:pt idx="586">
                  <c:v>43687</c:v>
                </c:pt>
                <c:pt idx="587">
                  <c:v>43688</c:v>
                </c:pt>
                <c:pt idx="588">
                  <c:v>43689</c:v>
                </c:pt>
                <c:pt idx="589">
                  <c:v>43690</c:v>
                </c:pt>
                <c:pt idx="590">
                  <c:v>43691</c:v>
                </c:pt>
                <c:pt idx="591">
                  <c:v>43692</c:v>
                </c:pt>
                <c:pt idx="592">
                  <c:v>43693</c:v>
                </c:pt>
                <c:pt idx="593">
                  <c:v>43694</c:v>
                </c:pt>
                <c:pt idx="594">
                  <c:v>43695</c:v>
                </c:pt>
                <c:pt idx="595">
                  <c:v>43696</c:v>
                </c:pt>
                <c:pt idx="596">
                  <c:v>43697</c:v>
                </c:pt>
                <c:pt idx="597">
                  <c:v>43698</c:v>
                </c:pt>
                <c:pt idx="598">
                  <c:v>43699</c:v>
                </c:pt>
                <c:pt idx="599">
                  <c:v>43700</c:v>
                </c:pt>
                <c:pt idx="600">
                  <c:v>43701</c:v>
                </c:pt>
                <c:pt idx="601">
                  <c:v>43702</c:v>
                </c:pt>
                <c:pt idx="602">
                  <c:v>43703</c:v>
                </c:pt>
                <c:pt idx="603">
                  <c:v>43704</c:v>
                </c:pt>
                <c:pt idx="604">
                  <c:v>43705</c:v>
                </c:pt>
                <c:pt idx="605">
                  <c:v>43706</c:v>
                </c:pt>
                <c:pt idx="606">
                  <c:v>43707</c:v>
                </c:pt>
                <c:pt idx="607">
                  <c:v>43708</c:v>
                </c:pt>
                <c:pt idx="608">
                  <c:v>43709</c:v>
                </c:pt>
                <c:pt idx="609">
                  <c:v>43710</c:v>
                </c:pt>
                <c:pt idx="610">
                  <c:v>43711</c:v>
                </c:pt>
                <c:pt idx="611">
                  <c:v>43712</c:v>
                </c:pt>
                <c:pt idx="612">
                  <c:v>43713</c:v>
                </c:pt>
                <c:pt idx="613">
                  <c:v>43714</c:v>
                </c:pt>
                <c:pt idx="614">
                  <c:v>43715</c:v>
                </c:pt>
                <c:pt idx="615">
                  <c:v>43716</c:v>
                </c:pt>
                <c:pt idx="616">
                  <c:v>43717</c:v>
                </c:pt>
                <c:pt idx="617">
                  <c:v>43718</c:v>
                </c:pt>
                <c:pt idx="618">
                  <c:v>43719</c:v>
                </c:pt>
                <c:pt idx="619">
                  <c:v>43720</c:v>
                </c:pt>
                <c:pt idx="620">
                  <c:v>43721</c:v>
                </c:pt>
                <c:pt idx="621">
                  <c:v>43722</c:v>
                </c:pt>
                <c:pt idx="622">
                  <c:v>43723</c:v>
                </c:pt>
                <c:pt idx="623">
                  <c:v>43724</c:v>
                </c:pt>
                <c:pt idx="624">
                  <c:v>43725</c:v>
                </c:pt>
                <c:pt idx="625">
                  <c:v>43726</c:v>
                </c:pt>
                <c:pt idx="626">
                  <c:v>43727</c:v>
                </c:pt>
                <c:pt idx="627">
                  <c:v>43728</c:v>
                </c:pt>
                <c:pt idx="628">
                  <c:v>43729</c:v>
                </c:pt>
                <c:pt idx="629">
                  <c:v>43730</c:v>
                </c:pt>
                <c:pt idx="630">
                  <c:v>43731</c:v>
                </c:pt>
                <c:pt idx="631">
                  <c:v>43732</c:v>
                </c:pt>
                <c:pt idx="632">
                  <c:v>43733</c:v>
                </c:pt>
                <c:pt idx="633">
                  <c:v>43734</c:v>
                </c:pt>
                <c:pt idx="634">
                  <c:v>43735</c:v>
                </c:pt>
                <c:pt idx="635">
                  <c:v>43736</c:v>
                </c:pt>
                <c:pt idx="636">
                  <c:v>43737</c:v>
                </c:pt>
                <c:pt idx="637">
                  <c:v>43738</c:v>
                </c:pt>
              </c:numCache>
            </c:numRef>
          </c:cat>
          <c:val>
            <c:numRef>
              <c:f>'[Gráfico en Microsoft PowerPoint]Situacion VIP PIRINEOS'!$D$4:$D$641</c:f>
              <c:numCache>
                <c:formatCode>#,##0.00</c:formatCode>
                <c:ptCount val="638"/>
                <c:pt idx="0">
                  <c:v>157.95639499999999</c:v>
                </c:pt>
                <c:pt idx="1">
                  <c:v>157.95639499999999</c:v>
                </c:pt>
                <c:pt idx="2">
                  <c:v>157.95639499999999</c:v>
                </c:pt>
                <c:pt idx="3">
                  <c:v>157.95639499999999</c:v>
                </c:pt>
                <c:pt idx="4">
                  <c:v>157.95639499999999</c:v>
                </c:pt>
                <c:pt idx="5">
                  <c:v>157.95639499999999</c:v>
                </c:pt>
                <c:pt idx="6">
                  <c:v>157.95639499999999</c:v>
                </c:pt>
                <c:pt idx="7">
                  <c:v>163.86894199999998</c:v>
                </c:pt>
                <c:pt idx="8">
                  <c:v>157.95639499999999</c:v>
                </c:pt>
                <c:pt idx="9">
                  <c:v>157.96842599999999</c:v>
                </c:pt>
                <c:pt idx="10">
                  <c:v>157.95639499999999</c:v>
                </c:pt>
                <c:pt idx="11">
                  <c:v>157.95639499999999</c:v>
                </c:pt>
                <c:pt idx="12">
                  <c:v>157.95639499999999</c:v>
                </c:pt>
                <c:pt idx="13">
                  <c:v>157.95639499999999</c:v>
                </c:pt>
                <c:pt idx="14">
                  <c:v>157.95639499999999</c:v>
                </c:pt>
                <c:pt idx="15">
                  <c:v>157.95639499999999</c:v>
                </c:pt>
                <c:pt idx="16">
                  <c:v>157.95639499999999</c:v>
                </c:pt>
                <c:pt idx="17">
                  <c:v>157.95639499999999</c:v>
                </c:pt>
                <c:pt idx="18">
                  <c:v>157.95639499999999</c:v>
                </c:pt>
                <c:pt idx="19">
                  <c:v>157.95639499999999</c:v>
                </c:pt>
                <c:pt idx="20">
                  <c:v>157.95639499999999</c:v>
                </c:pt>
                <c:pt idx="21">
                  <c:v>157.95639499999999</c:v>
                </c:pt>
                <c:pt idx="22">
                  <c:v>157.95639499999999</c:v>
                </c:pt>
                <c:pt idx="23">
                  <c:v>157.95639499999999</c:v>
                </c:pt>
                <c:pt idx="24">
                  <c:v>157.95639499999999</c:v>
                </c:pt>
                <c:pt idx="25">
                  <c:v>157.95639499999999</c:v>
                </c:pt>
                <c:pt idx="26">
                  <c:v>157.95639499999999</c:v>
                </c:pt>
                <c:pt idx="27">
                  <c:v>157.95639499999999</c:v>
                </c:pt>
                <c:pt idx="28">
                  <c:v>157.95639499999999</c:v>
                </c:pt>
                <c:pt idx="29">
                  <c:v>157.95639499999999</c:v>
                </c:pt>
                <c:pt idx="30">
                  <c:v>160.36263499999998</c:v>
                </c:pt>
                <c:pt idx="31">
                  <c:v>162.76887499999998</c:v>
                </c:pt>
                <c:pt idx="32">
                  <c:v>163.97199499999999</c:v>
                </c:pt>
                <c:pt idx="33">
                  <c:v>161.216848</c:v>
                </c:pt>
                <c:pt idx="34">
                  <c:v>160.04982299999998</c:v>
                </c:pt>
                <c:pt idx="35">
                  <c:v>174.42709499999998</c:v>
                </c:pt>
                <c:pt idx="36">
                  <c:v>167.577359</c:v>
                </c:pt>
                <c:pt idx="37">
                  <c:v>177.01885899999999</c:v>
                </c:pt>
                <c:pt idx="38">
                  <c:v>181.27990899999998</c:v>
                </c:pt>
                <c:pt idx="39">
                  <c:v>208.25385999999997</c:v>
                </c:pt>
                <c:pt idx="40">
                  <c:v>160.04982299999998</c:v>
                </c:pt>
                <c:pt idx="41">
                  <c:v>160.04982299999998</c:v>
                </c:pt>
                <c:pt idx="42">
                  <c:v>160.04982299999998</c:v>
                </c:pt>
                <c:pt idx="43">
                  <c:v>157.95639499999999</c:v>
                </c:pt>
                <c:pt idx="44">
                  <c:v>157.95639499999999</c:v>
                </c:pt>
                <c:pt idx="45">
                  <c:v>157.95639499999999</c:v>
                </c:pt>
                <c:pt idx="46">
                  <c:v>158.19701799999999</c:v>
                </c:pt>
                <c:pt idx="47">
                  <c:v>157.95639499999999</c:v>
                </c:pt>
                <c:pt idx="48">
                  <c:v>157.95639499999999</c:v>
                </c:pt>
                <c:pt idx="49">
                  <c:v>157.95639499999999</c:v>
                </c:pt>
                <c:pt idx="50">
                  <c:v>157.95639499999999</c:v>
                </c:pt>
                <c:pt idx="51">
                  <c:v>157.95639499999999</c:v>
                </c:pt>
                <c:pt idx="52">
                  <c:v>157.95639499999999</c:v>
                </c:pt>
                <c:pt idx="53">
                  <c:v>157.95639499999999</c:v>
                </c:pt>
                <c:pt idx="54">
                  <c:v>157.95639499999999</c:v>
                </c:pt>
                <c:pt idx="55">
                  <c:v>157.95639499999999</c:v>
                </c:pt>
                <c:pt idx="56">
                  <c:v>157.95639499999999</c:v>
                </c:pt>
                <c:pt idx="57">
                  <c:v>157.95639499999999</c:v>
                </c:pt>
                <c:pt idx="58">
                  <c:v>157.95639499999999</c:v>
                </c:pt>
                <c:pt idx="59">
                  <c:v>157.954398</c:v>
                </c:pt>
                <c:pt idx="60">
                  <c:v>157.954398</c:v>
                </c:pt>
                <c:pt idx="61">
                  <c:v>157.954398</c:v>
                </c:pt>
                <c:pt idx="62">
                  <c:v>157.954398</c:v>
                </c:pt>
                <c:pt idx="63">
                  <c:v>157.954398</c:v>
                </c:pt>
                <c:pt idx="64">
                  <c:v>157.954398</c:v>
                </c:pt>
                <c:pt idx="65">
                  <c:v>160.962198</c:v>
                </c:pt>
                <c:pt idx="66">
                  <c:v>170.49492599999999</c:v>
                </c:pt>
                <c:pt idx="67">
                  <c:v>161.96478099999999</c:v>
                </c:pt>
                <c:pt idx="68">
                  <c:v>157.954398</c:v>
                </c:pt>
                <c:pt idx="69">
                  <c:v>157.954398</c:v>
                </c:pt>
                <c:pt idx="70">
                  <c:v>157.954398</c:v>
                </c:pt>
                <c:pt idx="71">
                  <c:v>157.954398</c:v>
                </c:pt>
                <c:pt idx="72">
                  <c:v>157.954398</c:v>
                </c:pt>
                <c:pt idx="73">
                  <c:v>157.954398</c:v>
                </c:pt>
                <c:pt idx="74">
                  <c:v>157.954398</c:v>
                </c:pt>
                <c:pt idx="75">
                  <c:v>157.954398</c:v>
                </c:pt>
                <c:pt idx="76">
                  <c:v>157.954398</c:v>
                </c:pt>
                <c:pt idx="77">
                  <c:v>157.954398</c:v>
                </c:pt>
                <c:pt idx="78">
                  <c:v>157.954398</c:v>
                </c:pt>
                <c:pt idx="79">
                  <c:v>157.954398</c:v>
                </c:pt>
                <c:pt idx="80">
                  <c:v>157.954398</c:v>
                </c:pt>
                <c:pt idx="81">
                  <c:v>157.954398</c:v>
                </c:pt>
                <c:pt idx="82">
                  <c:v>157.954398</c:v>
                </c:pt>
                <c:pt idx="83">
                  <c:v>157.954398</c:v>
                </c:pt>
                <c:pt idx="84">
                  <c:v>157.954398</c:v>
                </c:pt>
                <c:pt idx="85">
                  <c:v>157.954398</c:v>
                </c:pt>
                <c:pt idx="86">
                  <c:v>157.954398</c:v>
                </c:pt>
                <c:pt idx="87">
                  <c:v>157.954398</c:v>
                </c:pt>
                <c:pt idx="88">
                  <c:v>157.954398</c:v>
                </c:pt>
                <c:pt idx="89">
                  <c:v>157.954398</c:v>
                </c:pt>
                <c:pt idx="90">
                  <c:v>153.04165</c:v>
                </c:pt>
                <c:pt idx="91">
                  <c:v>153.04165</c:v>
                </c:pt>
                <c:pt idx="92">
                  <c:v>153.04165</c:v>
                </c:pt>
                <c:pt idx="93">
                  <c:v>153.04165</c:v>
                </c:pt>
                <c:pt idx="94">
                  <c:v>153.04165</c:v>
                </c:pt>
                <c:pt idx="95">
                  <c:v>153.04165</c:v>
                </c:pt>
                <c:pt idx="96">
                  <c:v>153.04165</c:v>
                </c:pt>
                <c:pt idx="97">
                  <c:v>153.04165</c:v>
                </c:pt>
                <c:pt idx="98">
                  <c:v>153.04165</c:v>
                </c:pt>
                <c:pt idx="99">
                  <c:v>153.04165</c:v>
                </c:pt>
                <c:pt idx="100">
                  <c:v>153.04165</c:v>
                </c:pt>
                <c:pt idx="101">
                  <c:v>153.04165</c:v>
                </c:pt>
                <c:pt idx="102">
                  <c:v>153.04165</c:v>
                </c:pt>
                <c:pt idx="103">
                  <c:v>153.04165</c:v>
                </c:pt>
                <c:pt idx="104">
                  <c:v>153.04165</c:v>
                </c:pt>
                <c:pt idx="105">
                  <c:v>153.04165</c:v>
                </c:pt>
                <c:pt idx="106">
                  <c:v>153.04165</c:v>
                </c:pt>
                <c:pt idx="107">
                  <c:v>153.04165</c:v>
                </c:pt>
                <c:pt idx="108">
                  <c:v>153.04165</c:v>
                </c:pt>
                <c:pt idx="109">
                  <c:v>153.04165</c:v>
                </c:pt>
                <c:pt idx="110">
                  <c:v>153.04165</c:v>
                </c:pt>
                <c:pt idx="111">
                  <c:v>153.04165</c:v>
                </c:pt>
                <c:pt idx="112">
                  <c:v>153.04165</c:v>
                </c:pt>
                <c:pt idx="113">
                  <c:v>153.04165</c:v>
                </c:pt>
                <c:pt idx="114">
                  <c:v>153.04165</c:v>
                </c:pt>
                <c:pt idx="115">
                  <c:v>153.04165</c:v>
                </c:pt>
                <c:pt idx="116">
                  <c:v>153.04165</c:v>
                </c:pt>
                <c:pt idx="117">
                  <c:v>153.04165</c:v>
                </c:pt>
                <c:pt idx="118">
                  <c:v>153.04165</c:v>
                </c:pt>
                <c:pt idx="119">
                  <c:v>153.04165</c:v>
                </c:pt>
                <c:pt idx="120">
                  <c:v>154.30581599999999</c:v>
                </c:pt>
                <c:pt idx="121">
                  <c:v>154.30581599999999</c:v>
                </c:pt>
                <c:pt idx="122">
                  <c:v>154.30581599999999</c:v>
                </c:pt>
                <c:pt idx="123">
                  <c:v>154.30581599999999</c:v>
                </c:pt>
                <c:pt idx="124">
                  <c:v>154.30581599999999</c:v>
                </c:pt>
                <c:pt idx="125">
                  <c:v>154.30581599999999</c:v>
                </c:pt>
                <c:pt idx="126">
                  <c:v>154.30581599999999</c:v>
                </c:pt>
                <c:pt idx="127">
                  <c:v>154.30581599999999</c:v>
                </c:pt>
                <c:pt idx="128">
                  <c:v>154.30581599999999</c:v>
                </c:pt>
                <c:pt idx="129">
                  <c:v>154.30581599999999</c:v>
                </c:pt>
                <c:pt idx="130">
                  <c:v>154.30581599999999</c:v>
                </c:pt>
                <c:pt idx="131">
                  <c:v>154.30581599999999</c:v>
                </c:pt>
                <c:pt idx="132">
                  <c:v>154.30581599999999</c:v>
                </c:pt>
                <c:pt idx="133">
                  <c:v>154.30581599999999</c:v>
                </c:pt>
                <c:pt idx="134">
                  <c:v>154.30581599999999</c:v>
                </c:pt>
                <c:pt idx="135">
                  <c:v>154.30581599999999</c:v>
                </c:pt>
                <c:pt idx="136">
                  <c:v>154.30581599999999</c:v>
                </c:pt>
                <c:pt idx="137">
                  <c:v>154.30581599999999</c:v>
                </c:pt>
                <c:pt idx="138">
                  <c:v>154.30581599999999</c:v>
                </c:pt>
                <c:pt idx="139">
                  <c:v>154.30581599999999</c:v>
                </c:pt>
                <c:pt idx="140">
                  <c:v>154.30581599999999</c:v>
                </c:pt>
                <c:pt idx="141">
                  <c:v>154.30581599999999</c:v>
                </c:pt>
                <c:pt idx="142">
                  <c:v>154.30581599999999</c:v>
                </c:pt>
                <c:pt idx="143">
                  <c:v>154.30581599999999</c:v>
                </c:pt>
                <c:pt idx="144">
                  <c:v>154.30581599999999</c:v>
                </c:pt>
                <c:pt idx="145">
                  <c:v>154.30581599999999</c:v>
                </c:pt>
                <c:pt idx="146">
                  <c:v>154.30581599999999</c:v>
                </c:pt>
                <c:pt idx="147">
                  <c:v>154.30581599999999</c:v>
                </c:pt>
                <c:pt idx="148">
                  <c:v>154.30581599999999</c:v>
                </c:pt>
                <c:pt idx="149">
                  <c:v>154.30581599999999</c:v>
                </c:pt>
                <c:pt idx="150">
                  <c:v>154.30581599999999</c:v>
                </c:pt>
                <c:pt idx="151">
                  <c:v>150.78579999999999</c:v>
                </c:pt>
                <c:pt idx="152">
                  <c:v>150.78579999999999</c:v>
                </c:pt>
                <c:pt idx="153">
                  <c:v>150.78579999999999</c:v>
                </c:pt>
                <c:pt idx="154">
                  <c:v>150.78579999999999</c:v>
                </c:pt>
                <c:pt idx="155">
                  <c:v>150.78579999999999</c:v>
                </c:pt>
                <c:pt idx="156">
                  <c:v>150.78579999999999</c:v>
                </c:pt>
                <c:pt idx="157">
                  <c:v>150.78579999999999</c:v>
                </c:pt>
                <c:pt idx="158">
                  <c:v>150.78579999999999</c:v>
                </c:pt>
                <c:pt idx="159">
                  <c:v>150.78579999999999</c:v>
                </c:pt>
                <c:pt idx="160">
                  <c:v>150.78579999999999</c:v>
                </c:pt>
                <c:pt idx="161">
                  <c:v>150.78579999999999</c:v>
                </c:pt>
                <c:pt idx="162">
                  <c:v>150.78579999999999</c:v>
                </c:pt>
                <c:pt idx="163">
                  <c:v>150.78579999999999</c:v>
                </c:pt>
                <c:pt idx="164">
                  <c:v>150.78579999999999</c:v>
                </c:pt>
                <c:pt idx="165">
                  <c:v>150.78579999999999</c:v>
                </c:pt>
                <c:pt idx="166">
                  <c:v>150.78579999999999</c:v>
                </c:pt>
                <c:pt idx="167">
                  <c:v>150.78579999999999</c:v>
                </c:pt>
                <c:pt idx="168">
                  <c:v>150.78579999999999</c:v>
                </c:pt>
                <c:pt idx="169">
                  <c:v>150.78579999999999</c:v>
                </c:pt>
                <c:pt idx="170">
                  <c:v>150.78579999999999</c:v>
                </c:pt>
                <c:pt idx="171">
                  <c:v>150.78579999999999</c:v>
                </c:pt>
                <c:pt idx="172">
                  <c:v>150.78579999999999</c:v>
                </c:pt>
                <c:pt idx="173">
                  <c:v>150.78579999999999</c:v>
                </c:pt>
                <c:pt idx="174">
                  <c:v>150.78579999999999</c:v>
                </c:pt>
                <c:pt idx="175">
                  <c:v>150.78579999999999</c:v>
                </c:pt>
                <c:pt idx="176">
                  <c:v>150.78579999999999</c:v>
                </c:pt>
                <c:pt idx="177">
                  <c:v>150.78579999999999</c:v>
                </c:pt>
                <c:pt idx="178">
                  <c:v>150.78579999999999</c:v>
                </c:pt>
                <c:pt idx="179">
                  <c:v>150.78579999999999</c:v>
                </c:pt>
                <c:pt idx="180">
                  <c:v>158.50582</c:v>
                </c:pt>
                <c:pt idx="181">
                  <c:v>157.065821</c:v>
                </c:pt>
                <c:pt idx="182">
                  <c:v>157.065821</c:v>
                </c:pt>
                <c:pt idx="183">
                  <c:v>157.065821</c:v>
                </c:pt>
                <c:pt idx="184">
                  <c:v>157.065821</c:v>
                </c:pt>
                <c:pt idx="185">
                  <c:v>157.065821</c:v>
                </c:pt>
                <c:pt idx="186">
                  <c:v>157.065821</c:v>
                </c:pt>
                <c:pt idx="187">
                  <c:v>157.065821</c:v>
                </c:pt>
                <c:pt idx="188">
                  <c:v>157.065821</c:v>
                </c:pt>
                <c:pt idx="189">
                  <c:v>157.065821</c:v>
                </c:pt>
                <c:pt idx="190">
                  <c:v>157.065821</c:v>
                </c:pt>
                <c:pt idx="191">
                  <c:v>157.065821</c:v>
                </c:pt>
                <c:pt idx="192">
                  <c:v>157.065821</c:v>
                </c:pt>
                <c:pt idx="193">
                  <c:v>157.065821</c:v>
                </c:pt>
                <c:pt idx="194">
                  <c:v>157.065821</c:v>
                </c:pt>
                <c:pt idx="195">
                  <c:v>157.065821</c:v>
                </c:pt>
                <c:pt idx="196">
                  <c:v>157.065821</c:v>
                </c:pt>
                <c:pt idx="197">
                  <c:v>157.065821</c:v>
                </c:pt>
                <c:pt idx="198">
                  <c:v>157.065821</c:v>
                </c:pt>
                <c:pt idx="199">
                  <c:v>157.065821</c:v>
                </c:pt>
                <c:pt idx="200">
                  <c:v>157.065821</c:v>
                </c:pt>
                <c:pt idx="201">
                  <c:v>157.065821</c:v>
                </c:pt>
                <c:pt idx="202">
                  <c:v>157.065821</c:v>
                </c:pt>
                <c:pt idx="203">
                  <c:v>157.065821</c:v>
                </c:pt>
                <c:pt idx="204">
                  <c:v>157.065821</c:v>
                </c:pt>
                <c:pt idx="205">
                  <c:v>157.065821</c:v>
                </c:pt>
                <c:pt idx="206">
                  <c:v>157.065821</c:v>
                </c:pt>
                <c:pt idx="207">
                  <c:v>157.065821</c:v>
                </c:pt>
                <c:pt idx="208">
                  <c:v>157.065821</c:v>
                </c:pt>
                <c:pt idx="209">
                  <c:v>157.065821</c:v>
                </c:pt>
                <c:pt idx="210">
                  <c:v>157.065821</c:v>
                </c:pt>
                <c:pt idx="211">
                  <c:v>157.065821</c:v>
                </c:pt>
                <c:pt idx="212">
                  <c:v>156.92257799999999</c:v>
                </c:pt>
                <c:pt idx="213">
                  <c:v>156.92257799999999</c:v>
                </c:pt>
                <c:pt idx="214">
                  <c:v>156.92257799999999</c:v>
                </c:pt>
                <c:pt idx="215">
                  <c:v>156.92257799999999</c:v>
                </c:pt>
                <c:pt idx="216">
                  <c:v>156.92257799999999</c:v>
                </c:pt>
                <c:pt idx="217">
                  <c:v>156.92257799999999</c:v>
                </c:pt>
                <c:pt idx="218">
                  <c:v>156.92257799999999</c:v>
                </c:pt>
                <c:pt idx="219">
                  <c:v>156.92257799999999</c:v>
                </c:pt>
                <c:pt idx="220">
                  <c:v>156.92257799999999</c:v>
                </c:pt>
                <c:pt idx="221">
                  <c:v>156.92257799999999</c:v>
                </c:pt>
                <c:pt idx="222">
                  <c:v>156.92257799999999</c:v>
                </c:pt>
                <c:pt idx="223">
                  <c:v>156.92257799999999</c:v>
                </c:pt>
                <c:pt idx="224">
                  <c:v>156.92257799999999</c:v>
                </c:pt>
                <c:pt idx="225">
                  <c:v>156.92257799999999</c:v>
                </c:pt>
                <c:pt idx="226">
                  <c:v>156.92257799999999</c:v>
                </c:pt>
                <c:pt idx="227">
                  <c:v>156.92257799999999</c:v>
                </c:pt>
                <c:pt idx="228">
                  <c:v>156.92257799999999</c:v>
                </c:pt>
                <c:pt idx="229">
                  <c:v>156.92257799999999</c:v>
                </c:pt>
                <c:pt idx="230">
                  <c:v>156.92257799999999</c:v>
                </c:pt>
                <c:pt idx="231">
                  <c:v>156.92257799999999</c:v>
                </c:pt>
                <c:pt idx="232">
                  <c:v>156.92257799999999</c:v>
                </c:pt>
                <c:pt idx="233">
                  <c:v>156.92257799999999</c:v>
                </c:pt>
                <c:pt idx="234">
                  <c:v>156.92257799999999</c:v>
                </c:pt>
                <c:pt idx="235">
                  <c:v>156.92257799999999</c:v>
                </c:pt>
                <c:pt idx="236">
                  <c:v>156.92257799999999</c:v>
                </c:pt>
                <c:pt idx="237">
                  <c:v>156.92257799999999</c:v>
                </c:pt>
                <c:pt idx="238">
                  <c:v>156.92257799999999</c:v>
                </c:pt>
                <c:pt idx="239">
                  <c:v>156.92257799999999</c:v>
                </c:pt>
                <c:pt idx="240">
                  <c:v>156.92257799999999</c:v>
                </c:pt>
                <c:pt idx="241">
                  <c:v>156.92257799999999</c:v>
                </c:pt>
                <c:pt idx="242">
                  <c:v>156.92257799999999</c:v>
                </c:pt>
                <c:pt idx="243">
                  <c:v>165.29034899999999</c:v>
                </c:pt>
                <c:pt idx="244">
                  <c:v>165.29034899999999</c:v>
                </c:pt>
                <c:pt idx="245">
                  <c:v>165.29034899999999</c:v>
                </c:pt>
                <c:pt idx="246">
                  <c:v>165.29034899999999</c:v>
                </c:pt>
                <c:pt idx="247">
                  <c:v>165.29034899999999</c:v>
                </c:pt>
                <c:pt idx="248">
                  <c:v>165.29034899999999</c:v>
                </c:pt>
                <c:pt idx="249">
                  <c:v>165.29034899999999</c:v>
                </c:pt>
                <c:pt idx="250">
                  <c:v>165.29034899999999</c:v>
                </c:pt>
                <c:pt idx="251">
                  <c:v>165.29034899999999</c:v>
                </c:pt>
                <c:pt idx="252">
                  <c:v>165.29034899999999</c:v>
                </c:pt>
                <c:pt idx="253">
                  <c:v>165.29034899999999</c:v>
                </c:pt>
                <c:pt idx="254">
                  <c:v>165.29034899999999</c:v>
                </c:pt>
                <c:pt idx="255">
                  <c:v>165.29034899999999</c:v>
                </c:pt>
                <c:pt idx="256">
                  <c:v>165.29034899999999</c:v>
                </c:pt>
                <c:pt idx="257">
                  <c:v>165.29034899999999</c:v>
                </c:pt>
                <c:pt idx="258">
                  <c:v>165.29034899999999</c:v>
                </c:pt>
                <c:pt idx="259">
                  <c:v>165.29034899999999</c:v>
                </c:pt>
                <c:pt idx="260">
                  <c:v>165.29034899999999</c:v>
                </c:pt>
                <c:pt idx="261">
                  <c:v>165.29034899999999</c:v>
                </c:pt>
                <c:pt idx="262">
                  <c:v>165.29034899999999</c:v>
                </c:pt>
                <c:pt idx="263">
                  <c:v>165.29034899999999</c:v>
                </c:pt>
                <c:pt idx="264">
                  <c:v>165.35659199999998</c:v>
                </c:pt>
                <c:pt idx="265">
                  <c:v>165.29034899999999</c:v>
                </c:pt>
                <c:pt idx="266">
                  <c:v>165.29034899999999</c:v>
                </c:pt>
                <c:pt idx="267">
                  <c:v>165.29034899999999</c:v>
                </c:pt>
                <c:pt idx="268">
                  <c:v>165.29034899999999</c:v>
                </c:pt>
                <c:pt idx="269">
                  <c:v>165.29034899999999</c:v>
                </c:pt>
                <c:pt idx="270">
                  <c:v>165.29034899999999</c:v>
                </c:pt>
                <c:pt idx="271">
                  <c:v>165.29034899999999</c:v>
                </c:pt>
                <c:pt idx="272">
                  <c:v>165.29034899999999</c:v>
                </c:pt>
                <c:pt idx="273">
                  <c:v>171.047459</c:v>
                </c:pt>
                <c:pt idx="274">
                  <c:v>171.047459</c:v>
                </c:pt>
                <c:pt idx="275">
                  <c:v>171.047459</c:v>
                </c:pt>
                <c:pt idx="276">
                  <c:v>171.047459</c:v>
                </c:pt>
                <c:pt idx="277">
                  <c:v>171.047459</c:v>
                </c:pt>
                <c:pt idx="278">
                  <c:v>171.047459</c:v>
                </c:pt>
                <c:pt idx="279">
                  <c:v>171.047459</c:v>
                </c:pt>
                <c:pt idx="280">
                  <c:v>171.047459</c:v>
                </c:pt>
                <c:pt idx="281">
                  <c:v>171.047459</c:v>
                </c:pt>
                <c:pt idx="282">
                  <c:v>171.047459</c:v>
                </c:pt>
                <c:pt idx="283">
                  <c:v>171.047459</c:v>
                </c:pt>
                <c:pt idx="284">
                  <c:v>171.047459</c:v>
                </c:pt>
                <c:pt idx="285">
                  <c:v>171.047459</c:v>
                </c:pt>
                <c:pt idx="286">
                  <c:v>171.047459</c:v>
                </c:pt>
                <c:pt idx="287">
                  <c:v>171.047459</c:v>
                </c:pt>
                <c:pt idx="288">
                  <c:v>196.95118500000001</c:v>
                </c:pt>
                <c:pt idx="289">
                  <c:v>173.05269899999999</c:v>
                </c:pt>
                <c:pt idx="290">
                  <c:v>171.047459</c:v>
                </c:pt>
                <c:pt idx="291">
                  <c:v>171.047459</c:v>
                </c:pt>
                <c:pt idx="292">
                  <c:v>171.047459</c:v>
                </c:pt>
                <c:pt idx="293">
                  <c:v>171.047459</c:v>
                </c:pt>
                <c:pt idx="294">
                  <c:v>171.047459</c:v>
                </c:pt>
                <c:pt idx="295">
                  <c:v>171.047459</c:v>
                </c:pt>
                <c:pt idx="296">
                  <c:v>171.047459</c:v>
                </c:pt>
                <c:pt idx="297">
                  <c:v>171.047459</c:v>
                </c:pt>
                <c:pt idx="298">
                  <c:v>171.047459</c:v>
                </c:pt>
                <c:pt idx="299">
                  <c:v>173.502701</c:v>
                </c:pt>
                <c:pt idx="300">
                  <c:v>171.047459</c:v>
                </c:pt>
                <c:pt idx="301">
                  <c:v>171.047459</c:v>
                </c:pt>
                <c:pt idx="302">
                  <c:v>203.41006200000001</c:v>
                </c:pt>
                <c:pt idx="303">
                  <c:v>229.874402</c:v>
                </c:pt>
                <c:pt idx="304">
                  <c:v>171.047459</c:v>
                </c:pt>
                <c:pt idx="305">
                  <c:v>184.08129099999999</c:v>
                </c:pt>
                <c:pt idx="306">
                  <c:v>171.047459</c:v>
                </c:pt>
                <c:pt idx="307">
                  <c:v>171.047459</c:v>
                </c:pt>
                <c:pt idx="308">
                  <c:v>207.42680000000001</c:v>
                </c:pt>
                <c:pt idx="309">
                  <c:v>171.047459</c:v>
                </c:pt>
                <c:pt idx="310">
                  <c:v>171.047459</c:v>
                </c:pt>
                <c:pt idx="311">
                  <c:v>171.047459</c:v>
                </c:pt>
                <c:pt idx="312">
                  <c:v>171.047459</c:v>
                </c:pt>
                <c:pt idx="313">
                  <c:v>171.047459</c:v>
                </c:pt>
                <c:pt idx="314">
                  <c:v>171.047459</c:v>
                </c:pt>
                <c:pt idx="315">
                  <c:v>171.047459</c:v>
                </c:pt>
                <c:pt idx="316">
                  <c:v>171.047459</c:v>
                </c:pt>
                <c:pt idx="317">
                  <c:v>171.047459</c:v>
                </c:pt>
                <c:pt idx="318">
                  <c:v>171.047459</c:v>
                </c:pt>
                <c:pt idx="319">
                  <c:v>171.047459</c:v>
                </c:pt>
                <c:pt idx="320">
                  <c:v>171.047459</c:v>
                </c:pt>
                <c:pt idx="321">
                  <c:v>171.047459</c:v>
                </c:pt>
                <c:pt idx="322">
                  <c:v>171.047459</c:v>
                </c:pt>
                <c:pt idx="323">
                  <c:v>171.047459</c:v>
                </c:pt>
                <c:pt idx="324">
                  <c:v>171.047459</c:v>
                </c:pt>
                <c:pt idx="325">
                  <c:v>174.25577899999999</c:v>
                </c:pt>
                <c:pt idx="326">
                  <c:v>180.668857</c:v>
                </c:pt>
                <c:pt idx="327">
                  <c:v>171.047459</c:v>
                </c:pt>
                <c:pt idx="328">
                  <c:v>171.047459</c:v>
                </c:pt>
                <c:pt idx="329">
                  <c:v>171.047459</c:v>
                </c:pt>
                <c:pt idx="330">
                  <c:v>180.265908</c:v>
                </c:pt>
                <c:pt idx="331">
                  <c:v>174.05525900000001</c:v>
                </c:pt>
                <c:pt idx="332">
                  <c:v>177.72176100000001</c:v>
                </c:pt>
                <c:pt idx="333">
                  <c:v>202.634379</c:v>
                </c:pt>
                <c:pt idx="334">
                  <c:v>176.750247</c:v>
                </c:pt>
                <c:pt idx="335">
                  <c:v>176.750247</c:v>
                </c:pt>
                <c:pt idx="336">
                  <c:v>180.10757699999999</c:v>
                </c:pt>
                <c:pt idx="337">
                  <c:v>176.750247</c:v>
                </c:pt>
                <c:pt idx="338">
                  <c:v>176.750247</c:v>
                </c:pt>
                <c:pt idx="339">
                  <c:v>176.750247</c:v>
                </c:pt>
                <c:pt idx="340">
                  <c:v>176.750247</c:v>
                </c:pt>
                <c:pt idx="341">
                  <c:v>176.84449900000001</c:v>
                </c:pt>
                <c:pt idx="342">
                  <c:v>176.750247</c:v>
                </c:pt>
                <c:pt idx="343">
                  <c:v>179.608306</c:v>
                </c:pt>
                <c:pt idx="344">
                  <c:v>184.284761</c:v>
                </c:pt>
                <c:pt idx="345">
                  <c:v>176.750247</c:v>
                </c:pt>
                <c:pt idx="346">
                  <c:v>176.750247</c:v>
                </c:pt>
                <c:pt idx="347">
                  <c:v>176.750247</c:v>
                </c:pt>
                <c:pt idx="348">
                  <c:v>176.750247</c:v>
                </c:pt>
                <c:pt idx="349">
                  <c:v>176.750247</c:v>
                </c:pt>
                <c:pt idx="350">
                  <c:v>176.750247</c:v>
                </c:pt>
                <c:pt idx="351">
                  <c:v>176.750247</c:v>
                </c:pt>
                <c:pt idx="352">
                  <c:v>176.750247</c:v>
                </c:pt>
                <c:pt idx="353">
                  <c:v>176.750247</c:v>
                </c:pt>
                <c:pt idx="354">
                  <c:v>182.76584700000001</c:v>
                </c:pt>
                <c:pt idx="355">
                  <c:v>215.25008700000001</c:v>
                </c:pt>
                <c:pt idx="356">
                  <c:v>208.83344700000001</c:v>
                </c:pt>
                <c:pt idx="357">
                  <c:v>224.875047</c:v>
                </c:pt>
                <c:pt idx="358">
                  <c:v>220.062567</c:v>
                </c:pt>
                <c:pt idx="359">
                  <c:v>220.062567</c:v>
                </c:pt>
                <c:pt idx="360">
                  <c:v>220.062567</c:v>
                </c:pt>
                <c:pt idx="361">
                  <c:v>176.750247</c:v>
                </c:pt>
                <c:pt idx="362">
                  <c:v>176.750247</c:v>
                </c:pt>
                <c:pt idx="363">
                  <c:v>176.750247</c:v>
                </c:pt>
                <c:pt idx="364">
                  <c:v>176.750247</c:v>
                </c:pt>
                <c:pt idx="365">
                  <c:v>195.59110799999999</c:v>
                </c:pt>
                <c:pt idx="366">
                  <c:v>197.59791200000001</c:v>
                </c:pt>
                <c:pt idx="367">
                  <c:v>195.59110799999999</c:v>
                </c:pt>
                <c:pt idx="368">
                  <c:v>215.69192200000001</c:v>
                </c:pt>
                <c:pt idx="369">
                  <c:v>201.60666000000001</c:v>
                </c:pt>
                <c:pt idx="370">
                  <c:v>201.60666000000001</c:v>
                </c:pt>
                <c:pt idx="371">
                  <c:v>223.416819</c:v>
                </c:pt>
                <c:pt idx="372">
                  <c:v>213.100458</c:v>
                </c:pt>
                <c:pt idx="373">
                  <c:v>215.51890499999999</c:v>
                </c:pt>
                <c:pt idx="374">
                  <c:v>245.97432900000001</c:v>
                </c:pt>
                <c:pt idx="375">
                  <c:v>223.768608</c:v>
                </c:pt>
                <c:pt idx="376">
                  <c:v>216.691619</c:v>
                </c:pt>
                <c:pt idx="377">
                  <c:v>221.29225299999999</c:v>
                </c:pt>
                <c:pt idx="378">
                  <c:v>229.234914</c:v>
                </c:pt>
                <c:pt idx="379">
                  <c:v>231.01553200000001</c:v>
                </c:pt>
                <c:pt idx="380">
                  <c:v>232.24271400000001</c:v>
                </c:pt>
                <c:pt idx="381">
                  <c:v>236.42957200000001</c:v>
                </c:pt>
                <c:pt idx="382">
                  <c:v>218.81127599999999</c:v>
                </c:pt>
                <c:pt idx="383">
                  <c:v>202.40873999999999</c:v>
                </c:pt>
                <c:pt idx="384">
                  <c:v>195.59106</c:v>
                </c:pt>
                <c:pt idx="385">
                  <c:v>231.01553200000001</c:v>
                </c:pt>
                <c:pt idx="386">
                  <c:v>231.01553200000001</c:v>
                </c:pt>
                <c:pt idx="387">
                  <c:v>195.59106</c:v>
                </c:pt>
                <c:pt idx="388">
                  <c:v>199.154315</c:v>
                </c:pt>
                <c:pt idx="389">
                  <c:v>231.01553200000001</c:v>
                </c:pt>
                <c:pt idx="390">
                  <c:v>195.59106</c:v>
                </c:pt>
                <c:pt idx="391">
                  <c:v>195.59106</c:v>
                </c:pt>
                <c:pt idx="392">
                  <c:v>206.83060599999999</c:v>
                </c:pt>
                <c:pt idx="393">
                  <c:v>205.21601899999999</c:v>
                </c:pt>
                <c:pt idx="394">
                  <c:v>205.81757899999999</c:v>
                </c:pt>
                <c:pt idx="395">
                  <c:v>195.59106</c:v>
                </c:pt>
                <c:pt idx="396">
                  <c:v>196.79418000000001</c:v>
                </c:pt>
                <c:pt idx="397">
                  <c:v>196.79418000000001</c:v>
                </c:pt>
                <c:pt idx="398">
                  <c:v>196.79418000000001</c:v>
                </c:pt>
                <c:pt idx="399">
                  <c:v>244.55059199999999</c:v>
                </c:pt>
                <c:pt idx="400">
                  <c:v>231.03498200000001</c:v>
                </c:pt>
                <c:pt idx="401">
                  <c:v>214.12596500000001</c:v>
                </c:pt>
                <c:pt idx="402">
                  <c:v>200.47572700000001</c:v>
                </c:pt>
                <c:pt idx="403">
                  <c:v>196.79418000000001</c:v>
                </c:pt>
                <c:pt idx="404">
                  <c:v>196.79418000000001</c:v>
                </c:pt>
                <c:pt idx="405">
                  <c:v>196.79418000000001</c:v>
                </c:pt>
                <c:pt idx="406">
                  <c:v>209.63231200000001</c:v>
                </c:pt>
                <c:pt idx="407">
                  <c:v>207.916855</c:v>
                </c:pt>
                <c:pt idx="408">
                  <c:v>201.07728700000001</c:v>
                </c:pt>
                <c:pt idx="409">
                  <c:v>215.02746300000001</c:v>
                </c:pt>
                <c:pt idx="410">
                  <c:v>204.81177100000002</c:v>
                </c:pt>
                <c:pt idx="411">
                  <c:v>196.79418000000001</c:v>
                </c:pt>
                <c:pt idx="412">
                  <c:v>196.79418000000001</c:v>
                </c:pt>
                <c:pt idx="413">
                  <c:v>216.68697400000002</c:v>
                </c:pt>
                <c:pt idx="414">
                  <c:v>237.50278600000001</c:v>
                </c:pt>
                <c:pt idx="415">
                  <c:v>226.471148</c:v>
                </c:pt>
                <c:pt idx="416">
                  <c:v>205.79754000000003</c:v>
                </c:pt>
                <c:pt idx="417">
                  <c:v>234.768666</c:v>
                </c:pt>
                <c:pt idx="418">
                  <c:v>204.98237400000002</c:v>
                </c:pt>
                <c:pt idx="419">
                  <c:v>205.583934</c:v>
                </c:pt>
                <c:pt idx="420">
                  <c:v>236.379457</c:v>
                </c:pt>
                <c:pt idx="421">
                  <c:v>212.48767600000002</c:v>
                </c:pt>
                <c:pt idx="422">
                  <c:v>196.79418000000001</c:v>
                </c:pt>
                <c:pt idx="423">
                  <c:v>196.79418000000001</c:v>
                </c:pt>
                <c:pt idx="424">
                  <c:v>203.89258799999999</c:v>
                </c:pt>
                <c:pt idx="425">
                  <c:v>203.89261999999999</c:v>
                </c:pt>
                <c:pt idx="426">
                  <c:v>203.89260999999999</c:v>
                </c:pt>
                <c:pt idx="427">
                  <c:v>205.29251399999998</c:v>
                </c:pt>
                <c:pt idx="428">
                  <c:v>203.89258799999999</c:v>
                </c:pt>
                <c:pt idx="429">
                  <c:v>203.89258799999999</c:v>
                </c:pt>
                <c:pt idx="430">
                  <c:v>207.11359499999998</c:v>
                </c:pt>
                <c:pt idx="431">
                  <c:v>221.11226699999997</c:v>
                </c:pt>
                <c:pt idx="432">
                  <c:v>203.89258799999999</c:v>
                </c:pt>
                <c:pt idx="433">
                  <c:v>203.89258799999999</c:v>
                </c:pt>
                <c:pt idx="434">
                  <c:v>203.89258799999999</c:v>
                </c:pt>
                <c:pt idx="435">
                  <c:v>214.69660499999998</c:v>
                </c:pt>
                <c:pt idx="436">
                  <c:v>203.89258799999999</c:v>
                </c:pt>
                <c:pt idx="437">
                  <c:v>207.940123</c:v>
                </c:pt>
                <c:pt idx="438">
                  <c:v>226.199836</c:v>
                </c:pt>
                <c:pt idx="439">
                  <c:v>203.89258799999999</c:v>
                </c:pt>
                <c:pt idx="440">
                  <c:v>203.89258799999999</c:v>
                </c:pt>
                <c:pt idx="441">
                  <c:v>209.54725199999999</c:v>
                </c:pt>
                <c:pt idx="442">
                  <c:v>203.89258799999999</c:v>
                </c:pt>
                <c:pt idx="443">
                  <c:v>203.89261199999999</c:v>
                </c:pt>
                <c:pt idx="444">
                  <c:v>212.12395099999998</c:v>
                </c:pt>
                <c:pt idx="445">
                  <c:v>231.01553099999998</c:v>
                </c:pt>
                <c:pt idx="446">
                  <c:v>203.89258799999999</c:v>
                </c:pt>
                <c:pt idx="447">
                  <c:v>205.88575599999999</c:v>
                </c:pt>
                <c:pt idx="448">
                  <c:v>206.03466999999998</c:v>
                </c:pt>
                <c:pt idx="449">
                  <c:v>203.89258799999999</c:v>
                </c:pt>
                <c:pt idx="450">
                  <c:v>203.89258799999999</c:v>
                </c:pt>
                <c:pt idx="451">
                  <c:v>203.89258799999999</c:v>
                </c:pt>
                <c:pt idx="452">
                  <c:v>206.652761</c:v>
                </c:pt>
                <c:pt idx="453">
                  <c:v>206.80415199999999</c:v>
                </c:pt>
                <c:pt idx="454">
                  <c:v>205.89981</c:v>
                </c:pt>
                <c:pt idx="455">
                  <c:v>199.03760500000001</c:v>
                </c:pt>
                <c:pt idx="456">
                  <c:v>191.29164800000001</c:v>
                </c:pt>
                <c:pt idx="457">
                  <c:v>160.53778500000001</c:v>
                </c:pt>
                <c:pt idx="458">
                  <c:v>188.65681600000002</c:v>
                </c:pt>
                <c:pt idx="459">
                  <c:v>167.997129</c:v>
                </c:pt>
                <c:pt idx="460">
                  <c:v>160.53778500000001</c:v>
                </c:pt>
                <c:pt idx="461">
                  <c:v>160.53778500000001</c:v>
                </c:pt>
                <c:pt idx="462">
                  <c:v>166.95442500000001</c:v>
                </c:pt>
                <c:pt idx="463">
                  <c:v>202.44975700000001</c:v>
                </c:pt>
                <c:pt idx="464">
                  <c:v>160.53778500000001</c:v>
                </c:pt>
                <c:pt idx="465">
                  <c:v>199.71340400000003</c:v>
                </c:pt>
                <c:pt idx="466">
                  <c:v>175.77729600000001</c:v>
                </c:pt>
                <c:pt idx="467">
                  <c:v>162.81168100000002</c:v>
                </c:pt>
                <c:pt idx="468">
                  <c:v>160.53778500000001</c:v>
                </c:pt>
                <c:pt idx="469">
                  <c:v>160.53778500000001</c:v>
                </c:pt>
                <c:pt idx="470">
                  <c:v>160.53778500000001</c:v>
                </c:pt>
                <c:pt idx="471">
                  <c:v>160.53778500000001</c:v>
                </c:pt>
                <c:pt idx="472">
                  <c:v>181.6756</c:v>
                </c:pt>
                <c:pt idx="473">
                  <c:v>175.681408</c:v>
                </c:pt>
                <c:pt idx="474">
                  <c:v>160.53778500000001</c:v>
                </c:pt>
                <c:pt idx="475">
                  <c:v>174.82684</c:v>
                </c:pt>
                <c:pt idx="476">
                  <c:v>176.877566</c:v>
                </c:pt>
                <c:pt idx="477">
                  <c:v>160.53778500000001</c:v>
                </c:pt>
                <c:pt idx="478">
                  <c:v>160.53778500000001</c:v>
                </c:pt>
                <c:pt idx="479">
                  <c:v>160.53778500000001</c:v>
                </c:pt>
                <c:pt idx="480">
                  <c:v>170.21157500000001</c:v>
                </c:pt>
                <c:pt idx="481">
                  <c:v>160.53778500000001</c:v>
                </c:pt>
                <c:pt idx="482">
                  <c:v>160.53778500000001</c:v>
                </c:pt>
                <c:pt idx="483">
                  <c:v>180.46791000000002</c:v>
                </c:pt>
                <c:pt idx="484">
                  <c:v>197.07865600000002</c:v>
                </c:pt>
                <c:pt idx="485">
                  <c:v>160.53879499999999</c:v>
                </c:pt>
                <c:pt idx="486">
                  <c:v>160.53879499999999</c:v>
                </c:pt>
                <c:pt idx="487">
                  <c:v>160.53879499999999</c:v>
                </c:pt>
                <c:pt idx="488">
                  <c:v>160.53879499999999</c:v>
                </c:pt>
                <c:pt idx="489">
                  <c:v>160.53879499999999</c:v>
                </c:pt>
                <c:pt idx="490">
                  <c:v>160.53879499999999</c:v>
                </c:pt>
                <c:pt idx="491">
                  <c:v>160.53879499999999</c:v>
                </c:pt>
                <c:pt idx="492">
                  <c:v>160.53879499999999</c:v>
                </c:pt>
                <c:pt idx="493">
                  <c:v>160.53879499999999</c:v>
                </c:pt>
                <c:pt idx="494">
                  <c:v>160.53879499999999</c:v>
                </c:pt>
                <c:pt idx="495">
                  <c:v>160.53879499999999</c:v>
                </c:pt>
                <c:pt idx="496">
                  <c:v>160.53879499999999</c:v>
                </c:pt>
                <c:pt idx="497">
                  <c:v>160.53879499999999</c:v>
                </c:pt>
                <c:pt idx="498">
                  <c:v>160.53879499999999</c:v>
                </c:pt>
                <c:pt idx="499">
                  <c:v>160.53879499999999</c:v>
                </c:pt>
                <c:pt idx="500">
                  <c:v>160.53879499999999</c:v>
                </c:pt>
                <c:pt idx="501">
                  <c:v>160.53879499999999</c:v>
                </c:pt>
                <c:pt idx="502">
                  <c:v>160.53879499999999</c:v>
                </c:pt>
                <c:pt idx="503">
                  <c:v>160.53879499999999</c:v>
                </c:pt>
                <c:pt idx="504">
                  <c:v>160.53879499999999</c:v>
                </c:pt>
                <c:pt idx="505">
                  <c:v>160.53879499999999</c:v>
                </c:pt>
                <c:pt idx="506">
                  <c:v>160.53879499999999</c:v>
                </c:pt>
                <c:pt idx="507">
                  <c:v>160.53879499999999</c:v>
                </c:pt>
                <c:pt idx="508">
                  <c:v>160.53879499999999</c:v>
                </c:pt>
                <c:pt idx="509">
                  <c:v>160.53879499999999</c:v>
                </c:pt>
                <c:pt idx="510">
                  <c:v>160.53879499999999</c:v>
                </c:pt>
                <c:pt idx="511">
                  <c:v>170.16375499999998</c:v>
                </c:pt>
                <c:pt idx="512">
                  <c:v>160.53879499999999</c:v>
                </c:pt>
                <c:pt idx="513">
                  <c:v>160.53879499999999</c:v>
                </c:pt>
                <c:pt idx="514">
                  <c:v>171.01432800000001</c:v>
                </c:pt>
                <c:pt idx="515">
                  <c:v>177.893801</c:v>
                </c:pt>
                <c:pt idx="516">
                  <c:v>160.53778500000001</c:v>
                </c:pt>
                <c:pt idx="517">
                  <c:v>160.53778500000001</c:v>
                </c:pt>
                <c:pt idx="518">
                  <c:v>160.69820100000001</c:v>
                </c:pt>
                <c:pt idx="519">
                  <c:v>160.53778500000001</c:v>
                </c:pt>
                <c:pt idx="520">
                  <c:v>160.53778500000001</c:v>
                </c:pt>
                <c:pt idx="521">
                  <c:v>160.53778500000001</c:v>
                </c:pt>
                <c:pt idx="522">
                  <c:v>160.53778500000001</c:v>
                </c:pt>
                <c:pt idx="523">
                  <c:v>160.53778500000001</c:v>
                </c:pt>
                <c:pt idx="524">
                  <c:v>160.53778500000001</c:v>
                </c:pt>
                <c:pt idx="525">
                  <c:v>160.53778500000001</c:v>
                </c:pt>
                <c:pt idx="526">
                  <c:v>181.60241900000003</c:v>
                </c:pt>
                <c:pt idx="527">
                  <c:v>191.61837600000001</c:v>
                </c:pt>
                <c:pt idx="528">
                  <c:v>175.576795</c:v>
                </c:pt>
                <c:pt idx="529">
                  <c:v>180.58982200000003</c:v>
                </c:pt>
                <c:pt idx="530">
                  <c:v>170.563793</c:v>
                </c:pt>
                <c:pt idx="531">
                  <c:v>170.563793</c:v>
                </c:pt>
                <c:pt idx="532">
                  <c:v>180.58980100000002</c:v>
                </c:pt>
                <c:pt idx="533">
                  <c:v>170.563793</c:v>
                </c:pt>
                <c:pt idx="534">
                  <c:v>180.58980100000002</c:v>
                </c:pt>
                <c:pt idx="535">
                  <c:v>195.62879100000001</c:v>
                </c:pt>
                <c:pt idx="536">
                  <c:v>180.58980100000002</c:v>
                </c:pt>
                <c:pt idx="537">
                  <c:v>190.61578500000002</c:v>
                </c:pt>
                <c:pt idx="538">
                  <c:v>190.61578500000002</c:v>
                </c:pt>
                <c:pt idx="539">
                  <c:v>190.627837</c:v>
                </c:pt>
                <c:pt idx="540">
                  <c:v>190.61578500000002</c:v>
                </c:pt>
                <c:pt idx="541">
                  <c:v>200.641817</c:v>
                </c:pt>
                <c:pt idx="542">
                  <c:v>200.641817</c:v>
                </c:pt>
                <c:pt idx="543">
                  <c:v>200.641817</c:v>
                </c:pt>
                <c:pt idx="544">
                  <c:v>241.98711700000001</c:v>
                </c:pt>
                <c:pt idx="545">
                  <c:v>235.07131800000002</c:v>
                </c:pt>
                <c:pt idx="546">
                  <c:v>202.807433</c:v>
                </c:pt>
                <c:pt idx="547">
                  <c:v>182.765443</c:v>
                </c:pt>
                <c:pt idx="548">
                  <c:v>183.95853700000001</c:v>
                </c:pt>
                <c:pt idx="549">
                  <c:v>189.77360100000001</c:v>
                </c:pt>
                <c:pt idx="550">
                  <c:v>189.77360100000001</c:v>
                </c:pt>
                <c:pt idx="551">
                  <c:v>182.75541700000002</c:v>
                </c:pt>
                <c:pt idx="552">
                  <c:v>182.75541700000002</c:v>
                </c:pt>
                <c:pt idx="553">
                  <c:v>189.77360100000001</c:v>
                </c:pt>
                <c:pt idx="554">
                  <c:v>189.77360100000001</c:v>
                </c:pt>
                <c:pt idx="555">
                  <c:v>189.77360100000001</c:v>
                </c:pt>
                <c:pt idx="556">
                  <c:v>189.77360100000001</c:v>
                </c:pt>
                <c:pt idx="557">
                  <c:v>189.77360100000001</c:v>
                </c:pt>
                <c:pt idx="558">
                  <c:v>215.339901</c:v>
                </c:pt>
                <c:pt idx="559">
                  <c:v>215.339901</c:v>
                </c:pt>
                <c:pt idx="560">
                  <c:v>189.77360100000001</c:v>
                </c:pt>
                <c:pt idx="561">
                  <c:v>189.77360100000001</c:v>
                </c:pt>
                <c:pt idx="562">
                  <c:v>189.77360100000001</c:v>
                </c:pt>
                <c:pt idx="563">
                  <c:v>189.77360100000001</c:v>
                </c:pt>
                <c:pt idx="564">
                  <c:v>189.77360100000001</c:v>
                </c:pt>
                <c:pt idx="565">
                  <c:v>215.84121700000003</c:v>
                </c:pt>
                <c:pt idx="566">
                  <c:v>215.84121700000003</c:v>
                </c:pt>
                <c:pt idx="567">
                  <c:v>189.77360100000001</c:v>
                </c:pt>
                <c:pt idx="568">
                  <c:v>189.77360100000001</c:v>
                </c:pt>
                <c:pt idx="569">
                  <c:v>189.77360100000001</c:v>
                </c:pt>
                <c:pt idx="570">
                  <c:v>189.773595</c:v>
                </c:pt>
                <c:pt idx="571">
                  <c:v>189.77360100000001</c:v>
                </c:pt>
                <c:pt idx="572">
                  <c:v>182.75541700000002</c:v>
                </c:pt>
                <c:pt idx="573">
                  <c:v>182.75541700000002</c:v>
                </c:pt>
                <c:pt idx="574">
                  <c:v>189.77360100000001</c:v>
                </c:pt>
                <c:pt idx="575">
                  <c:v>189.77360100000001</c:v>
                </c:pt>
                <c:pt idx="576">
                  <c:v>177.742401</c:v>
                </c:pt>
                <c:pt idx="577">
                  <c:v>197.849592</c:v>
                </c:pt>
                <c:pt idx="578">
                  <c:v>201.85997500000002</c:v>
                </c:pt>
                <c:pt idx="579">
                  <c:v>195.84437500000001</c:v>
                </c:pt>
                <c:pt idx="580">
                  <c:v>195.84437500000001</c:v>
                </c:pt>
                <c:pt idx="581">
                  <c:v>201.85997500000002</c:v>
                </c:pt>
                <c:pt idx="582">
                  <c:v>202.36129200000002</c:v>
                </c:pt>
                <c:pt idx="583">
                  <c:v>209.61119600000001</c:v>
                </c:pt>
                <c:pt idx="584">
                  <c:v>209.61119600000001</c:v>
                </c:pt>
                <c:pt idx="585">
                  <c:v>202.36129200000002</c:v>
                </c:pt>
                <c:pt idx="586">
                  <c:v>205.870384</c:v>
                </c:pt>
                <c:pt idx="587">
                  <c:v>205.870384</c:v>
                </c:pt>
                <c:pt idx="588">
                  <c:v>202.36129200000002</c:v>
                </c:pt>
                <c:pt idx="589">
                  <c:v>202.36129200000002</c:v>
                </c:pt>
                <c:pt idx="590">
                  <c:v>190.83138400000001</c:v>
                </c:pt>
                <c:pt idx="591">
                  <c:v>187.82358400000001</c:v>
                </c:pt>
                <c:pt idx="592">
                  <c:v>187.82358400000001</c:v>
                </c:pt>
                <c:pt idx="593">
                  <c:v>190.83138400000001</c:v>
                </c:pt>
                <c:pt idx="594">
                  <c:v>190.83138400000001</c:v>
                </c:pt>
                <c:pt idx="595">
                  <c:v>187.82358400000001</c:v>
                </c:pt>
                <c:pt idx="596">
                  <c:v>190.83138400000001</c:v>
                </c:pt>
                <c:pt idx="597">
                  <c:v>187.82358400000001</c:v>
                </c:pt>
                <c:pt idx="598">
                  <c:v>187.82358400000001</c:v>
                </c:pt>
                <c:pt idx="599">
                  <c:v>187.82358400000001</c:v>
                </c:pt>
                <c:pt idx="600">
                  <c:v>187.82358400000001</c:v>
                </c:pt>
                <c:pt idx="601">
                  <c:v>187.82358400000001</c:v>
                </c:pt>
                <c:pt idx="602">
                  <c:v>187.82358400000001</c:v>
                </c:pt>
                <c:pt idx="603">
                  <c:v>209.310416</c:v>
                </c:pt>
                <c:pt idx="604">
                  <c:v>223.54736800000001</c:v>
                </c:pt>
                <c:pt idx="605">
                  <c:v>232.61968100000001</c:v>
                </c:pt>
                <c:pt idx="606">
                  <c:v>224.99999100000002</c:v>
                </c:pt>
                <c:pt idx="607">
                  <c:v>200.857392</c:v>
                </c:pt>
                <c:pt idx="608">
                  <c:v>160.53778500000001</c:v>
                </c:pt>
                <c:pt idx="609">
                  <c:v>170.563793</c:v>
                </c:pt>
                <c:pt idx="610">
                  <c:v>189.903413</c:v>
                </c:pt>
                <c:pt idx="611">
                  <c:v>214.323384</c:v>
                </c:pt>
                <c:pt idx="612">
                  <c:v>170.563793</c:v>
                </c:pt>
                <c:pt idx="613">
                  <c:v>160.53778500000001</c:v>
                </c:pt>
                <c:pt idx="614">
                  <c:v>160.53778500000001</c:v>
                </c:pt>
                <c:pt idx="615">
                  <c:v>160.53778500000001</c:v>
                </c:pt>
                <c:pt idx="616">
                  <c:v>161.54039300000002</c:v>
                </c:pt>
                <c:pt idx="617">
                  <c:v>170.563793</c:v>
                </c:pt>
                <c:pt idx="618">
                  <c:v>160.53778500000001</c:v>
                </c:pt>
                <c:pt idx="619">
                  <c:v>160.53778500000001</c:v>
                </c:pt>
                <c:pt idx="620">
                  <c:v>160.53778500000001</c:v>
                </c:pt>
                <c:pt idx="621">
                  <c:v>160.53778500000001</c:v>
                </c:pt>
                <c:pt idx="622">
                  <c:v>160.53778500000001</c:v>
                </c:pt>
                <c:pt idx="623">
                  <c:v>176.68366700000001</c:v>
                </c:pt>
                <c:pt idx="624">
                  <c:v>170.563793</c:v>
                </c:pt>
                <c:pt idx="625">
                  <c:v>224.97499100000002</c:v>
                </c:pt>
                <c:pt idx="626">
                  <c:v>202.29218400000002</c:v>
                </c:pt>
                <c:pt idx="627">
                  <c:v>198.68282300000001</c:v>
                </c:pt>
                <c:pt idx="628">
                  <c:v>176.57939300000001</c:v>
                </c:pt>
                <c:pt idx="629">
                  <c:v>185.00123300000001</c:v>
                </c:pt>
                <c:pt idx="630">
                  <c:v>170.92472900000001</c:v>
                </c:pt>
                <c:pt idx="631">
                  <c:v>170.563793</c:v>
                </c:pt>
                <c:pt idx="632">
                  <c:v>179.63832500000001</c:v>
                </c:pt>
                <c:pt idx="633">
                  <c:v>175.87757300000001</c:v>
                </c:pt>
                <c:pt idx="634">
                  <c:v>188.19326600000002</c:v>
                </c:pt>
                <c:pt idx="635">
                  <c:v>211.115047</c:v>
                </c:pt>
                <c:pt idx="636">
                  <c:v>211.115047</c:v>
                </c:pt>
                <c:pt idx="637">
                  <c:v>181.391873</c:v>
                </c:pt>
              </c:numCache>
            </c:numRef>
          </c:val>
          <c:extLst>
            <c:ext xmlns:c16="http://schemas.microsoft.com/office/drawing/2014/chart" uri="{C3380CC4-5D6E-409C-BE32-E72D297353CC}">
              <c16:uniqueId val="{00000000-7882-4F0A-9E24-D1CD5CBAD872}"/>
            </c:ext>
          </c:extLst>
        </c:ser>
        <c:ser>
          <c:idx val="0"/>
          <c:order val="2"/>
          <c:tx>
            <c:strRef>
              <c:f>'[Gráfico en Microsoft PowerPoint]Situacion VIP PIRINEOS'!$C$3</c:f>
              <c:strCache>
                <c:ptCount val="1"/>
                <c:pt idx="0">
                  <c:v>Entry long term booked capacity (LT, yearly, quarterly and monthly)</c:v>
                </c:pt>
              </c:strCache>
            </c:strRef>
          </c:tx>
          <c:spPr>
            <a:solidFill>
              <a:srgbClr val="F7F7E3"/>
            </a:solidFill>
            <a:ln>
              <a:noFill/>
            </a:ln>
            <a:effectLst/>
          </c:spPr>
          <c:cat>
            <c:numRef>
              <c:f>'[Gráfico en Microsoft PowerPoint]Situacion VIP PIRINEOS'!$B$4:$B$641</c:f>
              <c:numCache>
                <c:formatCode>m/d/yyyy</c:formatCode>
                <c:ptCount val="638"/>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pt idx="365">
                  <c:v>43466</c:v>
                </c:pt>
                <c:pt idx="366">
                  <c:v>43467</c:v>
                </c:pt>
                <c:pt idx="367">
                  <c:v>43468</c:v>
                </c:pt>
                <c:pt idx="368">
                  <c:v>43469</c:v>
                </c:pt>
                <c:pt idx="369">
                  <c:v>43470</c:v>
                </c:pt>
                <c:pt idx="370">
                  <c:v>43471</c:v>
                </c:pt>
                <c:pt idx="371">
                  <c:v>43472</c:v>
                </c:pt>
                <c:pt idx="372">
                  <c:v>43473</c:v>
                </c:pt>
                <c:pt idx="373">
                  <c:v>43474</c:v>
                </c:pt>
                <c:pt idx="374">
                  <c:v>43475</c:v>
                </c:pt>
                <c:pt idx="375">
                  <c:v>43476</c:v>
                </c:pt>
                <c:pt idx="376">
                  <c:v>43477</c:v>
                </c:pt>
                <c:pt idx="377">
                  <c:v>43478</c:v>
                </c:pt>
                <c:pt idx="378">
                  <c:v>43479</c:v>
                </c:pt>
                <c:pt idx="379">
                  <c:v>43480</c:v>
                </c:pt>
                <c:pt idx="380">
                  <c:v>43481</c:v>
                </c:pt>
                <c:pt idx="381">
                  <c:v>43482</c:v>
                </c:pt>
                <c:pt idx="382">
                  <c:v>43483</c:v>
                </c:pt>
                <c:pt idx="383">
                  <c:v>43484</c:v>
                </c:pt>
                <c:pt idx="384">
                  <c:v>43485</c:v>
                </c:pt>
                <c:pt idx="385">
                  <c:v>43486</c:v>
                </c:pt>
                <c:pt idx="386">
                  <c:v>43487</c:v>
                </c:pt>
                <c:pt idx="387">
                  <c:v>43488</c:v>
                </c:pt>
                <c:pt idx="388">
                  <c:v>43489</c:v>
                </c:pt>
                <c:pt idx="389">
                  <c:v>43490</c:v>
                </c:pt>
                <c:pt idx="390">
                  <c:v>43491</c:v>
                </c:pt>
                <c:pt idx="391">
                  <c:v>43492</c:v>
                </c:pt>
                <c:pt idx="392">
                  <c:v>43493</c:v>
                </c:pt>
                <c:pt idx="393">
                  <c:v>43494</c:v>
                </c:pt>
                <c:pt idx="394">
                  <c:v>43495</c:v>
                </c:pt>
                <c:pt idx="395">
                  <c:v>43496</c:v>
                </c:pt>
                <c:pt idx="396">
                  <c:v>43497</c:v>
                </c:pt>
                <c:pt idx="397">
                  <c:v>43498</c:v>
                </c:pt>
                <c:pt idx="398">
                  <c:v>43499</c:v>
                </c:pt>
                <c:pt idx="399">
                  <c:v>43500</c:v>
                </c:pt>
                <c:pt idx="400">
                  <c:v>43501</c:v>
                </c:pt>
                <c:pt idx="401">
                  <c:v>43502</c:v>
                </c:pt>
                <c:pt idx="402">
                  <c:v>43503</c:v>
                </c:pt>
                <c:pt idx="403">
                  <c:v>43504</c:v>
                </c:pt>
                <c:pt idx="404">
                  <c:v>43505</c:v>
                </c:pt>
                <c:pt idx="405">
                  <c:v>43506</c:v>
                </c:pt>
                <c:pt idx="406">
                  <c:v>43507</c:v>
                </c:pt>
                <c:pt idx="407">
                  <c:v>43508</c:v>
                </c:pt>
                <c:pt idx="408">
                  <c:v>43509</c:v>
                </c:pt>
                <c:pt idx="409">
                  <c:v>43510</c:v>
                </c:pt>
                <c:pt idx="410">
                  <c:v>43511</c:v>
                </c:pt>
                <c:pt idx="411">
                  <c:v>43512</c:v>
                </c:pt>
                <c:pt idx="412">
                  <c:v>43513</c:v>
                </c:pt>
                <c:pt idx="413">
                  <c:v>43514</c:v>
                </c:pt>
                <c:pt idx="414">
                  <c:v>43515</c:v>
                </c:pt>
                <c:pt idx="415">
                  <c:v>43516</c:v>
                </c:pt>
                <c:pt idx="416">
                  <c:v>43517</c:v>
                </c:pt>
                <c:pt idx="417">
                  <c:v>43518</c:v>
                </c:pt>
                <c:pt idx="418">
                  <c:v>43519</c:v>
                </c:pt>
                <c:pt idx="419">
                  <c:v>43520</c:v>
                </c:pt>
                <c:pt idx="420">
                  <c:v>43521</c:v>
                </c:pt>
                <c:pt idx="421">
                  <c:v>43522</c:v>
                </c:pt>
                <c:pt idx="422">
                  <c:v>43523</c:v>
                </c:pt>
                <c:pt idx="423">
                  <c:v>43524</c:v>
                </c:pt>
                <c:pt idx="424">
                  <c:v>43525</c:v>
                </c:pt>
                <c:pt idx="425">
                  <c:v>43526</c:v>
                </c:pt>
                <c:pt idx="426">
                  <c:v>43527</c:v>
                </c:pt>
                <c:pt idx="427">
                  <c:v>43528</c:v>
                </c:pt>
                <c:pt idx="428">
                  <c:v>43529</c:v>
                </c:pt>
                <c:pt idx="429">
                  <c:v>43530</c:v>
                </c:pt>
                <c:pt idx="430">
                  <c:v>43531</c:v>
                </c:pt>
                <c:pt idx="431">
                  <c:v>43532</c:v>
                </c:pt>
                <c:pt idx="432">
                  <c:v>43533</c:v>
                </c:pt>
                <c:pt idx="433">
                  <c:v>43534</c:v>
                </c:pt>
                <c:pt idx="434">
                  <c:v>43535</c:v>
                </c:pt>
                <c:pt idx="435">
                  <c:v>43536</c:v>
                </c:pt>
                <c:pt idx="436">
                  <c:v>43537</c:v>
                </c:pt>
                <c:pt idx="437">
                  <c:v>43538</c:v>
                </c:pt>
                <c:pt idx="438">
                  <c:v>43539</c:v>
                </c:pt>
                <c:pt idx="439">
                  <c:v>43540</c:v>
                </c:pt>
                <c:pt idx="440">
                  <c:v>43541</c:v>
                </c:pt>
                <c:pt idx="441">
                  <c:v>43542</c:v>
                </c:pt>
                <c:pt idx="442">
                  <c:v>43543</c:v>
                </c:pt>
                <c:pt idx="443">
                  <c:v>43544</c:v>
                </c:pt>
                <c:pt idx="444">
                  <c:v>43545</c:v>
                </c:pt>
                <c:pt idx="445">
                  <c:v>43546</c:v>
                </c:pt>
                <c:pt idx="446">
                  <c:v>43547</c:v>
                </c:pt>
                <c:pt idx="447">
                  <c:v>43548</c:v>
                </c:pt>
                <c:pt idx="448">
                  <c:v>43549</c:v>
                </c:pt>
                <c:pt idx="449">
                  <c:v>43550</c:v>
                </c:pt>
                <c:pt idx="450">
                  <c:v>43551</c:v>
                </c:pt>
                <c:pt idx="451">
                  <c:v>43552</c:v>
                </c:pt>
                <c:pt idx="452">
                  <c:v>43553</c:v>
                </c:pt>
                <c:pt idx="453">
                  <c:v>43554</c:v>
                </c:pt>
                <c:pt idx="454">
                  <c:v>43555</c:v>
                </c:pt>
                <c:pt idx="455">
                  <c:v>43556</c:v>
                </c:pt>
                <c:pt idx="456">
                  <c:v>43557</c:v>
                </c:pt>
                <c:pt idx="457">
                  <c:v>43558</c:v>
                </c:pt>
                <c:pt idx="458">
                  <c:v>43559</c:v>
                </c:pt>
                <c:pt idx="459">
                  <c:v>43560</c:v>
                </c:pt>
                <c:pt idx="460">
                  <c:v>43561</c:v>
                </c:pt>
                <c:pt idx="461">
                  <c:v>43562</c:v>
                </c:pt>
                <c:pt idx="462">
                  <c:v>43563</c:v>
                </c:pt>
                <c:pt idx="463">
                  <c:v>43564</c:v>
                </c:pt>
                <c:pt idx="464">
                  <c:v>43565</c:v>
                </c:pt>
                <c:pt idx="465">
                  <c:v>43566</c:v>
                </c:pt>
                <c:pt idx="466">
                  <c:v>43567</c:v>
                </c:pt>
                <c:pt idx="467">
                  <c:v>43568</c:v>
                </c:pt>
                <c:pt idx="468">
                  <c:v>43569</c:v>
                </c:pt>
                <c:pt idx="469">
                  <c:v>43570</c:v>
                </c:pt>
                <c:pt idx="470">
                  <c:v>43571</c:v>
                </c:pt>
                <c:pt idx="471">
                  <c:v>43572</c:v>
                </c:pt>
                <c:pt idx="472">
                  <c:v>43573</c:v>
                </c:pt>
                <c:pt idx="473">
                  <c:v>43574</c:v>
                </c:pt>
                <c:pt idx="474">
                  <c:v>43575</c:v>
                </c:pt>
                <c:pt idx="475">
                  <c:v>43576</c:v>
                </c:pt>
                <c:pt idx="476">
                  <c:v>43577</c:v>
                </c:pt>
                <c:pt idx="477">
                  <c:v>43578</c:v>
                </c:pt>
                <c:pt idx="478">
                  <c:v>43579</c:v>
                </c:pt>
                <c:pt idx="479">
                  <c:v>43580</c:v>
                </c:pt>
                <c:pt idx="480">
                  <c:v>43581</c:v>
                </c:pt>
                <c:pt idx="481">
                  <c:v>43582</c:v>
                </c:pt>
                <c:pt idx="482">
                  <c:v>43583</c:v>
                </c:pt>
                <c:pt idx="483">
                  <c:v>43584</c:v>
                </c:pt>
                <c:pt idx="484">
                  <c:v>43585</c:v>
                </c:pt>
                <c:pt idx="485">
                  <c:v>43586</c:v>
                </c:pt>
                <c:pt idx="486">
                  <c:v>43587</c:v>
                </c:pt>
                <c:pt idx="487">
                  <c:v>43588</c:v>
                </c:pt>
                <c:pt idx="488">
                  <c:v>43589</c:v>
                </c:pt>
                <c:pt idx="489">
                  <c:v>43590</c:v>
                </c:pt>
                <c:pt idx="490">
                  <c:v>43591</c:v>
                </c:pt>
                <c:pt idx="491">
                  <c:v>43592</c:v>
                </c:pt>
                <c:pt idx="492">
                  <c:v>43593</c:v>
                </c:pt>
                <c:pt idx="493">
                  <c:v>43594</c:v>
                </c:pt>
                <c:pt idx="494">
                  <c:v>43595</c:v>
                </c:pt>
                <c:pt idx="495">
                  <c:v>43596</c:v>
                </c:pt>
                <c:pt idx="496">
                  <c:v>43597</c:v>
                </c:pt>
                <c:pt idx="497">
                  <c:v>43598</c:v>
                </c:pt>
                <c:pt idx="498">
                  <c:v>43599</c:v>
                </c:pt>
                <c:pt idx="499">
                  <c:v>43600</c:v>
                </c:pt>
                <c:pt idx="500">
                  <c:v>43601</c:v>
                </c:pt>
                <c:pt idx="501">
                  <c:v>43602</c:v>
                </c:pt>
                <c:pt idx="502">
                  <c:v>43603</c:v>
                </c:pt>
                <c:pt idx="503">
                  <c:v>43604</c:v>
                </c:pt>
                <c:pt idx="504">
                  <c:v>43605</c:v>
                </c:pt>
                <c:pt idx="505">
                  <c:v>43606</c:v>
                </c:pt>
                <c:pt idx="506">
                  <c:v>43607</c:v>
                </c:pt>
                <c:pt idx="507">
                  <c:v>43608</c:v>
                </c:pt>
                <c:pt idx="508">
                  <c:v>43609</c:v>
                </c:pt>
                <c:pt idx="509">
                  <c:v>43610</c:v>
                </c:pt>
                <c:pt idx="510">
                  <c:v>43611</c:v>
                </c:pt>
                <c:pt idx="511">
                  <c:v>43612</c:v>
                </c:pt>
                <c:pt idx="512">
                  <c:v>43613</c:v>
                </c:pt>
                <c:pt idx="513">
                  <c:v>43614</c:v>
                </c:pt>
                <c:pt idx="514">
                  <c:v>43615</c:v>
                </c:pt>
                <c:pt idx="515">
                  <c:v>43616</c:v>
                </c:pt>
                <c:pt idx="516">
                  <c:v>43617</c:v>
                </c:pt>
                <c:pt idx="517">
                  <c:v>43618</c:v>
                </c:pt>
                <c:pt idx="518">
                  <c:v>43619</c:v>
                </c:pt>
                <c:pt idx="519">
                  <c:v>43620</c:v>
                </c:pt>
                <c:pt idx="520">
                  <c:v>43621</c:v>
                </c:pt>
                <c:pt idx="521">
                  <c:v>43622</c:v>
                </c:pt>
                <c:pt idx="522">
                  <c:v>43623</c:v>
                </c:pt>
                <c:pt idx="523">
                  <c:v>43624</c:v>
                </c:pt>
                <c:pt idx="524">
                  <c:v>43625</c:v>
                </c:pt>
                <c:pt idx="525">
                  <c:v>43626</c:v>
                </c:pt>
                <c:pt idx="526">
                  <c:v>43627</c:v>
                </c:pt>
                <c:pt idx="527">
                  <c:v>43628</c:v>
                </c:pt>
                <c:pt idx="528">
                  <c:v>43629</c:v>
                </c:pt>
                <c:pt idx="529">
                  <c:v>43630</c:v>
                </c:pt>
                <c:pt idx="530">
                  <c:v>43631</c:v>
                </c:pt>
                <c:pt idx="531">
                  <c:v>43632</c:v>
                </c:pt>
                <c:pt idx="532">
                  <c:v>43633</c:v>
                </c:pt>
                <c:pt idx="533">
                  <c:v>43634</c:v>
                </c:pt>
                <c:pt idx="534">
                  <c:v>43635</c:v>
                </c:pt>
                <c:pt idx="535">
                  <c:v>43636</c:v>
                </c:pt>
                <c:pt idx="536">
                  <c:v>43637</c:v>
                </c:pt>
                <c:pt idx="537">
                  <c:v>43638</c:v>
                </c:pt>
                <c:pt idx="538">
                  <c:v>43639</c:v>
                </c:pt>
                <c:pt idx="539">
                  <c:v>43640</c:v>
                </c:pt>
                <c:pt idx="540">
                  <c:v>43641</c:v>
                </c:pt>
                <c:pt idx="541">
                  <c:v>43642</c:v>
                </c:pt>
                <c:pt idx="542">
                  <c:v>43643</c:v>
                </c:pt>
                <c:pt idx="543">
                  <c:v>43644</c:v>
                </c:pt>
                <c:pt idx="544">
                  <c:v>43645</c:v>
                </c:pt>
                <c:pt idx="545">
                  <c:v>43646</c:v>
                </c:pt>
                <c:pt idx="546">
                  <c:v>43647</c:v>
                </c:pt>
                <c:pt idx="547">
                  <c:v>43648</c:v>
                </c:pt>
                <c:pt idx="548">
                  <c:v>43649</c:v>
                </c:pt>
                <c:pt idx="549">
                  <c:v>43650</c:v>
                </c:pt>
                <c:pt idx="550">
                  <c:v>43651</c:v>
                </c:pt>
                <c:pt idx="551">
                  <c:v>43652</c:v>
                </c:pt>
                <c:pt idx="552">
                  <c:v>43653</c:v>
                </c:pt>
                <c:pt idx="553">
                  <c:v>43654</c:v>
                </c:pt>
                <c:pt idx="554">
                  <c:v>43655</c:v>
                </c:pt>
                <c:pt idx="555">
                  <c:v>43656</c:v>
                </c:pt>
                <c:pt idx="556">
                  <c:v>43657</c:v>
                </c:pt>
                <c:pt idx="557">
                  <c:v>43658</c:v>
                </c:pt>
                <c:pt idx="558">
                  <c:v>43659</c:v>
                </c:pt>
                <c:pt idx="559">
                  <c:v>43660</c:v>
                </c:pt>
                <c:pt idx="560">
                  <c:v>43661</c:v>
                </c:pt>
                <c:pt idx="561">
                  <c:v>43662</c:v>
                </c:pt>
                <c:pt idx="562">
                  <c:v>43663</c:v>
                </c:pt>
                <c:pt idx="563">
                  <c:v>43664</c:v>
                </c:pt>
                <c:pt idx="564">
                  <c:v>43665</c:v>
                </c:pt>
                <c:pt idx="565">
                  <c:v>43666</c:v>
                </c:pt>
                <c:pt idx="566">
                  <c:v>43667</c:v>
                </c:pt>
                <c:pt idx="567">
                  <c:v>43668</c:v>
                </c:pt>
                <c:pt idx="568">
                  <c:v>43669</c:v>
                </c:pt>
                <c:pt idx="569">
                  <c:v>43670</c:v>
                </c:pt>
                <c:pt idx="570">
                  <c:v>43671</c:v>
                </c:pt>
                <c:pt idx="571">
                  <c:v>43672</c:v>
                </c:pt>
                <c:pt idx="572">
                  <c:v>43673</c:v>
                </c:pt>
                <c:pt idx="573">
                  <c:v>43674</c:v>
                </c:pt>
                <c:pt idx="574">
                  <c:v>43675</c:v>
                </c:pt>
                <c:pt idx="575">
                  <c:v>43676</c:v>
                </c:pt>
                <c:pt idx="576">
                  <c:v>43677</c:v>
                </c:pt>
                <c:pt idx="577">
                  <c:v>43678</c:v>
                </c:pt>
                <c:pt idx="578">
                  <c:v>43679</c:v>
                </c:pt>
                <c:pt idx="579">
                  <c:v>43680</c:v>
                </c:pt>
                <c:pt idx="580">
                  <c:v>43681</c:v>
                </c:pt>
                <c:pt idx="581">
                  <c:v>43682</c:v>
                </c:pt>
                <c:pt idx="582">
                  <c:v>43683</c:v>
                </c:pt>
                <c:pt idx="583">
                  <c:v>43684</c:v>
                </c:pt>
                <c:pt idx="584">
                  <c:v>43685</c:v>
                </c:pt>
                <c:pt idx="585">
                  <c:v>43686</c:v>
                </c:pt>
                <c:pt idx="586">
                  <c:v>43687</c:v>
                </c:pt>
                <c:pt idx="587">
                  <c:v>43688</c:v>
                </c:pt>
                <c:pt idx="588">
                  <c:v>43689</c:v>
                </c:pt>
                <c:pt idx="589">
                  <c:v>43690</c:v>
                </c:pt>
                <c:pt idx="590">
                  <c:v>43691</c:v>
                </c:pt>
                <c:pt idx="591">
                  <c:v>43692</c:v>
                </c:pt>
                <c:pt idx="592">
                  <c:v>43693</c:v>
                </c:pt>
                <c:pt idx="593">
                  <c:v>43694</c:v>
                </c:pt>
                <c:pt idx="594">
                  <c:v>43695</c:v>
                </c:pt>
                <c:pt idx="595">
                  <c:v>43696</c:v>
                </c:pt>
                <c:pt idx="596">
                  <c:v>43697</c:v>
                </c:pt>
                <c:pt idx="597">
                  <c:v>43698</c:v>
                </c:pt>
                <c:pt idx="598">
                  <c:v>43699</c:v>
                </c:pt>
                <c:pt idx="599">
                  <c:v>43700</c:v>
                </c:pt>
                <c:pt idx="600">
                  <c:v>43701</c:v>
                </c:pt>
                <c:pt idx="601">
                  <c:v>43702</c:v>
                </c:pt>
                <c:pt idx="602">
                  <c:v>43703</c:v>
                </c:pt>
                <c:pt idx="603">
                  <c:v>43704</c:v>
                </c:pt>
                <c:pt idx="604">
                  <c:v>43705</c:v>
                </c:pt>
                <c:pt idx="605">
                  <c:v>43706</c:v>
                </c:pt>
                <c:pt idx="606">
                  <c:v>43707</c:v>
                </c:pt>
                <c:pt idx="607">
                  <c:v>43708</c:v>
                </c:pt>
                <c:pt idx="608">
                  <c:v>43709</c:v>
                </c:pt>
                <c:pt idx="609">
                  <c:v>43710</c:v>
                </c:pt>
                <c:pt idx="610">
                  <c:v>43711</c:v>
                </c:pt>
                <c:pt idx="611">
                  <c:v>43712</c:v>
                </c:pt>
                <c:pt idx="612">
                  <c:v>43713</c:v>
                </c:pt>
                <c:pt idx="613">
                  <c:v>43714</c:v>
                </c:pt>
                <c:pt idx="614">
                  <c:v>43715</c:v>
                </c:pt>
                <c:pt idx="615">
                  <c:v>43716</c:v>
                </c:pt>
                <c:pt idx="616">
                  <c:v>43717</c:v>
                </c:pt>
                <c:pt idx="617">
                  <c:v>43718</c:v>
                </c:pt>
                <c:pt idx="618">
                  <c:v>43719</c:v>
                </c:pt>
                <c:pt idx="619">
                  <c:v>43720</c:v>
                </c:pt>
                <c:pt idx="620">
                  <c:v>43721</c:v>
                </c:pt>
                <c:pt idx="621">
                  <c:v>43722</c:v>
                </c:pt>
                <c:pt idx="622">
                  <c:v>43723</c:v>
                </c:pt>
                <c:pt idx="623">
                  <c:v>43724</c:v>
                </c:pt>
                <c:pt idx="624">
                  <c:v>43725</c:v>
                </c:pt>
                <c:pt idx="625">
                  <c:v>43726</c:v>
                </c:pt>
                <c:pt idx="626">
                  <c:v>43727</c:v>
                </c:pt>
                <c:pt idx="627">
                  <c:v>43728</c:v>
                </c:pt>
                <c:pt idx="628">
                  <c:v>43729</c:v>
                </c:pt>
                <c:pt idx="629">
                  <c:v>43730</c:v>
                </c:pt>
                <c:pt idx="630">
                  <c:v>43731</c:v>
                </c:pt>
                <c:pt idx="631">
                  <c:v>43732</c:v>
                </c:pt>
                <c:pt idx="632">
                  <c:v>43733</c:v>
                </c:pt>
                <c:pt idx="633">
                  <c:v>43734</c:v>
                </c:pt>
                <c:pt idx="634">
                  <c:v>43735</c:v>
                </c:pt>
                <c:pt idx="635">
                  <c:v>43736</c:v>
                </c:pt>
                <c:pt idx="636">
                  <c:v>43737</c:v>
                </c:pt>
                <c:pt idx="637">
                  <c:v>43738</c:v>
                </c:pt>
              </c:numCache>
            </c:numRef>
          </c:cat>
          <c:val>
            <c:numRef>
              <c:f>'[Gráfico en Microsoft PowerPoint]Situacion VIP PIRINEOS'!$C$4:$C$641</c:f>
              <c:numCache>
                <c:formatCode>#,##0.00</c:formatCode>
                <c:ptCount val="638"/>
                <c:pt idx="0">
                  <c:v>157.95639499999999</c:v>
                </c:pt>
                <c:pt idx="1">
                  <c:v>157.95639499999999</c:v>
                </c:pt>
                <c:pt idx="2">
                  <c:v>157.95639499999999</c:v>
                </c:pt>
                <c:pt idx="3">
                  <c:v>157.95639499999999</c:v>
                </c:pt>
                <c:pt idx="4">
                  <c:v>157.95639499999999</c:v>
                </c:pt>
                <c:pt idx="5">
                  <c:v>157.95639499999999</c:v>
                </c:pt>
                <c:pt idx="6">
                  <c:v>157.95639499999999</c:v>
                </c:pt>
                <c:pt idx="7">
                  <c:v>157.95639499999999</c:v>
                </c:pt>
                <c:pt idx="8">
                  <c:v>157.95639499999999</c:v>
                </c:pt>
                <c:pt idx="9">
                  <c:v>157.95639499999999</c:v>
                </c:pt>
                <c:pt idx="10">
                  <c:v>157.95639499999999</c:v>
                </c:pt>
                <c:pt idx="11">
                  <c:v>157.95639499999999</c:v>
                </c:pt>
                <c:pt idx="12">
                  <c:v>157.95639499999999</c:v>
                </c:pt>
                <c:pt idx="13">
                  <c:v>157.95639499999999</c:v>
                </c:pt>
                <c:pt idx="14">
                  <c:v>157.95639499999999</c:v>
                </c:pt>
                <c:pt idx="15">
                  <c:v>157.95639499999999</c:v>
                </c:pt>
                <c:pt idx="16">
                  <c:v>157.95639499999999</c:v>
                </c:pt>
                <c:pt idx="17">
                  <c:v>157.95639499999999</c:v>
                </c:pt>
                <c:pt idx="18">
                  <c:v>157.95639499999999</c:v>
                </c:pt>
                <c:pt idx="19">
                  <c:v>157.95639499999999</c:v>
                </c:pt>
                <c:pt idx="20">
                  <c:v>157.95639499999999</c:v>
                </c:pt>
                <c:pt idx="21">
                  <c:v>157.95639499999999</c:v>
                </c:pt>
                <c:pt idx="22">
                  <c:v>157.95639499999999</c:v>
                </c:pt>
                <c:pt idx="23">
                  <c:v>157.95639499999999</c:v>
                </c:pt>
                <c:pt idx="24">
                  <c:v>157.95639499999999</c:v>
                </c:pt>
                <c:pt idx="25">
                  <c:v>157.95639499999999</c:v>
                </c:pt>
                <c:pt idx="26">
                  <c:v>157.95639499999999</c:v>
                </c:pt>
                <c:pt idx="27">
                  <c:v>157.95639499999999</c:v>
                </c:pt>
                <c:pt idx="28">
                  <c:v>157.95639499999999</c:v>
                </c:pt>
                <c:pt idx="29">
                  <c:v>157.95639499999999</c:v>
                </c:pt>
                <c:pt idx="30">
                  <c:v>157.95639499999999</c:v>
                </c:pt>
                <c:pt idx="31">
                  <c:v>157.95639499999999</c:v>
                </c:pt>
                <c:pt idx="32">
                  <c:v>157.95639499999999</c:v>
                </c:pt>
                <c:pt idx="33">
                  <c:v>157.95639499999999</c:v>
                </c:pt>
                <c:pt idx="34">
                  <c:v>157.95639499999999</c:v>
                </c:pt>
                <c:pt idx="35">
                  <c:v>157.95639499999999</c:v>
                </c:pt>
                <c:pt idx="36">
                  <c:v>157.95639499999999</c:v>
                </c:pt>
                <c:pt idx="37">
                  <c:v>157.95639499999999</c:v>
                </c:pt>
                <c:pt idx="38">
                  <c:v>157.95639499999999</c:v>
                </c:pt>
                <c:pt idx="39">
                  <c:v>157.95639499999999</c:v>
                </c:pt>
                <c:pt idx="40">
                  <c:v>157.95639499999999</c:v>
                </c:pt>
                <c:pt idx="41">
                  <c:v>157.95639499999999</c:v>
                </c:pt>
                <c:pt idx="42">
                  <c:v>157.95639499999999</c:v>
                </c:pt>
                <c:pt idx="43">
                  <c:v>157.95639499999999</c:v>
                </c:pt>
                <c:pt idx="44">
                  <c:v>157.95639499999999</c:v>
                </c:pt>
                <c:pt idx="45">
                  <c:v>157.95639499999999</c:v>
                </c:pt>
                <c:pt idx="46">
                  <c:v>157.95639499999999</c:v>
                </c:pt>
                <c:pt idx="47">
                  <c:v>157.95639499999999</c:v>
                </c:pt>
                <c:pt idx="48">
                  <c:v>157.95639499999999</c:v>
                </c:pt>
                <c:pt idx="49">
                  <c:v>157.95639499999999</c:v>
                </c:pt>
                <c:pt idx="50">
                  <c:v>157.95639499999999</c:v>
                </c:pt>
                <c:pt idx="51">
                  <c:v>157.95639499999999</c:v>
                </c:pt>
                <c:pt idx="52">
                  <c:v>157.95639499999999</c:v>
                </c:pt>
                <c:pt idx="53">
                  <c:v>157.95639499999999</c:v>
                </c:pt>
                <c:pt idx="54">
                  <c:v>157.95639499999999</c:v>
                </c:pt>
                <c:pt idx="55">
                  <c:v>157.95639499999999</c:v>
                </c:pt>
                <c:pt idx="56">
                  <c:v>157.95639499999999</c:v>
                </c:pt>
                <c:pt idx="57">
                  <c:v>157.95639499999999</c:v>
                </c:pt>
                <c:pt idx="58">
                  <c:v>157.95639499999999</c:v>
                </c:pt>
                <c:pt idx="59">
                  <c:v>157.954398</c:v>
                </c:pt>
                <c:pt idx="60">
                  <c:v>157.954398</c:v>
                </c:pt>
                <c:pt idx="61">
                  <c:v>157.954398</c:v>
                </c:pt>
                <c:pt idx="62">
                  <c:v>157.954398</c:v>
                </c:pt>
                <c:pt idx="63">
                  <c:v>157.954398</c:v>
                </c:pt>
                <c:pt idx="64">
                  <c:v>157.954398</c:v>
                </c:pt>
                <c:pt idx="65">
                  <c:v>157.954398</c:v>
                </c:pt>
                <c:pt idx="66">
                  <c:v>157.954398</c:v>
                </c:pt>
                <c:pt idx="67">
                  <c:v>157.954398</c:v>
                </c:pt>
                <c:pt idx="68">
                  <c:v>157.954398</c:v>
                </c:pt>
                <c:pt idx="69">
                  <c:v>157.954398</c:v>
                </c:pt>
                <c:pt idx="70">
                  <c:v>157.954398</c:v>
                </c:pt>
                <c:pt idx="71">
                  <c:v>157.954398</c:v>
                </c:pt>
                <c:pt idx="72">
                  <c:v>157.954398</c:v>
                </c:pt>
                <c:pt idx="73">
                  <c:v>157.954398</c:v>
                </c:pt>
                <c:pt idx="74">
                  <c:v>157.954398</c:v>
                </c:pt>
                <c:pt idx="75">
                  <c:v>157.954398</c:v>
                </c:pt>
                <c:pt idx="76">
                  <c:v>157.954398</c:v>
                </c:pt>
                <c:pt idx="77">
                  <c:v>157.954398</c:v>
                </c:pt>
                <c:pt idx="78">
                  <c:v>157.954398</c:v>
                </c:pt>
                <c:pt idx="79">
                  <c:v>157.954398</c:v>
                </c:pt>
                <c:pt idx="80">
                  <c:v>157.954398</c:v>
                </c:pt>
                <c:pt idx="81">
                  <c:v>157.954398</c:v>
                </c:pt>
                <c:pt idx="82">
                  <c:v>157.954398</c:v>
                </c:pt>
                <c:pt idx="83">
                  <c:v>157.954398</c:v>
                </c:pt>
                <c:pt idx="84">
                  <c:v>157.954398</c:v>
                </c:pt>
                <c:pt idx="85">
                  <c:v>157.954398</c:v>
                </c:pt>
                <c:pt idx="86">
                  <c:v>157.954398</c:v>
                </c:pt>
                <c:pt idx="87">
                  <c:v>157.954398</c:v>
                </c:pt>
                <c:pt idx="88">
                  <c:v>157.954398</c:v>
                </c:pt>
                <c:pt idx="89">
                  <c:v>157.954398</c:v>
                </c:pt>
                <c:pt idx="90">
                  <c:v>153.04165</c:v>
                </c:pt>
                <c:pt idx="91">
                  <c:v>153.04165</c:v>
                </c:pt>
                <c:pt idx="92">
                  <c:v>153.04165</c:v>
                </c:pt>
                <c:pt idx="93">
                  <c:v>153.04165</c:v>
                </c:pt>
                <c:pt idx="94">
                  <c:v>153.04165</c:v>
                </c:pt>
                <c:pt idx="95">
                  <c:v>153.04165</c:v>
                </c:pt>
                <c:pt idx="96">
                  <c:v>153.04165</c:v>
                </c:pt>
                <c:pt idx="97">
                  <c:v>153.04165</c:v>
                </c:pt>
                <c:pt idx="98">
                  <c:v>153.04165</c:v>
                </c:pt>
                <c:pt idx="99">
                  <c:v>153.04165</c:v>
                </c:pt>
                <c:pt idx="100">
                  <c:v>153.04165</c:v>
                </c:pt>
                <c:pt idx="101">
                  <c:v>153.04165</c:v>
                </c:pt>
                <c:pt idx="102">
                  <c:v>153.04165</c:v>
                </c:pt>
                <c:pt idx="103">
                  <c:v>153.04165</c:v>
                </c:pt>
                <c:pt idx="104">
                  <c:v>153.04165</c:v>
                </c:pt>
                <c:pt idx="105">
                  <c:v>153.04165</c:v>
                </c:pt>
                <c:pt idx="106">
                  <c:v>153.04165</c:v>
                </c:pt>
                <c:pt idx="107">
                  <c:v>153.04165</c:v>
                </c:pt>
                <c:pt idx="108">
                  <c:v>153.04165</c:v>
                </c:pt>
                <c:pt idx="109">
                  <c:v>153.04165</c:v>
                </c:pt>
                <c:pt idx="110">
                  <c:v>153.04165</c:v>
                </c:pt>
                <c:pt idx="111">
                  <c:v>153.04165</c:v>
                </c:pt>
                <c:pt idx="112">
                  <c:v>153.04165</c:v>
                </c:pt>
                <c:pt idx="113">
                  <c:v>153.04165</c:v>
                </c:pt>
                <c:pt idx="114">
                  <c:v>153.04165</c:v>
                </c:pt>
                <c:pt idx="115">
                  <c:v>153.04165</c:v>
                </c:pt>
                <c:pt idx="116">
                  <c:v>153.04165</c:v>
                </c:pt>
                <c:pt idx="117">
                  <c:v>153.04165</c:v>
                </c:pt>
                <c:pt idx="118">
                  <c:v>153.04165</c:v>
                </c:pt>
                <c:pt idx="119">
                  <c:v>153.04165</c:v>
                </c:pt>
                <c:pt idx="120">
                  <c:v>154.30581599999999</c:v>
                </c:pt>
                <c:pt idx="121">
                  <c:v>154.30581599999999</c:v>
                </c:pt>
                <c:pt idx="122">
                  <c:v>154.30581599999999</c:v>
                </c:pt>
                <c:pt idx="123">
                  <c:v>154.30581599999999</c:v>
                </c:pt>
                <c:pt idx="124">
                  <c:v>154.30581599999999</c:v>
                </c:pt>
                <c:pt idx="125">
                  <c:v>154.30581599999999</c:v>
                </c:pt>
                <c:pt idx="126">
                  <c:v>154.30581599999999</c:v>
                </c:pt>
                <c:pt idx="127">
                  <c:v>154.30581599999999</c:v>
                </c:pt>
                <c:pt idx="128">
                  <c:v>154.30581599999999</c:v>
                </c:pt>
                <c:pt idx="129">
                  <c:v>154.30581599999999</c:v>
                </c:pt>
                <c:pt idx="130">
                  <c:v>154.30581599999999</c:v>
                </c:pt>
                <c:pt idx="131">
                  <c:v>154.30581599999999</c:v>
                </c:pt>
                <c:pt idx="132">
                  <c:v>154.30581599999999</c:v>
                </c:pt>
                <c:pt idx="133">
                  <c:v>154.30581599999999</c:v>
                </c:pt>
                <c:pt idx="134">
                  <c:v>154.30581599999999</c:v>
                </c:pt>
                <c:pt idx="135">
                  <c:v>154.30581599999999</c:v>
                </c:pt>
                <c:pt idx="136">
                  <c:v>154.30581599999999</c:v>
                </c:pt>
                <c:pt idx="137">
                  <c:v>154.30581599999999</c:v>
                </c:pt>
                <c:pt idx="138">
                  <c:v>154.30581599999999</c:v>
                </c:pt>
                <c:pt idx="139">
                  <c:v>154.30581599999999</c:v>
                </c:pt>
                <c:pt idx="140">
                  <c:v>154.30581599999999</c:v>
                </c:pt>
                <c:pt idx="141">
                  <c:v>154.30581599999999</c:v>
                </c:pt>
                <c:pt idx="142">
                  <c:v>154.30581599999999</c:v>
                </c:pt>
                <c:pt idx="143">
                  <c:v>154.30581599999999</c:v>
                </c:pt>
                <c:pt idx="144">
                  <c:v>154.30581599999999</c:v>
                </c:pt>
                <c:pt idx="145">
                  <c:v>154.30581599999999</c:v>
                </c:pt>
                <c:pt idx="146">
                  <c:v>154.30581599999999</c:v>
                </c:pt>
                <c:pt idx="147">
                  <c:v>154.30581599999999</c:v>
                </c:pt>
                <c:pt idx="148">
                  <c:v>154.30581599999999</c:v>
                </c:pt>
                <c:pt idx="149">
                  <c:v>154.30581599999999</c:v>
                </c:pt>
                <c:pt idx="150">
                  <c:v>154.30581599999999</c:v>
                </c:pt>
                <c:pt idx="151">
                  <c:v>150.78579999999999</c:v>
                </c:pt>
                <c:pt idx="152">
                  <c:v>150.78579999999999</c:v>
                </c:pt>
                <c:pt idx="153">
                  <c:v>150.78579999999999</c:v>
                </c:pt>
                <c:pt idx="154">
                  <c:v>150.78579999999999</c:v>
                </c:pt>
                <c:pt idx="155">
                  <c:v>150.78579999999999</c:v>
                </c:pt>
                <c:pt idx="156">
                  <c:v>150.78579999999999</c:v>
                </c:pt>
                <c:pt idx="157">
                  <c:v>150.78579999999999</c:v>
                </c:pt>
                <c:pt idx="158">
                  <c:v>150.78579999999999</c:v>
                </c:pt>
                <c:pt idx="159">
                  <c:v>150.78579999999999</c:v>
                </c:pt>
                <c:pt idx="160">
                  <c:v>150.78579999999999</c:v>
                </c:pt>
                <c:pt idx="161">
                  <c:v>150.78579999999999</c:v>
                </c:pt>
                <c:pt idx="162">
                  <c:v>150.78579999999999</c:v>
                </c:pt>
                <c:pt idx="163">
                  <c:v>150.78579999999999</c:v>
                </c:pt>
                <c:pt idx="164">
                  <c:v>150.78579999999999</c:v>
                </c:pt>
                <c:pt idx="165">
                  <c:v>150.78579999999999</c:v>
                </c:pt>
                <c:pt idx="166">
                  <c:v>150.78579999999999</c:v>
                </c:pt>
                <c:pt idx="167">
                  <c:v>150.78579999999999</c:v>
                </c:pt>
                <c:pt idx="168">
                  <c:v>150.78579999999999</c:v>
                </c:pt>
                <c:pt idx="169">
                  <c:v>150.78579999999999</c:v>
                </c:pt>
                <c:pt idx="170">
                  <c:v>150.78579999999999</c:v>
                </c:pt>
                <c:pt idx="171">
                  <c:v>150.78579999999999</c:v>
                </c:pt>
                <c:pt idx="172">
                  <c:v>150.78579999999999</c:v>
                </c:pt>
                <c:pt idx="173">
                  <c:v>150.78579999999999</c:v>
                </c:pt>
                <c:pt idx="174">
                  <c:v>150.78579999999999</c:v>
                </c:pt>
                <c:pt idx="175">
                  <c:v>150.78579999999999</c:v>
                </c:pt>
                <c:pt idx="176">
                  <c:v>150.78579999999999</c:v>
                </c:pt>
                <c:pt idx="177">
                  <c:v>150.78579999999999</c:v>
                </c:pt>
                <c:pt idx="178">
                  <c:v>150.78579999999999</c:v>
                </c:pt>
                <c:pt idx="179">
                  <c:v>150.78579999999999</c:v>
                </c:pt>
                <c:pt idx="180">
                  <c:v>150.78579999999999</c:v>
                </c:pt>
                <c:pt idx="181">
                  <c:v>157.065821</c:v>
                </c:pt>
                <c:pt idx="182">
                  <c:v>157.065821</c:v>
                </c:pt>
                <c:pt idx="183">
                  <c:v>157.065821</c:v>
                </c:pt>
                <c:pt idx="184">
                  <c:v>157.065821</c:v>
                </c:pt>
                <c:pt idx="185">
                  <c:v>157.065821</c:v>
                </c:pt>
                <c:pt idx="186">
                  <c:v>157.065821</c:v>
                </c:pt>
                <c:pt idx="187">
                  <c:v>157.065821</c:v>
                </c:pt>
                <c:pt idx="188">
                  <c:v>157.065821</c:v>
                </c:pt>
                <c:pt idx="189">
                  <c:v>157.065821</c:v>
                </c:pt>
                <c:pt idx="190">
                  <c:v>157.065821</c:v>
                </c:pt>
                <c:pt idx="191">
                  <c:v>157.065821</c:v>
                </c:pt>
                <c:pt idx="192">
                  <c:v>157.065821</c:v>
                </c:pt>
                <c:pt idx="193">
                  <c:v>157.065821</c:v>
                </c:pt>
                <c:pt idx="194">
                  <c:v>157.065821</c:v>
                </c:pt>
                <c:pt idx="195">
                  <c:v>157.065821</c:v>
                </c:pt>
                <c:pt idx="196">
                  <c:v>157.065821</c:v>
                </c:pt>
                <c:pt idx="197">
                  <c:v>157.065821</c:v>
                </c:pt>
                <c:pt idx="198">
                  <c:v>157.065821</c:v>
                </c:pt>
                <c:pt idx="199">
                  <c:v>157.065821</c:v>
                </c:pt>
                <c:pt idx="200">
                  <c:v>157.065821</c:v>
                </c:pt>
                <c:pt idx="201">
                  <c:v>157.065821</c:v>
                </c:pt>
                <c:pt idx="202">
                  <c:v>157.065821</c:v>
                </c:pt>
                <c:pt idx="203">
                  <c:v>157.065821</c:v>
                </c:pt>
                <c:pt idx="204">
                  <c:v>157.065821</c:v>
                </c:pt>
                <c:pt idx="205">
                  <c:v>157.065821</c:v>
                </c:pt>
                <c:pt idx="206">
                  <c:v>157.065821</c:v>
                </c:pt>
                <c:pt idx="207">
                  <c:v>157.065821</c:v>
                </c:pt>
                <c:pt idx="208">
                  <c:v>157.065821</c:v>
                </c:pt>
                <c:pt idx="209">
                  <c:v>157.065821</c:v>
                </c:pt>
                <c:pt idx="210">
                  <c:v>157.065821</c:v>
                </c:pt>
                <c:pt idx="211">
                  <c:v>157.065821</c:v>
                </c:pt>
                <c:pt idx="212">
                  <c:v>156.92257799999999</c:v>
                </c:pt>
                <c:pt idx="213">
                  <c:v>156.92257799999999</c:v>
                </c:pt>
                <c:pt idx="214">
                  <c:v>156.92257799999999</c:v>
                </c:pt>
                <c:pt idx="215">
                  <c:v>156.92257799999999</c:v>
                </c:pt>
                <c:pt idx="216">
                  <c:v>156.92257799999999</c:v>
                </c:pt>
                <c:pt idx="217">
                  <c:v>156.92257799999999</c:v>
                </c:pt>
                <c:pt idx="218">
                  <c:v>156.92257799999999</c:v>
                </c:pt>
                <c:pt idx="219">
                  <c:v>156.92257799999999</c:v>
                </c:pt>
                <c:pt idx="220">
                  <c:v>156.92257799999999</c:v>
                </c:pt>
                <c:pt idx="221">
                  <c:v>156.92257799999999</c:v>
                </c:pt>
                <c:pt idx="222">
                  <c:v>156.92257799999999</c:v>
                </c:pt>
                <c:pt idx="223">
                  <c:v>156.92257799999999</c:v>
                </c:pt>
                <c:pt idx="224">
                  <c:v>156.92257799999999</c:v>
                </c:pt>
                <c:pt idx="225">
                  <c:v>156.92257799999999</c:v>
                </c:pt>
                <c:pt idx="226">
                  <c:v>156.92257799999999</c:v>
                </c:pt>
                <c:pt idx="227">
                  <c:v>156.92257799999999</c:v>
                </c:pt>
                <c:pt idx="228">
                  <c:v>156.92257799999999</c:v>
                </c:pt>
                <c:pt idx="229">
                  <c:v>156.92257799999999</c:v>
                </c:pt>
                <c:pt idx="230">
                  <c:v>156.92257799999999</c:v>
                </c:pt>
                <c:pt idx="231">
                  <c:v>156.92257799999999</c:v>
                </c:pt>
                <c:pt idx="232">
                  <c:v>156.92257799999999</c:v>
                </c:pt>
                <c:pt idx="233">
                  <c:v>156.92257799999999</c:v>
                </c:pt>
                <c:pt idx="234">
                  <c:v>156.92257799999999</c:v>
                </c:pt>
                <c:pt idx="235">
                  <c:v>156.92257799999999</c:v>
                </c:pt>
                <c:pt idx="236">
                  <c:v>156.92257799999999</c:v>
                </c:pt>
                <c:pt idx="237">
                  <c:v>156.92257799999999</c:v>
                </c:pt>
                <c:pt idx="238">
                  <c:v>156.92257799999999</c:v>
                </c:pt>
                <c:pt idx="239">
                  <c:v>156.92257799999999</c:v>
                </c:pt>
                <c:pt idx="240">
                  <c:v>156.92257799999999</c:v>
                </c:pt>
                <c:pt idx="241">
                  <c:v>156.92257799999999</c:v>
                </c:pt>
                <c:pt idx="242">
                  <c:v>156.92257799999999</c:v>
                </c:pt>
                <c:pt idx="243">
                  <c:v>165.29034899999999</c:v>
                </c:pt>
                <c:pt idx="244">
                  <c:v>165.29034899999999</c:v>
                </c:pt>
                <c:pt idx="245">
                  <c:v>165.29034899999999</c:v>
                </c:pt>
                <c:pt idx="246">
                  <c:v>165.29034899999999</c:v>
                </c:pt>
                <c:pt idx="247">
                  <c:v>165.29034899999999</c:v>
                </c:pt>
                <c:pt idx="248">
                  <c:v>165.29034899999999</c:v>
                </c:pt>
                <c:pt idx="249">
                  <c:v>165.29034899999999</c:v>
                </c:pt>
                <c:pt idx="250">
                  <c:v>165.29034899999999</c:v>
                </c:pt>
                <c:pt idx="251">
                  <c:v>165.29034899999999</c:v>
                </c:pt>
                <c:pt idx="252">
                  <c:v>165.29034899999999</c:v>
                </c:pt>
                <c:pt idx="253">
                  <c:v>165.29034899999999</c:v>
                </c:pt>
                <c:pt idx="254">
                  <c:v>165.29034899999999</c:v>
                </c:pt>
                <c:pt idx="255">
                  <c:v>165.29034899999999</c:v>
                </c:pt>
                <c:pt idx="256">
                  <c:v>165.29034899999999</c:v>
                </c:pt>
                <c:pt idx="257">
                  <c:v>165.29034899999999</c:v>
                </c:pt>
                <c:pt idx="258">
                  <c:v>165.29034899999999</c:v>
                </c:pt>
                <c:pt idx="259">
                  <c:v>165.29034899999999</c:v>
                </c:pt>
                <c:pt idx="260">
                  <c:v>165.29034899999999</c:v>
                </c:pt>
                <c:pt idx="261">
                  <c:v>165.29034899999999</c:v>
                </c:pt>
                <c:pt idx="262">
                  <c:v>165.29034899999999</c:v>
                </c:pt>
                <c:pt idx="263">
                  <c:v>165.29034899999999</c:v>
                </c:pt>
                <c:pt idx="264">
                  <c:v>165.29034899999999</c:v>
                </c:pt>
                <c:pt idx="265">
                  <c:v>165.29034899999999</c:v>
                </c:pt>
                <c:pt idx="266">
                  <c:v>165.29034899999999</c:v>
                </c:pt>
                <c:pt idx="267">
                  <c:v>165.29034899999999</c:v>
                </c:pt>
                <c:pt idx="268">
                  <c:v>165.29034899999999</c:v>
                </c:pt>
                <c:pt idx="269">
                  <c:v>165.29034899999999</c:v>
                </c:pt>
                <c:pt idx="270">
                  <c:v>165.29034899999999</c:v>
                </c:pt>
                <c:pt idx="271">
                  <c:v>165.29034899999999</c:v>
                </c:pt>
                <c:pt idx="272">
                  <c:v>165.29034899999999</c:v>
                </c:pt>
                <c:pt idx="273">
                  <c:v>171.047459</c:v>
                </c:pt>
                <c:pt idx="274">
                  <c:v>171.047459</c:v>
                </c:pt>
                <c:pt idx="275">
                  <c:v>171.047459</c:v>
                </c:pt>
                <c:pt idx="276">
                  <c:v>171.047459</c:v>
                </c:pt>
                <c:pt idx="277">
                  <c:v>171.047459</c:v>
                </c:pt>
                <c:pt idx="278">
                  <c:v>171.047459</c:v>
                </c:pt>
                <c:pt idx="279">
                  <c:v>171.047459</c:v>
                </c:pt>
                <c:pt idx="280">
                  <c:v>171.047459</c:v>
                </c:pt>
                <c:pt idx="281">
                  <c:v>171.047459</c:v>
                </c:pt>
                <c:pt idx="282">
                  <c:v>171.047459</c:v>
                </c:pt>
                <c:pt idx="283">
                  <c:v>171.047459</c:v>
                </c:pt>
                <c:pt idx="284">
                  <c:v>171.047459</c:v>
                </c:pt>
                <c:pt idx="285">
                  <c:v>171.047459</c:v>
                </c:pt>
                <c:pt idx="286">
                  <c:v>171.047459</c:v>
                </c:pt>
                <c:pt idx="287">
                  <c:v>171.047459</c:v>
                </c:pt>
                <c:pt idx="288">
                  <c:v>171.047459</c:v>
                </c:pt>
                <c:pt idx="289">
                  <c:v>171.047459</c:v>
                </c:pt>
                <c:pt idx="290">
                  <c:v>171.047459</c:v>
                </c:pt>
                <c:pt idx="291">
                  <c:v>171.047459</c:v>
                </c:pt>
                <c:pt idx="292">
                  <c:v>171.047459</c:v>
                </c:pt>
                <c:pt idx="293">
                  <c:v>171.047459</c:v>
                </c:pt>
                <c:pt idx="294">
                  <c:v>171.047459</c:v>
                </c:pt>
                <c:pt idx="295">
                  <c:v>171.047459</c:v>
                </c:pt>
                <c:pt idx="296">
                  <c:v>171.047459</c:v>
                </c:pt>
                <c:pt idx="297">
                  <c:v>171.047459</c:v>
                </c:pt>
                <c:pt idx="298">
                  <c:v>171.047459</c:v>
                </c:pt>
                <c:pt idx="299">
                  <c:v>171.047459</c:v>
                </c:pt>
                <c:pt idx="300">
                  <c:v>171.047459</c:v>
                </c:pt>
                <c:pt idx="301">
                  <c:v>171.047459</c:v>
                </c:pt>
                <c:pt idx="302">
                  <c:v>171.047459</c:v>
                </c:pt>
                <c:pt idx="303">
                  <c:v>171.047459</c:v>
                </c:pt>
                <c:pt idx="304">
                  <c:v>171.047459</c:v>
                </c:pt>
                <c:pt idx="305">
                  <c:v>171.047459</c:v>
                </c:pt>
                <c:pt idx="306">
                  <c:v>171.047459</c:v>
                </c:pt>
                <c:pt idx="307">
                  <c:v>171.047459</c:v>
                </c:pt>
                <c:pt idx="308">
                  <c:v>171.047459</c:v>
                </c:pt>
                <c:pt idx="309">
                  <c:v>171.047459</c:v>
                </c:pt>
                <c:pt idx="310">
                  <c:v>171.047459</c:v>
                </c:pt>
                <c:pt idx="311">
                  <c:v>171.047459</c:v>
                </c:pt>
                <c:pt idx="312">
                  <c:v>171.047459</c:v>
                </c:pt>
                <c:pt idx="313">
                  <c:v>171.047459</c:v>
                </c:pt>
                <c:pt idx="314">
                  <c:v>171.047459</c:v>
                </c:pt>
                <c:pt idx="315">
                  <c:v>171.047459</c:v>
                </c:pt>
                <c:pt idx="316">
                  <c:v>171.047459</c:v>
                </c:pt>
                <c:pt idx="317">
                  <c:v>171.047459</c:v>
                </c:pt>
                <c:pt idx="318">
                  <c:v>171.047459</c:v>
                </c:pt>
                <c:pt idx="319">
                  <c:v>171.047459</c:v>
                </c:pt>
                <c:pt idx="320">
                  <c:v>171.047459</c:v>
                </c:pt>
                <c:pt idx="321">
                  <c:v>171.047459</c:v>
                </c:pt>
                <c:pt idx="322">
                  <c:v>171.047459</c:v>
                </c:pt>
                <c:pt idx="323">
                  <c:v>171.047459</c:v>
                </c:pt>
                <c:pt idx="324">
                  <c:v>171.047459</c:v>
                </c:pt>
                <c:pt idx="325">
                  <c:v>171.047459</c:v>
                </c:pt>
                <c:pt idx="326">
                  <c:v>171.047459</c:v>
                </c:pt>
                <c:pt idx="327">
                  <c:v>171.047459</c:v>
                </c:pt>
                <c:pt idx="328">
                  <c:v>171.047459</c:v>
                </c:pt>
                <c:pt idx="329">
                  <c:v>171.047459</c:v>
                </c:pt>
                <c:pt idx="330">
                  <c:v>171.047459</c:v>
                </c:pt>
                <c:pt idx="331">
                  <c:v>171.047459</c:v>
                </c:pt>
                <c:pt idx="332">
                  <c:v>171.047459</c:v>
                </c:pt>
                <c:pt idx="333">
                  <c:v>171.047459</c:v>
                </c:pt>
                <c:pt idx="334">
                  <c:v>176.750247</c:v>
                </c:pt>
                <c:pt idx="335">
                  <c:v>176.750247</c:v>
                </c:pt>
                <c:pt idx="336">
                  <c:v>176.750247</c:v>
                </c:pt>
                <c:pt idx="337">
                  <c:v>176.750247</c:v>
                </c:pt>
                <c:pt idx="338">
                  <c:v>176.750247</c:v>
                </c:pt>
                <c:pt idx="339">
                  <c:v>176.750247</c:v>
                </c:pt>
                <c:pt idx="340">
                  <c:v>176.750247</c:v>
                </c:pt>
                <c:pt idx="341">
                  <c:v>176.750247</c:v>
                </c:pt>
                <c:pt idx="342">
                  <c:v>176.750247</c:v>
                </c:pt>
                <c:pt idx="343">
                  <c:v>176.750247</c:v>
                </c:pt>
                <c:pt idx="344">
                  <c:v>176.750247</c:v>
                </c:pt>
                <c:pt idx="345">
                  <c:v>176.750247</c:v>
                </c:pt>
                <c:pt idx="346">
                  <c:v>176.750247</c:v>
                </c:pt>
                <c:pt idx="347">
                  <c:v>176.750247</c:v>
                </c:pt>
                <c:pt idx="348">
                  <c:v>176.750247</c:v>
                </c:pt>
                <c:pt idx="349">
                  <c:v>176.750247</c:v>
                </c:pt>
                <c:pt idx="350">
                  <c:v>176.750247</c:v>
                </c:pt>
                <c:pt idx="351">
                  <c:v>176.750247</c:v>
                </c:pt>
                <c:pt idx="352">
                  <c:v>176.750247</c:v>
                </c:pt>
                <c:pt idx="353">
                  <c:v>176.750247</c:v>
                </c:pt>
                <c:pt idx="354">
                  <c:v>176.750247</c:v>
                </c:pt>
                <c:pt idx="355">
                  <c:v>176.750247</c:v>
                </c:pt>
                <c:pt idx="356">
                  <c:v>176.750247</c:v>
                </c:pt>
                <c:pt idx="357">
                  <c:v>176.750247</c:v>
                </c:pt>
                <c:pt idx="358">
                  <c:v>176.750247</c:v>
                </c:pt>
                <c:pt idx="359">
                  <c:v>176.750247</c:v>
                </c:pt>
                <c:pt idx="360">
                  <c:v>176.750247</c:v>
                </c:pt>
                <c:pt idx="361">
                  <c:v>176.750247</c:v>
                </c:pt>
                <c:pt idx="362">
                  <c:v>176.750247</c:v>
                </c:pt>
                <c:pt idx="363">
                  <c:v>176.750247</c:v>
                </c:pt>
                <c:pt idx="364">
                  <c:v>176.750247</c:v>
                </c:pt>
                <c:pt idx="365">
                  <c:v>195.59106</c:v>
                </c:pt>
                <c:pt idx="366">
                  <c:v>195.59106</c:v>
                </c:pt>
                <c:pt idx="367">
                  <c:v>195.59106</c:v>
                </c:pt>
                <c:pt idx="368">
                  <c:v>195.59106</c:v>
                </c:pt>
                <c:pt idx="369">
                  <c:v>195.59106</c:v>
                </c:pt>
                <c:pt idx="370">
                  <c:v>195.59106</c:v>
                </c:pt>
                <c:pt idx="371">
                  <c:v>195.59106</c:v>
                </c:pt>
                <c:pt idx="372">
                  <c:v>195.59106</c:v>
                </c:pt>
                <c:pt idx="373">
                  <c:v>195.59106</c:v>
                </c:pt>
                <c:pt idx="374">
                  <c:v>195.59106</c:v>
                </c:pt>
                <c:pt idx="375">
                  <c:v>195.59106</c:v>
                </c:pt>
                <c:pt idx="376">
                  <c:v>195.59106</c:v>
                </c:pt>
                <c:pt idx="377">
                  <c:v>195.59106</c:v>
                </c:pt>
                <c:pt idx="378">
                  <c:v>195.59106</c:v>
                </c:pt>
                <c:pt idx="379">
                  <c:v>195.59106</c:v>
                </c:pt>
                <c:pt idx="380">
                  <c:v>195.59106</c:v>
                </c:pt>
                <c:pt idx="381">
                  <c:v>195.59106</c:v>
                </c:pt>
                <c:pt idx="382">
                  <c:v>195.59106</c:v>
                </c:pt>
                <c:pt idx="383">
                  <c:v>195.59106</c:v>
                </c:pt>
                <c:pt idx="384">
                  <c:v>195.59106</c:v>
                </c:pt>
                <c:pt idx="385">
                  <c:v>195.59106</c:v>
                </c:pt>
                <c:pt idx="386">
                  <c:v>195.59106</c:v>
                </c:pt>
                <c:pt idx="387">
                  <c:v>195.59106</c:v>
                </c:pt>
                <c:pt idx="388">
                  <c:v>195.59106</c:v>
                </c:pt>
                <c:pt idx="389">
                  <c:v>195.59106</c:v>
                </c:pt>
                <c:pt idx="390">
                  <c:v>195.59106</c:v>
                </c:pt>
                <c:pt idx="391">
                  <c:v>195.59106</c:v>
                </c:pt>
                <c:pt idx="392">
                  <c:v>195.59106</c:v>
                </c:pt>
                <c:pt idx="393">
                  <c:v>195.59106</c:v>
                </c:pt>
                <c:pt idx="394">
                  <c:v>195.59106</c:v>
                </c:pt>
                <c:pt idx="395">
                  <c:v>195.59106</c:v>
                </c:pt>
                <c:pt idx="396">
                  <c:v>196.79418000000001</c:v>
                </c:pt>
                <c:pt idx="397">
                  <c:v>196.79418000000001</c:v>
                </c:pt>
                <c:pt idx="398">
                  <c:v>196.79418000000001</c:v>
                </c:pt>
                <c:pt idx="399">
                  <c:v>196.79418000000001</c:v>
                </c:pt>
                <c:pt idx="400">
                  <c:v>196.79418000000001</c:v>
                </c:pt>
                <c:pt idx="401">
                  <c:v>196.79418000000001</c:v>
                </c:pt>
                <c:pt idx="402">
                  <c:v>196.79418000000001</c:v>
                </c:pt>
                <c:pt idx="403">
                  <c:v>196.79418000000001</c:v>
                </c:pt>
                <c:pt idx="404">
                  <c:v>196.79418000000001</c:v>
                </c:pt>
                <c:pt idx="405">
                  <c:v>196.79418000000001</c:v>
                </c:pt>
                <c:pt idx="406">
                  <c:v>196.79418000000001</c:v>
                </c:pt>
                <c:pt idx="407">
                  <c:v>196.79418000000001</c:v>
                </c:pt>
                <c:pt idx="408">
                  <c:v>196.79418000000001</c:v>
                </c:pt>
                <c:pt idx="409">
                  <c:v>196.79418000000001</c:v>
                </c:pt>
                <c:pt idx="410">
                  <c:v>196.79418000000001</c:v>
                </c:pt>
                <c:pt idx="411">
                  <c:v>196.79418000000001</c:v>
                </c:pt>
                <c:pt idx="412">
                  <c:v>196.79418000000001</c:v>
                </c:pt>
                <c:pt idx="413">
                  <c:v>196.79418000000001</c:v>
                </c:pt>
                <c:pt idx="414">
                  <c:v>196.79418000000001</c:v>
                </c:pt>
                <c:pt idx="415">
                  <c:v>196.79418000000001</c:v>
                </c:pt>
                <c:pt idx="416">
                  <c:v>196.79418000000001</c:v>
                </c:pt>
                <c:pt idx="417">
                  <c:v>196.79418000000001</c:v>
                </c:pt>
                <c:pt idx="418">
                  <c:v>196.79418000000001</c:v>
                </c:pt>
                <c:pt idx="419">
                  <c:v>196.79418000000001</c:v>
                </c:pt>
                <c:pt idx="420">
                  <c:v>196.79418000000001</c:v>
                </c:pt>
                <c:pt idx="421">
                  <c:v>196.79418000000001</c:v>
                </c:pt>
                <c:pt idx="422">
                  <c:v>196.79418000000001</c:v>
                </c:pt>
                <c:pt idx="423">
                  <c:v>196.79418000000001</c:v>
                </c:pt>
                <c:pt idx="424">
                  <c:v>203.89258799999999</c:v>
                </c:pt>
                <c:pt idx="425">
                  <c:v>203.89258799999999</c:v>
                </c:pt>
                <c:pt idx="426">
                  <c:v>203.89258799999999</c:v>
                </c:pt>
                <c:pt idx="427">
                  <c:v>203.89258799999999</c:v>
                </c:pt>
                <c:pt idx="428">
                  <c:v>203.89258799999999</c:v>
                </c:pt>
                <c:pt idx="429">
                  <c:v>203.89258799999999</c:v>
                </c:pt>
                <c:pt idx="430">
                  <c:v>203.89258799999999</c:v>
                </c:pt>
                <c:pt idx="431">
                  <c:v>203.89258799999999</c:v>
                </c:pt>
                <c:pt idx="432">
                  <c:v>203.89258799999999</c:v>
                </c:pt>
                <c:pt idx="433">
                  <c:v>203.89258799999999</c:v>
                </c:pt>
                <c:pt idx="434">
                  <c:v>203.89258799999999</c:v>
                </c:pt>
                <c:pt idx="435">
                  <c:v>203.89258799999999</c:v>
                </c:pt>
                <c:pt idx="436">
                  <c:v>203.89258799999999</c:v>
                </c:pt>
                <c:pt idx="437">
                  <c:v>203.89258799999999</c:v>
                </c:pt>
                <c:pt idx="438">
                  <c:v>203.89258799999999</c:v>
                </c:pt>
                <c:pt idx="439">
                  <c:v>203.89258799999999</c:v>
                </c:pt>
                <c:pt idx="440">
                  <c:v>203.89258799999999</c:v>
                </c:pt>
                <c:pt idx="441">
                  <c:v>203.89258799999999</c:v>
                </c:pt>
                <c:pt idx="442">
                  <c:v>203.89258799999999</c:v>
                </c:pt>
                <c:pt idx="443">
                  <c:v>203.89258799999999</c:v>
                </c:pt>
                <c:pt idx="444">
                  <c:v>203.89258799999999</c:v>
                </c:pt>
                <c:pt idx="445">
                  <c:v>203.89258799999999</c:v>
                </c:pt>
                <c:pt idx="446">
                  <c:v>203.89258799999999</c:v>
                </c:pt>
                <c:pt idx="447">
                  <c:v>203.89258799999999</c:v>
                </c:pt>
                <c:pt idx="448">
                  <c:v>203.89258799999999</c:v>
                </c:pt>
                <c:pt idx="449">
                  <c:v>203.89258799999999</c:v>
                </c:pt>
                <c:pt idx="450">
                  <c:v>203.89258799999999</c:v>
                </c:pt>
                <c:pt idx="451">
                  <c:v>203.89258799999999</c:v>
                </c:pt>
                <c:pt idx="452">
                  <c:v>203.89258799999999</c:v>
                </c:pt>
                <c:pt idx="453">
                  <c:v>203.89258799999999</c:v>
                </c:pt>
                <c:pt idx="454">
                  <c:v>203.89258799999999</c:v>
                </c:pt>
                <c:pt idx="455">
                  <c:v>160.53778500000001</c:v>
                </c:pt>
                <c:pt idx="456">
                  <c:v>160.53778500000001</c:v>
                </c:pt>
                <c:pt idx="457">
                  <c:v>160.53778500000001</c:v>
                </c:pt>
                <c:pt idx="458">
                  <c:v>160.53778500000001</c:v>
                </c:pt>
                <c:pt idx="459">
                  <c:v>160.53778500000001</c:v>
                </c:pt>
                <c:pt idx="460">
                  <c:v>160.53778500000001</c:v>
                </c:pt>
                <c:pt idx="461">
                  <c:v>160.53778500000001</c:v>
                </c:pt>
                <c:pt idx="462">
                  <c:v>160.53778500000001</c:v>
                </c:pt>
                <c:pt idx="463">
                  <c:v>160.53778500000001</c:v>
                </c:pt>
                <c:pt idx="464">
                  <c:v>160.53778500000001</c:v>
                </c:pt>
                <c:pt idx="465">
                  <c:v>160.53778500000001</c:v>
                </c:pt>
                <c:pt idx="466">
                  <c:v>160.53778500000001</c:v>
                </c:pt>
                <c:pt idx="467">
                  <c:v>160.53778500000001</c:v>
                </c:pt>
                <c:pt idx="468">
                  <c:v>160.53778500000001</c:v>
                </c:pt>
                <c:pt idx="469">
                  <c:v>160.53778500000001</c:v>
                </c:pt>
                <c:pt idx="470">
                  <c:v>160.53778500000001</c:v>
                </c:pt>
                <c:pt idx="471">
                  <c:v>160.53778500000001</c:v>
                </c:pt>
                <c:pt idx="472">
                  <c:v>160.53778500000001</c:v>
                </c:pt>
                <c:pt idx="473">
                  <c:v>160.53778500000001</c:v>
                </c:pt>
                <c:pt idx="474">
                  <c:v>160.53778500000001</c:v>
                </c:pt>
                <c:pt idx="475">
                  <c:v>160.53778500000001</c:v>
                </c:pt>
                <c:pt idx="476">
                  <c:v>160.53778500000001</c:v>
                </c:pt>
                <c:pt idx="477">
                  <c:v>160.53778500000001</c:v>
                </c:pt>
                <c:pt idx="478">
                  <c:v>160.53778500000001</c:v>
                </c:pt>
                <c:pt idx="479">
                  <c:v>160.53778500000001</c:v>
                </c:pt>
                <c:pt idx="480">
                  <c:v>160.53778500000001</c:v>
                </c:pt>
                <c:pt idx="481">
                  <c:v>160.53778500000001</c:v>
                </c:pt>
                <c:pt idx="482">
                  <c:v>160.53778500000001</c:v>
                </c:pt>
                <c:pt idx="483">
                  <c:v>160.53778500000001</c:v>
                </c:pt>
                <c:pt idx="484">
                  <c:v>160.53778500000001</c:v>
                </c:pt>
                <c:pt idx="485">
                  <c:v>160.53879499999999</c:v>
                </c:pt>
                <c:pt idx="486">
                  <c:v>160.53879499999999</c:v>
                </c:pt>
                <c:pt idx="487">
                  <c:v>160.53879499999999</c:v>
                </c:pt>
                <c:pt idx="488">
                  <c:v>160.53879499999999</c:v>
                </c:pt>
                <c:pt idx="489">
                  <c:v>160.53879499999999</c:v>
                </c:pt>
                <c:pt idx="490">
                  <c:v>160.53879499999999</c:v>
                </c:pt>
                <c:pt idx="491">
                  <c:v>160.53879499999999</c:v>
                </c:pt>
                <c:pt idx="492">
                  <c:v>160.53879499999999</c:v>
                </c:pt>
                <c:pt idx="493">
                  <c:v>160.53879499999999</c:v>
                </c:pt>
                <c:pt idx="494">
                  <c:v>160.53879499999999</c:v>
                </c:pt>
                <c:pt idx="495">
                  <c:v>160.53879499999999</c:v>
                </c:pt>
                <c:pt idx="496">
                  <c:v>160.53879499999999</c:v>
                </c:pt>
                <c:pt idx="497">
                  <c:v>160.53879499999999</c:v>
                </c:pt>
                <c:pt idx="498">
                  <c:v>160.53879499999999</c:v>
                </c:pt>
                <c:pt idx="499">
                  <c:v>160.53879499999999</c:v>
                </c:pt>
                <c:pt idx="500">
                  <c:v>160.53879499999999</c:v>
                </c:pt>
                <c:pt idx="501">
                  <c:v>160.53879499999999</c:v>
                </c:pt>
                <c:pt idx="502">
                  <c:v>160.53879499999999</c:v>
                </c:pt>
                <c:pt idx="503">
                  <c:v>160.53879499999999</c:v>
                </c:pt>
                <c:pt idx="504">
                  <c:v>160.53879499999999</c:v>
                </c:pt>
                <c:pt idx="505">
                  <c:v>160.53879499999999</c:v>
                </c:pt>
                <c:pt idx="506">
                  <c:v>160.53879499999999</c:v>
                </c:pt>
                <c:pt idx="507">
                  <c:v>160.53879499999999</c:v>
                </c:pt>
                <c:pt idx="508">
                  <c:v>160.53879499999999</c:v>
                </c:pt>
                <c:pt idx="509">
                  <c:v>160.53879499999999</c:v>
                </c:pt>
                <c:pt idx="510">
                  <c:v>160.53879499999999</c:v>
                </c:pt>
                <c:pt idx="511">
                  <c:v>160.53879499999999</c:v>
                </c:pt>
                <c:pt idx="512">
                  <c:v>160.53879499999999</c:v>
                </c:pt>
                <c:pt idx="513">
                  <c:v>160.53879499999999</c:v>
                </c:pt>
                <c:pt idx="514">
                  <c:v>160.53879499999999</c:v>
                </c:pt>
                <c:pt idx="515">
                  <c:v>160.53879499999999</c:v>
                </c:pt>
                <c:pt idx="516">
                  <c:v>160.53778500000001</c:v>
                </c:pt>
                <c:pt idx="517">
                  <c:v>160.53778500000001</c:v>
                </c:pt>
                <c:pt idx="518">
                  <c:v>160.53778500000001</c:v>
                </c:pt>
                <c:pt idx="519">
                  <c:v>160.53778500000001</c:v>
                </c:pt>
                <c:pt idx="520">
                  <c:v>160.53778500000001</c:v>
                </c:pt>
                <c:pt idx="521">
                  <c:v>160.53778500000001</c:v>
                </c:pt>
                <c:pt idx="522">
                  <c:v>160.53778500000001</c:v>
                </c:pt>
                <c:pt idx="523">
                  <c:v>160.53778500000001</c:v>
                </c:pt>
                <c:pt idx="524">
                  <c:v>160.53778500000001</c:v>
                </c:pt>
                <c:pt idx="525">
                  <c:v>160.53778500000001</c:v>
                </c:pt>
                <c:pt idx="526">
                  <c:v>160.53778500000001</c:v>
                </c:pt>
                <c:pt idx="527">
                  <c:v>160.53778500000001</c:v>
                </c:pt>
                <c:pt idx="528">
                  <c:v>160.53778500000001</c:v>
                </c:pt>
                <c:pt idx="529">
                  <c:v>160.53778500000001</c:v>
                </c:pt>
                <c:pt idx="530">
                  <c:v>160.53778500000001</c:v>
                </c:pt>
                <c:pt idx="531">
                  <c:v>160.53778500000001</c:v>
                </c:pt>
                <c:pt idx="532">
                  <c:v>160.53778500000001</c:v>
                </c:pt>
                <c:pt idx="533">
                  <c:v>160.53778500000001</c:v>
                </c:pt>
                <c:pt idx="534">
                  <c:v>160.53778500000001</c:v>
                </c:pt>
                <c:pt idx="535">
                  <c:v>160.53778500000001</c:v>
                </c:pt>
                <c:pt idx="536">
                  <c:v>160.53778500000001</c:v>
                </c:pt>
                <c:pt idx="537">
                  <c:v>160.53778500000001</c:v>
                </c:pt>
                <c:pt idx="538">
                  <c:v>160.53778500000001</c:v>
                </c:pt>
                <c:pt idx="539">
                  <c:v>160.53778500000001</c:v>
                </c:pt>
                <c:pt idx="540">
                  <c:v>160.53778500000001</c:v>
                </c:pt>
                <c:pt idx="541">
                  <c:v>160.53778500000001</c:v>
                </c:pt>
                <c:pt idx="542">
                  <c:v>160.53778500000001</c:v>
                </c:pt>
                <c:pt idx="543">
                  <c:v>160.53778500000001</c:v>
                </c:pt>
                <c:pt idx="544">
                  <c:v>160.53778500000001</c:v>
                </c:pt>
                <c:pt idx="545">
                  <c:v>160.53778500000001</c:v>
                </c:pt>
                <c:pt idx="546">
                  <c:v>162.70340100000001</c:v>
                </c:pt>
                <c:pt idx="547">
                  <c:v>162.70340100000001</c:v>
                </c:pt>
                <c:pt idx="548">
                  <c:v>162.70340100000001</c:v>
                </c:pt>
                <c:pt idx="549">
                  <c:v>162.70340100000001</c:v>
                </c:pt>
                <c:pt idx="550">
                  <c:v>162.70340100000001</c:v>
                </c:pt>
                <c:pt idx="551">
                  <c:v>162.70340100000001</c:v>
                </c:pt>
                <c:pt idx="552">
                  <c:v>162.70340100000001</c:v>
                </c:pt>
                <c:pt idx="553">
                  <c:v>162.70340100000001</c:v>
                </c:pt>
                <c:pt idx="554">
                  <c:v>162.70340100000001</c:v>
                </c:pt>
                <c:pt idx="555">
                  <c:v>162.70340100000001</c:v>
                </c:pt>
                <c:pt idx="556">
                  <c:v>162.70340100000001</c:v>
                </c:pt>
                <c:pt idx="557">
                  <c:v>162.70340100000001</c:v>
                </c:pt>
                <c:pt idx="558">
                  <c:v>162.70340100000001</c:v>
                </c:pt>
                <c:pt idx="559">
                  <c:v>162.70340100000001</c:v>
                </c:pt>
                <c:pt idx="560">
                  <c:v>162.70340100000001</c:v>
                </c:pt>
                <c:pt idx="561">
                  <c:v>162.70340100000001</c:v>
                </c:pt>
                <c:pt idx="562">
                  <c:v>162.70340100000001</c:v>
                </c:pt>
                <c:pt idx="563">
                  <c:v>162.70340100000001</c:v>
                </c:pt>
                <c:pt idx="564">
                  <c:v>162.70340100000001</c:v>
                </c:pt>
                <c:pt idx="565">
                  <c:v>162.70340100000001</c:v>
                </c:pt>
                <c:pt idx="566">
                  <c:v>162.70340100000001</c:v>
                </c:pt>
                <c:pt idx="567">
                  <c:v>162.70340100000001</c:v>
                </c:pt>
                <c:pt idx="568">
                  <c:v>162.70340100000001</c:v>
                </c:pt>
                <c:pt idx="569">
                  <c:v>162.70340100000001</c:v>
                </c:pt>
                <c:pt idx="570">
                  <c:v>162.70340100000001</c:v>
                </c:pt>
                <c:pt idx="571">
                  <c:v>162.70340100000001</c:v>
                </c:pt>
                <c:pt idx="572">
                  <c:v>162.70340100000001</c:v>
                </c:pt>
                <c:pt idx="573">
                  <c:v>162.70340100000001</c:v>
                </c:pt>
                <c:pt idx="574">
                  <c:v>162.70340100000001</c:v>
                </c:pt>
                <c:pt idx="575">
                  <c:v>162.70340100000001</c:v>
                </c:pt>
                <c:pt idx="576">
                  <c:v>162.70340100000001</c:v>
                </c:pt>
                <c:pt idx="577">
                  <c:v>187.82358400000001</c:v>
                </c:pt>
                <c:pt idx="578">
                  <c:v>187.82358400000001</c:v>
                </c:pt>
                <c:pt idx="579">
                  <c:v>187.82358400000001</c:v>
                </c:pt>
                <c:pt idx="580">
                  <c:v>187.82358400000001</c:v>
                </c:pt>
                <c:pt idx="581">
                  <c:v>187.82358400000001</c:v>
                </c:pt>
                <c:pt idx="582">
                  <c:v>187.82358400000001</c:v>
                </c:pt>
                <c:pt idx="583">
                  <c:v>187.82358400000001</c:v>
                </c:pt>
                <c:pt idx="584">
                  <c:v>187.82358400000001</c:v>
                </c:pt>
                <c:pt idx="585">
                  <c:v>187.82358400000001</c:v>
                </c:pt>
                <c:pt idx="586">
                  <c:v>187.82358400000001</c:v>
                </c:pt>
                <c:pt idx="587">
                  <c:v>187.82358400000001</c:v>
                </c:pt>
                <c:pt idx="588">
                  <c:v>187.82358400000001</c:v>
                </c:pt>
                <c:pt idx="589">
                  <c:v>187.82358400000001</c:v>
                </c:pt>
                <c:pt idx="590">
                  <c:v>187.82358400000001</c:v>
                </c:pt>
                <c:pt idx="591">
                  <c:v>187.82358400000001</c:v>
                </c:pt>
                <c:pt idx="592">
                  <c:v>187.82358400000001</c:v>
                </c:pt>
                <c:pt idx="593">
                  <c:v>187.82358400000001</c:v>
                </c:pt>
                <c:pt idx="594">
                  <c:v>187.82358400000001</c:v>
                </c:pt>
                <c:pt idx="595">
                  <c:v>187.82358400000001</c:v>
                </c:pt>
                <c:pt idx="596">
                  <c:v>187.82358400000001</c:v>
                </c:pt>
                <c:pt idx="597">
                  <c:v>187.82358400000001</c:v>
                </c:pt>
                <c:pt idx="598">
                  <c:v>187.82358400000001</c:v>
                </c:pt>
                <c:pt idx="599">
                  <c:v>187.82358400000001</c:v>
                </c:pt>
                <c:pt idx="600">
                  <c:v>187.82358400000001</c:v>
                </c:pt>
                <c:pt idx="601">
                  <c:v>187.82358400000001</c:v>
                </c:pt>
                <c:pt idx="602">
                  <c:v>187.82358400000001</c:v>
                </c:pt>
                <c:pt idx="603">
                  <c:v>187.82358400000001</c:v>
                </c:pt>
                <c:pt idx="604">
                  <c:v>187.82358400000001</c:v>
                </c:pt>
                <c:pt idx="605">
                  <c:v>187.82358400000001</c:v>
                </c:pt>
                <c:pt idx="606">
                  <c:v>187.82358400000001</c:v>
                </c:pt>
                <c:pt idx="607">
                  <c:v>187.82358400000001</c:v>
                </c:pt>
                <c:pt idx="608">
                  <c:v>160.53778500000001</c:v>
                </c:pt>
                <c:pt idx="609">
                  <c:v>160.53778500000001</c:v>
                </c:pt>
                <c:pt idx="610">
                  <c:v>160.53778500000001</c:v>
                </c:pt>
                <c:pt idx="611">
                  <c:v>160.53778500000001</c:v>
                </c:pt>
                <c:pt idx="612">
                  <c:v>160.53778500000001</c:v>
                </c:pt>
                <c:pt idx="613">
                  <c:v>160.53778500000001</c:v>
                </c:pt>
                <c:pt idx="614">
                  <c:v>160.53778500000001</c:v>
                </c:pt>
                <c:pt idx="615">
                  <c:v>160.53778500000001</c:v>
                </c:pt>
                <c:pt idx="616">
                  <c:v>160.53778500000001</c:v>
                </c:pt>
                <c:pt idx="617">
                  <c:v>160.53778500000001</c:v>
                </c:pt>
                <c:pt idx="618">
                  <c:v>160.53778500000001</c:v>
                </c:pt>
                <c:pt idx="619">
                  <c:v>160.53778500000001</c:v>
                </c:pt>
                <c:pt idx="620">
                  <c:v>160.53778500000001</c:v>
                </c:pt>
                <c:pt idx="621">
                  <c:v>160.53778500000001</c:v>
                </c:pt>
                <c:pt idx="622">
                  <c:v>160.53778500000001</c:v>
                </c:pt>
                <c:pt idx="623">
                  <c:v>160.53778500000001</c:v>
                </c:pt>
                <c:pt idx="624">
                  <c:v>160.53778500000001</c:v>
                </c:pt>
                <c:pt idx="625">
                  <c:v>160.53778500000001</c:v>
                </c:pt>
                <c:pt idx="626">
                  <c:v>160.53778500000001</c:v>
                </c:pt>
                <c:pt idx="627">
                  <c:v>160.53778500000001</c:v>
                </c:pt>
                <c:pt idx="628">
                  <c:v>160.53778500000001</c:v>
                </c:pt>
                <c:pt idx="629">
                  <c:v>160.53778500000001</c:v>
                </c:pt>
                <c:pt idx="630">
                  <c:v>160.53778500000001</c:v>
                </c:pt>
                <c:pt idx="631">
                  <c:v>160.53778500000001</c:v>
                </c:pt>
                <c:pt idx="632">
                  <c:v>160.53778500000001</c:v>
                </c:pt>
                <c:pt idx="633">
                  <c:v>160.53778500000001</c:v>
                </c:pt>
                <c:pt idx="634">
                  <c:v>160.53778500000001</c:v>
                </c:pt>
                <c:pt idx="635">
                  <c:v>160.53778500000001</c:v>
                </c:pt>
                <c:pt idx="636">
                  <c:v>160.53778500000001</c:v>
                </c:pt>
                <c:pt idx="637">
                  <c:v>160.53778500000001</c:v>
                </c:pt>
              </c:numCache>
            </c:numRef>
          </c:val>
          <c:extLst>
            <c:ext xmlns:c16="http://schemas.microsoft.com/office/drawing/2014/chart" uri="{C3380CC4-5D6E-409C-BE32-E72D297353CC}">
              <c16:uniqueId val="{00000001-7882-4F0A-9E24-D1CD5CBAD872}"/>
            </c:ext>
          </c:extLst>
        </c:ser>
        <c:ser>
          <c:idx val="7"/>
          <c:order val="5"/>
          <c:tx>
            <c:strRef>
              <c:f>'[Gráfico en Microsoft PowerPoint]Situacion VIP PIRINEOS'!$I$3</c:f>
              <c:strCache>
                <c:ptCount val="1"/>
                <c:pt idx="0">
                  <c:v>Exit short term booked capacity (Daily and whithin day)</c:v>
                </c:pt>
              </c:strCache>
            </c:strRef>
          </c:tx>
          <c:spPr>
            <a:solidFill>
              <a:srgbClr val="007AAE"/>
            </a:solidFill>
            <a:ln>
              <a:noFill/>
            </a:ln>
            <a:effectLst/>
          </c:spPr>
          <c:cat>
            <c:numRef>
              <c:f>'[Gráfico en Microsoft PowerPoint]Situacion VIP PIRINEOS'!$B$4:$B$641</c:f>
              <c:numCache>
                <c:formatCode>m/d/yyyy</c:formatCode>
                <c:ptCount val="638"/>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pt idx="365">
                  <c:v>43466</c:v>
                </c:pt>
                <c:pt idx="366">
                  <c:v>43467</c:v>
                </c:pt>
                <c:pt idx="367">
                  <c:v>43468</c:v>
                </c:pt>
                <c:pt idx="368">
                  <c:v>43469</c:v>
                </c:pt>
                <c:pt idx="369">
                  <c:v>43470</c:v>
                </c:pt>
                <c:pt idx="370">
                  <c:v>43471</c:v>
                </c:pt>
                <c:pt idx="371">
                  <c:v>43472</c:v>
                </c:pt>
                <c:pt idx="372">
                  <c:v>43473</c:v>
                </c:pt>
                <c:pt idx="373">
                  <c:v>43474</c:v>
                </c:pt>
                <c:pt idx="374">
                  <c:v>43475</c:v>
                </c:pt>
                <c:pt idx="375">
                  <c:v>43476</c:v>
                </c:pt>
                <c:pt idx="376">
                  <c:v>43477</c:v>
                </c:pt>
                <c:pt idx="377">
                  <c:v>43478</c:v>
                </c:pt>
                <c:pt idx="378">
                  <c:v>43479</c:v>
                </c:pt>
                <c:pt idx="379">
                  <c:v>43480</c:v>
                </c:pt>
                <c:pt idx="380">
                  <c:v>43481</c:v>
                </c:pt>
                <c:pt idx="381">
                  <c:v>43482</c:v>
                </c:pt>
                <c:pt idx="382">
                  <c:v>43483</c:v>
                </c:pt>
                <c:pt idx="383">
                  <c:v>43484</c:v>
                </c:pt>
                <c:pt idx="384">
                  <c:v>43485</c:v>
                </c:pt>
                <c:pt idx="385">
                  <c:v>43486</c:v>
                </c:pt>
                <c:pt idx="386">
                  <c:v>43487</c:v>
                </c:pt>
                <c:pt idx="387">
                  <c:v>43488</c:v>
                </c:pt>
                <c:pt idx="388">
                  <c:v>43489</c:v>
                </c:pt>
                <c:pt idx="389">
                  <c:v>43490</c:v>
                </c:pt>
                <c:pt idx="390">
                  <c:v>43491</c:v>
                </c:pt>
                <c:pt idx="391">
                  <c:v>43492</c:v>
                </c:pt>
                <c:pt idx="392">
                  <c:v>43493</c:v>
                </c:pt>
                <c:pt idx="393">
                  <c:v>43494</c:v>
                </c:pt>
                <c:pt idx="394">
                  <c:v>43495</c:v>
                </c:pt>
                <c:pt idx="395">
                  <c:v>43496</c:v>
                </c:pt>
                <c:pt idx="396">
                  <c:v>43497</c:v>
                </c:pt>
                <c:pt idx="397">
                  <c:v>43498</c:v>
                </c:pt>
                <c:pt idx="398">
                  <c:v>43499</c:v>
                </c:pt>
                <c:pt idx="399">
                  <c:v>43500</c:v>
                </c:pt>
                <c:pt idx="400">
                  <c:v>43501</c:v>
                </c:pt>
                <c:pt idx="401">
                  <c:v>43502</c:v>
                </c:pt>
                <c:pt idx="402">
                  <c:v>43503</c:v>
                </c:pt>
                <c:pt idx="403">
                  <c:v>43504</c:v>
                </c:pt>
                <c:pt idx="404">
                  <c:v>43505</c:v>
                </c:pt>
                <c:pt idx="405">
                  <c:v>43506</c:v>
                </c:pt>
                <c:pt idx="406">
                  <c:v>43507</c:v>
                </c:pt>
                <c:pt idx="407">
                  <c:v>43508</c:v>
                </c:pt>
                <c:pt idx="408">
                  <c:v>43509</c:v>
                </c:pt>
                <c:pt idx="409">
                  <c:v>43510</c:v>
                </c:pt>
                <c:pt idx="410">
                  <c:v>43511</c:v>
                </c:pt>
                <c:pt idx="411">
                  <c:v>43512</c:v>
                </c:pt>
                <c:pt idx="412">
                  <c:v>43513</c:v>
                </c:pt>
                <c:pt idx="413">
                  <c:v>43514</c:v>
                </c:pt>
                <c:pt idx="414">
                  <c:v>43515</c:v>
                </c:pt>
                <c:pt idx="415">
                  <c:v>43516</c:v>
                </c:pt>
                <c:pt idx="416">
                  <c:v>43517</c:v>
                </c:pt>
                <c:pt idx="417">
                  <c:v>43518</c:v>
                </c:pt>
                <c:pt idx="418">
                  <c:v>43519</c:v>
                </c:pt>
                <c:pt idx="419">
                  <c:v>43520</c:v>
                </c:pt>
                <c:pt idx="420">
                  <c:v>43521</c:v>
                </c:pt>
                <c:pt idx="421">
                  <c:v>43522</c:v>
                </c:pt>
                <c:pt idx="422">
                  <c:v>43523</c:v>
                </c:pt>
                <c:pt idx="423">
                  <c:v>43524</c:v>
                </c:pt>
                <c:pt idx="424">
                  <c:v>43525</c:v>
                </c:pt>
                <c:pt idx="425">
                  <c:v>43526</c:v>
                </c:pt>
                <c:pt idx="426">
                  <c:v>43527</c:v>
                </c:pt>
                <c:pt idx="427">
                  <c:v>43528</c:v>
                </c:pt>
                <c:pt idx="428">
                  <c:v>43529</c:v>
                </c:pt>
                <c:pt idx="429">
                  <c:v>43530</c:v>
                </c:pt>
                <c:pt idx="430">
                  <c:v>43531</c:v>
                </c:pt>
                <c:pt idx="431">
                  <c:v>43532</c:v>
                </c:pt>
                <c:pt idx="432">
                  <c:v>43533</c:v>
                </c:pt>
                <c:pt idx="433">
                  <c:v>43534</c:v>
                </c:pt>
                <c:pt idx="434">
                  <c:v>43535</c:v>
                </c:pt>
                <c:pt idx="435">
                  <c:v>43536</c:v>
                </c:pt>
                <c:pt idx="436">
                  <c:v>43537</c:v>
                </c:pt>
                <c:pt idx="437">
                  <c:v>43538</c:v>
                </c:pt>
                <c:pt idx="438">
                  <c:v>43539</c:v>
                </c:pt>
                <c:pt idx="439">
                  <c:v>43540</c:v>
                </c:pt>
                <c:pt idx="440">
                  <c:v>43541</c:v>
                </c:pt>
                <c:pt idx="441">
                  <c:v>43542</c:v>
                </c:pt>
                <c:pt idx="442">
                  <c:v>43543</c:v>
                </c:pt>
                <c:pt idx="443">
                  <c:v>43544</c:v>
                </c:pt>
                <c:pt idx="444">
                  <c:v>43545</c:v>
                </c:pt>
                <c:pt idx="445">
                  <c:v>43546</c:v>
                </c:pt>
                <c:pt idx="446">
                  <c:v>43547</c:v>
                </c:pt>
                <c:pt idx="447">
                  <c:v>43548</c:v>
                </c:pt>
                <c:pt idx="448">
                  <c:v>43549</c:v>
                </c:pt>
                <c:pt idx="449">
                  <c:v>43550</c:v>
                </c:pt>
                <c:pt idx="450">
                  <c:v>43551</c:v>
                </c:pt>
                <c:pt idx="451">
                  <c:v>43552</c:v>
                </c:pt>
                <c:pt idx="452">
                  <c:v>43553</c:v>
                </c:pt>
                <c:pt idx="453">
                  <c:v>43554</c:v>
                </c:pt>
                <c:pt idx="454">
                  <c:v>43555</c:v>
                </c:pt>
                <c:pt idx="455">
                  <c:v>43556</c:v>
                </c:pt>
                <c:pt idx="456">
                  <c:v>43557</c:v>
                </c:pt>
                <c:pt idx="457">
                  <c:v>43558</c:v>
                </c:pt>
                <c:pt idx="458">
                  <c:v>43559</c:v>
                </c:pt>
                <c:pt idx="459">
                  <c:v>43560</c:v>
                </c:pt>
                <c:pt idx="460">
                  <c:v>43561</c:v>
                </c:pt>
                <c:pt idx="461">
                  <c:v>43562</c:v>
                </c:pt>
                <c:pt idx="462">
                  <c:v>43563</c:v>
                </c:pt>
                <c:pt idx="463">
                  <c:v>43564</c:v>
                </c:pt>
                <c:pt idx="464">
                  <c:v>43565</c:v>
                </c:pt>
                <c:pt idx="465">
                  <c:v>43566</c:v>
                </c:pt>
                <c:pt idx="466">
                  <c:v>43567</c:v>
                </c:pt>
                <c:pt idx="467">
                  <c:v>43568</c:v>
                </c:pt>
                <c:pt idx="468">
                  <c:v>43569</c:v>
                </c:pt>
                <c:pt idx="469">
                  <c:v>43570</c:v>
                </c:pt>
                <c:pt idx="470">
                  <c:v>43571</c:v>
                </c:pt>
                <c:pt idx="471">
                  <c:v>43572</c:v>
                </c:pt>
                <c:pt idx="472">
                  <c:v>43573</c:v>
                </c:pt>
                <c:pt idx="473">
                  <c:v>43574</c:v>
                </c:pt>
                <c:pt idx="474">
                  <c:v>43575</c:v>
                </c:pt>
                <c:pt idx="475">
                  <c:v>43576</c:v>
                </c:pt>
                <c:pt idx="476">
                  <c:v>43577</c:v>
                </c:pt>
                <c:pt idx="477">
                  <c:v>43578</c:v>
                </c:pt>
                <c:pt idx="478">
                  <c:v>43579</c:v>
                </c:pt>
                <c:pt idx="479">
                  <c:v>43580</c:v>
                </c:pt>
                <c:pt idx="480">
                  <c:v>43581</c:v>
                </c:pt>
                <c:pt idx="481">
                  <c:v>43582</c:v>
                </c:pt>
                <c:pt idx="482">
                  <c:v>43583</c:v>
                </c:pt>
                <c:pt idx="483">
                  <c:v>43584</c:v>
                </c:pt>
                <c:pt idx="484">
                  <c:v>43585</c:v>
                </c:pt>
                <c:pt idx="485">
                  <c:v>43586</c:v>
                </c:pt>
                <c:pt idx="486">
                  <c:v>43587</c:v>
                </c:pt>
                <c:pt idx="487">
                  <c:v>43588</c:v>
                </c:pt>
                <c:pt idx="488">
                  <c:v>43589</c:v>
                </c:pt>
                <c:pt idx="489">
                  <c:v>43590</c:v>
                </c:pt>
                <c:pt idx="490">
                  <c:v>43591</c:v>
                </c:pt>
                <c:pt idx="491">
                  <c:v>43592</c:v>
                </c:pt>
                <c:pt idx="492">
                  <c:v>43593</c:v>
                </c:pt>
                <c:pt idx="493">
                  <c:v>43594</c:v>
                </c:pt>
                <c:pt idx="494">
                  <c:v>43595</c:v>
                </c:pt>
                <c:pt idx="495">
                  <c:v>43596</c:v>
                </c:pt>
                <c:pt idx="496">
                  <c:v>43597</c:v>
                </c:pt>
                <c:pt idx="497">
                  <c:v>43598</c:v>
                </c:pt>
                <c:pt idx="498">
                  <c:v>43599</c:v>
                </c:pt>
                <c:pt idx="499">
                  <c:v>43600</c:v>
                </c:pt>
                <c:pt idx="500">
                  <c:v>43601</c:v>
                </c:pt>
                <c:pt idx="501">
                  <c:v>43602</c:v>
                </c:pt>
                <c:pt idx="502">
                  <c:v>43603</c:v>
                </c:pt>
                <c:pt idx="503">
                  <c:v>43604</c:v>
                </c:pt>
                <c:pt idx="504">
                  <c:v>43605</c:v>
                </c:pt>
                <c:pt idx="505">
                  <c:v>43606</c:v>
                </c:pt>
                <c:pt idx="506">
                  <c:v>43607</c:v>
                </c:pt>
                <c:pt idx="507">
                  <c:v>43608</c:v>
                </c:pt>
                <c:pt idx="508">
                  <c:v>43609</c:v>
                </c:pt>
                <c:pt idx="509">
                  <c:v>43610</c:v>
                </c:pt>
                <c:pt idx="510">
                  <c:v>43611</c:v>
                </c:pt>
                <c:pt idx="511">
                  <c:v>43612</c:v>
                </c:pt>
                <c:pt idx="512">
                  <c:v>43613</c:v>
                </c:pt>
                <c:pt idx="513">
                  <c:v>43614</c:v>
                </c:pt>
                <c:pt idx="514">
                  <c:v>43615</c:v>
                </c:pt>
                <c:pt idx="515">
                  <c:v>43616</c:v>
                </c:pt>
                <c:pt idx="516">
                  <c:v>43617</c:v>
                </c:pt>
                <c:pt idx="517">
                  <c:v>43618</c:v>
                </c:pt>
                <c:pt idx="518">
                  <c:v>43619</c:v>
                </c:pt>
                <c:pt idx="519">
                  <c:v>43620</c:v>
                </c:pt>
                <c:pt idx="520">
                  <c:v>43621</c:v>
                </c:pt>
                <c:pt idx="521">
                  <c:v>43622</c:v>
                </c:pt>
                <c:pt idx="522">
                  <c:v>43623</c:v>
                </c:pt>
                <c:pt idx="523">
                  <c:v>43624</c:v>
                </c:pt>
                <c:pt idx="524">
                  <c:v>43625</c:v>
                </c:pt>
                <c:pt idx="525">
                  <c:v>43626</c:v>
                </c:pt>
                <c:pt idx="526">
                  <c:v>43627</c:v>
                </c:pt>
                <c:pt idx="527">
                  <c:v>43628</c:v>
                </c:pt>
                <c:pt idx="528">
                  <c:v>43629</c:v>
                </c:pt>
                <c:pt idx="529">
                  <c:v>43630</c:v>
                </c:pt>
                <c:pt idx="530">
                  <c:v>43631</c:v>
                </c:pt>
                <c:pt idx="531">
                  <c:v>43632</c:v>
                </c:pt>
                <c:pt idx="532">
                  <c:v>43633</c:v>
                </c:pt>
                <c:pt idx="533">
                  <c:v>43634</c:v>
                </c:pt>
                <c:pt idx="534">
                  <c:v>43635</c:v>
                </c:pt>
                <c:pt idx="535">
                  <c:v>43636</c:v>
                </c:pt>
                <c:pt idx="536">
                  <c:v>43637</c:v>
                </c:pt>
                <c:pt idx="537">
                  <c:v>43638</c:v>
                </c:pt>
                <c:pt idx="538">
                  <c:v>43639</c:v>
                </c:pt>
                <c:pt idx="539">
                  <c:v>43640</c:v>
                </c:pt>
                <c:pt idx="540">
                  <c:v>43641</c:v>
                </c:pt>
                <c:pt idx="541">
                  <c:v>43642</c:v>
                </c:pt>
                <c:pt idx="542">
                  <c:v>43643</c:v>
                </c:pt>
                <c:pt idx="543">
                  <c:v>43644</c:v>
                </c:pt>
                <c:pt idx="544">
                  <c:v>43645</c:v>
                </c:pt>
                <c:pt idx="545">
                  <c:v>43646</c:v>
                </c:pt>
                <c:pt idx="546">
                  <c:v>43647</c:v>
                </c:pt>
                <c:pt idx="547">
                  <c:v>43648</c:v>
                </c:pt>
                <c:pt idx="548">
                  <c:v>43649</c:v>
                </c:pt>
                <c:pt idx="549">
                  <c:v>43650</c:v>
                </c:pt>
                <c:pt idx="550">
                  <c:v>43651</c:v>
                </c:pt>
                <c:pt idx="551">
                  <c:v>43652</c:v>
                </c:pt>
                <c:pt idx="552">
                  <c:v>43653</c:v>
                </c:pt>
                <c:pt idx="553">
                  <c:v>43654</c:v>
                </c:pt>
                <c:pt idx="554">
                  <c:v>43655</c:v>
                </c:pt>
                <c:pt idx="555">
                  <c:v>43656</c:v>
                </c:pt>
                <c:pt idx="556">
                  <c:v>43657</c:v>
                </c:pt>
                <c:pt idx="557">
                  <c:v>43658</c:v>
                </c:pt>
                <c:pt idx="558">
                  <c:v>43659</c:v>
                </c:pt>
                <c:pt idx="559">
                  <c:v>43660</c:v>
                </c:pt>
                <c:pt idx="560">
                  <c:v>43661</c:v>
                </c:pt>
                <c:pt idx="561">
                  <c:v>43662</c:v>
                </c:pt>
                <c:pt idx="562">
                  <c:v>43663</c:v>
                </c:pt>
                <c:pt idx="563">
                  <c:v>43664</c:v>
                </c:pt>
                <c:pt idx="564">
                  <c:v>43665</c:v>
                </c:pt>
                <c:pt idx="565">
                  <c:v>43666</c:v>
                </c:pt>
                <c:pt idx="566">
                  <c:v>43667</c:v>
                </c:pt>
                <c:pt idx="567">
                  <c:v>43668</c:v>
                </c:pt>
                <c:pt idx="568">
                  <c:v>43669</c:v>
                </c:pt>
                <c:pt idx="569">
                  <c:v>43670</c:v>
                </c:pt>
                <c:pt idx="570">
                  <c:v>43671</c:v>
                </c:pt>
                <c:pt idx="571">
                  <c:v>43672</c:v>
                </c:pt>
                <c:pt idx="572">
                  <c:v>43673</c:v>
                </c:pt>
                <c:pt idx="573">
                  <c:v>43674</c:v>
                </c:pt>
                <c:pt idx="574">
                  <c:v>43675</c:v>
                </c:pt>
                <c:pt idx="575">
                  <c:v>43676</c:v>
                </c:pt>
                <c:pt idx="576">
                  <c:v>43677</c:v>
                </c:pt>
                <c:pt idx="577">
                  <c:v>43678</c:v>
                </c:pt>
                <c:pt idx="578">
                  <c:v>43679</c:v>
                </c:pt>
                <c:pt idx="579">
                  <c:v>43680</c:v>
                </c:pt>
                <c:pt idx="580">
                  <c:v>43681</c:v>
                </c:pt>
                <c:pt idx="581">
                  <c:v>43682</c:v>
                </c:pt>
                <c:pt idx="582">
                  <c:v>43683</c:v>
                </c:pt>
                <c:pt idx="583">
                  <c:v>43684</c:v>
                </c:pt>
                <c:pt idx="584">
                  <c:v>43685</c:v>
                </c:pt>
                <c:pt idx="585">
                  <c:v>43686</c:v>
                </c:pt>
                <c:pt idx="586">
                  <c:v>43687</c:v>
                </c:pt>
                <c:pt idx="587">
                  <c:v>43688</c:v>
                </c:pt>
                <c:pt idx="588">
                  <c:v>43689</c:v>
                </c:pt>
                <c:pt idx="589">
                  <c:v>43690</c:v>
                </c:pt>
                <c:pt idx="590">
                  <c:v>43691</c:v>
                </c:pt>
                <c:pt idx="591">
                  <c:v>43692</c:v>
                </c:pt>
                <c:pt idx="592">
                  <c:v>43693</c:v>
                </c:pt>
                <c:pt idx="593">
                  <c:v>43694</c:v>
                </c:pt>
                <c:pt idx="594">
                  <c:v>43695</c:v>
                </c:pt>
                <c:pt idx="595">
                  <c:v>43696</c:v>
                </c:pt>
                <c:pt idx="596">
                  <c:v>43697</c:v>
                </c:pt>
                <c:pt idx="597">
                  <c:v>43698</c:v>
                </c:pt>
                <c:pt idx="598">
                  <c:v>43699</c:v>
                </c:pt>
                <c:pt idx="599">
                  <c:v>43700</c:v>
                </c:pt>
                <c:pt idx="600">
                  <c:v>43701</c:v>
                </c:pt>
                <c:pt idx="601">
                  <c:v>43702</c:v>
                </c:pt>
                <c:pt idx="602">
                  <c:v>43703</c:v>
                </c:pt>
                <c:pt idx="603">
                  <c:v>43704</c:v>
                </c:pt>
                <c:pt idx="604">
                  <c:v>43705</c:v>
                </c:pt>
                <c:pt idx="605">
                  <c:v>43706</c:v>
                </c:pt>
                <c:pt idx="606">
                  <c:v>43707</c:v>
                </c:pt>
                <c:pt idx="607">
                  <c:v>43708</c:v>
                </c:pt>
                <c:pt idx="608">
                  <c:v>43709</c:v>
                </c:pt>
                <c:pt idx="609">
                  <c:v>43710</c:v>
                </c:pt>
                <c:pt idx="610">
                  <c:v>43711</c:v>
                </c:pt>
                <c:pt idx="611">
                  <c:v>43712</c:v>
                </c:pt>
                <c:pt idx="612">
                  <c:v>43713</c:v>
                </c:pt>
                <c:pt idx="613">
                  <c:v>43714</c:v>
                </c:pt>
                <c:pt idx="614">
                  <c:v>43715</c:v>
                </c:pt>
                <c:pt idx="615">
                  <c:v>43716</c:v>
                </c:pt>
                <c:pt idx="616">
                  <c:v>43717</c:v>
                </c:pt>
                <c:pt idx="617">
                  <c:v>43718</c:v>
                </c:pt>
                <c:pt idx="618">
                  <c:v>43719</c:v>
                </c:pt>
                <c:pt idx="619">
                  <c:v>43720</c:v>
                </c:pt>
                <c:pt idx="620">
                  <c:v>43721</c:v>
                </c:pt>
                <c:pt idx="621">
                  <c:v>43722</c:v>
                </c:pt>
                <c:pt idx="622">
                  <c:v>43723</c:v>
                </c:pt>
                <c:pt idx="623">
                  <c:v>43724</c:v>
                </c:pt>
                <c:pt idx="624">
                  <c:v>43725</c:v>
                </c:pt>
                <c:pt idx="625">
                  <c:v>43726</c:v>
                </c:pt>
                <c:pt idx="626">
                  <c:v>43727</c:v>
                </c:pt>
                <c:pt idx="627">
                  <c:v>43728</c:v>
                </c:pt>
                <c:pt idx="628">
                  <c:v>43729</c:v>
                </c:pt>
                <c:pt idx="629">
                  <c:v>43730</c:v>
                </c:pt>
                <c:pt idx="630">
                  <c:v>43731</c:v>
                </c:pt>
                <c:pt idx="631">
                  <c:v>43732</c:v>
                </c:pt>
                <c:pt idx="632">
                  <c:v>43733</c:v>
                </c:pt>
                <c:pt idx="633">
                  <c:v>43734</c:v>
                </c:pt>
                <c:pt idx="634">
                  <c:v>43735</c:v>
                </c:pt>
                <c:pt idx="635">
                  <c:v>43736</c:v>
                </c:pt>
                <c:pt idx="636">
                  <c:v>43737</c:v>
                </c:pt>
                <c:pt idx="637">
                  <c:v>43738</c:v>
                </c:pt>
              </c:numCache>
            </c:numRef>
          </c:cat>
          <c:val>
            <c:numRef>
              <c:f>'[Gráfico en Microsoft PowerPoint]Situacion VIP PIRINEOS'!$I$4:$I$611</c:f>
              <c:numCache>
                <c:formatCode>#,##0.00</c:formatCode>
                <c:ptCount val="608"/>
                <c:pt idx="0">
                  <c:v>-126.428048</c:v>
                </c:pt>
                <c:pt idx="1">
                  <c:v>-126.428048</c:v>
                </c:pt>
                <c:pt idx="2">
                  <c:v>-126.428048</c:v>
                </c:pt>
                <c:pt idx="3">
                  <c:v>-126.428048</c:v>
                </c:pt>
                <c:pt idx="4">
                  <c:v>-126.428048</c:v>
                </c:pt>
                <c:pt idx="5">
                  <c:v>-126.428048</c:v>
                </c:pt>
                <c:pt idx="6">
                  <c:v>-126.428048</c:v>
                </c:pt>
                <c:pt idx="7">
                  <c:v>-126.428048</c:v>
                </c:pt>
                <c:pt idx="8">
                  <c:v>-126.428048</c:v>
                </c:pt>
                <c:pt idx="9">
                  <c:v>-126.428048</c:v>
                </c:pt>
                <c:pt idx="10">
                  <c:v>-126.428048</c:v>
                </c:pt>
                <c:pt idx="11">
                  <c:v>-126.428048</c:v>
                </c:pt>
                <c:pt idx="12">
                  <c:v>-126.428048</c:v>
                </c:pt>
                <c:pt idx="13">
                  <c:v>-126.428048</c:v>
                </c:pt>
                <c:pt idx="14">
                  <c:v>-126.428048</c:v>
                </c:pt>
                <c:pt idx="15">
                  <c:v>-126.428048</c:v>
                </c:pt>
                <c:pt idx="16">
                  <c:v>-126.428048</c:v>
                </c:pt>
                <c:pt idx="17">
                  <c:v>-126.428048</c:v>
                </c:pt>
                <c:pt idx="18">
                  <c:v>-126.428048</c:v>
                </c:pt>
                <c:pt idx="19">
                  <c:v>-126.428048</c:v>
                </c:pt>
                <c:pt idx="20">
                  <c:v>-126.428048</c:v>
                </c:pt>
                <c:pt idx="21">
                  <c:v>-126.428048</c:v>
                </c:pt>
                <c:pt idx="22">
                  <c:v>-126.428048</c:v>
                </c:pt>
                <c:pt idx="23">
                  <c:v>-126.428048</c:v>
                </c:pt>
                <c:pt idx="24">
                  <c:v>-126.428048</c:v>
                </c:pt>
                <c:pt idx="25">
                  <c:v>-126.428048</c:v>
                </c:pt>
                <c:pt idx="26">
                  <c:v>-126.428048</c:v>
                </c:pt>
                <c:pt idx="27">
                  <c:v>-126.428048</c:v>
                </c:pt>
                <c:pt idx="28">
                  <c:v>-126.428048</c:v>
                </c:pt>
                <c:pt idx="29">
                  <c:v>-126.428048</c:v>
                </c:pt>
                <c:pt idx="30">
                  <c:v>-126.428048</c:v>
                </c:pt>
                <c:pt idx="31">
                  <c:v>-126.428048</c:v>
                </c:pt>
                <c:pt idx="32">
                  <c:v>-126.428048</c:v>
                </c:pt>
                <c:pt idx="33">
                  <c:v>-126.428048</c:v>
                </c:pt>
                <c:pt idx="34">
                  <c:v>-126.428048</c:v>
                </c:pt>
                <c:pt idx="35">
                  <c:v>-126.428048</c:v>
                </c:pt>
                <c:pt idx="36">
                  <c:v>-126.428048</c:v>
                </c:pt>
                <c:pt idx="37">
                  <c:v>-126.428048</c:v>
                </c:pt>
                <c:pt idx="38">
                  <c:v>-126.428048</c:v>
                </c:pt>
                <c:pt idx="39">
                  <c:v>-126.428048</c:v>
                </c:pt>
                <c:pt idx="40">
                  <c:v>-126.428048</c:v>
                </c:pt>
                <c:pt idx="41">
                  <c:v>-126.428048</c:v>
                </c:pt>
                <c:pt idx="42">
                  <c:v>-126.428048</c:v>
                </c:pt>
                <c:pt idx="43">
                  <c:v>-126.428048</c:v>
                </c:pt>
                <c:pt idx="44">
                  <c:v>-126.428048</c:v>
                </c:pt>
                <c:pt idx="45">
                  <c:v>-126.428048</c:v>
                </c:pt>
                <c:pt idx="46">
                  <c:v>-126.428048</c:v>
                </c:pt>
                <c:pt idx="47">
                  <c:v>-126.428048</c:v>
                </c:pt>
                <c:pt idx="48">
                  <c:v>-126.428048</c:v>
                </c:pt>
                <c:pt idx="49">
                  <c:v>-126.428048</c:v>
                </c:pt>
                <c:pt idx="50">
                  <c:v>-126.428048</c:v>
                </c:pt>
                <c:pt idx="51">
                  <c:v>-126.428048</c:v>
                </c:pt>
                <c:pt idx="52">
                  <c:v>-126.428048</c:v>
                </c:pt>
                <c:pt idx="53">
                  <c:v>-126.428048</c:v>
                </c:pt>
                <c:pt idx="54">
                  <c:v>-126.428048</c:v>
                </c:pt>
                <c:pt idx="55">
                  <c:v>-126.428048</c:v>
                </c:pt>
                <c:pt idx="56">
                  <c:v>-126.428048</c:v>
                </c:pt>
                <c:pt idx="57">
                  <c:v>-129.93325200000001</c:v>
                </c:pt>
                <c:pt idx="58">
                  <c:v>-157.62733299999999</c:v>
                </c:pt>
                <c:pt idx="59">
                  <c:v>-211.01554300000001</c:v>
                </c:pt>
                <c:pt idx="60">
                  <c:v>-259.41102699999999</c:v>
                </c:pt>
                <c:pt idx="61">
                  <c:v>-133.47833</c:v>
                </c:pt>
                <c:pt idx="62">
                  <c:v>-126.428048</c:v>
                </c:pt>
                <c:pt idx="63">
                  <c:v>-126.428048</c:v>
                </c:pt>
                <c:pt idx="64">
                  <c:v>-126.428048</c:v>
                </c:pt>
                <c:pt idx="65">
                  <c:v>-126.428048</c:v>
                </c:pt>
                <c:pt idx="66">
                  <c:v>-126.428048</c:v>
                </c:pt>
                <c:pt idx="67">
                  <c:v>-126.428048</c:v>
                </c:pt>
                <c:pt idx="68">
                  <c:v>-126.428048</c:v>
                </c:pt>
                <c:pt idx="69">
                  <c:v>-126.428048</c:v>
                </c:pt>
                <c:pt idx="70">
                  <c:v>-126.44408900000001</c:v>
                </c:pt>
                <c:pt idx="71">
                  <c:v>-126.428048</c:v>
                </c:pt>
                <c:pt idx="72">
                  <c:v>-126.428048</c:v>
                </c:pt>
                <c:pt idx="73">
                  <c:v>-126.428048</c:v>
                </c:pt>
                <c:pt idx="74">
                  <c:v>-126.428048</c:v>
                </c:pt>
                <c:pt idx="75">
                  <c:v>-126.428048</c:v>
                </c:pt>
                <c:pt idx="76">
                  <c:v>-126.428048</c:v>
                </c:pt>
                <c:pt idx="77">
                  <c:v>-126.428048</c:v>
                </c:pt>
                <c:pt idx="78">
                  <c:v>-126.428048</c:v>
                </c:pt>
                <c:pt idx="79">
                  <c:v>-126.428048</c:v>
                </c:pt>
                <c:pt idx="80">
                  <c:v>-126.428048</c:v>
                </c:pt>
                <c:pt idx="81">
                  <c:v>-126.428048</c:v>
                </c:pt>
                <c:pt idx="82">
                  <c:v>-126.428048</c:v>
                </c:pt>
                <c:pt idx="83">
                  <c:v>-126.428048</c:v>
                </c:pt>
                <c:pt idx="84">
                  <c:v>-126.428048</c:v>
                </c:pt>
                <c:pt idx="85">
                  <c:v>-126.428048</c:v>
                </c:pt>
                <c:pt idx="86">
                  <c:v>-126.428048</c:v>
                </c:pt>
                <c:pt idx="87">
                  <c:v>-126.428048</c:v>
                </c:pt>
                <c:pt idx="88">
                  <c:v>-126.428048</c:v>
                </c:pt>
                <c:pt idx="89">
                  <c:v>-126.428048</c:v>
                </c:pt>
                <c:pt idx="90">
                  <c:v>-126.428048</c:v>
                </c:pt>
                <c:pt idx="91">
                  <c:v>-126.428048</c:v>
                </c:pt>
                <c:pt idx="92">
                  <c:v>-126.428048</c:v>
                </c:pt>
                <c:pt idx="93">
                  <c:v>-126.428048</c:v>
                </c:pt>
                <c:pt idx="94">
                  <c:v>-126.428048</c:v>
                </c:pt>
                <c:pt idx="95">
                  <c:v>-126.428048</c:v>
                </c:pt>
                <c:pt idx="96">
                  <c:v>-126.428048</c:v>
                </c:pt>
                <c:pt idx="97">
                  <c:v>-126.428048</c:v>
                </c:pt>
                <c:pt idx="98">
                  <c:v>-126.428048</c:v>
                </c:pt>
                <c:pt idx="99">
                  <c:v>-126.428048</c:v>
                </c:pt>
                <c:pt idx="100">
                  <c:v>-126.428048</c:v>
                </c:pt>
                <c:pt idx="101">
                  <c:v>-126.428048</c:v>
                </c:pt>
                <c:pt idx="102">
                  <c:v>-126.428048</c:v>
                </c:pt>
                <c:pt idx="103">
                  <c:v>-126.428048</c:v>
                </c:pt>
                <c:pt idx="104">
                  <c:v>-126.428048</c:v>
                </c:pt>
                <c:pt idx="105">
                  <c:v>-126.428048</c:v>
                </c:pt>
                <c:pt idx="106">
                  <c:v>-126.428048</c:v>
                </c:pt>
                <c:pt idx="107">
                  <c:v>-126.428048</c:v>
                </c:pt>
                <c:pt idx="108">
                  <c:v>-126.428048</c:v>
                </c:pt>
                <c:pt idx="109">
                  <c:v>-126.428048</c:v>
                </c:pt>
                <c:pt idx="110">
                  <c:v>-126.428048</c:v>
                </c:pt>
                <c:pt idx="111">
                  <c:v>-126.428048</c:v>
                </c:pt>
                <c:pt idx="112">
                  <c:v>-126.428048</c:v>
                </c:pt>
                <c:pt idx="113">
                  <c:v>-126.428048</c:v>
                </c:pt>
                <c:pt idx="114">
                  <c:v>-126.428048</c:v>
                </c:pt>
                <c:pt idx="115">
                  <c:v>-126.428048</c:v>
                </c:pt>
                <c:pt idx="116">
                  <c:v>-126.428048</c:v>
                </c:pt>
                <c:pt idx="117">
                  <c:v>-126.428048</c:v>
                </c:pt>
                <c:pt idx="118">
                  <c:v>-126.428048</c:v>
                </c:pt>
                <c:pt idx="119">
                  <c:v>-126.428048</c:v>
                </c:pt>
                <c:pt idx="120">
                  <c:v>-126.428048</c:v>
                </c:pt>
                <c:pt idx="121">
                  <c:v>-126.428048</c:v>
                </c:pt>
                <c:pt idx="122">
                  <c:v>-126.428048</c:v>
                </c:pt>
                <c:pt idx="123">
                  <c:v>-126.428048</c:v>
                </c:pt>
                <c:pt idx="124">
                  <c:v>-126.428048</c:v>
                </c:pt>
                <c:pt idx="125">
                  <c:v>-126.428048</c:v>
                </c:pt>
                <c:pt idx="126">
                  <c:v>-126.428048</c:v>
                </c:pt>
                <c:pt idx="127">
                  <c:v>-126.428048</c:v>
                </c:pt>
                <c:pt idx="128">
                  <c:v>-126.428048</c:v>
                </c:pt>
                <c:pt idx="129">
                  <c:v>-126.428048</c:v>
                </c:pt>
                <c:pt idx="130">
                  <c:v>-126.428048</c:v>
                </c:pt>
                <c:pt idx="131">
                  <c:v>-126.428048</c:v>
                </c:pt>
                <c:pt idx="132">
                  <c:v>-126.428048</c:v>
                </c:pt>
                <c:pt idx="133">
                  <c:v>-126.428048</c:v>
                </c:pt>
                <c:pt idx="134">
                  <c:v>-126.428048</c:v>
                </c:pt>
                <c:pt idx="135">
                  <c:v>-126.428048</c:v>
                </c:pt>
                <c:pt idx="136">
                  <c:v>-126.428048</c:v>
                </c:pt>
                <c:pt idx="137">
                  <c:v>-126.428048</c:v>
                </c:pt>
                <c:pt idx="138">
                  <c:v>-126.428048</c:v>
                </c:pt>
                <c:pt idx="139">
                  <c:v>-126.428048</c:v>
                </c:pt>
                <c:pt idx="140">
                  <c:v>-126.428048</c:v>
                </c:pt>
                <c:pt idx="141">
                  <c:v>-126.428048</c:v>
                </c:pt>
                <c:pt idx="142">
                  <c:v>-126.428048</c:v>
                </c:pt>
                <c:pt idx="143">
                  <c:v>-126.428048</c:v>
                </c:pt>
                <c:pt idx="144">
                  <c:v>-126.428048</c:v>
                </c:pt>
                <c:pt idx="145">
                  <c:v>-126.428048</c:v>
                </c:pt>
                <c:pt idx="146">
                  <c:v>-126.428048</c:v>
                </c:pt>
                <c:pt idx="147">
                  <c:v>-126.428048</c:v>
                </c:pt>
                <c:pt idx="148">
                  <c:v>-126.428048</c:v>
                </c:pt>
                <c:pt idx="149">
                  <c:v>-126.428048</c:v>
                </c:pt>
                <c:pt idx="150">
                  <c:v>-126.428048</c:v>
                </c:pt>
                <c:pt idx="151">
                  <c:v>-126.428048</c:v>
                </c:pt>
                <c:pt idx="152">
                  <c:v>-126.428048</c:v>
                </c:pt>
                <c:pt idx="153">
                  <c:v>-126.428048</c:v>
                </c:pt>
                <c:pt idx="154">
                  <c:v>-126.428048</c:v>
                </c:pt>
                <c:pt idx="155">
                  <c:v>-126.428048</c:v>
                </c:pt>
                <c:pt idx="156">
                  <c:v>-126.428048</c:v>
                </c:pt>
                <c:pt idx="157">
                  <c:v>-126.428048</c:v>
                </c:pt>
                <c:pt idx="158">
                  <c:v>-126.428048</c:v>
                </c:pt>
                <c:pt idx="159">
                  <c:v>-126.428048</c:v>
                </c:pt>
                <c:pt idx="160">
                  <c:v>-126.428048</c:v>
                </c:pt>
                <c:pt idx="161">
                  <c:v>-126.428048</c:v>
                </c:pt>
                <c:pt idx="162">
                  <c:v>-126.428048</c:v>
                </c:pt>
                <c:pt idx="163">
                  <c:v>-126.428048</c:v>
                </c:pt>
                <c:pt idx="164">
                  <c:v>-126.428048</c:v>
                </c:pt>
                <c:pt idx="165">
                  <c:v>-126.428048</c:v>
                </c:pt>
                <c:pt idx="166">
                  <c:v>-126.428048</c:v>
                </c:pt>
                <c:pt idx="167">
                  <c:v>-126.428048</c:v>
                </c:pt>
                <c:pt idx="168">
                  <c:v>-126.428048</c:v>
                </c:pt>
                <c:pt idx="169">
                  <c:v>-126.428048</c:v>
                </c:pt>
                <c:pt idx="170">
                  <c:v>-126.428048</c:v>
                </c:pt>
                <c:pt idx="171">
                  <c:v>-126.428048</c:v>
                </c:pt>
                <c:pt idx="172">
                  <c:v>-126.428048</c:v>
                </c:pt>
                <c:pt idx="173">
                  <c:v>-126.428048</c:v>
                </c:pt>
                <c:pt idx="174">
                  <c:v>-126.428048</c:v>
                </c:pt>
                <c:pt idx="175">
                  <c:v>-126.428048</c:v>
                </c:pt>
                <c:pt idx="176">
                  <c:v>-126.428048</c:v>
                </c:pt>
                <c:pt idx="177">
                  <c:v>-126.428048</c:v>
                </c:pt>
                <c:pt idx="178">
                  <c:v>-126.428048</c:v>
                </c:pt>
                <c:pt idx="179">
                  <c:v>-126.428048</c:v>
                </c:pt>
                <c:pt idx="180">
                  <c:v>-159.18694500000001</c:v>
                </c:pt>
                <c:pt idx="181">
                  <c:v>-126.428072</c:v>
                </c:pt>
                <c:pt idx="182">
                  <c:v>-126.428048</c:v>
                </c:pt>
                <c:pt idx="183">
                  <c:v>-126.428048</c:v>
                </c:pt>
                <c:pt idx="184">
                  <c:v>-126.428048</c:v>
                </c:pt>
                <c:pt idx="185">
                  <c:v>-126.428048</c:v>
                </c:pt>
                <c:pt idx="186">
                  <c:v>-126.428048</c:v>
                </c:pt>
                <c:pt idx="187">
                  <c:v>-126.428048</c:v>
                </c:pt>
                <c:pt idx="188">
                  <c:v>-126.428048</c:v>
                </c:pt>
                <c:pt idx="189">
                  <c:v>-126.428048</c:v>
                </c:pt>
                <c:pt idx="190">
                  <c:v>-126.428048</c:v>
                </c:pt>
                <c:pt idx="191">
                  <c:v>-126.428048</c:v>
                </c:pt>
                <c:pt idx="192">
                  <c:v>-126.428048</c:v>
                </c:pt>
                <c:pt idx="193">
                  <c:v>-126.428048</c:v>
                </c:pt>
                <c:pt idx="194">
                  <c:v>-126.428048</c:v>
                </c:pt>
                <c:pt idx="195">
                  <c:v>-126.428048</c:v>
                </c:pt>
                <c:pt idx="196">
                  <c:v>-126.428048</c:v>
                </c:pt>
                <c:pt idx="197">
                  <c:v>-126.428048</c:v>
                </c:pt>
                <c:pt idx="198">
                  <c:v>-126.428048</c:v>
                </c:pt>
                <c:pt idx="199">
                  <c:v>-126.428048</c:v>
                </c:pt>
                <c:pt idx="200">
                  <c:v>-126.428048</c:v>
                </c:pt>
                <c:pt idx="201">
                  <c:v>-126.428048</c:v>
                </c:pt>
                <c:pt idx="202">
                  <c:v>-126.428048</c:v>
                </c:pt>
                <c:pt idx="203">
                  <c:v>-126.428048</c:v>
                </c:pt>
                <c:pt idx="204">
                  <c:v>-126.428048</c:v>
                </c:pt>
                <c:pt idx="205">
                  <c:v>-126.428048</c:v>
                </c:pt>
                <c:pt idx="206">
                  <c:v>-126.428048</c:v>
                </c:pt>
                <c:pt idx="207">
                  <c:v>-126.428048</c:v>
                </c:pt>
                <c:pt idx="208">
                  <c:v>-126.428048</c:v>
                </c:pt>
                <c:pt idx="209">
                  <c:v>-126.428048</c:v>
                </c:pt>
                <c:pt idx="210">
                  <c:v>-126.428048</c:v>
                </c:pt>
                <c:pt idx="211">
                  <c:v>-126.428048</c:v>
                </c:pt>
                <c:pt idx="212">
                  <c:v>-126.428048</c:v>
                </c:pt>
                <c:pt idx="213">
                  <c:v>-126.428048</c:v>
                </c:pt>
                <c:pt idx="214">
                  <c:v>-126.428048</c:v>
                </c:pt>
                <c:pt idx="215">
                  <c:v>-126.428048</c:v>
                </c:pt>
                <c:pt idx="216">
                  <c:v>-126.428048</c:v>
                </c:pt>
                <c:pt idx="217">
                  <c:v>-126.428048</c:v>
                </c:pt>
                <c:pt idx="218">
                  <c:v>-126.428048</c:v>
                </c:pt>
                <c:pt idx="219">
                  <c:v>-126.428048</c:v>
                </c:pt>
                <c:pt idx="220">
                  <c:v>-126.428048</c:v>
                </c:pt>
                <c:pt idx="221">
                  <c:v>-126.428048</c:v>
                </c:pt>
                <c:pt idx="222">
                  <c:v>-126.428048</c:v>
                </c:pt>
                <c:pt idx="223">
                  <c:v>-126.428048</c:v>
                </c:pt>
                <c:pt idx="224">
                  <c:v>-126.428048</c:v>
                </c:pt>
                <c:pt idx="225">
                  <c:v>-126.428048</c:v>
                </c:pt>
                <c:pt idx="226">
                  <c:v>-126.428048</c:v>
                </c:pt>
                <c:pt idx="227">
                  <c:v>-126.428048</c:v>
                </c:pt>
                <c:pt idx="228">
                  <c:v>-126.428048</c:v>
                </c:pt>
                <c:pt idx="229">
                  <c:v>-126.428048</c:v>
                </c:pt>
                <c:pt idx="230">
                  <c:v>-126.428048</c:v>
                </c:pt>
                <c:pt idx="231">
                  <c:v>-126.428048</c:v>
                </c:pt>
                <c:pt idx="232">
                  <c:v>-126.428048</c:v>
                </c:pt>
                <c:pt idx="233">
                  <c:v>-126.428048</c:v>
                </c:pt>
                <c:pt idx="234">
                  <c:v>-126.428048</c:v>
                </c:pt>
                <c:pt idx="235">
                  <c:v>-126.428048</c:v>
                </c:pt>
                <c:pt idx="236">
                  <c:v>-126.428048</c:v>
                </c:pt>
                <c:pt idx="237">
                  <c:v>-126.428048</c:v>
                </c:pt>
                <c:pt idx="238">
                  <c:v>-126.428048</c:v>
                </c:pt>
                <c:pt idx="239">
                  <c:v>-126.428048</c:v>
                </c:pt>
                <c:pt idx="240">
                  <c:v>-126.428048</c:v>
                </c:pt>
                <c:pt idx="241">
                  <c:v>-126.428048</c:v>
                </c:pt>
                <c:pt idx="242">
                  <c:v>-126.428048</c:v>
                </c:pt>
                <c:pt idx="243">
                  <c:v>-126.428048</c:v>
                </c:pt>
                <c:pt idx="244">
                  <c:v>-126.428048</c:v>
                </c:pt>
                <c:pt idx="245">
                  <c:v>-126.428048</c:v>
                </c:pt>
                <c:pt idx="246">
                  <c:v>-126.428048</c:v>
                </c:pt>
                <c:pt idx="247">
                  <c:v>-126.428048</c:v>
                </c:pt>
                <c:pt idx="248">
                  <c:v>-126.428048</c:v>
                </c:pt>
                <c:pt idx="249">
                  <c:v>-126.428048</c:v>
                </c:pt>
                <c:pt idx="250">
                  <c:v>-126.428048</c:v>
                </c:pt>
                <c:pt idx="251">
                  <c:v>-126.428048</c:v>
                </c:pt>
                <c:pt idx="252">
                  <c:v>-126.428048</c:v>
                </c:pt>
                <c:pt idx="253">
                  <c:v>-126.428048</c:v>
                </c:pt>
                <c:pt idx="254">
                  <c:v>-126.428048</c:v>
                </c:pt>
                <c:pt idx="255">
                  <c:v>-126.428048</c:v>
                </c:pt>
                <c:pt idx="256">
                  <c:v>-126.428048</c:v>
                </c:pt>
                <c:pt idx="257">
                  <c:v>-126.428048</c:v>
                </c:pt>
                <c:pt idx="258">
                  <c:v>-126.428048</c:v>
                </c:pt>
                <c:pt idx="259">
                  <c:v>-126.428048</c:v>
                </c:pt>
                <c:pt idx="260">
                  <c:v>-126.428048</c:v>
                </c:pt>
                <c:pt idx="261">
                  <c:v>-126.428048</c:v>
                </c:pt>
                <c:pt idx="262">
                  <c:v>-126.428048</c:v>
                </c:pt>
                <c:pt idx="263">
                  <c:v>-126.428048</c:v>
                </c:pt>
                <c:pt idx="264">
                  <c:v>-126.428048</c:v>
                </c:pt>
                <c:pt idx="265">
                  <c:v>-126.428048</c:v>
                </c:pt>
                <c:pt idx="266">
                  <c:v>-126.428048</c:v>
                </c:pt>
                <c:pt idx="267">
                  <c:v>-126.428048</c:v>
                </c:pt>
                <c:pt idx="268">
                  <c:v>-126.428048</c:v>
                </c:pt>
                <c:pt idx="269">
                  <c:v>-126.428048</c:v>
                </c:pt>
                <c:pt idx="270">
                  <c:v>-126.428048</c:v>
                </c:pt>
                <c:pt idx="271">
                  <c:v>-126.428048</c:v>
                </c:pt>
                <c:pt idx="272">
                  <c:v>-126.428048</c:v>
                </c:pt>
                <c:pt idx="273">
                  <c:v>-126.428</c:v>
                </c:pt>
                <c:pt idx="274">
                  <c:v>-126.428</c:v>
                </c:pt>
                <c:pt idx="275">
                  <c:v>-126.428</c:v>
                </c:pt>
                <c:pt idx="276">
                  <c:v>-126.428</c:v>
                </c:pt>
                <c:pt idx="277">
                  <c:v>-126.428</c:v>
                </c:pt>
                <c:pt idx="278">
                  <c:v>-126.428</c:v>
                </c:pt>
                <c:pt idx="279">
                  <c:v>-126.428</c:v>
                </c:pt>
                <c:pt idx="280">
                  <c:v>-126.428</c:v>
                </c:pt>
                <c:pt idx="281">
                  <c:v>-126.428</c:v>
                </c:pt>
                <c:pt idx="282">
                  <c:v>-126.428</c:v>
                </c:pt>
                <c:pt idx="283">
                  <c:v>-126.428</c:v>
                </c:pt>
                <c:pt idx="284">
                  <c:v>-126.428</c:v>
                </c:pt>
                <c:pt idx="285">
                  <c:v>-126.428</c:v>
                </c:pt>
                <c:pt idx="286">
                  <c:v>-126.428</c:v>
                </c:pt>
                <c:pt idx="287">
                  <c:v>-126.428</c:v>
                </c:pt>
                <c:pt idx="288">
                  <c:v>-126.428</c:v>
                </c:pt>
                <c:pt idx="289">
                  <c:v>-126.428</c:v>
                </c:pt>
                <c:pt idx="290">
                  <c:v>-126.428</c:v>
                </c:pt>
                <c:pt idx="291">
                  <c:v>-126.428</c:v>
                </c:pt>
                <c:pt idx="292">
                  <c:v>-126.428</c:v>
                </c:pt>
                <c:pt idx="293">
                  <c:v>-126.428</c:v>
                </c:pt>
                <c:pt idx="294">
                  <c:v>-126.428</c:v>
                </c:pt>
                <c:pt idx="295">
                  <c:v>-126.428</c:v>
                </c:pt>
                <c:pt idx="296">
                  <c:v>-126.428</c:v>
                </c:pt>
                <c:pt idx="297">
                  <c:v>-126.428</c:v>
                </c:pt>
                <c:pt idx="298">
                  <c:v>-126.428</c:v>
                </c:pt>
                <c:pt idx="299">
                  <c:v>-126.428</c:v>
                </c:pt>
                <c:pt idx="300">
                  <c:v>-126.428</c:v>
                </c:pt>
                <c:pt idx="301">
                  <c:v>-126.428</c:v>
                </c:pt>
                <c:pt idx="302">
                  <c:v>-126.428</c:v>
                </c:pt>
                <c:pt idx="303">
                  <c:v>-126.428</c:v>
                </c:pt>
                <c:pt idx="304">
                  <c:v>-126.428</c:v>
                </c:pt>
                <c:pt idx="305">
                  <c:v>-126.428</c:v>
                </c:pt>
                <c:pt idx="306">
                  <c:v>-126.428</c:v>
                </c:pt>
                <c:pt idx="307">
                  <c:v>-126.428</c:v>
                </c:pt>
                <c:pt idx="308">
                  <c:v>-126.428</c:v>
                </c:pt>
                <c:pt idx="309">
                  <c:v>-126.428</c:v>
                </c:pt>
                <c:pt idx="310">
                  <c:v>-126.428</c:v>
                </c:pt>
                <c:pt idx="311">
                  <c:v>-126.428</c:v>
                </c:pt>
                <c:pt idx="312">
                  <c:v>-126.428</c:v>
                </c:pt>
                <c:pt idx="313">
                  <c:v>-126.428</c:v>
                </c:pt>
                <c:pt idx="314">
                  <c:v>-126.428</c:v>
                </c:pt>
                <c:pt idx="315">
                  <c:v>-126.428</c:v>
                </c:pt>
                <c:pt idx="316">
                  <c:v>-126.428</c:v>
                </c:pt>
                <c:pt idx="317">
                  <c:v>-126.428</c:v>
                </c:pt>
                <c:pt idx="318">
                  <c:v>-126.428</c:v>
                </c:pt>
                <c:pt idx="319">
                  <c:v>-126.428</c:v>
                </c:pt>
                <c:pt idx="320">
                  <c:v>-126.428</c:v>
                </c:pt>
                <c:pt idx="321">
                  <c:v>-126.428</c:v>
                </c:pt>
                <c:pt idx="322">
                  <c:v>-126.428</c:v>
                </c:pt>
                <c:pt idx="323">
                  <c:v>-126.428</c:v>
                </c:pt>
                <c:pt idx="324">
                  <c:v>-126.428</c:v>
                </c:pt>
                <c:pt idx="325">
                  <c:v>-126.428</c:v>
                </c:pt>
                <c:pt idx="326">
                  <c:v>-126.428</c:v>
                </c:pt>
                <c:pt idx="327">
                  <c:v>-126.428</c:v>
                </c:pt>
                <c:pt idx="328">
                  <c:v>-126.428</c:v>
                </c:pt>
                <c:pt idx="329">
                  <c:v>-126.428</c:v>
                </c:pt>
                <c:pt idx="330">
                  <c:v>-126.428</c:v>
                </c:pt>
                <c:pt idx="331">
                  <c:v>-126.428</c:v>
                </c:pt>
                <c:pt idx="332">
                  <c:v>-126.428</c:v>
                </c:pt>
                <c:pt idx="333">
                  <c:v>-126.428</c:v>
                </c:pt>
                <c:pt idx="334">
                  <c:v>-126.428</c:v>
                </c:pt>
                <c:pt idx="335">
                  <c:v>-126.428</c:v>
                </c:pt>
                <c:pt idx="336">
                  <c:v>-126.428</c:v>
                </c:pt>
                <c:pt idx="337">
                  <c:v>-126.428</c:v>
                </c:pt>
                <c:pt idx="338">
                  <c:v>-126.428</c:v>
                </c:pt>
                <c:pt idx="339">
                  <c:v>-126.428</c:v>
                </c:pt>
                <c:pt idx="340">
                  <c:v>-126.428</c:v>
                </c:pt>
                <c:pt idx="341">
                  <c:v>-126.428</c:v>
                </c:pt>
                <c:pt idx="342">
                  <c:v>-126.428</c:v>
                </c:pt>
                <c:pt idx="343">
                  <c:v>-126.428</c:v>
                </c:pt>
                <c:pt idx="344">
                  <c:v>-126.428</c:v>
                </c:pt>
                <c:pt idx="345">
                  <c:v>-126.428</c:v>
                </c:pt>
                <c:pt idx="346">
                  <c:v>-126.428</c:v>
                </c:pt>
                <c:pt idx="347">
                  <c:v>-126.428</c:v>
                </c:pt>
                <c:pt idx="348">
                  <c:v>-126.428</c:v>
                </c:pt>
                <c:pt idx="349">
                  <c:v>-126.428</c:v>
                </c:pt>
                <c:pt idx="350">
                  <c:v>-126.428</c:v>
                </c:pt>
                <c:pt idx="351">
                  <c:v>-126.428</c:v>
                </c:pt>
                <c:pt idx="352">
                  <c:v>-126.428</c:v>
                </c:pt>
                <c:pt idx="353">
                  <c:v>-126.428</c:v>
                </c:pt>
                <c:pt idx="354">
                  <c:v>-126.428</c:v>
                </c:pt>
                <c:pt idx="355">
                  <c:v>-126.428</c:v>
                </c:pt>
                <c:pt idx="356">
                  <c:v>-126.428</c:v>
                </c:pt>
                <c:pt idx="357">
                  <c:v>-126.428</c:v>
                </c:pt>
                <c:pt idx="358">
                  <c:v>-126.428</c:v>
                </c:pt>
                <c:pt idx="359">
                  <c:v>-126.428</c:v>
                </c:pt>
                <c:pt idx="360">
                  <c:v>-126.428</c:v>
                </c:pt>
                <c:pt idx="361">
                  <c:v>-126.428</c:v>
                </c:pt>
                <c:pt idx="362">
                  <c:v>-126.428</c:v>
                </c:pt>
                <c:pt idx="363">
                  <c:v>-126.428</c:v>
                </c:pt>
                <c:pt idx="364">
                  <c:v>-126.428</c:v>
                </c:pt>
                <c:pt idx="365">
                  <c:v>-126.428</c:v>
                </c:pt>
                <c:pt idx="366">
                  <c:v>-126.428</c:v>
                </c:pt>
                <c:pt idx="367">
                  <c:v>-126.428</c:v>
                </c:pt>
                <c:pt idx="368">
                  <c:v>-126.428</c:v>
                </c:pt>
                <c:pt idx="369">
                  <c:v>-126.428</c:v>
                </c:pt>
                <c:pt idx="370">
                  <c:v>-126.428</c:v>
                </c:pt>
                <c:pt idx="371">
                  <c:v>-126.428</c:v>
                </c:pt>
                <c:pt idx="372">
                  <c:v>-126.428</c:v>
                </c:pt>
                <c:pt idx="373">
                  <c:v>-126.428</c:v>
                </c:pt>
                <c:pt idx="374">
                  <c:v>-126.428</c:v>
                </c:pt>
                <c:pt idx="375">
                  <c:v>-126.428</c:v>
                </c:pt>
                <c:pt idx="376">
                  <c:v>-126.428</c:v>
                </c:pt>
                <c:pt idx="377">
                  <c:v>-126.428</c:v>
                </c:pt>
                <c:pt idx="378">
                  <c:v>-126.428</c:v>
                </c:pt>
                <c:pt idx="379">
                  <c:v>-126.428</c:v>
                </c:pt>
                <c:pt idx="380">
                  <c:v>-126.428</c:v>
                </c:pt>
                <c:pt idx="381">
                  <c:v>-126.428</c:v>
                </c:pt>
                <c:pt idx="382">
                  <c:v>-126.428</c:v>
                </c:pt>
                <c:pt idx="383">
                  <c:v>-126.428</c:v>
                </c:pt>
                <c:pt idx="384">
                  <c:v>-126.428</c:v>
                </c:pt>
                <c:pt idx="385">
                  <c:v>-133.23765900000001</c:v>
                </c:pt>
                <c:pt idx="386">
                  <c:v>-126.428</c:v>
                </c:pt>
                <c:pt idx="387">
                  <c:v>-126.428</c:v>
                </c:pt>
                <c:pt idx="388">
                  <c:v>-126.428</c:v>
                </c:pt>
                <c:pt idx="389">
                  <c:v>-126.428</c:v>
                </c:pt>
                <c:pt idx="390">
                  <c:v>-126.428</c:v>
                </c:pt>
                <c:pt idx="391">
                  <c:v>-126.428</c:v>
                </c:pt>
                <c:pt idx="392">
                  <c:v>-126.428</c:v>
                </c:pt>
                <c:pt idx="393">
                  <c:v>-126.428</c:v>
                </c:pt>
                <c:pt idx="394">
                  <c:v>-126.428</c:v>
                </c:pt>
                <c:pt idx="395">
                  <c:v>-126.428</c:v>
                </c:pt>
                <c:pt idx="396">
                  <c:v>-126.428</c:v>
                </c:pt>
                <c:pt idx="397">
                  <c:v>-126.428</c:v>
                </c:pt>
                <c:pt idx="398">
                  <c:v>-126.428</c:v>
                </c:pt>
                <c:pt idx="399">
                  <c:v>-126.428</c:v>
                </c:pt>
                <c:pt idx="400">
                  <c:v>-126.428</c:v>
                </c:pt>
                <c:pt idx="401">
                  <c:v>-126.428</c:v>
                </c:pt>
                <c:pt idx="402">
                  <c:v>-126.428</c:v>
                </c:pt>
                <c:pt idx="403">
                  <c:v>-126.428</c:v>
                </c:pt>
                <c:pt idx="404">
                  <c:v>-126.428</c:v>
                </c:pt>
                <c:pt idx="405">
                  <c:v>-126.428</c:v>
                </c:pt>
                <c:pt idx="406">
                  <c:v>-126.428</c:v>
                </c:pt>
                <c:pt idx="407">
                  <c:v>-126.428</c:v>
                </c:pt>
                <c:pt idx="408">
                  <c:v>-126.428</c:v>
                </c:pt>
                <c:pt idx="409">
                  <c:v>-126.428</c:v>
                </c:pt>
                <c:pt idx="410">
                  <c:v>-126.428</c:v>
                </c:pt>
                <c:pt idx="411">
                  <c:v>-126.428</c:v>
                </c:pt>
                <c:pt idx="412">
                  <c:v>-126.428</c:v>
                </c:pt>
                <c:pt idx="413">
                  <c:v>-126.428</c:v>
                </c:pt>
                <c:pt idx="414">
                  <c:v>-126.428</c:v>
                </c:pt>
                <c:pt idx="415">
                  <c:v>-126.428</c:v>
                </c:pt>
                <c:pt idx="416">
                  <c:v>-126.428</c:v>
                </c:pt>
                <c:pt idx="417">
                  <c:v>-126.428</c:v>
                </c:pt>
                <c:pt idx="418">
                  <c:v>-126.428</c:v>
                </c:pt>
                <c:pt idx="419">
                  <c:v>-126.428</c:v>
                </c:pt>
                <c:pt idx="420">
                  <c:v>-126.428</c:v>
                </c:pt>
                <c:pt idx="421">
                  <c:v>-126.428</c:v>
                </c:pt>
                <c:pt idx="422">
                  <c:v>-126.428</c:v>
                </c:pt>
                <c:pt idx="423">
                  <c:v>-126.428</c:v>
                </c:pt>
                <c:pt idx="424">
                  <c:v>-126.428</c:v>
                </c:pt>
                <c:pt idx="425">
                  <c:v>-126.428</c:v>
                </c:pt>
                <c:pt idx="426">
                  <c:v>-126.428</c:v>
                </c:pt>
                <c:pt idx="427">
                  <c:v>-126.428</c:v>
                </c:pt>
                <c:pt idx="428">
                  <c:v>-126.428</c:v>
                </c:pt>
                <c:pt idx="429">
                  <c:v>-126.428</c:v>
                </c:pt>
                <c:pt idx="430">
                  <c:v>-126.428</c:v>
                </c:pt>
                <c:pt idx="431">
                  <c:v>-126.428</c:v>
                </c:pt>
                <c:pt idx="432">
                  <c:v>-126.428</c:v>
                </c:pt>
                <c:pt idx="433">
                  <c:v>-126.428</c:v>
                </c:pt>
                <c:pt idx="434">
                  <c:v>-126.428</c:v>
                </c:pt>
                <c:pt idx="435">
                  <c:v>-126.428</c:v>
                </c:pt>
                <c:pt idx="436">
                  <c:v>-126.428</c:v>
                </c:pt>
                <c:pt idx="437">
                  <c:v>-126.428</c:v>
                </c:pt>
                <c:pt idx="438">
                  <c:v>-126.428</c:v>
                </c:pt>
                <c:pt idx="439">
                  <c:v>-126.428</c:v>
                </c:pt>
                <c:pt idx="440">
                  <c:v>-126.428</c:v>
                </c:pt>
                <c:pt idx="441">
                  <c:v>-126.428</c:v>
                </c:pt>
                <c:pt idx="442">
                  <c:v>-126.428</c:v>
                </c:pt>
                <c:pt idx="443">
                  <c:v>-126.428</c:v>
                </c:pt>
                <c:pt idx="444">
                  <c:v>-126.428</c:v>
                </c:pt>
                <c:pt idx="445">
                  <c:v>-126.428</c:v>
                </c:pt>
                <c:pt idx="446">
                  <c:v>-126.428</c:v>
                </c:pt>
                <c:pt idx="447">
                  <c:v>-126.428</c:v>
                </c:pt>
                <c:pt idx="448">
                  <c:v>-126.428</c:v>
                </c:pt>
                <c:pt idx="449">
                  <c:v>-126.428</c:v>
                </c:pt>
                <c:pt idx="450">
                  <c:v>-126.428</c:v>
                </c:pt>
                <c:pt idx="451">
                  <c:v>-126.428</c:v>
                </c:pt>
                <c:pt idx="452">
                  <c:v>-126.428</c:v>
                </c:pt>
                <c:pt idx="453">
                  <c:v>-126.428</c:v>
                </c:pt>
                <c:pt idx="454">
                  <c:v>-126.428</c:v>
                </c:pt>
                <c:pt idx="455">
                  <c:v>-126.428</c:v>
                </c:pt>
                <c:pt idx="456">
                  <c:v>-126.428</c:v>
                </c:pt>
                <c:pt idx="457">
                  <c:v>-126.428</c:v>
                </c:pt>
                <c:pt idx="458">
                  <c:v>-126.428</c:v>
                </c:pt>
                <c:pt idx="459">
                  <c:v>-126.428</c:v>
                </c:pt>
                <c:pt idx="460">
                  <c:v>-126.428</c:v>
                </c:pt>
                <c:pt idx="461">
                  <c:v>-126.428</c:v>
                </c:pt>
                <c:pt idx="462">
                  <c:v>-126.428</c:v>
                </c:pt>
                <c:pt idx="463">
                  <c:v>-126.428</c:v>
                </c:pt>
                <c:pt idx="464">
                  <c:v>-126.428</c:v>
                </c:pt>
                <c:pt idx="465">
                  <c:v>-126.428</c:v>
                </c:pt>
                <c:pt idx="466">
                  <c:v>-126.428</c:v>
                </c:pt>
                <c:pt idx="467">
                  <c:v>-126.428</c:v>
                </c:pt>
                <c:pt idx="468">
                  <c:v>-126.428</c:v>
                </c:pt>
                <c:pt idx="469">
                  <c:v>-132.94489999999999</c:v>
                </c:pt>
                <c:pt idx="470">
                  <c:v>-150.49039999999999</c:v>
                </c:pt>
                <c:pt idx="471">
                  <c:v>-150.49039999999999</c:v>
                </c:pt>
                <c:pt idx="472">
                  <c:v>-154.5008</c:v>
                </c:pt>
                <c:pt idx="473">
                  <c:v>-174.55279999999999</c:v>
                </c:pt>
                <c:pt idx="474">
                  <c:v>-126.428</c:v>
                </c:pt>
                <c:pt idx="475">
                  <c:v>-126.428</c:v>
                </c:pt>
                <c:pt idx="476">
                  <c:v>-126.428</c:v>
                </c:pt>
                <c:pt idx="477">
                  <c:v>-154.5008</c:v>
                </c:pt>
                <c:pt idx="478">
                  <c:v>-126.428</c:v>
                </c:pt>
                <c:pt idx="479">
                  <c:v>-126.428</c:v>
                </c:pt>
                <c:pt idx="480">
                  <c:v>-126.428</c:v>
                </c:pt>
                <c:pt idx="481">
                  <c:v>-126.428</c:v>
                </c:pt>
                <c:pt idx="482">
                  <c:v>-126.428</c:v>
                </c:pt>
                <c:pt idx="483">
                  <c:v>-126.428</c:v>
                </c:pt>
                <c:pt idx="484">
                  <c:v>-126.428</c:v>
                </c:pt>
                <c:pt idx="485">
                  <c:v>-126.428</c:v>
                </c:pt>
                <c:pt idx="486">
                  <c:v>-126.428</c:v>
                </c:pt>
                <c:pt idx="487">
                  <c:v>-126.428</c:v>
                </c:pt>
                <c:pt idx="488">
                  <c:v>-126.428</c:v>
                </c:pt>
                <c:pt idx="489">
                  <c:v>-126.428</c:v>
                </c:pt>
                <c:pt idx="490">
                  <c:v>-126.428</c:v>
                </c:pt>
                <c:pt idx="491">
                  <c:v>-126.428</c:v>
                </c:pt>
                <c:pt idx="492">
                  <c:v>-126.428</c:v>
                </c:pt>
                <c:pt idx="493">
                  <c:v>-126.428</c:v>
                </c:pt>
                <c:pt idx="494">
                  <c:v>-126.428</c:v>
                </c:pt>
                <c:pt idx="495">
                  <c:v>-126.428</c:v>
                </c:pt>
                <c:pt idx="496">
                  <c:v>-126.428</c:v>
                </c:pt>
                <c:pt idx="497">
                  <c:v>-126.428</c:v>
                </c:pt>
                <c:pt idx="498">
                  <c:v>-126.428</c:v>
                </c:pt>
                <c:pt idx="499">
                  <c:v>-126.428</c:v>
                </c:pt>
                <c:pt idx="500">
                  <c:v>-126.428</c:v>
                </c:pt>
                <c:pt idx="501">
                  <c:v>-126.428</c:v>
                </c:pt>
                <c:pt idx="502">
                  <c:v>-126.428</c:v>
                </c:pt>
                <c:pt idx="503">
                  <c:v>-126.428</c:v>
                </c:pt>
                <c:pt idx="504">
                  <c:v>-126.428</c:v>
                </c:pt>
                <c:pt idx="505">
                  <c:v>-126.428</c:v>
                </c:pt>
                <c:pt idx="506">
                  <c:v>-126.428</c:v>
                </c:pt>
                <c:pt idx="507">
                  <c:v>-126.428</c:v>
                </c:pt>
                <c:pt idx="508">
                  <c:v>-126.428</c:v>
                </c:pt>
                <c:pt idx="509">
                  <c:v>-126.428</c:v>
                </c:pt>
                <c:pt idx="510">
                  <c:v>-132.74438000000001</c:v>
                </c:pt>
                <c:pt idx="511">
                  <c:v>-126.428</c:v>
                </c:pt>
                <c:pt idx="512">
                  <c:v>-126.428</c:v>
                </c:pt>
                <c:pt idx="513">
                  <c:v>-126.428</c:v>
                </c:pt>
                <c:pt idx="514">
                  <c:v>-126.428</c:v>
                </c:pt>
                <c:pt idx="515">
                  <c:v>-126.428</c:v>
                </c:pt>
                <c:pt idx="516">
                  <c:v>-126.428</c:v>
                </c:pt>
                <c:pt idx="517">
                  <c:v>-126.428</c:v>
                </c:pt>
                <c:pt idx="518">
                  <c:v>-126.428</c:v>
                </c:pt>
                <c:pt idx="519">
                  <c:v>-126.428</c:v>
                </c:pt>
                <c:pt idx="520">
                  <c:v>-126.428</c:v>
                </c:pt>
                <c:pt idx="521">
                  <c:v>-126.428</c:v>
                </c:pt>
                <c:pt idx="522">
                  <c:v>-126.428</c:v>
                </c:pt>
                <c:pt idx="523">
                  <c:v>-126.428</c:v>
                </c:pt>
                <c:pt idx="524">
                  <c:v>-126.428</c:v>
                </c:pt>
                <c:pt idx="525">
                  <c:v>-126.428</c:v>
                </c:pt>
                <c:pt idx="526">
                  <c:v>-126.428</c:v>
                </c:pt>
                <c:pt idx="527">
                  <c:v>-126.428</c:v>
                </c:pt>
                <c:pt idx="528">
                  <c:v>-126.428</c:v>
                </c:pt>
                <c:pt idx="529">
                  <c:v>-126.428</c:v>
                </c:pt>
                <c:pt idx="530">
                  <c:v>-126.428</c:v>
                </c:pt>
                <c:pt idx="531">
                  <c:v>-126.428</c:v>
                </c:pt>
                <c:pt idx="532">
                  <c:v>-126.428</c:v>
                </c:pt>
                <c:pt idx="533">
                  <c:v>-126.428</c:v>
                </c:pt>
                <c:pt idx="534">
                  <c:v>-126.428</c:v>
                </c:pt>
                <c:pt idx="535">
                  <c:v>-126.428</c:v>
                </c:pt>
                <c:pt idx="536">
                  <c:v>-126.428</c:v>
                </c:pt>
                <c:pt idx="537">
                  <c:v>-126.428</c:v>
                </c:pt>
                <c:pt idx="538">
                  <c:v>-126.428</c:v>
                </c:pt>
                <c:pt idx="539">
                  <c:v>-126.428</c:v>
                </c:pt>
                <c:pt idx="540">
                  <c:v>-126.428</c:v>
                </c:pt>
                <c:pt idx="541">
                  <c:v>-126.428</c:v>
                </c:pt>
                <c:pt idx="542">
                  <c:v>-126.428</c:v>
                </c:pt>
                <c:pt idx="543">
                  <c:v>-126.428</c:v>
                </c:pt>
                <c:pt idx="544">
                  <c:v>-126.428</c:v>
                </c:pt>
                <c:pt idx="545">
                  <c:v>-126.428</c:v>
                </c:pt>
                <c:pt idx="546">
                  <c:v>-126.428</c:v>
                </c:pt>
                <c:pt idx="547">
                  <c:v>-126.428</c:v>
                </c:pt>
                <c:pt idx="548">
                  <c:v>-126.428</c:v>
                </c:pt>
                <c:pt idx="549">
                  <c:v>-126.428</c:v>
                </c:pt>
                <c:pt idx="550">
                  <c:v>-126.428</c:v>
                </c:pt>
                <c:pt idx="551">
                  <c:v>-126.428</c:v>
                </c:pt>
                <c:pt idx="552">
                  <c:v>-126.428</c:v>
                </c:pt>
                <c:pt idx="553">
                  <c:v>-126.428</c:v>
                </c:pt>
                <c:pt idx="554">
                  <c:v>-126.428</c:v>
                </c:pt>
                <c:pt idx="555">
                  <c:v>-126.428</c:v>
                </c:pt>
                <c:pt idx="556">
                  <c:v>-126.428</c:v>
                </c:pt>
                <c:pt idx="557">
                  <c:v>-126.428</c:v>
                </c:pt>
                <c:pt idx="558">
                  <c:v>-126.428</c:v>
                </c:pt>
                <c:pt idx="559">
                  <c:v>-126.428</c:v>
                </c:pt>
                <c:pt idx="560">
                  <c:v>-126.428</c:v>
                </c:pt>
                <c:pt idx="561">
                  <c:v>-126.428</c:v>
                </c:pt>
                <c:pt idx="562">
                  <c:v>-126.428</c:v>
                </c:pt>
                <c:pt idx="563">
                  <c:v>-126.428</c:v>
                </c:pt>
                <c:pt idx="564">
                  <c:v>-126.428</c:v>
                </c:pt>
                <c:pt idx="565">
                  <c:v>-126.428</c:v>
                </c:pt>
                <c:pt idx="566">
                  <c:v>-126.428</c:v>
                </c:pt>
                <c:pt idx="567">
                  <c:v>-126.428</c:v>
                </c:pt>
                <c:pt idx="568">
                  <c:v>-126.428</c:v>
                </c:pt>
                <c:pt idx="569">
                  <c:v>-126.428</c:v>
                </c:pt>
                <c:pt idx="570">
                  <c:v>-153.4982</c:v>
                </c:pt>
                <c:pt idx="571">
                  <c:v>-126.428</c:v>
                </c:pt>
                <c:pt idx="572">
                  <c:v>-126.428</c:v>
                </c:pt>
                <c:pt idx="573">
                  <c:v>-126.428</c:v>
                </c:pt>
                <c:pt idx="574">
                  <c:v>-126.428</c:v>
                </c:pt>
                <c:pt idx="575">
                  <c:v>-126.428</c:v>
                </c:pt>
                <c:pt idx="576">
                  <c:v>-126.428</c:v>
                </c:pt>
                <c:pt idx="577">
                  <c:v>-126.428</c:v>
                </c:pt>
                <c:pt idx="578">
                  <c:v>-126.428</c:v>
                </c:pt>
                <c:pt idx="579">
                  <c:v>-126.428</c:v>
                </c:pt>
                <c:pt idx="580">
                  <c:v>-126.428</c:v>
                </c:pt>
                <c:pt idx="581">
                  <c:v>-126.428</c:v>
                </c:pt>
                <c:pt idx="582">
                  <c:v>-126.428</c:v>
                </c:pt>
                <c:pt idx="583">
                  <c:v>-126.428</c:v>
                </c:pt>
                <c:pt idx="584">
                  <c:v>-126.428</c:v>
                </c:pt>
                <c:pt idx="585">
                  <c:v>-126.42801399999999</c:v>
                </c:pt>
                <c:pt idx="586">
                  <c:v>-126.428</c:v>
                </c:pt>
                <c:pt idx="587">
                  <c:v>-126.428</c:v>
                </c:pt>
                <c:pt idx="588">
                  <c:v>-126.428</c:v>
                </c:pt>
                <c:pt idx="589">
                  <c:v>-126.428</c:v>
                </c:pt>
                <c:pt idx="590">
                  <c:v>-126.428</c:v>
                </c:pt>
                <c:pt idx="591">
                  <c:v>-126.428</c:v>
                </c:pt>
                <c:pt idx="592">
                  <c:v>-126.428</c:v>
                </c:pt>
                <c:pt idx="593">
                  <c:v>-126.428</c:v>
                </c:pt>
                <c:pt idx="594">
                  <c:v>-126.428</c:v>
                </c:pt>
                <c:pt idx="595">
                  <c:v>-126.428</c:v>
                </c:pt>
                <c:pt idx="596">
                  <c:v>-126.428</c:v>
                </c:pt>
                <c:pt idx="597">
                  <c:v>-126.428</c:v>
                </c:pt>
                <c:pt idx="598">
                  <c:v>-126.428</c:v>
                </c:pt>
                <c:pt idx="599">
                  <c:v>-126.428</c:v>
                </c:pt>
                <c:pt idx="600">
                  <c:v>-126.428</c:v>
                </c:pt>
                <c:pt idx="601">
                  <c:v>-126.428</c:v>
                </c:pt>
                <c:pt idx="602">
                  <c:v>-126.428</c:v>
                </c:pt>
                <c:pt idx="603">
                  <c:v>-126.428</c:v>
                </c:pt>
                <c:pt idx="604">
                  <c:v>-126.428</c:v>
                </c:pt>
                <c:pt idx="605">
                  <c:v>-126.428</c:v>
                </c:pt>
                <c:pt idx="606">
                  <c:v>-126.428</c:v>
                </c:pt>
                <c:pt idx="607">
                  <c:v>-126.428</c:v>
                </c:pt>
              </c:numCache>
            </c:numRef>
          </c:val>
          <c:extLst>
            <c:ext xmlns:c16="http://schemas.microsoft.com/office/drawing/2014/chart" uri="{C3380CC4-5D6E-409C-BE32-E72D297353CC}">
              <c16:uniqueId val="{00000002-7882-4F0A-9E24-D1CD5CBAD872}"/>
            </c:ext>
          </c:extLst>
        </c:ser>
        <c:ser>
          <c:idx val="6"/>
          <c:order val="6"/>
          <c:tx>
            <c:strRef>
              <c:f>'[Gráfico en Microsoft PowerPoint]Situacion VIP PIRINEOS'!$H$3</c:f>
              <c:strCache>
                <c:ptCount val="1"/>
                <c:pt idx="0">
                  <c:v>Exit long term booked capacity (LT, yearly, quarterly and monthly)</c:v>
                </c:pt>
              </c:strCache>
            </c:strRef>
          </c:tx>
          <c:spPr>
            <a:solidFill>
              <a:srgbClr val="E7E6E6"/>
            </a:solidFill>
            <a:ln>
              <a:noFill/>
            </a:ln>
            <a:effectLst/>
          </c:spPr>
          <c:cat>
            <c:numRef>
              <c:f>'[Gráfico en Microsoft PowerPoint]Situacion VIP PIRINEOS'!$B$4:$B$641</c:f>
              <c:numCache>
                <c:formatCode>m/d/yyyy</c:formatCode>
                <c:ptCount val="638"/>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pt idx="365">
                  <c:v>43466</c:v>
                </c:pt>
                <c:pt idx="366">
                  <c:v>43467</c:v>
                </c:pt>
                <c:pt idx="367">
                  <c:v>43468</c:v>
                </c:pt>
                <c:pt idx="368">
                  <c:v>43469</c:v>
                </c:pt>
                <c:pt idx="369">
                  <c:v>43470</c:v>
                </c:pt>
                <c:pt idx="370">
                  <c:v>43471</c:v>
                </c:pt>
                <c:pt idx="371">
                  <c:v>43472</c:v>
                </c:pt>
                <c:pt idx="372">
                  <c:v>43473</c:v>
                </c:pt>
                <c:pt idx="373">
                  <c:v>43474</c:v>
                </c:pt>
                <c:pt idx="374">
                  <c:v>43475</c:v>
                </c:pt>
                <c:pt idx="375">
                  <c:v>43476</c:v>
                </c:pt>
                <c:pt idx="376">
                  <c:v>43477</c:v>
                </c:pt>
                <c:pt idx="377">
                  <c:v>43478</c:v>
                </c:pt>
                <c:pt idx="378">
                  <c:v>43479</c:v>
                </c:pt>
                <c:pt idx="379">
                  <c:v>43480</c:v>
                </c:pt>
                <c:pt idx="380">
                  <c:v>43481</c:v>
                </c:pt>
                <c:pt idx="381">
                  <c:v>43482</c:v>
                </c:pt>
                <c:pt idx="382">
                  <c:v>43483</c:v>
                </c:pt>
                <c:pt idx="383">
                  <c:v>43484</c:v>
                </c:pt>
                <c:pt idx="384">
                  <c:v>43485</c:v>
                </c:pt>
                <c:pt idx="385">
                  <c:v>43486</c:v>
                </c:pt>
                <c:pt idx="386">
                  <c:v>43487</c:v>
                </c:pt>
                <c:pt idx="387">
                  <c:v>43488</c:v>
                </c:pt>
                <c:pt idx="388">
                  <c:v>43489</c:v>
                </c:pt>
                <c:pt idx="389">
                  <c:v>43490</c:v>
                </c:pt>
                <c:pt idx="390">
                  <c:v>43491</c:v>
                </c:pt>
                <c:pt idx="391">
                  <c:v>43492</c:v>
                </c:pt>
                <c:pt idx="392">
                  <c:v>43493</c:v>
                </c:pt>
                <c:pt idx="393">
                  <c:v>43494</c:v>
                </c:pt>
                <c:pt idx="394">
                  <c:v>43495</c:v>
                </c:pt>
                <c:pt idx="395">
                  <c:v>43496</c:v>
                </c:pt>
                <c:pt idx="396">
                  <c:v>43497</c:v>
                </c:pt>
                <c:pt idx="397">
                  <c:v>43498</c:v>
                </c:pt>
                <c:pt idx="398">
                  <c:v>43499</c:v>
                </c:pt>
                <c:pt idx="399">
                  <c:v>43500</c:v>
                </c:pt>
                <c:pt idx="400">
                  <c:v>43501</c:v>
                </c:pt>
                <c:pt idx="401">
                  <c:v>43502</c:v>
                </c:pt>
                <c:pt idx="402">
                  <c:v>43503</c:v>
                </c:pt>
                <c:pt idx="403">
                  <c:v>43504</c:v>
                </c:pt>
                <c:pt idx="404">
                  <c:v>43505</c:v>
                </c:pt>
                <c:pt idx="405">
                  <c:v>43506</c:v>
                </c:pt>
                <c:pt idx="406">
                  <c:v>43507</c:v>
                </c:pt>
                <c:pt idx="407">
                  <c:v>43508</c:v>
                </c:pt>
                <c:pt idx="408">
                  <c:v>43509</c:v>
                </c:pt>
                <c:pt idx="409">
                  <c:v>43510</c:v>
                </c:pt>
                <c:pt idx="410">
                  <c:v>43511</c:v>
                </c:pt>
                <c:pt idx="411">
                  <c:v>43512</c:v>
                </c:pt>
                <c:pt idx="412">
                  <c:v>43513</c:v>
                </c:pt>
                <c:pt idx="413">
                  <c:v>43514</c:v>
                </c:pt>
                <c:pt idx="414">
                  <c:v>43515</c:v>
                </c:pt>
                <c:pt idx="415">
                  <c:v>43516</c:v>
                </c:pt>
                <c:pt idx="416">
                  <c:v>43517</c:v>
                </c:pt>
                <c:pt idx="417">
                  <c:v>43518</c:v>
                </c:pt>
                <c:pt idx="418">
                  <c:v>43519</c:v>
                </c:pt>
                <c:pt idx="419">
                  <c:v>43520</c:v>
                </c:pt>
                <c:pt idx="420">
                  <c:v>43521</c:v>
                </c:pt>
                <c:pt idx="421">
                  <c:v>43522</c:v>
                </c:pt>
                <c:pt idx="422">
                  <c:v>43523</c:v>
                </c:pt>
                <c:pt idx="423">
                  <c:v>43524</c:v>
                </c:pt>
                <c:pt idx="424">
                  <c:v>43525</c:v>
                </c:pt>
                <c:pt idx="425">
                  <c:v>43526</c:v>
                </c:pt>
                <c:pt idx="426">
                  <c:v>43527</c:v>
                </c:pt>
                <c:pt idx="427">
                  <c:v>43528</c:v>
                </c:pt>
                <c:pt idx="428">
                  <c:v>43529</c:v>
                </c:pt>
                <c:pt idx="429">
                  <c:v>43530</c:v>
                </c:pt>
                <c:pt idx="430">
                  <c:v>43531</c:v>
                </c:pt>
                <c:pt idx="431">
                  <c:v>43532</c:v>
                </c:pt>
                <c:pt idx="432">
                  <c:v>43533</c:v>
                </c:pt>
                <c:pt idx="433">
                  <c:v>43534</c:v>
                </c:pt>
                <c:pt idx="434">
                  <c:v>43535</c:v>
                </c:pt>
                <c:pt idx="435">
                  <c:v>43536</c:v>
                </c:pt>
                <c:pt idx="436">
                  <c:v>43537</c:v>
                </c:pt>
                <c:pt idx="437">
                  <c:v>43538</c:v>
                </c:pt>
                <c:pt idx="438">
                  <c:v>43539</c:v>
                </c:pt>
                <c:pt idx="439">
                  <c:v>43540</c:v>
                </c:pt>
                <c:pt idx="440">
                  <c:v>43541</c:v>
                </c:pt>
                <c:pt idx="441">
                  <c:v>43542</c:v>
                </c:pt>
                <c:pt idx="442">
                  <c:v>43543</c:v>
                </c:pt>
                <c:pt idx="443">
                  <c:v>43544</c:v>
                </c:pt>
                <c:pt idx="444">
                  <c:v>43545</c:v>
                </c:pt>
                <c:pt idx="445">
                  <c:v>43546</c:v>
                </c:pt>
                <c:pt idx="446">
                  <c:v>43547</c:v>
                </c:pt>
                <c:pt idx="447">
                  <c:v>43548</c:v>
                </c:pt>
                <c:pt idx="448">
                  <c:v>43549</c:v>
                </c:pt>
                <c:pt idx="449">
                  <c:v>43550</c:v>
                </c:pt>
                <c:pt idx="450">
                  <c:v>43551</c:v>
                </c:pt>
                <c:pt idx="451">
                  <c:v>43552</c:v>
                </c:pt>
                <c:pt idx="452">
                  <c:v>43553</c:v>
                </c:pt>
                <c:pt idx="453">
                  <c:v>43554</c:v>
                </c:pt>
                <c:pt idx="454">
                  <c:v>43555</c:v>
                </c:pt>
                <c:pt idx="455">
                  <c:v>43556</c:v>
                </c:pt>
                <c:pt idx="456">
                  <c:v>43557</c:v>
                </c:pt>
                <c:pt idx="457">
                  <c:v>43558</c:v>
                </c:pt>
                <c:pt idx="458">
                  <c:v>43559</c:v>
                </c:pt>
                <c:pt idx="459">
                  <c:v>43560</c:v>
                </c:pt>
                <c:pt idx="460">
                  <c:v>43561</c:v>
                </c:pt>
                <c:pt idx="461">
                  <c:v>43562</c:v>
                </c:pt>
                <c:pt idx="462">
                  <c:v>43563</c:v>
                </c:pt>
                <c:pt idx="463">
                  <c:v>43564</c:v>
                </c:pt>
                <c:pt idx="464">
                  <c:v>43565</c:v>
                </c:pt>
                <c:pt idx="465">
                  <c:v>43566</c:v>
                </c:pt>
                <c:pt idx="466">
                  <c:v>43567</c:v>
                </c:pt>
                <c:pt idx="467">
                  <c:v>43568</c:v>
                </c:pt>
                <c:pt idx="468">
                  <c:v>43569</c:v>
                </c:pt>
                <c:pt idx="469">
                  <c:v>43570</c:v>
                </c:pt>
                <c:pt idx="470">
                  <c:v>43571</c:v>
                </c:pt>
                <c:pt idx="471">
                  <c:v>43572</c:v>
                </c:pt>
                <c:pt idx="472">
                  <c:v>43573</c:v>
                </c:pt>
                <c:pt idx="473">
                  <c:v>43574</c:v>
                </c:pt>
                <c:pt idx="474">
                  <c:v>43575</c:v>
                </c:pt>
                <c:pt idx="475">
                  <c:v>43576</c:v>
                </c:pt>
                <c:pt idx="476">
                  <c:v>43577</c:v>
                </c:pt>
                <c:pt idx="477">
                  <c:v>43578</c:v>
                </c:pt>
                <c:pt idx="478">
                  <c:v>43579</c:v>
                </c:pt>
                <c:pt idx="479">
                  <c:v>43580</c:v>
                </c:pt>
                <c:pt idx="480">
                  <c:v>43581</c:v>
                </c:pt>
                <c:pt idx="481">
                  <c:v>43582</c:v>
                </c:pt>
                <c:pt idx="482">
                  <c:v>43583</c:v>
                </c:pt>
                <c:pt idx="483">
                  <c:v>43584</c:v>
                </c:pt>
                <c:pt idx="484">
                  <c:v>43585</c:v>
                </c:pt>
                <c:pt idx="485">
                  <c:v>43586</c:v>
                </c:pt>
                <c:pt idx="486">
                  <c:v>43587</c:v>
                </c:pt>
                <c:pt idx="487">
                  <c:v>43588</c:v>
                </c:pt>
                <c:pt idx="488">
                  <c:v>43589</c:v>
                </c:pt>
                <c:pt idx="489">
                  <c:v>43590</c:v>
                </c:pt>
                <c:pt idx="490">
                  <c:v>43591</c:v>
                </c:pt>
                <c:pt idx="491">
                  <c:v>43592</c:v>
                </c:pt>
                <c:pt idx="492">
                  <c:v>43593</c:v>
                </c:pt>
                <c:pt idx="493">
                  <c:v>43594</c:v>
                </c:pt>
                <c:pt idx="494">
                  <c:v>43595</c:v>
                </c:pt>
                <c:pt idx="495">
                  <c:v>43596</c:v>
                </c:pt>
                <c:pt idx="496">
                  <c:v>43597</c:v>
                </c:pt>
                <c:pt idx="497">
                  <c:v>43598</c:v>
                </c:pt>
                <c:pt idx="498">
                  <c:v>43599</c:v>
                </c:pt>
                <c:pt idx="499">
                  <c:v>43600</c:v>
                </c:pt>
                <c:pt idx="500">
                  <c:v>43601</c:v>
                </c:pt>
                <c:pt idx="501">
                  <c:v>43602</c:v>
                </c:pt>
                <c:pt idx="502">
                  <c:v>43603</c:v>
                </c:pt>
                <c:pt idx="503">
                  <c:v>43604</c:v>
                </c:pt>
                <c:pt idx="504">
                  <c:v>43605</c:v>
                </c:pt>
                <c:pt idx="505">
                  <c:v>43606</c:v>
                </c:pt>
                <c:pt idx="506">
                  <c:v>43607</c:v>
                </c:pt>
                <c:pt idx="507">
                  <c:v>43608</c:v>
                </c:pt>
                <c:pt idx="508">
                  <c:v>43609</c:v>
                </c:pt>
                <c:pt idx="509">
                  <c:v>43610</c:v>
                </c:pt>
                <c:pt idx="510">
                  <c:v>43611</c:v>
                </c:pt>
                <c:pt idx="511">
                  <c:v>43612</c:v>
                </c:pt>
                <c:pt idx="512">
                  <c:v>43613</c:v>
                </c:pt>
                <c:pt idx="513">
                  <c:v>43614</c:v>
                </c:pt>
                <c:pt idx="514">
                  <c:v>43615</c:v>
                </c:pt>
                <c:pt idx="515">
                  <c:v>43616</c:v>
                </c:pt>
                <c:pt idx="516">
                  <c:v>43617</c:v>
                </c:pt>
                <c:pt idx="517">
                  <c:v>43618</c:v>
                </c:pt>
                <c:pt idx="518">
                  <c:v>43619</c:v>
                </c:pt>
                <c:pt idx="519">
                  <c:v>43620</c:v>
                </c:pt>
                <c:pt idx="520">
                  <c:v>43621</c:v>
                </c:pt>
                <c:pt idx="521">
                  <c:v>43622</c:v>
                </c:pt>
                <c:pt idx="522">
                  <c:v>43623</c:v>
                </c:pt>
                <c:pt idx="523">
                  <c:v>43624</c:v>
                </c:pt>
                <c:pt idx="524">
                  <c:v>43625</c:v>
                </c:pt>
                <c:pt idx="525">
                  <c:v>43626</c:v>
                </c:pt>
                <c:pt idx="526">
                  <c:v>43627</c:v>
                </c:pt>
                <c:pt idx="527">
                  <c:v>43628</c:v>
                </c:pt>
                <c:pt idx="528">
                  <c:v>43629</c:v>
                </c:pt>
                <c:pt idx="529">
                  <c:v>43630</c:v>
                </c:pt>
                <c:pt idx="530">
                  <c:v>43631</c:v>
                </c:pt>
                <c:pt idx="531">
                  <c:v>43632</c:v>
                </c:pt>
                <c:pt idx="532">
                  <c:v>43633</c:v>
                </c:pt>
                <c:pt idx="533">
                  <c:v>43634</c:v>
                </c:pt>
                <c:pt idx="534">
                  <c:v>43635</c:v>
                </c:pt>
                <c:pt idx="535">
                  <c:v>43636</c:v>
                </c:pt>
                <c:pt idx="536">
                  <c:v>43637</c:v>
                </c:pt>
                <c:pt idx="537">
                  <c:v>43638</c:v>
                </c:pt>
                <c:pt idx="538">
                  <c:v>43639</c:v>
                </c:pt>
                <c:pt idx="539">
                  <c:v>43640</c:v>
                </c:pt>
                <c:pt idx="540">
                  <c:v>43641</c:v>
                </c:pt>
                <c:pt idx="541">
                  <c:v>43642</c:v>
                </c:pt>
                <c:pt idx="542">
                  <c:v>43643</c:v>
                </c:pt>
                <c:pt idx="543">
                  <c:v>43644</c:v>
                </c:pt>
                <c:pt idx="544">
                  <c:v>43645</c:v>
                </c:pt>
                <c:pt idx="545">
                  <c:v>43646</c:v>
                </c:pt>
                <c:pt idx="546">
                  <c:v>43647</c:v>
                </c:pt>
                <c:pt idx="547">
                  <c:v>43648</c:v>
                </c:pt>
                <c:pt idx="548">
                  <c:v>43649</c:v>
                </c:pt>
                <c:pt idx="549">
                  <c:v>43650</c:v>
                </c:pt>
                <c:pt idx="550">
                  <c:v>43651</c:v>
                </c:pt>
                <c:pt idx="551">
                  <c:v>43652</c:v>
                </c:pt>
                <c:pt idx="552">
                  <c:v>43653</c:v>
                </c:pt>
                <c:pt idx="553">
                  <c:v>43654</c:v>
                </c:pt>
                <c:pt idx="554">
                  <c:v>43655</c:v>
                </c:pt>
                <c:pt idx="555">
                  <c:v>43656</c:v>
                </c:pt>
                <c:pt idx="556">
                  <c:v>43657</c:v>
                </c:pt>
                <c:pt idx="557">
                  <c:v>43658</c:v>
                </c:pt>
                <c:pt idx="558">
                  <c:v>43659</c:v>
                </c:pt>
                <c:pt idx="559">
                  <c:v>43660</c:v>
                </c:pt>
                <c:pt idx="560">
                  <c:v>43661</c:v>
                </c:pt>
                <c:pt idx="561">
                  <c:v>43662</c:v>
                </c:pt>
                <c:pt idx="562">
                  <c:v>43663</c:v>
                </c:pt>
                <c:pt idx="563">
                  <c:v>43664</c:v>
                </c:pt>
                <c:pt idx="564">
                  <c:v>43665</c:v>
                </c:pt>
                <c:pt idx="565">
                  <c:v>43666</c:v>
                </c:pt>
                <c:pt idx="566">
                  <c:v>43667</c:v>
                </c:pt>
                <c:pt idx="567">
                  <c:v>43668</c:v>
                </c:pt>
                <c:pt idx="568">
                  <c:v>43669</c:v>
                </c:pt>
                <c:pt idx="569">
                  <c:v>43670</c:v>
                </c:pt>
                <c:pt idx="570">
                  <c:v>43671</c:v>
                </c:pt>
                <c:pt idx="571">
                  <c:v>43672</c:v>
                </c:pt>
                <c:pt idx="572">
                  <c:v>43673</c:v>
                </c:pt>
                <c:pt idx="573">
                  <c:v>43674</c:v>
                </c:pt>
                <c:pt idx="574">
                  <c:v>43675</c:v>
                </c:pt>
                <c:pt idx="575">
                  <c:v>43676</c:v>
                </c:pt>
                <c:pt idx="576">
                  <c:v>43677</c:v>
                </c:pt>
                <c:pt idx="577">
                  <c:v>43678</c:v>
                </c:pt>
                <c:pt idx="578">
                  <c:v>43679</c:v>
                </c:pt>
                <c:pt idx="579">
                  <c:v>43680</c:v>
                </c:pt>
                <c:pt idx="580">
                  <c:v>43681</c:v>
                </c:pt>
                <c:pt idx="581">
                  <c:v>43682</c:v>
                </c:pt>
                <c:pt idx="582">
                  <c:v>43683</c:v>
                </c:pt>
                <c:pt idx="583">
                  <c:v>43684</c:v>
                </c:pt>
                <c:pt idx="584">
                  <c:v>43685</c:v>
                </c:pt>
                <c:pt idx="585">
                  <c:v>43686</c:v>
                </c:pt>
                <c:pt idx="586">
                  <c:v>43687</c:v>
                </c:pt>
                <c:pt idx="587">
                  <c:v>43688</c:v>
                </c:pt>
                <c:pt idx="588">
                  <c:v>43689</c:v>
                </c:pt>
                <c:pt idx="589">
                  <c:v>43690</c:v>
                </c:pt>
                <c:pt idx="590">
                  <c:v>43691</c:v>
                </c:pt>
                <c:pt idx="591">
                  <c:v>43692</c:v>
                </c:pt>
                <c:pt idx="592">
                  <c:v>43693</c:v>
                </c:pt>
                <c:pt idx="593">
                  <c:v>43694</c:v>
                </c:pt>
                <c:pt idx="594">
                  <c:v>43695</c:v>
                </c:pt>
                <c:pt idx="595">
                  <c:v>43696</c:v>
                </c:pt>
                <c:pt idx="596">
                  <c:v>43697</c:v>
                </c:pt>
                <c:pt idx="597">
                  <c:v>43698</c:v>
                </c:pt>
                <c:pt idx="598">
                  <c:v>43699</c:v>
                </c:pt>
                <c:pt idx="599">
                  <c:v>43700</c:v>
                </c:pt>
                <c:pt idx="600">
                  <c:v>43701</c:v>
                </c:pt>
                <c:pt idx="601">
                  <c:v>43702</c:v>
                </c:pt>
                <c:pt idx="602">
                  <c:v>43703</c:v>
                </c:pt>
                <c:pt idx="603">
                  <c:v>43704</c:v>
                </c:pt>
                <c:pt idx="604">
                  <c:v>43705</c:v>
                </c:pt>
                <c:pt idx="605">
                  <c:v>43706</c:v>
                </c:pt>
                <c:pt idx="606">
                  <c:v>43707</c:v>
                </c:pt>
                <c:pt idx="607">
                  <c:v>43708</c:v>
                </c:pt>
                <c:pt idx="608">
                  <c:v>43709</c:v>
                </c:pt>
                <c:pt idx="609">
                  <c:v>43710</c:v>
                </c:pt>
                <c:pt idx="610">
                  <c:v>43711</c:v>
                </c:pt>
                <c:pt idx="611">
                  <c:v>43712</c:v>
                </c:pt>
                <c:pt idx="612">
                  <c:v>43713</c:v>
                </c:pt>
                <c:pt idx="613">
                  <c:v>43714</c:v>
                </c:pt>
                <c:pt idx="614">
                  <c:v>43715</c:v>
                </c:pt>
                <c:pt idx="615">
                  <c:v>43716</c:v>
                </c:pt>
                <c:pt idx="616">
                  <c:v>43717</c:v>
                </c:pt>
                <c:pt idx="617">
                  <c:v>43718</c:v>
                </c:pt>
                <c:pt idx="618">
                  <c:v>43719</c:v>
                </c:pt>
                <c:pt idx="619">
                  <c:v>43720</c:v>
                </c:pt>
                <c:pt idx="620">
                  <c:v>43721</c:v>
                </c:pt>
                <c:pt idx="621">
                  <c:v>43722</c:v>
                </c:pt>
                <c:pt idx="622">
                  <c:v>43723</c:v>
                </c:pt>
                <c:pt idx="623">
                  <c:v>43724</c:v>
                </c:pt>
                <c:pt idx="624">
                  <c:v>43725</c:v>
                </c:pt>
                <c:pt idx="625">
                  <c:v>43726</c:v>
                </c:pt>
                <c:pt idx="626">
                  <c:v>43727</c:v>
                </c:pt>
                <c:pt idx="627">
                  <c:v>43728</c:v>
                </c:pt>
                <c:pt idx="628">
                  <c:v>43729</c:v>
                </c:pt>
                <c:pt idx="629">
                  <c:v>43730</c:v>
                </c:pt>
                <c:pt idx="630">
                  <c:v>43731</c:v>
                </c:pt>
                <c:pt idx="631">
                  <c:v>43732</c:v>
                </c:pt>
                <c:pt idx="632">
                  <c:v>43733</c:v>
                </c:pt>
                <c:pt idx="633">
                  <c:v>43734</c:v>
                </c:pt>
                <c:pt idx="634">
                  <c:v>43735</c:v>
                </c:pt>
                <c:pt idx="635">
                  <c:v>43736</c:v>
                </c:pt>
                <c:pt idx="636">
                  <c:v>43737</c:v>
                </c:pt>
                <c:pt idx="637">
                  <c:v>43738</c:v>
                </c:pt>
              </c:numCache>
            </c:numRef>
          </c:cat>
          <c:val>
            <c:numRef>
              <c:f>'[Gráfico en Microsoft PowerPoint]Situacion VIP PIRINEOS'!$H$4:$H$641</c:f>
              <c:numCache>
                <c:formatCode>#,##0.00</c:formatCode>
                <c:ptCount val="638"/>
                <c:pt idx="0">
                  <c:v>-126.428048</c:v>
                </c:pt>
                <c:pt idx="1">
                  <c:v>-126.428048</c:v>
                </c:pt>
                <c:pt idx="2">
                  <c:v>-126.428048</c:v>
                </c:pt>
                <c:pt idx="3">
                  <c:v>-126.428048</c:v>
                </c:pt>
                <c:pt idx="4">
                  <c:v>-126.428048</c:v>
                </c:pt>
                <c:pt idx="5">
                  <c:v>-126.428048</c:v>
                </c:pt>
                <c:pt idx="6">
                  <c:v>-126.428048</c:v>
                </c:pt>
                <c:pt idx="7">
                  <c:v>-126.428048</c:v>
                </c:pt>
                <c:pt idx="8">
                  <c:v>-126.428048</c:v>
                </c:pt>
                <c:pt idx="9">
                  <c:v>-126.428048</c:v>
                </c:pt>
                <c:pt idx="10">
                  <c:v>-126.428048</c:v>
                </c:pt>
                <c:pt idx="11">
                  <c:v>-126.428048</c:v>
                </c:pt>
                <c:pt idx="12">
                  <c:v>-126.428048</c:v>
                </c:pt>
                <c:pt idx="13">
                  <c:v>-126.428048</c:v>
                </c:pt>
                <c:pt idx="14">
                  <c:v>-126.428048</c:v>
                </c:pt>
                <c:pt idx="15">
                  <c:v>-126.428048</c:v>
                </c:pt>
                <c:pt idx="16">
                  <c:v>-126.428048</c:v>
                </c:pt>
                <c:pt idx="17">
                  <c:v>-126.428048</c:v>
                </c:pt>
                <c:pt idx="18">
                  <c:v>-126.428048</c:v>
                </c:pt>
                <c:pt idx="19">
                  <c:v>-126.428048</c:v>
                </c:pt>
                <c:pt idx="20">
                  <c:v>-126.428048</c:v>
                </c:pt>
                <c:pt idx="21">
                  <c:v>-126.428048</c:v>
                </c:pt>
                <c:pt idx="22">
                  <c:v>-126.428048</c:v>
                </c:pt>
                <c:pt idx="23">
                  <c:v>-126.428048</c:v>
                </c:pt>
                <c:pt idx="24">
                  <c:v>-126.428048</c:v>
                </c:pt>
                <c:pt idx="25">
                  <c:v>-126.428048</c:v>
                </c:pt>
                <c:pt idx="26">
                  <c:v>-126.428048</c:v>
                </c:pt>
                <c:pt idx="27">
                  <c:v>-126.428048</c:v>
                </c:pt>
                <c:pt idx="28">
                  <c:v>-126.428048</c:v>
                </c:pt>
                <c:pt idx="29">
                  <c:v>-126.428048</c:v>
                </c:pt>
                <c:pt idx="30">
                  <c:v>-126.428048</c:v>
                </c:pt>
                <c:pt idx="31">
                  <c:v>-126.428048</c:v>
                </c:pt>
                <c:pt idx="32">
                  <c:v>-126.428048</c:v>
                </c:pt>
                <c:pt idx="33">
                  <c:v>-126.428048</c:v>
                </c:pt>
                <c:pt idx="34">
                  <c:v>-126.428048</c:v>
                </c:pt>
                <c:pt idx="35">
                  <c:v>-126.428048</c:v>
                </c:pt>
                <c:pt idx="36">
                  <c:v>-126.428048</c:v>
                </c:pt>
                <c:pt idx="37">
                  <c:v>-126.428048</c:v>
                </c:pt>
                <c:pt idx="38">
                  <c:v>-126.428048</c:v>
                </c:pt>
                <c:pt idx="39">
                  <c:v>-126.428048</c:v>
                </c:pt>
                <c:pt idx="40">
                  <c:v>-126.428048</c:v>
                </c:pt>
                <c:pt idx="41">
                  <c:v>-126.428048</c:v>
                </c:pt>
                <c:pt idx="42">
                  <c:v>-126.428048</c:v>
                </c:pt>
                <c:pt idx="43">
                  <c:v>-126.428048</c:v>
                </c:pt>
                <c:pt idx="44">
                  <c:v>-126.428048</c:v>
                </c:pt>
                <c:pt idx="45">
                  <c:v>-126.428048</c:v>
                </c:pt>
                <c:pt idx="46">
                  <c:v>-126.428048</c:v>
                </c:pt>
                <c:pt idx="47">
                  <c:v>-126.428048</c:v>
                </c:pt>
                <c:pt idx="48">
                  <c:v>-126.428048</c:v>
                </c:pt>
                <c:pt idx="49">
                  <c:v>-126.428048</c:v>
                </c:pt>
                <c:pt idx="50">
                  <c:v>-126.428048</c:v>
                </c:pt>
                <c:pt idx="51">
                  <c:v>-126.428048</c:v>
                </c:pt>
                <c:pt idx="52">
                  <c:v>-126.428048</c:v>
                </c:pt>
                <c:pt idx="53">
                  <c:v>-126.428048</c:v>
                </c:pt>
                <c:pt idx="54">
                  <c:v>-126.428048</c:v>
                </c:pt>
                <c:pt idx="55">
                  <c:v>-126.428048</c:v>
                </c:pt>
                <c:pt idx="56">
                  <c:v>-126.428048</c:v>
                </c:pt>
                <c:pt idx="57">
                  <c:v>-126.428048</c:v>
                </c:pt>
                <c:pt idx="58">
                  <c:v>-126.428048</c:v>
                </c:pt>
                <c:pt idx="59">
                  <c:v>-126.428048</c:v>
                </c:pt>
                <c:pt idx="60">
                  <c:v>-126.428048</c:v>
                </c:pt>
                <c:pt idx="61">
                  <c:v>-126.428048</c:v>
                </c:pt>
                <c:pt idx="62">
                  <c:v>-126.428048</c:v>
                </c:pt>
                <c:pt idx="63">
                  <c:v>-126.428048</c:v>
                </c:pt>
                <c:pt idx="64">
                  <c:v>-126.428048</c:v>
                </c:pt>
                <c:pt idx="65">
                  <c:v>-126.428048</c:v>
                </c:pt>
                <c:pt idx="66">
                  <c:v>-126.428048</c:v>
                </c:pt>
                <c:pt idx="67">
                  <c:v>-126.428048</c:v>
                </c:pt>
                <c:pt idx="68">
                  <c:v>-126.428048</c:v>
                </c:pt>
                <c:pt idx="69">
                  <c:v>-126.428048</c:v>
                </c:pt>
                <c:pt idx="70">
                  <c:v>-126.428048</c:v>
                </c:pt>
                <c:pt idx="71">
                  <c:v>-126.428048</c:v>
                </c:pt>
                <c:pt idx="72">
                  <c:v>-126.428048</c:v>
                </c:pt>
                <c:pt idx="73">
                  <c:v>-126.428048</c:v>
                </c:pt>
                <c:pt idx="74">
                  <c:v>-126.428048</c:v>
                </c:pt>
                <c:pt idx="75">
                  <c:v>-126.428048</c:v>
                </c:pt>
                <c:pt idx="76">
                  <c:v>-126.428048</c:v>
                </c:pt>
                <c:pt idx="77">
                  <c:v>-126.428048</c:v>
                </c:pt>
                <c:pt idx="78">
                  <c:v>-126.428048</c:v>
                </c:pt>
                <c:pt idx="79">
                  <c:v>-126.428048</c:v>
                </c:pt>
                <c:pt idx="80">
                  <c:v>-126.428048</c:v>
                </c:pt>
                <c:pt idx="81">
                  <c:v>-126.428048</c:v>
                </c:pt>
                <c:pt idx="82">
                  <c:v>-126.428048</c:v>
                </c:pt>
                <c:pt idx="83">
                  <c:v>-126.428048</c:v>
                </c:pt>
                <c:pt idx="84">
                  <c:v>-126.428048</c:v>
                </c:pt>
                <c:pt idx="85">
                  <c:v>-126.428048</c:v>
                </c:pt>
                <c:pt idx="86">
                  <c:v>-126.428048</c:v>
                </c:pt>
                <c:pt idx="87">
                  <c:v>-126.428048</c:v>
                </c:pt>
                <c:pt idx="88">
                  <c:v>-126.428048</c:v>
                </c:pt>
                <c:pt idx="89">
                  <c:v>-126.428048</c:v>
                </c:pt>
                <c:pt idx="90">
                  <c:v>-126.428048</c:v>
                </c:pt>
                <c:pt idx="91">
                  <c:v>-126.428048</c:v>
                </c:pt>
                <c:pt idx="92">
                  <c:v>-126.428048</c:v>
                </c:pt>
                <c:pt idx="93">
                  <c:v>-126.428048</c:v>
                </c:pt>
                <c:pt idx="94">
                  <c:v>-126.428048</c:v>
                </c:pt>
                <c:pt idx="95">
                  <c:v>-126.428048</c:v>
                </c:pt>
                <c:pt idx="96">
                  <c:v>-126.428048</c:v>
                </c:pt>
                <c:pt idx="97">
                  <c:v>-126.428048</c:v>
                </c:pt>
                <c:pt idx="98">
                  <c:v>-126.428048</c:v>
                </c:pt>
                <c:pt idx="99">
                  <c:v>-126.428048</c:v>
                </c:pt>
                <c:pt idx="100">
                  <c:v>-126.428048</c:v>
                </c:pt>
                <c:pt idx="101">
                  <c:v>-126.428048</c:v>
                </c:pt>
                <c:pt idx="102">
                  <c:v>-126.428048</c:v>
                </c:pt>
                <c:pt idx="103">
                  <c:v>-126.428048</c:v>
                </c:pt>
                <c:pt idx="104">
                  <c:v>-126.428048</c:v>
                </c:pt>
                <c:pt idx="105">
                  <c:v>-126.428048</c:v>
                </c:pt>
                <c:pt idx="106">
                  <c:v>-126.428048</c:v>
                </c:pt>
                <c:pt idx="107">
                  <c:v>-126.428048</c:v>
                </c:pt>
                <c:pt idx="108">
                  <c:v>-126.428048</c:v>
                </c:pt>
                <c:pt idx="109">
                  <c:v>-126.428048</c:v>
                </c:pt>
                <c:pt idx="110">
                  <c:v>-126.428048</c:v>
                </c:pt>
                <c:pt idx="111">
                  <c:v>-126.428048</c:v>
                </c:pt>
                <c:pt idx="112">
                  <c:v>-126.428048</c:v>
                </c:pt>
                <c:pt idx="113">
                  <c:v>-126.428048</c:v>
                </c:pt>
                <c:pt idx="114">
                  <c:v>-126.428048</c:v>
                </c:pt>
                <c:pt idx="115">
                  <c:v>-126.428048</c:v>
                </c:pt>
                <c:pt idx="116">
                  <c:v>-126.428048</c:v>
                </c:pt>
                <c:pt idx="117">
                  <c:v>-126.428048</c:v>
                </c:pt>
                <c:pt idx="118">
                  <c:v>-126.428048</c:v>
                </c:pt>
                <c:pt idx="119">
                  <c:v>-126.428048</c:v>
                </c:pt>
                <c:pt idx="120">
                  <c:v>-126.428048</c:v>
                </c:pt>
                <c:pt idx="121">
                  <c:v>-126.428048</c:v>
                </c:pt>
                <c:pt idx="122">
                  <c:v>-126.428048</c:v>
                </c:pt>
                <c:pt idx="123">
                  <c:v>-126.428048</c:v>
                </c:pt>
                <c:pt idx="124">
                  <c:v>-126.428048</c:v>
                </c:pt>
                <c:pt idx="125">
                  <c:v>-126.428048</c:v>
                </c:pt>
                <c:pt idx="126">
                  <c:v>-126.428048</c:v>
                </c:pt>
                <c:pt idx="127">
                  <c:v>-126.428048</c:v>
                </c:pt>
                <c:pt idx="128">
                  <c:v>-126.428048</c:v>
                </c:pt>
                <c:pt idx="129">
                  <c:v>-126.428048</c:v>
                </c:pt>
                <c:pt idx="130">
                  <c:v>-126.428048</c:v>
                </c:pt>
                <c:pt idx="131">
                  <c:v>-126.428048</c:v>
                </c:pt>
                <c:pt idx="132">
                  <c:v>-126.428048</c:v>
                </c:pt>
                <c:pt idx="133">
                  <c:v>-126.428048</c:v>
                </c:pt>
                <c:pt idx="134">
                  <c:v>-126.428048</c:v>
                </c:pt>
                <c:pt idx="135">
                  <c:v>-126.428048</c:v>
                </c:pt>
                <c:pt idx="136">
                  <c:v>-126.428048</c:v>
                </c:pt>
                <c:pt idx="137">
                  <c:v>-126.428048</c:v>
                </c:pt>
                <c:pt idx="138">
                  <c:v>-126.428048</c:v>
                </c:pt>
                <c:pt idx="139">
                  <c:v>-126.428048</c:v>
                </c:pt>
                <c:pt idx="140">
                  <c:v>-126.428048</c:v>
                </c:pt>
                <c:pt idx="141">
                  <c:v>-126.428048</c:v>
                </c:pt>
                <c:pt idx="142">
                  <c:v>-126.428048</c:v>
                </c:pt>
                <c:pt idx="143">
                  <c:v>-126.428048</c:v>
                </c:pt>
                <c:pt idx="144">
                  <c:v>-126.428048</c:v>
                </c:pt>
                <c:pt idx="145">
                  <c:v>-126.428048</c:v>
                </c:pt>
                <c:pt idx="146">
                  <c:v>-126.428048</c:v>
                </c:pt>
                <c:pt idx="147">
                  <c:v>-126.428048</c:v>
                </c:pt>
                <c:pt idx="148">
                  <c:v>-126.428048</c:v>
                </c:pt>
                <c:pt idx="149">
                  <c:v>-126.428048</c:v>
                </c:pt>
                <c:pt idx="150">
                  <c:v>-126.428048</c:v>
                </c:pt>
                <c:pt idx="151">
                  <c:v>-126.428048</c:v>
                </c:pt>
                <c:pt idx="152">
                  <c:v>-126.428048</c:v>
                </c:pt>
                <c:pt idx="153">
                  <c:v>-126.428048</c:v>
                </c:pt>
                <c:pt idx="154">
                  <c:v>-126.428048</c:v>
                </c:pt>
                <c:pt idx="155">
                  <c:v>-126.428048</c:v>
                </c:pt>
                <c:pt idx="156">
                  <c:v>-126.428048</c:v>
                </c:pt>
                <c:pt idx="157">
                  <c:v>-126.428048</c:v>
                </c:pt>
                <c:pt idx="158">
                  <c:v>-126.428048</c:v>
                </c:pt>
                <c:pt idx="159">
                  <c:v>-126.428048</c:v>
                </c:pt>
                <c:pt idx="160">
                  <c:v>-126.428048</c:v>
                </c:pt>
                <c:pt idx="161">
                  <c:v>-126.428048</c:v>
                </c:pt>
                <c:pt idx="162">
                  <c:v>-126.428048</c:v>
                </c:pt>
                <c:pt idx="163">
                  <c:v>-126.428048</c:v>
                </c:pt>
                <c:pt idx="164">
                  <c:v>-126.428048</c:v>
                </c:pt>
                <c:pt idx="165">
                  <c:v>-126.428048</c:v>
                </c:pt>
                <c:pt idx="166">
                  <c:v>-126.428048</c:v>
                </c:pt>
                <c:pt idx="167">
                  <c:v>-126.428048</c:v>
                </c:pt>
                <c:pt idx="168">
                  <c:v>-126.428048</c:v>
                </c:pt>
                <c:pt idx="169">
                  <c:v>-126.428048</c:v>
                </c:pt>
                <c:pt idx="170">
                  <c:v>-126.428048</c:v>
                </c:pt>
                <c:pt idx="171">
                  <c:v>-126.428048</c:v>
                </c:pt>
                <c:pt idx="172">
                  <c:v>-126.428048</c:v>
                </c:pt>
                <c:pt idx="173">
                  <c:v>-126.428048</c:v>
                </c:pt>
                <c:pt idx="174">
                  <c:v>-126.428048</c:v>
                </c:pt>
                <c:pt idx="175">
                  <c:v>-126.428048</c:v>
                </c:pt>
                <c:pt idx="176">
                  <c:v>-126.428048</c:v>
                </c:pt>
                <c:pt idx="177">
                  <c:v>-126.428048</c:v>
                </c:pt>
                <c:pt idx="178">
                  <c:v>-126.428048</c:v>
                </c:pt>
                <c:pt idx="179">
                  <c:v>-126.428048</c:v>
                </c:pt>
                <c:pt idx="180">
                  <c:v>-126.428048</c:v>
                </c:pt>
                <c:pt idx="181">
                  <c:v>-126.428048</c:v>
                </c:pt>
                <c:pt idx="182">
                  <c:v>-126.428048</c:v>
                </c:pt>
                <c:pt idx="183">
                  <c:v>-126.428048</c:v>
                </c:pt>
                <c:pt idx="184">
                  <c:v>-126.428048</c:v>
                </c:pt>
                <c:pt idx="185">
                  <c:v>-126.428048</c:v>
                </c:pt>
                <c:pt idx="186">
                  <c:v>-126.428048</c:v>
                </c:pt>
                <c:pt idx="187">
                  <c:v>-126.428048</c:v>
                </c:pt>
                <c:pt idx="188">
                  <c:v>-126.428048</c:v>
                </c:pt>
                <c:pt idx="189">
                  <c:v>-126.428048</c:v>
                </c:pt>
                <c:pt idx="190">
                  <c:v>-126.428048</c:v>
                </c:pt>
                <c:pt idx="191">
                  <c:v>-126.428048</c:v>
                </c:pt>
                <c:pt idx="192">
                  <c:v>-126.428048</c:v>
                </c:pt>
                <c:pt idx="193">
                  <c:v>-126.428048</c:v>
                </c:pt>
                <c:pt idx="194">
                  <c:v>-126.428048</c:v>
                </c:pt>
                <c:pt idx="195">
                  <c:v>-126.428048</c:v>
                </c:pt>
                <c:pt idx="196">
                  <c:v>-126.428048</c:v>
                </c:pt>
                <c:pt idx="197">
                  <c:v>-126.428048</c:v>
                </c:pt>
                <c:pt idx="198">
                  <c:v>-126.428048</c:v>
                </c:pt>
                <c:pt idx="199">
                  <c:v>-126.428048</c:v>
                </c:pt>
                <c:pt idx="200">
                  <c:v>-126.428048</c:v>
                </c:pt>
                <c:pt idx="201">
                  <c:v>-126.428048</c:v>
                </c:pt>
                <c:pt idx="202">
                  <c:v>-126.428048</c:v>
                </c:pt>
                <c:pt idx="203">
                  <c:v>-126.428048</c:v>
                </c:pt>
                <c:pt idx="204">
                  <c:v>-126.428048</c:v>
                </c:pt>
                <c:pt idx="205">
                  <c:v>-126.428048</c:v>
                </c:pt>
                <c:pt idx="206">
                  <c:v>-126.428048</c:v>
                </c:pt>
                <c:pt idx="207">
                  <c:v>-126.428048</c:v>
                </c:pt>
                <c:pt idx="208">
                  <c:v>-126.428048</c:v>
                </c:pt>
                <c:pt idx="209">
                  <c:v>-126.428048</c:v>
                </c:pt>
                <c:pt idx="210">
                  <c:v>-126.428048</c:v>
                </c:pt>
                <c:pt idx="211">
                  <c:v>-126.428048</c:v>
                </c:pt>
                <c:pt idx="212">
                  <c:v>-126.428048</c:v>
                </c:pt>
                <c:pt idx="213">
                  <c:v>-126.428048</c:v>
                </c:pt>
                <c:pt idx="214">
                  <c:v>-126.428048</c:v>
                </c:pt>
                <c:pt idx="215">
                  <c:v>-126.428048</c:v>
                </c:pt>
                <c:pt idx="216">
                  <c:v>-126.428048</c:v>
                </c:pt>
                <c:pt idx="217">
                  <c:v>-126.428048</c:v>
                </c:pt>
                <c:pt idx="218">
                  <c:v>-126.428048</c:v>
                </c:pt>
                <c:pt idx="219">
                  <c:v>-126.428048</c:v>
                </c:pt>
                <c:pt idx="220">
                  <c:v>-126.428048</c:v>
                </c:pt>
                <c:pt idx="221">
                  <c:v>-126.428048</c:v>
                </c:pt>
                <c:pt idx="222">
                  <c:v>-126.428048</c:v>
                </c:pt>
                <c:pt idx="223">
                  <c:v>-126.428048</c:v>
                </c:pt>
                <c:pt idx="224">
                  <c:v>-126.428048</c:v>
                </c:pt>
                <c:pt idx="225">
                  <c:v>-126.428048</c:v>
                </c:pt>
                <c:pt idx="226">
                  <c:v>-126.428048</c:v>
                </c:pt>
                <c:pt idx="227">
                  <c:v>-126.428048</c:v>
                </c:pt>
                <c:pt idx="228">
                  <c:v>-126.428048</c:v>
                </c:pt>
                <c:pt idx="229">
                  <c:v>-126.428048</c:v>
                </c:pt>
                <c:pt idx="230">
                  <c:v>-126.428048</c:v>
                </c:pt>
                <c:pt idx="231">
                  <c:v>-126.428048</c:v>
                </c:pt>
                <c:pt idx="232">
                  <c:v>-126.428048</c:v>
                </c:pt>
                <c:pt idx="233">
                  <c:v>-126.428048</c:v>
                </c:pt>
                <c:pt idx="234">
                  <c:v>-126.428048</c:v>
                </c:pt>
                <c:pt idx="235">
                  <c:v>-126.428048</c:v>
                </c:pt>
                <c:pt idx="236">
                  <c:v>-126.428048</c:v>
                </c:pt>
                <c:pt idx="237">
                  <c:v>-126.428048</c:v>
                </c:pt>
                <c:pt idx="238">
                  <c:v>-126.428048</c:v>
                </c:pt>
                <c:pt idx="239">
                  <c:v>-126.428048</c:v>
                </c:pt>
                <c:pt idx="240">
                  <c:v>-126.428048</c:v>
                </c:pt>
                <c:pt idx="241">
                  <c:v>-126.428048</c:v>
                </c:pt>
                <c:pt idx="242">
                  <c:v>-126.428048</c:v>
                </c:pt>
                <c:pt idx="243">
                  <c:v>-126.428048</c:v>
                </c:pt>
                <c:pt idx="244">
                  <c:v>-126.428048</c:v>
                </c:pt>
                <c:pt idx="245">
                  <c:v>-126.428048</c:v>
                </c:pt>
                <c:pt idx="246">
                  <c:v>-126.428048</c:v>
                </c:pt>
                <c:pt idx="247">
                  <c:v>-126.428048</c:v>
                </c:pt>
                <c:pt idx="248">
                  <c:v>-126.428048</c:v>
                </c:pt>
                <c:pt idx="249">
                  <c:v>-126.428048</c:v>
                </c:pt>
                <c:pt idx="250">
                  <c:v>-126.428048</c:v>
                </c:pt>
                <c:pt idx="251">
                  <c:v>-126.428048</c:v>
                </c:pt>
                <c:pt idx="252">
                  <c:v>-126.428048</c:v>
                </c:pt>
                <c:pt idx="253">
                  <c:v>-126.428048</c:v>
                </c:pt>
                <c:pt idx="254">
                  <c:v>-126.428048</c:v>
                </c:pt>
                <c:pt idx="255">
                  <c:v>-126.428048</c:v>
                </c:pt>
                <c:pt idx="256">
                  <c:v>-126.428048</c:v>
                </c:pt>
                <c:pt idx="257">
                  <c:v>-126.428048</c:v>
                </c:pt>
                <c:pt idx="258">
                  <c:v>-126.428048</c:v>
                </c:pt>
                <c:pt idx="259">
                  <c:v>-126.428048</c:v>
                </c:pt>
                <c:pt idx="260">
                  <c:v>-126.428048</c:v>
                </c:pt>
                <c:pt idx="261">
                  <c:v>-126.428048</c:v>
                </c:pt>
                <c:pt idx="262">
                  <c:v>-126.428048</c:v>
                </c:pt>
                <c:pt idx="263">
                  <c:v>-126.428048</c:v>
                </c:pt>
                <c:pt idx="264">
                  <c:v>-126.428048</c:v>
                </c:pt>
                <c:pt idx="265">
                  <c:v>-126.428048</c:v>
                </c:pt>
                <c:pt idx="266">
                  <c:v>-126.428048</c:v>
                </c:pt>
                <c:pt idx="267">
                  <c:v>-126.428048</c:v>
                </c:pt>
                <c:pt idx="268">
                  <c:v>-126.428048</c:v>
                </c:pt>
                <c:pt idx="269">
                  <c:v>-126.428048</c:v>
                </c:pt>
                <c:pt idx="270">
                  <c:v>-126.428048</c:v>
                </c:pt>
                <c:pt idx="271">
                  <c:v>-126.428048</c:v>
                </c:pt>
                <c:pt idx="272">
                  <c:v>-126.428048</c:v>
                </c:pt>
                <c:pt idx="273">
                  <c:v>-126.428</c:v>
                </c:pt>
                <c:pt idx="274">
                  <c:v>-126.428</c:v>
                </c:pt>
                <c:pt idx="275">
                  <c:v>-126.428</c:v>
                </c:pt>
                <c:pt idx="276">
                  <c:v>-126.428</c:v>
                </c:pt>
                <c:pt idx="277">
                  <c:v>-126.428</c:v>
                </c:pt>
                <c:pt idx="278">
                  <c:v>-126.428</c:v>
                </c:pt>
                <c:pt idx="279">
                  <c:v>-126.428</c:v>
                </c:pt>
                <c:pt idx="280">
                  <c:v>-126.428</c:v>
                </c:pt>
                <c:pt idx="281">
                  <c:v>-126.428</c:v>
                </c:pt>
                <c:pt idx="282">
                  <c:v>-126.428</c:v>
                </c:pt>
                <c:pt idx="283">
                  <c:v>-126.428</c:v>
                </c:pt>
                <c:pt idx="284">
                  <c:v>-126.428</c:v>
                </c:pt>
                <c:pt idx="285">
                  <c:v>-126.428</c:v>
                </c:pt>
                <c:pt idx="286">
                  <c:v>-126.428</c:v>
                </c:pt>
                <c:pt idx="287">
                  <c:v>-126.428</c:v>
                </c:pt>
                <c:pt idx="288">
                  <c:v>-126.428</c:v>
                </c:pt>
                <c:pt idx="289">
                  <c:v>-126.428</c:v>
                </c:pt>
                <c:pt idx="290">
                  <c:v>-126.428</c:v>
                </c:pt>
                <c:pt idx="291">
                  <c:v>-126.428</c:v>
                </c:pt>
                <c:pt idx="292">
                  <c:v>-126.428</c:v>
                </c:pt>
                <c:pt idx="293">
                  <c:v>-126.428</c:v>
                </c:pt>
                <c:pt idx="294">
                  <c:v>-126.428</c:v>
                </c:pt>
                <c:pt idx="295">
                  <c:v>-126.428</c:v>
                </c:pt>
                <c:pt idx="296">
                  <c:v>-126.428</c:v>
                </c:pt>
                <c:pt idx="297">
                  <c:v>-126.428</c:v>
                </c:pt>
                <c:pt idx="298">
                  <c:v>-126.428</c:v>
                </c:pt>
                <c:pt idx="299">
                  <c:v>-126.428</c:v>
                </c:pt>
                <c:pt idx="300">
                  <c:v>-126.428</c:v>
                </c:pt>
                <c:pt idx="301">
                  <c:v>-126.428</c:v>
                </c:pt>
                <c:pt idx="302">
                  <c:v>-126.428</c:v>
                </c:pt>
                <c:pt idx="303">
                  <c:v>-126.428</c:v>
                </c:pt>
                <c:pt idx="304">
                  <c:v>-126.428</c:v>
                </c:pt>
                <c:pt idx="305">
                  <c:v>-126.428</c:v>
                </c:pt>
                <c:pt idx="306">
                  <c:v>-126.428</c:v>
                </c:pt>
                <c:pt idx="307">
                  <c:v>-126.428</c:v>
                </c:pt>
                <c:pt idx="308">
                  <c:v>-126.428</c:v>
                </c:pt>
                <c:pt idx="309">
                  <c:v>-126.428</c:v>
                </c:pt>
                <c:pt idx="310">
                  <c:v>-126.428</c:v>
                </c:pt>
                <c:pt idx="311">
                  <c:v>-126.428</c:v>
                </c:pt>
                <c:pt idx="312">
                  <c:v>-126.428</c:v>
                </c:pt>
                <c:pt idx="313">
                  <c:v>-126.428</c:v>
                </c:pt>
                <c:pt idx="314">
                  <c:v>-126.428</c:v>
                </c:pt>
                <c:pt idx="315">
                  <c:v>-126.428</c:v>
                </c:pt>
                <c:pt idx="316">
                  <c:v>-126.428</c:v>
                </c:pt>
                <c:pt idx="317">
                  <c:v>-126.428</c:v>
                </c:pt>
                <c:pt idx="318">
                  <c:v>-126.428</c:v>
                </c:pt>
                <c:pt idx="319">
                  <c:v>-126.428</c:v>
                </c:pt>
                <c:pt idx="320">
                  <c:v>-126.428</c:v>
                </c:pt>
                <c:pt idx="321">
                  <c:v>-126.428</c:v>
                </c:pt>
                <c:pt idx="322">
                  <c:v>-126.428</c:v>
                </c:pt>
                <c:pt idx="323">
                  <c:v>-126.428</c:v>
                </c:pt>
                <c:pt idx="324">
                  <c:v>-126.428</c:v>
                </c:pt>
                <c:pt idx="325">
                  <c:v>-126.428</c:v>
                </c:pt>
                <c:pt idx="326">
                  <c:v>-126.428</c:v>
                </c:pt>
                <c:pt idx="327">
                  <c:v>-126.428</c:v>
                </c:pt>
                <c:pt idx="328">
                  <c:v>-126.428</c:v>
                </c:pt>
                <c:pt idx="329">
                  <c:v>-126.428</c:v>
                </c:pt>
                <c:pt idx="330">
                  <c:v>-126.428</c:v>
                </c:pt>
                <c:pt idx="331">
                  <c:v>-126.428</c:v>
                </c:pt>
                <c:pt idx="332">
                  <c:v>-126.428</c:v>
                </c:pt>
                <c:pt idx="333">
                  <c:v>-126.428</c:v>
                </c:pt>
                <c:pt idx="334">
                  <c:v>-126.428</c:v>
                </c:pt>
                <c:pt idx="335">
                  <c:v>-126.428</c:v>
                </c:pt>
                <c:pt idx="336">
                  <c:v>-126.428</c:v>
                </c:pt>
                <c:pt idx="337">
                  <c:v>-126.428</c:v>
                </c:pt>
                <c:pt idx="338">
                  <c:v>-126.428</c:v>
                </c:pt>
                <c:pt idx="339">
                  <c:v>-126.428</c:v>
                </c:pt>
                <c:pt idx="340">
                  <c:v>-126.428</c:v>
                </c:pt>
                <c:pt idx="341">
                  <c:v>-126.428</c:v>
                </c:pt>
                <c:pt idx="342">
                  <c:v>-126.428</c:v>
                </c:pt>
                <c:pt idx="343">
                  <c:v>-126.428</c:v>
                </c:pt>
                <c:pt idx="344">
                  <c:v>-126.428</c:v>
                </c:pt>
                <c:pt idx="345">
                  <c:v>-126.428</c:v>
                </c:pt>
                <c:pt idx="346">
                  <c:v>-126.428</c:v>
                </c:pt>
                <c:pt idx="347">
                  <c:v>-126.428</c:v>
                </c:pt>
                <c:pt idx="348">
                  <c:v>-126.428</c:v>
                </c:pt>
                <c:pt idx="349">
                  <c:v>-126.428</c:v>
                </c:pt>
                <c:pt idx="350">
                  <c:v>-126.428</c:v>
                </c:pt>
                <c:pt idx="351">
                  <c:v>-126.428</c:v>
                </c:pt>
                <c:pt idx="352">
                  <c:v>-126.428</c:v>
                </c:pt>
                <c:pt idx="353">
                  <c:v>-126.428</c:v>
                </c:pt>
                <c:pt idx="354">
                  <c:v>-126.428</c:v>
                </c:pt>
                <c:pt idx="355">
                  <c:v>-126.428</c:v>
                </c:pt>
                <c:pt idx="356">
                  <c:v>-126.428</c:v>
                </c:pt>
                <c:pt idx="357">
                  <c:v>-126.428</c:v>
                </c:pt>
                <c:pt idx="358">
                  <c:v>-126.428</c:v>
                </c:pt>
                <c:pt idx="359">
                  <c:v>-126.428</c:v>
                </c:pt>
                <c:pt idx="360">
                  <c:v>-126.428</c:v>
                </c:pt>
                <c:pt idx="361">
                  <c:v>-126.428</c:v>
                </c:pt>
                <c:pt idx="362">
                  <c:v>-126.428</c:v>
                </c:pt>
                <c:pt idx="363">
                  <c:v>-126.428</c:v>
                </c:pt>
                <c:pt idx="364">
                  <c:v>-126.428</c:v>
                </c:pt>
                <c:pt idx="365">
                  <c:v>-126.428</c:v>
                </c:pt>
                <c:pt idx="366">
                  <c:v>-126.428</c:v>
                </c:pt>
                <c:pt idx="367">
                  <c:v>-126.428</c:v>
                </c:pt>
                <c:pt idx="368">
                  <c:v>-126.428</c:v>
                </c:pt>
                <c:pt idx="369">
                  <c:v>-126.428</c:v>
                </c:pt>
                <c:pt idx="370">
                  <c:v>-126.428</c:v>
                </c:pt>
                <c:pt idx="371">
                  <c:v>-126.428</c:v>
                </c:pt>
                <c:pt idx="372">
                  <c:v>-126.428</c:v>
                </c:pt>
                <c:pt idx="373">
                  <c:v>-126.428</c:v>
                </c:pt>
                <c:pt idx="374">
                  <c:v>-126.428</c:v>
                </c:pt>
                <c:pt idx="375">
                  <c:v>-126.428</c:v>
                </c:pt>
                <c:pt idx="376">
                  <c:v>-126.428</c:v>
                </c:pt>
                <c:pt idx="377">
                  <c:v>-126.428</c:v>
                </c:pt>
                <c:pt idx="378">
                  <c:v>-126.428</c:v>
                </c:pt>
                <c:pt idx="379">
                  <c:v>-126.428</c:v>
                </c:pt>
                <c:pt idx="380">
                  <c:v>-126.428</c:v>
                </c:pt>
                <c:pt idx="381">
                  <c:v>-126.428</c:v>
                </c:pt>
                <c:pt idx="382">
                  <c:v>-126.428</c:v>
                </c:pt>
                <c:pt idx="383">
                  <c:v>-126.428</c:v>
                </c:pt>
                <c:pt idx="384">
                  <c:v>-126.428</c:v>
                </c:pt>
                <c:pt idx="385">
                  <c:v>-126.428</c:v>
                </c:pt>
                <c:pt idx="386">
                  <c:v>-126.428</c:v>
                </c:pt>
                <c:pt idx="387">
                  <c:v>-126.428</c:v>
                </c:pt>
                <c:pt idx="388">
                  <c:v>-126.428</c:v>
                </c:pt>
                <c:pt idx="389">
                  <c:v>-126.428</c:v>
                </c:pt>
                <c:pt idx="390">
                  <c:v>-126.428</c:v>
                </c:pt>
                <c:pt idx="391">
                  <c:v>-126.428</c:v>
                </c:pt>
                <c:pt idx="392">
                  <c:v>-126.428</c:v>
                </c:pt>
                <c:pt idx="393">
                  <c:v>-126.428</c:v>
                </c:pt>
                <c:pt idx="394">
                  <c:v>-126.428</c:v>
                </c:pt>
                <c:pt idx="395">
                  <c:v>-126.428</c:v>
                </c:pt>
                <c:pt idx="396">
                  <c:v>-126.428</c:v>
                </c:pt>
                <c:pt idx="397">
                  <c:v>-126.428</c:v>
                </c:pt>
                <c:pt idx="398">
                  <c:v>-126.428</c:v>
                </c:pt>
                <c:pt idx="399">
                  <c:v>-126.428</c:v>
                </c:pt>
                <c:pt idx="400">
                  <c:v>-126.428</c:v>
                </c:pt>
                <c:pt idx="401">
                  <c:v>-126.428</c:v>
                </c:pt>
                <c:pt idx="402">
                  <c:v>-126.428</c:v>
                </c:pt>
                <c:pt idx="403">
                  <c:v>-126.428</c:v>
                </c:pt>
                <c:pt idx="404">
                  <c:v>-126.428</c:v>
                </c:pt>
                <c:pt idx="405">
                  <c:v>-126.428</c:v>
                </c:pt>
                <c:pt idx="406">
                  <c:v>-126.428</c:v>
                </c:pt>
                <c:pt idx="407">
                  <c:v>-126.428</c:v>
                </c:pt>
                <c:pt idx="408">
                  <c:v>-126.428</c:v>
                </c:pt>
                <c:pt idx="409">
                  <c:v>-126.428</c:v>
                </c:pt>
                <c:pt idx="410">
                  <c:v>-126.428</c:v>
                </c:pt>
                <c:pt idx="411">
                  <c:v>-126.428</c:v>
                </c:pt>
                <c:pt idx="412">
                  <c:v>-126.428</c:v>
                </c:pt>
                <c:pt idx="413">
                  <c:v>-126.428</c:v>
                </c:pt>
                <c:pt idx="414">
                  <c:v>-126.428</c:v>
                </c:pt>
                <c:pt idx="415">
                  <c:v>-126.428</c:v>
                </c:pt>
                <c:pt idx="416">
                  <c:v>-126.428</c:v>
                </c:pt>
                <c:pt idx="417">
                  <c:v>-126.428</c:v>
                </c:pt>
                <c:pt idx="418">
                  <c:v>-126.428</c:v>
                </c:pt>
                <c:pt idx="419">
                  <c:v>-126.428</c:v>
                </c:pt>
                <c:pt idx="420">
                  <c:v>-126.428</c:v>
                </c:pt>
                <c:pt idx="421">
                  <c:v>-126.428</c:v>
                </c:pt>
                <c:pt idx="422">
                  <c:v>-126.428</c:v>
                </c:pt>
                <c:pt idx="423">
                  <c:v>-126.428</c:v>
                </c:pt>
                <c:pt idx="424">
                  <c:v>-126.428</c:v>
                </c:pt>
                <c:pt idx="425">
                  <c:v>-126.428</c:v>
                </c:pt>
                <c:pt idx="426">
                  <c:v>-126.428</c:v>
                </c:pt>
                <c:pt idx="427">
                  <c:v>-126.428</c:v>
                </c:pt>
                <c:pt idx="428">
                  <c:v>-126.428</c:v>
                </c:pt>
                <c:pt idx="429">
                  <c:v>-126.428</c:v>
                </c:pt>
                <c:pt idx="430">
                  <c:v>-126.428</c:v>
                </c:pt>
                <c:pt idx="431">
                  <c:v>-126.428</c:v>
                </c:pt>
                <c:pt idx="432">
                  <c:v>-126.428</c:v>
                </c:pt>
                <c:pt idx="433">
                  <c:v>-126.428</c:v>
                </c:pt>
                <c:pt idx="434">
                  <c:v>-126.428</c:v>
                </c:pt>
                <c:pt idx="435">
                  <c:v>-126.428</c:v>
                </c:pt>
                <c:pt idx="436">
                  <c:v>-126.428</c:v>
                </c:pt>
                <c:pt idx="437">
                  <c:v>-126.428</c:v>
                </c:pt>
                <c:pt idx="438">
                  <c:v>-126.428</c:v>
                </c:pt>
                <c:pt idx="439">
                  <c:v>-126.428</c:v>
                </c:pt>
                <c:pt idx="440">
                  <c:v>-126.428</c:v>
                </c:pt>
                <c:pt idx="441">
                  <c:v>-126.428</c:v>
                </c:pt>
                <c:pt idx="442">
                  <c:v>-126.428</c:v>
                </c:pt>
                <c:pt idx="443">
                  <c:v>-126.428</c:v>
                </c:pt>
                <c:pt idx="444">
                  <c:v>-126.428</c:v>
                </c:pt>
                <c:pt idx="445">
                  <c:v>-126.428</c:v>
                </c:pt>
                <c:pt idx="446">
                  <c:v>-126.428</c:v>
                </c:pt>
                <c:pt idx="447">
                  <c:v>-126.428</c:v>
                </c:pt>
                <c:pt idx="448">
                  <c:v>-126.428</c:v>
                </c:pt>
                <c:pt idx="449">
                  <c:v>-126.428</c:v>
                </c:pt>
                <c:pt idx="450">
                  <c:v>-126.428</c:v>
                </c:pt>
                <c:pt idx="451">
                  <c:v>-126.428</c:v>
                </c:pt>
                <c:pt idx="452">
                  <c:v>-126.428</c:v>
                </c:pt>
                <c:pt idx="453">
                  <c:v>-126.428</c:v>
                </c:pt>
                <c:pt idx="454">
                  <c:v>-126.428</c:v>
                </c:pt>
                <c:pt idx="455">
                  <c:v>-126.428</c:v>
                </c:pt>
                <c:pt idx="456">
                  <c:v>-126.428</c:v>
                </c:pt>
                <c:pt idx="457">
                  <c:v>-126.428</c:v>
                </c:pt>
                <c:pt idx="458">
                  <c:v>-126.428</c:v>
                </c:pt>
                <c:pt idx="459">
                  <c:v>-126.428</c:v>
                </c:pt>
                <c:pt idx="460">
                  <c:v>-126.428</c:v>
                </c:pt>
                <c:pt idx="461">
                  <c:v>-126.428</c:v>
                </c:pt>
                <c:pt idx="462">
                  <c:v>-126.428</c:v>
                </c:pt>
                <c:pt idx="463">
                  <c:v>-126.428</c:v>
                </c:pt>
                <c:pt idx="464">
                  <c:v>-126.428</c:v>
                </c:pt>
                <c:pt idx="465">
                  <c:v>-126.428</c:v>
                </c:pt>
                <c:pt idx="466">
                  <c:v>-126.428</c:v>
                </c:pt>
                <c:pt idx="467">
                  <c:v>-126.428</c:v>
                </c:pt>
                <c:pt idx="468">
                  <c:v>-126.428</c:v>
                </c:pt>
                <c:pt idx="469">
                  <c:v>-126.428</c:v>
                </c:pt>
                <c:pt idx="470">
                  <c:v>-126.428</c:v>
                </c:pt>
                <c:pt idx="471">
                  <c:v>-126.428</c:v>
                </c:pt>
                <c:pt idx="472">
                  <c:v>-126.428</c:v>
                </c:pt>
                <c:pt idx="473">
                  <c:v>-126.428</c:v>
                </c:pt>
                <c:pt idx="474">
                  <c:v>-126.428</c:v>
                </c:pt>
                <c:pt idx="475">
                  <c:v>-126.428</c:v>
                </c:pt>
                <c:pt idx="476">
                  <c:v>-126.428</c:v>
                </c:pt>
                <c:pt idx="477">
                  <c:v>-126.428</c:v>
                </c:pt>
                <c:pt idx="478">
                  <c:v>-126.428</c:v>
                </c:pt>
                <c:pt idx="479">
                  <c:v>-126.428</c:v>
                </c:pt>
                <c:pt idx="480">
                  <c:v>-126.428</c:v>
                </c:pt>
                <c:pt idx="481">
                  <c:v>-126.428</c:v>
                </c:pt>
                <c:pt idx="482">
                  <c:v>-126.428</c:v>
                </c:pt>
                <c:pt idx="483">
                  <c:v>-126.428</c:v>
                </c:pt>
                <c:pt idx="484">
                  <c:v>-126.428</c:v>
                </c:pt>
                <c:pt idx="485">
                  <c:v>-126.428</c:v>
                </c:pt>
                <c:pt idx="486">
                  <c:v>-126.428</c:v>
                </c:pt>
                <c:pt idx="487">
                  <c:v>-126.428</c:v>
                </c:pt>
                <c:pt idx="488">
                  <c:v>-126.428</c:v>
                </c:pt>
                <c:pt idx="489">
                  <c:v>-126.428</c:v>
                </c:pt>
                <c:pt idx="490">
                  <c:v>-126.428</c:v>
                </c:pt>
                <c:pt idx="491">
                  <c:v>-126.428</c:v>
                </c:pt>
                <c:pt idx="492">
                  <c:v>-126.428</c:v>
                </c:pt>
                <c:pt idx="493">
                  <c:v>-126.428</c:v>
                </c:pt>
                <c:pt idx="494">
                  <c:v>-126.428</c:v>
                </c:pt>
                <c:pt idx="495">
                  <c:v>-126.428</c:v>
                </c:pt>
                <c:pt idx="496">
                  <c:v>-126.428</c:v>
                </c:pt>
                <c:pt idx="497">
                  <c:v>-126.428</c:v>
                </c:pt>
                <c:pt idx="498">
                  <c:v>-126.428</c:v>
                </c:pt>
                <c:pt idx="499">
                  <c:v>-126.428</c:v>
                </c:pt>
                <c:pt idx="500">
                  <c:v>-126.428</c:v>
                </c:pt>
                <c:pt idx="501">
                  <c:v>-126.428</c:v>
                </c:pt>
                <c:pt idx="502">
                  <c:v>-126.428</c:v>
                </c:pt>
                <c:pt idx="503">
                  <c:v>-126.428</c:v>
                </c:pt>
                <c:pt idx="504">
                  <c:v>-126.428</c:v>
                </c:pt>
                <c:pt idx="505">
                  <c:v>-126.428</c:v>
                </c:pt>
                <c:pt idx="506">
                  <c:v>-126.428</c:v>
                </c:pt>
                <c:pt idx="507">
                  <c:v>-126.428</c:v>
                </c:pt>
                <c:pt idx="508">
                  <c:v>-126.428</c:v>
                </c:pt>
                <c:pt idx="509">
                  <c:v>-126.428</c:v>
                </c:pt>
                <c:pt idx="510">
                  <c:v>-126.428</c:v>
                </c:pt>
                <c:pt idx="511">
                  <c:v>-126.428</c:v>
                </c:pt>
                <c:pt idx="512">
                  <c:v>-126.428</c:v>
                </c:pt>
                <c:pt idx="513">
                  <c:v>-126.428</c:v>
                </c:pt>
                <c:pt idx="514">
                  <c:v>-126.428</c:v>
                </c:pt>
                <c:pt idx="515">
                  <c:v>-126.428</c:v>
                </c:pt>
                <c:pt idx="516">
                  <c:v>-126.428</c:v>
                </c:pt>
                <c:pt idx="517">
                  <c:v>-126.428</c:v>
                </c:pt>
                <c:pt idx="518">
                  <c:v>-126.428</c:v>
                </c:pt>
                <c:pt idx="519">
                  <c:v>-126.428</c:v>
                </c:pt>
                <c:pt idx="520">
                  <c:v>-126.428</c:v>
                </c:pt>
                <c:pt idx="521">
                  <c:v>-126.428</c:v>
                </c:pt>
                <c:pt idx="522">
                  <c:v>-126.428</c:v>
                </c:pt>
                <c:pt idx="523">
                  <c:v>-126.428</c:v>
                </c:pt>
                <c:pt idx="524">
                  <c:v>-126.428</c:v>
                </c:pt>
                <c:pt idx="525">
                  <c:v>-126.428</c:v>
                </c:pt>
                <c:pt idx="526">
                  <c:v>-126.428</c:v>
                </c:pt>
                <c:pt idx="527">
                  <c:v>-126.428</c:v>
                </c:pt>
                <c:pt idx="528">
                  <c:v>-126.428</c:v>
                </c:pt>
                <c:pt idx="529">
                  <c:v>-126.428</c:v>
                </c:pt>
                <c:pt idx="530">
                  <c:v>-126.428</c:v>
                </c:pt>
                <c:pt idx="531">
                  <c:v>-126.428</c:v>
                </c:pt>
                <c:pt idx="532">
                  <c:v>-126.428</c:v>
                </c:pt>
                <c:pt idx="533">
                  <c:v>-126.428</c:v>
                </c:pt>
                <c:pt idx="534">
                  <c:v>-126.428</c:v>
                </c:pt>
                <c:pt idx="535">
                  <c:v>-126.428</c:v>
                </c:pt>
                <c:pt idx="536">
                  <c:v>-126.428</c:v>
                </c:pt>
                <c:pt idx="537">
                  <c:v>-126.428</c:v>
                </c:pt>
                <c:pt idx="538">
                  <c:v>-126.428</c:v>
                </c:pt>
                <c:pt idx="539">
                  <c:v>-126.428</c:v>
                </c:pt>
                <c:pt idx="540">
                  <c:v>-126.428</c:v>
                </c:pt>
                <c:pt idx="541">
                  <c:v>-126.428</c:v>
                </c:pt>
                <c:pt idx="542">
                  <c:v>-126.428</c:v>
                </c:pt>
                <c:pt idx="543">
                  <c:v>-126.428</c:v>
                </c:pt>
                <c:pt idx="544">
                  <c:v>-126.428</c:v>
                </c:pt>
                <c:pt idx="545">
                  <c:v>-126.428</c:v>
                </c:pt>
                <c:pt idx="546">
                  <c:v>-126.428</c:v>
                </c:pt>
                <c:pt idx="547">
                  <c:v>-126.428</c:v>
                </c:pt>
                <c:pt idx="548">
                  <c:v>-126.428</c:v>
                </c:pt>
                <c:pt idx="549">
                  <c:v>-126.428</c:v>
                </c:pt>
                <c:pt idx="550">
                  <c:v>-126.428</c:v>
                </c:pt>
                <c:pt idx="551">
                  <c:v>-126.428</c:v>
                </c:pt>
                <c:pt idx="552">
                  <c:v>-126.428</c:v>
                </c:pt>
                <c:pt idx="553">
                  <c:v>-126.428</c:v>
                </c:pt>
                <c:pt idx="554">
                  <c:v>-126.428</c:v>
                </c:pt>
                <c:pt idx="555">
                  <c:v>-126.428</c:v>
                </c:pt>
                <c:pt idx="556">
                  <c:v>-126.428</c:v>
                </c:pt>
                <c:pt idx="557">
                  <c:v>-126.428</c:v>
                </c:pt>
                <c:pt idx="558">
                  <c:v>-126.428</c:v>
                </c:pt>
                <c:pt idx="559">
                  <c:v>-126.428</c:v>
                </c:pt>
                <c:pt idx="560">
                  <c:v>-126.428</c:v>
                </c:pt>
                <c:pt idx="561">
                  <c:v>-126.428</c:v>
                </c:pt>
                <c:pt idx="562">
                  <c:v>-126.428</c:v>
                </c:pt>
                <c:pt idx="563">
                  <c:v>-126.428</c:v>
                </c:pt>
                <c:pt idx="564">
                  <c:v>-126.428</c:v>
                </c:pt>
                <c:pt idx="565">
                  <c:v>-126.428</c:v>
                </c:pt>
                <c:pt idx="566">
                  <c:v>-126.428</c:v>
                </c:pt>
                <c:pt idx="567">
                  <c:v>-126.428</c:v>
                </c:pt>
                <c:pt idx="568">
                  <c:v>-126.428</c:v>
                </c:pt>
                <c:pt idx="569">
                  <c:v>-126.428</c:v>
                </c:pt>
                <c:pt idx="570">
                  <c:v>-126.428</c:v>
                </c:pt>
                <c:pt idx="571">
                  <c:v>-126.428</c:v>
                </c:pt>
                <c:pt idx="572">
                  <c:v>-126.428</c:v>
                </c:pt>
                <c:pt idx="573">
                  <c:v>-126.428</c:v>
                </c:pt>
                <c:pt idx="574">
                  <c:v>-126.428</c:v>
                </c:pt>
                <c:pt idx="575">
                  <c:v>-126.428</c:v>
                </c:pt>
                <c:pt idx="576">
                  <c:v>-126.428</c:v>
                </c:pt>
                <c:pt idx="577">
                  <c:v>-126.428</c:v>
                </c:pt>
                <c:pt idx="578">
                  <c:v>-126.428</c:v>
                </c:pt>
                <c:pt idx="579">
                  <c:v>-126.428</c:v>
                </c:pt>
                <c:pt idx="580">
                  <c:v>-126.428</c:v>
                </c:pt>
                <c:pt idx="581">
                  <c:v>-126.428</c:v>
                </c:pt>
                <c:pt idx="582">
                  <c:v>-126.428</c:v>
                </c:pt>
                <c:pt idx="583">
                  <c:v>-126.428</c:v>
                </c:pt>
                <c:pt idx="584">
                  <c:v>-126.428</c:v>
                </c:pt>
                <c:pt idx="585">
                  <c:v>-126.428</c:v>
                </c:pt>
                <c:pt idx="586">
                  <c:v>-126.428</c:v>
                </c:pt>
                <c:pt idx="587">
                  <c:v>-126.428</c:v>
                </c:pt>
                <c:pt idx="588">
                  <c:v>-126.428</c:v>
                </c:pt>
                <c:pt idx="589">
                  <c:v>-126.428</c:v>
                </c:pt>
                <c:pt idx="590">
                  <c:v>-126.428</c:v>
                </c:pt>
                <c:pt idx="591">
                  <c:v>-126.428</c:v>
                </c:pt>
                <c:pt idx="592">
                  <c:v>-126.428</c:v>
                </c:pt>
                <c:pt idx="593">
                  <c:v>-126.428</c:v>
                </c:pt>
                <c:pt idx="594">
                  <c:v>-126.428</c:v>
                </c:pt>
                <c:pt idx="595">
                  <c:v>-126.428</c:v>
                </c:pt>
                <c:pt idx="596">
                  <c:v>-126.428</c:v>
                </c:pt>
                <c:pt idx="597">
                  <c:v>-126.428</c:v>
                </c:pt>
                <c:pt idx="598">
                  <c:v>-126.428</c:v>
                </c:pt>
                <c:pt idx="599">
                  <c:v>-126.428</c:v>
                </c:pt>
                <c:pt idx="600">
                  <c:v>-126.428</c:v>
                </c:pt>
                <c:pt idx="601">
                  <c:v>-126.428</c:v>
                </c:pt>
                <c:pt idx="602">
                  <c:v>-126.428</c:v>
                </c:pt>
                <c:pt idx="603">
                  <c:v>-126.428</c:v>
                </c:pt>
                <c:pt idx="604">
                  <c:v>-126.428</c:v>
                </c:pt>
                <c:pt idx="605">
                  <c:v>-126.428</c:v>
                </c:pt>
                <c:pt idx="606">
                  <c:v>-126.428</c:v>
                </c:pt>
                <c:pt idx="607">
                  <c:v>-126.428</c:v>
                </c:pt>
                <c:pt idx="608">
                  <c:v>-126.428</c:v>
                </c:pt>
                <c:pt idx="609">
                  <c:v>-126.428</c:v>
                </c:pt>
                <c:pt idx="610">
                  <c:v>-126.428</c:v>
                </c:pt>
                <c:pt idx="611">
                  <c:v>-126.428</c:v>
                </c:pt>
                <c:pt idx="612">
                  <c:v>-126.428</c:v>
                </c:pt>
                <c:pt idx="613">
                  <c:v>-126.428</c:v>
                </c:pt>
                <c:pt idx="614">
                  <c:v>-126.428</c:v>
                </c:pt>
                <c:pt idx="615">
                  <c:v>-126.428</c:v>
                </c:pt>
                <c:pt idx="616">
                  <c:v>-126.428</c:v>
                </c:pt>
                <c:pt idx="617">
                  <c:v>-126.428</c:v>
                </c:pt>
                <c:pt idx="618">
                  <c:v>-126.428</c:v>
                </c:pt>
                <c:pt idx="619">
                  <c:v>-126.428</c:v>
                </c:pt>
                <c:pt idx="620">
                  <c:v>-126.428</c:v>
                </c:pt>
                <c:pt idx="621">
                  <c:v>-126.428</c:v>
                </c:pt>
                <c:pt idx="622">
                  <c:v>-126.428</c:v>
                </c:pt>
                <c:pt idx="623">
                  <c:v>-126.428</c:v>
                </c:pt>
                <c:pt idx="624">
                  <c:v>-126.428</c:v>
                </c:pt>
                <c:pt idx="625">
                  <c:v>-126.428</c:v>
                </c:pt>
                <c:pt idx="626">
                  <c:v>-126.428</c:v>
                </c:pt>
                <c:pt idx="627">
                  <c:v>-126.428</c:v>
                </c:pt>
                <c:pt idx="628">
                  <c:v>-126.428</c:v>
                </c:pt>
                <c:pt idx="629">
                  <c:v>-126.428</c:v>
                </c:pt>
                <c:pt idx="630">
                  <c:v>-126.428</c:v>
                </c:pt>
                <c:pt idx="631">
                  <c:v>-126.428</c:v>
                </c:pt>
                <c:pt idx="632">
                  <c:v>-126.428</c:v>
                </c:pt>
                <c:pt idx="633">
                  <c:v>-126.428</c:v>
                </c:pt>
                <c:pt idx="634">
                  <c:v>-126.428</c:v>
                </c:pt>
                <c:pt idx="635">
                  <c:v>-126.428</c:v>
                </c:pt>
                <c:pt idx="636">
                  <c:v>-126.428</c:v>
                </c:pt>
                <c:pt idx="637">
                  <c:v>-126.428</c:v>
                </c:pt>
              </c:numCache>
            </c:numRef>
          </c:val>
          <c:extLst>
            <c:ext xmlns:c16="http://schemas.microsoft.com/office/drawing/2014/chart" uri="{C3380CC4-5D6E-409C-BE32-E72D297353CC}">
              <c16:uniqueId val="{00000003-7882-4F0A-9E24-D1CD5CBAD872}"/>
            </c:ext>
          </c:extLst>
        </c:ser>
        <c:dLbls>
          <c:showLegendKey val="0"/>
          <c:showVal val="0"/>
          <c:showCatName val="0"/>
          <c:showSerName val="0"/>
          <c:showPercent val="0"/>
          <c:showBubbleSize val="0"/>
        </c:dLbls>
        <c:axId val="1106308304"/>
        <c:axId val="1106306128"/>
      </c:areaChart>
      <c:lineChart>
        <c:grouping val="standard"/>
        <c:varyColors val="0"/>
        <c:ser>
          <c:idx val="3"/>
          <c:order val="0"/>
          <c:tx>
            <c:strRef>
              <c:f>'[Gráfico en Microsoft PowerPoint]Situacion VIP PIRINEOS'!$E$3</c:f>
              <c:strCache>
                <c:ptCount val="1"/>
                <c:pt idx="0">
                  <c:v>Entry nominated  capacity</c:v>
                </c:pt>
              </c:strCache>
            </c:strRef>
          </c:tx>
          <c:spPr>
            <a:ln w="12700" cap="rnd">
              <a:solidFill>
                <a:schemeClr val="accent4"/>
              </a:solidFill>
              <a:round/>
            </a:ln>
            <a:effectLst/>
          </c:spPr>
          <c:marker>
            <c:symbol val="none"/>
          </c:marker>
          <c:cat>
            <c:numRef>
              <c:f>'[Gráfico en Microsoft PowerPoint]Situacion VIP PIRINEOS'!$B$4:$B$641</c:f>
              <c:numCache>
                <c:formatCode>m/d/yyyy</c:formatCode>
                <c:ptCount val="638"/>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pt idx="365">
                  <c:v>43466</c:v>
                </c:pt>
                <c:pt idx="366">
                  <c:v>43467</c:v>
                </c:pt>
                <c:pt idx="367">
                  <c:v>43468</c:v>
                </c:pt>
                <c:pt idx="368">
                  <c:v>43469</c:v>
                </c:pt>
                <c:pt idx="369">
                  <c:v>43470</c:v>
                </c:pt>
                <c:pt idx="370">
                  <c:v>43471</c:v>
                </c:pt>
                <c:pt idx="371">
                  <c:v>43472</c:v>
                </c:pt>
                <c:pt idx="372">
                  <c:v>43473</c:v>
                </c:pt>
                <c:pt idx="373">
                  <c:v>43474</c:v>
                </c:pt>
                <c:pt idx="374">
                  <c:v>43475</c:v>
                </c:pt>
                <c:pt idx="375">
                  <c:v>43476</c:v>
                </c:pt>
                <c:pt idx="376">
                  <c:v>43477</c:v>
                </c:pt>
                <c:pt idx="377">
                  <c:v>43478</c:v>
                </c:pt>
                <c:pt idx="378">
                  <c:v>43479</c:v>
                </c:pt>
                <c:pt idx="379">
                  <c:v>43480</c:v>
                </c:pt>
                <c:pt idx="380">
                  <c:v>43481</c:v>
                </c:pt>
                <c:pt idx="381">
                  <c:v>43482</c:v>
                </c:pt>
                <c:pt idx="382">
                  <c:v>43483</c:v>
                </c:pt>
                <c:pt idx="383">
                  <c:v>43484</c:v>
                </c:pt>
                <c:pt idx="384">
                  <c:v>43485</c:v>
                </c:pt>
                <c:pt idx="385">
                  <c:v>43486</c:v>
                </c:pt>
                <c:pt idx="386">
                  <c:v>43487</c:v>
                </c:pt>
                <c:pt idx="387">
                  <c:v>43488</c:v>
                </c:pt>
                <c:pt idx="388">
                  <c:v>43489</c:v>
                </c:pt>
                <c:pt idx="389">
                  <c:v>43490</c:v>
                </c:pt>
                <c:pt idx="390">
                  <c:v>43491</c:v>
                </c:pt>
                <c:pt idx="391">
                  <c:v>43492</c:v>
                </c:pt>
                <c:pt idx="392">
                  <c:v>43493</c:v>
                </c:pt>
                <c:pt idx="393">
                  <c:v>43494</c:v>
                </c:pt>
                <c:pt idx="394">
                  <c:v>43495</c:v>
                </c:pt>
                <c:pt idx="395">
                  <c:v>43496</c:v>
                </c:pt>
                <c:pt idx="396">
                  <c:v>43497</c:v>
                </c:pt>
                <c:pt idx="397">
                  <c:v>43498</c:v>
                </c:pt>
                <c:pt idx="398">
                  <c:v>43499</c:v>
                </c:pt>
                <c:pt idx="399">
                  <c:v>43500</c:v>
                </c:pt>
                <c:pt idx="400">
                  <c:v>43501</c:v>
                </c:pt>
                <c:pt idx="401">
                  <c:v>43502</c:v>
                </c:pt>
                <c:pt idx="402">
                  <c:v>43503</c:v>
                </c:pt>
                <c:pt idx="403">
                  <c:v>43504</c:v>
                </c:pt>
                <c:pt idx="404">
                  <c:v>43505</c:v>
                </c:pt>
                <c:pt idx="405">
                  <c:v>43506</c:v>
                </c:pt>
                <c:pt idx="406">
                  <c:v>43507</c:v>
                </c:pt>
                <c:pt idx="407">
                  <c:v>43508</c:v>
                </c:pt>
                <c:pt idx="408">
                  <c:v>43509</c:v>
                </c:pt>
                <c:pt idx="409">
                  <c:v>43510</c:v>
                </c:pt>
                <c:pt idx="410">
                  <c:v>43511</c:v>
                </c:pt>
                <c:pt idx="411">
                  <c:v>43512</c:v>
                </c:pt>
                <c:pt idx="412">
                  <c:v>43513</c:v>
                </c:pt>
                <c:pt idx="413">
                  <c:v>43514</c:v>
                </c:pt>
                <c:pt idx="414">
                  <c:v>43515</c:v>
                </c:pt>
                <c:pt idx="415">
                  <c:v>43516</c:v>
                </c:pt>
                <c:pt idx="416">
                  <c:v>43517</c:v>
                </c:pt>
                <c:pt idx="417">
                  <c:v>43518</c:v>
                </c:pt>
                <c:pt idx="418">
                  <c:v>43519</c:v>
                </c:pt>
                <c:pt idx="419">
                  <c:v>43520</c:v>
                </c:pt>
                <c:pt idx="420">
                  <c:v>43521</c:v>
                </c:pt>
                <c:pt idx="421">
                  <c:v>43522</c:v>
                </c:pt>
                <c:pt idx="422">
                  <c:v>43523</c:v>
                </c:pt>
                <c:pt idx="423">
                  <c:v>43524</c:v>
                </c:pt>
                <c:pt idx="424">
                  <c:v>43525</c:v>
                </c:pt>
                <c:pt idx="425">
                  <c:v>43526</c:v>
                </c:pt>
                <c:pt idx="426">
                  <c:v>43527</c:v>
                </c:pt>
                <c:pt idx="427">
                  <c:v>43528</c:v>
                </c:pt>
                <c:pt idx="428">
                  <c:v>43529</c:v>
                </c:pt>
                <c:pt idx="429">
                  <c:v>43530</c:v>
                </c:pt>
                <c:pt idx="430">
                  <c:v>43531</c:v>
                </c:pt>
                <c:pt idx="431">
                  <c:v>43532</c:v>
                </c:pt>
                <c:pt idx="432">
                  <c:v>43533</c:v>
                </c:pt>
                <c:pt idx="433">
                  <c:v>43534</c:v>
                </c:pt>
                <c:pt idx="434">
                  <c:v>43535</c:v>
                </c:pt>
                <c:pt idx="435">
                  <c:v>43536</c:v>
                </c:pt>
                <c:pt idx="436">
                  <c:v>43537</c:v>
                </c:pt>
                <c:pt idx="437">
                  <c:v>43538</c:v>
                </c:pt>
                <c:pt idx="438">
                  <c:v>43539</c:v>
                </c:pt>
                <c:pt idx="439">
                  <c:v>43540</c:v>
                </c:pt>
                <c:pt idx="440">
                  <c:v>43541</c:v>
                </c:pt>
                <c:pt idx="441">
                  <c:v>43542</c:v>
                </c:pt>
                <c:pt idx="442">
                  <c:v>43543</c:v>
                </c:pt>
                <c:pt idx="443">
                  <c:v>43544</c:v>
                </c:pt>
                <c:pt idx="444">
                  <c:v>43545</c:v>
                </c:pt>
                <c:pt idx="445">
                  <c:v>43546</c:v>
                </c:pt>
                <c:pt idx="446">
                  <c:v>43547</c:v>
                </c:pt>
                <c:pt idx="447">
                  <c:v>43548</c:v>
                </c:pt>
                <c:pt idx="448">
                  <c:v>43549</c:v>
                </c:pt>
                <c:pt idx="449">
                  <c:v>43550</c:v>
                </c:pt>
                <c:pt idx="450">
                  <c:v>43551</c:v>
                </c:pt>
                <c:pt idx="451">
                  <c:v>43552</c:v>
                </c:pt>
                <c:pt idx="452">
                  <c:v>43553</c:v>
                </c:pt>
                <c:pt idx="453">
                  <c:v>43554</c:v>
                </c:pt>
                <c:pt idx="454">
                  <c:v>43555</c:v>
                </c:pt>
                <c:pt idx="455">
                  <c:v>43556</c:v>
                </c:pt>
                <c:pt idx="456">
                  <c:v>43557</c:v>
                </c:pt>
                <c:pt idx="457">
                  <c:v>43558</c:v>
                </c:pt>
                <c:pt idx="458">
                  <c:v>43559</c:v>
                </c:pt>
                <c:pt idx="459">
                  <c:v>43560</c:v>
                </c:pt>
                <c:pt idx="460">
                  <c:v>43561</c:v>
                </c:pt>
                <c:pt idx="461">
                  <c:v>43562</c:v>
                </c:pt>
                <c:pt idx="462">
                  <c:v>43563</c:v>
                </c:pt>
                <c:pt idx="463">
                  <c:v>43564</c:v>
                </c:pt>
                <c:pt idx="464">
                  <c:v>43565</c:v>
                </c:pt>
                <c:pt idx="465">
                  <c:v>43566</c:v>
                </c:pt>
                <c:pt idx="466">
                  <c:v>43567</c:v>
                </c:pt>
                <c:pt idx="467">
                  <c:v>43568</c:v>
                </c:pt>
                <c:pt idx="468">
                  <c:v>43569</c:v>
                </c:pt>
                <c:pt idx="469">
                  <c:v>43570</c:v>
                </c:pt>
                <c:pt idx="470">
                  <c:v>43571</c:v>
                </c:pt>
                <c:pt idx="471">
                  <c:v>43572</c:v>
                </c:pt>
                <c:pt idx="472">
                  <c:v>43573</c:v>
                </c:pt>
                <c:pt idx="473">
                  <c:v>43574</c:v>
                </c:pt>
                <c:pt idx="474">
                  <c:v>43575</c:v>
                </c:pt>
                <c:pt idx="475">
                  <c:v>43576</c:v>
                </c:pt>
                <c:pt idx="476">
                  <c:v>43577</c:v>
                </c:pt>
                <c:pt idx="477">
                  <c:v>43578</c:v>
                </c:pt>
                <c:pt idx="478">
                  <c:v>43579</c:v>
                </c:pt>
                <c:pt idx="479">
                  <c:v>43580</c:v>
                </c:pt>
                <c:pt idx="480">
                  <c:v>43581</c:v>
                </c:pt>
                <c:pt idx="481">
                  <c:v>43582</c:v>
                </c:pt>
                <c:pt idx="482">
                  <c:v>43583</c:v>
                </c:pt>
                <c:pt idx="483">
                  <c:v>43584</c:v>
                </c:pt>
                <c:pt idx="484">
                  <c:v>43585</c:v>
                </c:pt>
                <c:pt idx="485">
                  <c:v>43586</c:v>
                </c:pt>
                <c:pt idx="486">
                  <c:v>43587</c:v>
                </c:pt>
                <c:pt idx="487">
                  <c:v>43588</c:v>
                </c:pt>
                <c:pt idx="488">
                  <c:v>43589</c:v>
                </c:pt>
                <c:pt idx="489">
                  <c:v>43590</c:v>
                </c:pt>
                <c:pt idx="490">
                  <c:v>43591</c:v>
                </c:pt>
                <c:pt idx="491">
                  <c:v>43592</c:v>
                </c:pt>
                <c:pt idx="492">
                  <c:v>43593</c:v>
                </c:pt>
                <c:pt idx="493">
                  <c:v>43594</c:v>
                </c:pt>
                <c:pt idx="494">
                  <c:v>43595</c:v>
                </c:pt>
                <c:pt idx="495">
                  <c:v>43596</c:v>
                </c:pt>
                <c:pt idx="496">
                  <c:v>43597</c:v>
                </c:pt>
                <c:pt idx="497">
                  <c:v>43598</c:v>
                </c:pt>
                <c:pt idx="498">
                  <c:v>43599</c:v>
                </c:pt>
                <c:pt idx="499">
                  <c:v>43600</c:v>
                </c:pt>
                <c:pt idx="500">
                  <c:v>43601</c:v>
                </c:pt>
                <c:pt idx="501">
                  <c:v>43602</c:v>
                </c:pt>
                <c:pt idx="502">
                  <c:v>43603</c:v>
                </c:pt>
                <c:pt idx="503">
                  <c:v>43604</c:v>
                </c:pt>
                <c:pt idx="504">
                  <c:v>43605</c:v>
                </c:pt>
                <c:pt idx="505">
                  <c:v>43606</c:v>
                </c:pt>
                <c:pt idx="506">
                  <c:v>43607</c:v>
                </c:pt>
                <c:pt idx="507">
                  <c:v>43608</c:v>
                </c:pt>
                <c:pt idx="508">
                  <c:v>43609</c:v>
                </c:pt>
                <c:pt idx="509">
                  <c:v>43610</c:v>
                </c:pt>
                <c:pt idx="510">
                  <c:v>43611</c:v>
                </c:pt>
                <c:pt idx="511">
                  <c:v>43612</c:v>
                </c:pt>
                <c:pt idx="512">
                  <c:v>43613</c:v>
                </c:pt>
                <c:pt idx="513">
                  <c:v>43614</c:v>
                </c:pt>
                <c:pt idx="514">
                  <c:v>43615</c:v>
                </c:pt>
                <c:pt idx="515">
                  <c:v>43616</c:v>
                </c:pt>
                <c:pt idx="516">
                  <c:v>43617</c:v>
                </c:pt>
                <c:pt idx="517">
                  <c:v>43618</c:v>
                </c:pt>
                <c:pt idx="518">
                  <c:v>43619</c:v>
                </c:pt>
                <c:pt idx="519">
                  <c:v>43620</c:v>
                </c:pt>
                <c:pt idx="520">
                  <c:v>43621</c:v>
                </c:pt>
                <c:pt idx="521">
                  <c:v>43622</c:v>
                </c:pt>
                <c:pt idx="522">
                  <c:v>43623</c:v>
                </c:pt>
                <c:pt idx="523">
                  <c:v>43624</c:v>
                </c:pt>
                <c:pt idx="524">
                  <c:v>43625</c:v>
                </c:pt>
                <c:pt idx="525">
                  <c:v>43626</c:v>
                </c:pt>
                <c:pt idx="526">
                  <c:v>43627</c:v>
                </c:pt>
                <c:pt idx="527">
                  <c:v>43628</c:v>
                </c:pt>
                <c:pt idx="528">
                  <c:v>43629</c:v>
                </c:pt>
                <c:pt idx="529">
                  <c:v>43630</c:v>
                </c:pt>
                <c:pt idx="530">
                  <c:v>43631</c:v>
                </c:pt>
                <c:pt idx="531">
                  <c:v>43632</c:v>
                </c:pt>
                <c:pt idx="532">
                  <c:v>43633</c:v>
                </c:pt>
                <c:pt idx="533">
                  <c:v>43634</c:v>
                </c:pt>
                <c:pt idx="534">
                  <c:v>43635</c:v>
                </c:pt>
                <c:pt idx="535">
                  <c:v>43636</c:v>
                </c:pt>
                <c:pt idx="536">
                  <c:v>43637</c:v>
                </c:pt>
                <c:pt idx="537">
                  <c:v>43638</c:v>
                </c:pt>
                <c:pt idx="538">
                  <c:v>43639</c:v>
                </c:pt>
                <c:pt idx="539">
                  <c:v>43640</c:v>
                </c:pt>
                <c:pt idx="540">
                  <c:v>43641</c:v>
                </c:pt>
                <c:pt idx="541">
                  <c:v>43642</c:v>
                </c:pt>
                <c:pt idx="542">
                  <c:v>43643</c:v>
                </c:pt>
                <c:pt idx="543">
                  <c:v>43644</c:v>
                </c:pt>
                <c:pt idx="544">
                  <c:v>43645</c:v>
                </c:pt>
                <c:pt idx="545">
                  <c:v>43646</c:v>
                </c:pt>
                <c:pt idx="546">
                  <c:v>43647</c:v>
                </c:pt>
                <c:pt idx="547">
                  <c:v>43648</c:v>
                </c:pt>
                <c:pt idx="548">
                  <c:v>43649</c:v>
                </c:pt>
                <c:pt idx="549">
                  <c:v>43650</c:v>
                </c:pt>
                <c:pt idx="550">
                  <c:v>43651</c:v>
                </c:pt>
                <c:pt idx="551">
                  <c:v>43652</c:v>
                </c:pt>
                <c:pt idx="552">
                  <c:v>43653</c:v>
                </c:pt>
                <c:pt idx="553">
                  <c:v>43654</c:v>
                </c:pt>
                <c:pt idx="554">
                  <c:v>43655</c:v>
                </c:pt>
                <c:pt idx="555">
                  <c:v>43656</c:v>
                </c:pt>
                <c:pt idx="556">
                  <c:v>43657</c:v>
                </c:pt>
                <c:pt idx="557">
                  <c:v>43658</c:v>
                </c:pt>
                <c:pt idx="558">
                  <c:v>43659</c:v>
                </c:pt>
                <c:pt idx="559">
                  <c:v>43660</c:v>
                </c:pt>
                <c:pt idx="560">
                  <c:v>43661</c:v>
                </c:pt>
                <c:pt idx="561">
                  <c:v>43662</c:v>
                </c:pt>
                <c:pt idx="562">
                  <c:v>43663</c:v>
                </c:pt>
                <c:pt idx="563">
                  <c:v>43664</c:v>
                </c:pt>
                <c:pt idx="564">
                  <c:v>43665</c:v>
                </c:pt>
                <c:pt idx="565">
                  <c:v>43666</c:v>
                </c:pt>
                <c:pt idx="566">
                  <c:v>43667</c:v>
                </c:pt>
                <c:pt idx="567">
                  <c:v>43668</c:v>
                </c:pt>
                <c:pt idx="568">
                  <c:v>43669</c:v>
                </c:pt>
                <c:pt idx="569">
                  <c:v>43670</c:v>
                </c:pt>
                <c:pt idx="570">
                  <c:v>43671</c:v>
                </c:pt>
                <c:pt idx="571">
                  <c:v>43672</c:v>
                </c:pt>
                <c:pt idx="572">
                  <c:v>43673</c:v>
                </c:pt>
                <c:pt idx="573">
                  <c:v>43674</c:v>
                </c:pt>
                <c:pt idx="574">
                  <c:v>43675</c:v>
                </c:pt>
                <c:pt idx="575">
                  <c:v>43676</c:v>
                </c:pt>
                <c:pt idx="576">
                  <c:v>43677</c:v>
                </c:pt>
                <c:pt idx="577">
                  <c:v>43678</c:v>
                </c:pt>
                <c:pt idx="578">
                  <c:v>43679</c:v>
                </c:pt>
                <c:pt idx="579">
                  <c:v>43680</c:v>
                </c:pt>
                <c:pt idx="580">
                  <c:v>43681</c:v>
                </c:pt>
                <c:pt idx="581">
                  <c:v>43682</c:v>
                </c:pt>
                <c:pt idx="582">
                  <c:v>43683</c:v>
                </c:pt>
                <c:pt idx="583">
                  <c:v>43684</c:v>
                </c:pt>
                <c:pt idx="584">
                  <c:v>43685</c:v>
                </c:pt>
                <c:pt idx="585">
                  <c:v>43686</c:v>
                </c:pt>
                <c:pt idx="586">
                  <c:v>43687</c:v>
                </c:pt>
                <c:pt idx="587">
                  <c:v>43688</c:v>
                </c:pt>
                <c:pt idx="588">
                  <c:v>43689</c:v>
                </c:pt>
                <c:pt idx="589">
                  <c:v>43690</c:v>
                </c:pt>
                <c:pt idx="590">
                  <c:v>43691</c:v>
                </c:pt>
                <c:pt idx="591">
                  <c:v>43692</c:v>
                </c:pt>
                <c:pt idx="592">
                  <c:v>43693</c:v>
                </c:pt>
                <c:pt idx="593">
                  <c:v>43694</c:v>
                </c:pt>
                <c:pt idx="594">
                  <c:v>43695</c:v>
                </c:pt>
                <c:pt idx="595">
                  <c:v>43696</c:v>
                </c:pt>
                <c:pt idx="596">
                  <c:v>43697</c:v>
                </c:pt>
                <c:pt idx="597">
                  <c:v>43698</c:v>
                </c:pt>
                <c:pt idx="598">
                  <c:v>43699</c:v>
                </c:pt>
                <c:pt idx="599">
                  <c:v>43700</c:v>
                </c:pt>
                <c:pt idx="600">
                  <c:v>43701</c:v>
                </c:pt>
                <c:pt idx="601">
                  <c:v>43702</c:v>
                </c:pt>
                <c:pt idx="602">
                  <c:v>43703</c:v>
                </c:pt>
                <c:pt idx="603">
                  <c:v>43704</c:v>
                </c:pt>
                <c:pt idx="604">
                  <c:v>43705</c:v>
                </c:pt>
                <c:pt idx="605">
                  <c:v>43706</c:v>
                </c:pt>
                <c:pt idx="606">
                  <c:v>43707</c:v>
                </c:pt>
                <c:pt idx="607">
                  <c:v>43708</c:v>
                </c:pt>
                <c:pt idx="608">
                  <c:v>43709</c:v>
                </c:pt>
                <c:pt idx="609">
                  <c:v>43710</c:v>
                </c:pt>
                <c:pt idx="610">
                  <c:v>43711</c:v>
                </c:pt>
                <c:pt idx="611">
                  <c:v>43712</c:v>
                </c:pt>
                <c:pt idx="612">
                  <c:v>43713</c:v>
                </c:pt>
                <c:pt idx="613">
                  <c:v>43714</c:v>
                </c:pt>
                <c:pt idx="614">
                  <c:v>43715</c:v>
                </c:pt>
                <c:pt idx="615">
                  <c:v>43716</c:v>
                </c:pt>
                <c:pt idx="616">
                  <c:v>43717</c:v>
                </c:pt>
                <c:pt idx="617">
                  <c:v>43718</c:v>
                </c:pt>
                <c:pt idx="618">
                  <c:v>43719</c:v>
                </c:pt>
                <c:pt idx="619">
                  <c:v>43720</c:v>
                </c:pt>
                <c:pt idx="620">
                  <c:v>43721</c:v>
                </c:pt>
                <c:pt idx="621">
                  <c:v>43722</c:v>
                </c:pt>
                <c:pt idx="622">
                  <c:v>43723</c:v>
                </c:pt>
                <c:pt idx="623">
                  <c:v>43724</c:v>
                </c:pt>
                <c:pt idx="624">
                  <c:v>43725</c:v>
                </c:pt>
                <c:pt idx="625">
                  <c:v>43726</c:v>
                </c:pt>
                <c:pt idx="626">
                  <c:v>43727</c:v>
                </c:pt>
                <c:pt idx="627">
                  <c:v>43728</c:v>
                </c:pt>
                <c:pt idx="628">
                  <c:v>43729</c:v>
                </c:pt>
                <c:pt idx="629">
                  <c:v>43730</c:v>
                </c:pt>
                <c:pt idx="630">
                  <c:v>43731</c:v>
                </c:pt>
                <c:pt idx="631">
                  <c:v>43732</c:v>
                </c:pt>
                <c:pt idx="632">
                  <c:v>43733</c:v>
                </c:pt>
                <c:pt idx="633">
                  <c:v>43734</c:v>
                </c:pt>
                <c:pt idx="634">
                  <c:v>43735</c:v>
                </c:pt>
                <c:pt idx="635">
                  <c:v>43736</c:v>
                </c:pt>
                <c:pt idx="636">
                  <c:v>43737</c:v>
                </c:pt>
                <c:pt idx="637">
                  <c:v>43738</c:v>
                </c:pt>
              </c:numCache>
            </c:numRef>
          </c:cat>
          <c:val>
            <c:numRef>
              <c:f>'[Gráfico en Microsoft PowerPoint]Situacion VIP PIRINEOS'!$E$4:$E$641</c:f>
              <c:numCache>
                <c:formatCode>#,##0.00</c:formatCode>
                <c:ptCount val="638"/>
                <c:pt idx="0">
                  <c:v>130.33943500000001</c:v>
                </c:pt>
                <c:pt idx="1">
                  <c:v>116.31138300000001</c:v>
                </c:pt>
                <c:pt idx="2">
                  <c:v>116.31138300000001</c:v>
                </c:pt>
                <c:pt idx="3">
                  <c:v>100.942493</c:v>
                </c:pt>
                <c:pt idx="4">
                  <c:v>116.31138300000001</c:v>
                </c:pt>
                <c:pt idx="5">
                  <c:v>116.31138300000001</c:v>
                </c:pt>
                <c:pt idx="6">
                  <c:v>116.31138300000001</c:v>
                </c:pt>
                <c:pt idx="7">
                  <c:v>132.594606</c:v>
                </c:pt>
                <c:pt idx="8">
                  <c:v>116.31138300000001</c:v>
                </c:pt>
                <c:pt idx="9">
                  <c:v>119.329391</c:v>
                </c:pt>
                <c:pt idx="10">
                  <c:v>122.698266</c:v>
                </c:pt>
                <c:pt idx="11">
                  <c:v>135.16589200000001</c:v>
                </c:pt>
                <c:pt idx="12">
                  <c:v>122.323398</c:v>
                </c:pt>
                <c:pt idx="13">
                  <c:v>118.315381</c:v>
                </c:pt>
                <c:pt idx="14">
                  <c:v>127.333421</c:v>
                </c:pt>
                <c:pt idx="15">
                  <c:v>117.695255</c:v>
                </c:pt>
                <c:pt idx="16">
                  <c:v>118.315381</c:v>
                </c:pt>
                <c:pt idx="17">
                  <c:v>118.315381</c:v>
                </c:pt>
                <c:pt idx="18">
                  <c:v>118.315381</c:v>
                </c:pt>
                <c:pt idx="19">
                  <c:v>118.815499</c:v>
                </c:pt>
                <c:pt idx="20">
                  <c:v>118.314199</c:v>
                </c:pt>
                <c:pt idx="21">
                  <c:v>124.17711300000001</c:v>
                </c:pt>
                <c:pt idx="22">
                  <c:v>136.597082</c:v>
                </c:pt>
                <c:pt idx="23">
                  <c:v>128.335421</c:v>
                </c:pt>
                <c:pt idx="24">
                  <c:v>125.830421</c:v>
                </c:pt>
                <c:pt idx="25">
                  <c:v>121.10095200000001</c:v>
                </c:pt>
                <c:pt idx="26">
                  <c:v>118.315381</c:v>
                </c:pt>
                <c:pt idx="27">
                  <c:v>118.315381</c:v>
                </c:pt>
                <c:pt idx="28">
                  <c:v>127.33342</c:v>
                </c:pt>
                <c:pt idx="29">
                  <c:v>137.70416900000001</c:v>
                </c:pt>
                <c:pt idx="30">
                  <c:v>145.767608</c:v>
                </c:pt>
                <c:pt idx="31">
                  <c:v>152.57852099999999</c:v>
                </c:pt>
                <c:pt idx="32">
                  <c:v>153.77962500000001</c:v>
                </c:pt>
                <c:pt idx="33">
                  <c:v>150.92739800000001</c:v>
                </c:pt>
                <c:pt idx="34">
                  <c:v>149.76037299999999</c:v>
                </c:pt>
                <c:pt idx="35">
                  <c:v>162.045785</c:v>
                </c:pt>
                <c:pt idx="36">
                  <c:v>156.17631800000001</c:v>
                </c:pt>
                <c:pt idx="37">
                  <c:v>166.72353699999999</c:v>
                </c:pt>
                <c:pt idx="38">
                  <c:v>170.064537</c:v>
                </c:pt>
                <c:pt idx="39">
                  <c:v>194.42477500000001</c:v>
                </c:pt>
                <c:pt idx="40">
                  <c:v>149.75902199999999</c:v>
                </c:pt>
                <c:pt idx="41">
                  <c:v>149.75902199999999</c:v>
                </c:pt>
                <c:pt idx="42">
                  <c:v>146.25199599999999</c:v>
                </c:pt>
                <c:pt idx="43">
                  <c:v>146.03658300000001</c:v>
                </c:pt>
                <c:pt idx="44">
                  <c:v>144.158568</c:v>
                </c:pt>
                <c:pt idx="45">
                  <c:v>147.665594</c:v>
                </c:pt>
                <c:pt idx="46">
                  <c:v>147.906217</c:v>
                </c:pt>
                <c:pt idx="47">
                  <c:v>144.158568</c:v>
                </c:pt>
                <c:pt idx="48">
                  <c:v>144.158568</c:v>
                </c:pt>
                <c:pt idx="49">
                  <c:v>139.27590599999999</c:v>
                </c:pt>
                <c:pt idx="50">
                  <c:v>143.60856799999999</c:v>
                </c:pt>
                <c:pt idx="51">
                  <c:v>121.271692</c:v>
                </c:pt>
                <c:pt idx="52">
                  <c:v>128.99184199999999</c:v>
                </c:pt>
                <c:pt idx="53">
                  <c:v>135.87829600000001</c:v>
                </c:pt>
                <c:pt idx="54">
                  <c:v>135.874799</c:v>
                </c:pt>
                <c:pt idx="55">
                  <c:v>136.27071799999999</c:v>
                </c:pt>
                <c:pt idx="56">
                  <c:v>87.800675999999996</c:v>
                </c:pt>
                <c:pt idx="57">
                  <c:v>100.715141</c:v>
                </c:pt>
                <c:pt idx="58">
                  <c:v>73.679390999999995</c:v>
                </c:pt>
                <c:pt idx="59">
                  <c:v>66.508139999999997</c:v>
                </c:pt>
                <c:pt idx="60">
                  <c:v>66.507137</c:v>
                </c:pt>
                <c:pt idx="61">
                  <c:v>84.256004000000004</c:v>
                </c:pt>
                <c:pt idx="62">
                  <c:v>92.276803999999998</c:v>
                </c:pt>
                <c:pt idx="63">
                  <c:v>118.55193800000001</c:v>
                </c:pt>
                <c:pt idx="64">
                  <c:v>124.072112</c:v>
                </c:pt>
                <c:pt idx="65">
                  <c:v>124.274897</c:v>
                </c:pt>
                <c:pt idx="66">
                  <c:v>133.799342</c:v>
                </c:pt>
                <c:pt idx="67">
                  <c:v>131.49647300000001</c:v>
                </c:pt>
                <c:pt idx="68">
                  <c:v>122.268846</c:v>
                </c:pt>
                <c:pt idx="69">
                  <c:v>122.268846</c:v>
                </c:pt>
                <c:pt idx="70">
                  <c:v>114.894245</c:v>
                </c:pt>
                <c:pt idx="71">
                  <c:v>108.389199</c:v>
                </c:pt>
                <c:pt idx="72">
                  <c:v>119.262834</c:v>
                </c:pt>
                <c:pt idx="73">
                  <c:v>119.262834</c:v>
                </c:pt>
                <c:pt idx="74">
                  <c:v>115.57371000000001</c:v>
                </c:pt>
                <c:pt idx="75">
                  <c:v>112.862236</c:v>
                </c:pt>
                <c:pt idx="76">
                  <c:v>112.862236</c:v>
                </c:pt>
                <c:pt idx="77">
                  <c:v>122.604528</c:v>
                </c:pt>
                <c:pt idx="78">
                  <c:v>128.78187199999999</c:v>
                </c:pt>
                <c:pt idx="79">
                  <c:v>119.262834</c:v>
                </c:pt>
                <c:pt idx="80">
                  <c:v>123.27085</c:v>
                </c:pt>
                <c:pt idx="81">
                  <c:v>118.344643</c:v>
                </c:pt>
                <c:pt idx="82">
                  <c:v>116.483907</c:v>
                </c:pt>
                <c:pt idx="83">
                  <c:v>119.262834</c:v>
                </c:pt>
                <c:pt idx="84">
                  <c:v>120.665639</c:v>
                </c:pt>
                <c:pt idx="85">
                  <c:v>124.272854</c:v>
                </c:pt>
                <c:pt idx="86">
                  <c:v>112.725978</c:v>
                </c:pt>
                <c:pt idx="87">
                  <c:v>104.178434</c:v>
                </c:pt>
                <c:pt idx="88">
                  <c:v>99.575372999999999</c:v>
                </c:pt>
                <c:pt idx="89">
                  <c:v>103.024317</c:v>
                </c:pt>
                <c:pt idx="90">
                  <c:v>88.054654999999997</c:v>
                </c:pt>
                <c:pt idx="91">
                  <c:v>91.403339000000003</c:v>
                </c:pt>
                <c:pt idx="92">
                  <c:v>88.925487000000004</c:v>
                </c:pt>
                <c:pt idx="93">
                  <c:v>87.071742999999998</c:v>
                </c:pt>
                <c:pt idx="94">
                  <c:v>74.959863999999996</c:v>
                </c:pt>
                <c:pt idx="95">
                  <c:v>73.556224</c:v>
                </c:pt>
                <c:pt idx="96">
                  <c:v>75.142336999999998</c:v>
                </c:pt>
                <c:pt idx="97">
                  <c:v>76.144936999999999</c:v>
                </c:pt>
                <c:pt idx="98">
                  <c:v>85.149454000000006</c:v>
                </c:pt>
                <c:pt idx="99">
                  <c:v>88.055198000000004</c:v>
                </c:pt>
                <c:pt idx="100">
                  <c:v>79.201993000000002</c:v>
                </c:pt>
                <c:pt idx="101">
                  <c:v>79.974997999999999</c:v>
                </c:pt>
                <c:pt idx="102">
                  <c:v>99.554941999999997</c:v>
                </c:pt>
                <c:pt idx="103">
                  <c:v>87.654914000000005</c:v>
                </c:pt>
                <c:pt idx="104">
                  <c:v>87.654914000000005</c:v>
                </c:pt>
                <c:pt idx="105">
                  <c:v>85.870285999999993</c:v>
                </c:pt>
                <c:pt idx="106">
                  <c:v>93.639432999999997</c:v>
                </c:pt>
                <c:pt idx="107">
                  <c:v>88.247488000000004</c:v>
                </c:pt>
                <c:pt idx="108">
                  <c:v>71.394369999999995</c:v>
                </c:pt>
                <c:pt idx="109">
                  <c:v>71.066079000000002</c:v>
                </c:pt>
                <c:pt idx="110">
                  <c:v>77.829434000000006</c:v>
                </c:pt>
                <c:pt idx="111">
                  <c:v>72.766304000000005</c:v>
                </c:pt>
                <c:pt idx="112">
                  <c:v>31.839798999999999</c:v>
                </c:pt>
                <c:pt idx="113">
                  <c:v>26.252065999999999</c:v>
                </c:pt>
                <c:pt idx="114">
                  <c:v>27.379992999999999</c:v>
                </c:pt>
                <c:pt idx="115">
                  <c:v>27.502715999999999</c:v>
                </c:pt>
                <c:pt idx="116">
                  <c:v>23.751415999999999</c:v>
                </c:pt>
                <c:pt idx="117">
                  <c:v>63.999999000000003</c:v>
                </c:pt>
                <c:pt idx="118">
                  <c:v>63.999999000000003</c:v>
                </c:pt>
                <c:pt idx="119">
                  <c:v>58.485698999999997</c:v>
                </c:pt>
                <c:pt idx="120">
                  <c:v>58.485698999999997</c:v>
                </c:pt>
                <c:pt idx="121">
                  <c:v>61.592199000000001</c:v>
                </c:pt>
                <c:pt idx="122">
                  <c:v>63.095058999999999</c:v>
                </c:pt>
                <c:pt idx="123">
                  <c:v>64.439432999999994</c:v>
                </c:pt>
                <c:pt idx="124">
                  <c:v>63.853788000000002</c:v>
                </c:pt>
                <c:pt idx="125">
                  <c:v>62.939416999999999</c:v>
                </c:pt>
                <c:pt idx="126">
                  <c:v>70.360662000000005</c:v>
                </c:pt>
                <c:pt idx="127">
                  <c:v>83.177059999999997</c:v>
                </c:pt>
                <c:pt idx="128">
                  <c:v>69.671709000000007</c:v>
                </c:pt>
                <c:pt idx="129">
                  <c:v>66.035572000000002</c:v>
                </c:pt>
                <c:pt idx="130">
                  <c:v>62.818894</c:v>
                </c:pt>
                <c:pt idx="131">
                  <c:v>58.485698999999997</c:v>
                </c:pt>
                <c:pt idx="132">
                  <c:v>58.485698999999997</c:v>
                </c:pt>
                <c:pt idx="133">
                  <c:v>65.489341999999994</c:v>
                </c:pt>
                <c:pt idx="134">
                  <c:v>69.440402000000006</c:v>
                </c:pt>
                <c:pt idx="135">
                  <c:v>64.695597000000006</c:v>
                </c:pt>
                <c:pt idx="136">
                  <c:v>58.485698999999997</c:v>
                </c:pt>
                <c:pt idx="137">
                  <c:v>68.553808000000004</c:v>
                </c:pt>
                <c:pt idx="138">
                  <c:v>71.228910999999997</c:v>
                </c:pt>
                <c:pt idx="139">
                  <c:v>71.228910999999997</c:v>
                </c:pt>
                <c:pt idx="140">
                  <c:v>77.244511000000003</c:v>
                </c:pt>
                <c:pt idx="141">
                  <c:v>85.797059000000004</c:v>
                </c:pt>
                <c:pt idx="142">
                  <c:v>93.739694</c:v>
                </c:pt>
                <c:pt idx="143">
                  <c:v>84.187923999999995</c:v>
                </c:pt>
                <c:pt idx="144">
                  <c:v>71.926125999999996</c:v>
                </c:pt>
                <c:pt idx="145">
                  <c:v>73.479562000000001</c:v>
                </c:pt>
                <c:pt idx="146">
                  <c:v>71.914095000000003</c:v>
                </c:pt>
                <c:pt idx="147">
                  <c:v>69.516819999999996</c:v>
                </c:pt>
                <c:pt idx="148">
                  <c:v>64.645114000000007</c:v>
                </c:pt>
                <c:pt idx="149">
                  <c:v>72.477887999999993</c:v>
                </c:pt>
                <c:pt idx="150">
                  <c:v>69.007852</c:v>
                </c:pt>
                <c:pt idx="151">
                  <c:v>70.101350999999994</c:v>
                </c:pt>
                <c:pt idx="152">
                  <c:v>67.295823999999996</c:v>
                </c:pt>
                <c:pt idx="153">
                  <c:v>67.295823999999996</c:v>
                </c:pt>
                <c:pt idx="154">
                  <c:v>70.756799000000001</c:v>
                </c:pt>
                <c:pt idx="155">
                  <c:v>67.295823999999996</c:v>
                </c:pt>
                <c:pt idx="156">
                  <c:v>67.295823999999996</c:v>
                </c:pt>
                <c:pt idx="157">
                  <c:v>72.700542999999996</c:v>
                </c:pt>
                <c:pt idx="158">
                  <c:v>77.653386999999995</c:v>
                </c:pt>
                <c:pt idx="159">
                  <c:v>73.945066999999995</c:v>
                </c:pt>
                <c:pt idx="160">
                  <c:v>75.188291000000007</c:v>
                </c:pt>
                <c:pt idx="161">
                  <c:v>76.932815000000005</c:v>
                </c:pt>
                <c:pt idx="162">
                  <c:v>67.295823999999996</c:v>
                </c:pt>
                <c:pt idx="163">
                  <c:v>67.295823999999996</c:v>
                </c:pt>
                <c:pt idx="164">
                  <c:v>67.809155000000004</c:v>
                </c:pt>
                <c:pt idx="165">
                  <c:v>67.295823999999996</c:v>
                </c:pt>
                <c:pt idx="166">
                  <c:v>67.295823999999996</c:v>
                </c:pt>
                <c:pt idx="167">
                  <c:v>67.295823999999996</c:v>
                </c:pt>
                <c:pt idx="168">
                  <c:v>67.295823999999996</c:v>
                </c:pt>
                <c:pt idx="169">
                  <c:v>67.595823999999993</c:v>
                </c:pt>
                <c:pt idx="170">
                  <c:v>67.295823999999996</c:v>
                </c:pt>
                <c:pt idx="171">
                  <c:v>67.295823999999996</c:v>
                </c:pt>
                <c:pt idx="172">
                  <c:v>70.355759000000006</c:v>
                </c:pt>
                <c:pt idx="173">
                  <c:v>67.295823999999996</c:v>
                </c:pt>
                <c:pt idx="174">
                  <c:v>67.295823999999996</c:v>
                </c:pt>
                <c:pt idx="175">
                  <c:v>67.295823999999996</c:v>
                </c:pt>
                <c:pt idx="176">
                  <c:v>68.257256999999996</c:v>
                </c:pt>
                <c:pt idx="177">
                  <c:v>67.295823999999996</c:v>
                </c:pt>
                <c:pt idx="178">
                  <c:v>67.295823999999996</c:v>
                </c:pt>
                <c:pt idx="179">
                  <c:v>67.295823999999996</c:v>
                </c:pt>
                <c:pt idx="180">
                  <c:v>67.295823999999996</c:v>
                </c:pt>
                <c:pt idx="181">
                  <c:v>67.295823999999996</c:v>
                </c:pt>
                <c:pt idx="182">
                  <c:v>67.295823999999996</c:v>
                </c:pt>
                <c:pt idx="183">
                  <c:v>73.575822000000002</c:v>
                </c:pt>
                <c:pt idx="184">
                  <c:v>67.295823999999996</c:v>
                </c:pt>
                <c:pt idx="185">
                  <c:v>75.143388999999999</c:v>
                </c:pt>
                <c:pt idx="186">
                  <c:v>69.581751999999994</c:v>
                </c:pt>
                <c:pt idx="187">
                  <c:v>68.508970000000005</c:v>
                </c:pt>
                <c:pt idx="188">
                  <c:v>67.295823999999996</c:v>
                </c:pt>
                <c:pt idx="189">
                  <c:v>67.295823999999996</c:v>
                </c:pt>
                <c:pt idx="190">
                  <c:v>67.295823999999996</c:v>
                </c:pt>
                <c:pt idx="191">
                  <c:v>67.295823999999996</c:v>
                </c:pt>
                <c:pt idx="192">
                  <c:v>69.581751999999994</c:v>
                </c:pt>
                <c:pt idx="193">
                  <c:v>67.295823999999996</c:v>
                </c:pt>
                <c:pt idx="194">
                  <c:v>67.295823999999996</c:v>
                </c:pt>
                <c:pt idx="195">
                  <c:v>68.248294000000001</c:v>
                </c:pt>
                <c:pt idx="196">
                  <c:v>67.295823999999996</c:v>
                </c:pt>
                <c:pt idx="197">
                  <c:v>70.420823999999996</c:v>
                </c:pt>
                <c:pt idx="198">
                  <c:v>70.103104000000002</c:v>
                </c:pt>
                <c:pt idx="199">
                  <c:v>67.295823999999996</c:v>
                </c:pt>
                <c:pt idx="200">
                  <c:v>67.295823999999996</c:v>
                </c:pt>
                <c:pt idx="201">
                  <c:v>67.295823999999996</c:v>
                </c:pt>
                <c:pt idx="202">
                  <c:v>67.295823999999996</c:v>
                </c:pt>
                <c:pt idx="203">
                  <c:v>67.416135999999995</c:v>
                </c:pt>
                <c:pt idx="204">
                  <c:v>67.576552000000007</c:v>
                </c:pt>
                <c:pt idx="205">
                  <c:v>73.575822000000002</c:v>
                </c:pt>
                <c:pt idx="206">
                  <c:v>77.427238000000003</c:v>
                </c:pt>
                <c:pt idx="207">
                  <c:v>83.722133999999997</c:v>
                </c:pt>
                <c:pt idx="208">
                  <c:v>74.554648</c:v>
                </c:pt>
                <c:pt idx="209">
                  <c:v>76.680160000000001</c:v>
                </c:pt>
                <c:pt idx="210">
                  <c:v>82.923029999999997</c:v>
                </c:pt>
                <c:pt idx="211">
                  <c:v>93.232170999999994</c:v>
                </c:pt>
                <c:pt idx="212">
                  <c:v>71.285168999999996</c:v>
                </c:pt>
                <c:pt idx="213">
                  <c:v>82.597207999999995</c:v>
                </c:pt>
                <c:pt idx="214">
                  <c:v>85.249790000000004</c:v>
                </c:pt>
                <c:pt idx="215">
                  <c:v>70.814949999999996</c:v>
                </c:pt>
                <c:pt idx="216">
                  <c:v>70.814949999999996</c:v>
                </c:pt>
                <c:pt idx="217">
                  <c:v>80.938609999999997</c:v>
                </c:pt>
                <c:pt idx="218">
                  <c:v>81.579526000000001</c:v>
                </c:pt>
                <c:pt idx="219">
                  <c:v>71.866249999999994</c:v>
                </c:pt>
                <c:pt idx="220">
                  <c:v>68.308449999999993</c:v>
                </c:pt>
                <c:pt idx="221">
                  <c:v>68.308449999999993</c:v>
                </c:pt>
                <c:pt idx="222">
                  <c:v>67.295823999999996</c:v>
                </c:pt>
                <c:pt idx="223">
                  <c:v>67.295823999999996</c:v>
                </c:pt>
                <c:pt idx="224">
                  <c:v>67.295823999999996</c:v>
                </c:pt>
                <c:pt idx="225">
                  <c:v>67.295823999999996</c:v>
                </c:pt>
                <c:pt idx="226">
                  <c:v>67.295823999999996</c:v>
                </c:pt>
                <c:pt idx="227">
                  <c:v>69.490217999999999</c:v>
                </c:pt>
                <c:pt idx="228">
                  <c:v>67.795823999999996</c:v>
                </c:pt>
                <c:pt idx="229">
                  <c:v>67.295823999999996</c:v>
                </c:pt>
                <c:pt idx="230">
                  <c:v>67.295823999999996</c:v>
                </c:pt>
                <c:pt idx="231">
                  <c:v>67.295823999999996</c:v>
                </c:pt>
                <c:pt idx="232">
                  <c:v>67.295823999999996</c:v>
                </c:pt>
                <c:pt idx="233">
                  <c:v>75.897627</c:v>
                </c:pt>
                <c:pt idx="234">
                  <c:v>68.325612000000007</c:v>
                </c:pt>
                <c:pt idx="235">
                  <c:v>70.311049999999994</c:v>
                </c:pt>
                <c:pt idx="236">
                  <c:v>67.295823999999996</c:v>
                </c:pt>
                <c:pt idx="237">
                  <c:v>71.596977999999993</c:v>
                </c:pt>
                <c:pt idx="238">
                  <c:v>78.49315</c:v>
                </c:pt>
                <c:pt idx="239">
                  <c:v>88.85915</c:v>
                </c:pt>
                <c:pt idx="240">
                  <c:v>94.242350000000002</c:v>
                </c:pt>
                <c:pt idx="241">
                  <c:v>91.906051000000005</c:v>
                </c:pt>
                <c:pt idx="242">
                  <c:v>92.238016000000002</c:v>
                </c:pt>
                <c:pt idx="243">
                  <c:v>108.45088</c:v>
                </c:pt>
                <c:pt idx="244">
                  <c:v>108.45088</c:v>
                </c:pt>
                <c:pt idx="245">
                  <c:v>125.49557</c:v>
                </c:pt>
                <c:pt idx="246">
                  <c:v>120.670199</c:v>
                </c:pt>
                <c:pt idx="247">
                  <c:v>123.36604199999999</c:v>
                </c:pt>
                <c:pt idx="248">
                  <c:v>123.72175300000001</c:v>
                </c:pt>
                <c:pt idx="249">
                  <c:v>114.768748</c:v>
                </c:pt>
                <c:pt idx="250">
                  <c:v>122.228769</c:v>
                </c:pt>
                <c:pt idx="251">
                  <c:v>127.228767</c:v>
                </c:pt>
                <c:pt idx="252">
                  <c:v>122.479499</c:v>
                </c:pt>
                <c:pt idx="253">
                  <c:v>92.561447000000001</c:v>
                </c:pt>
                <c:pt idx="254">
                  <c:v>98.308383000000006</c:v>
                </c:pt>
                <c:pt idx="255">
                  <c:v>118.97248500000001</c:v>
                </c:pt>
                <c:pt idx="256">
                  <c:v>120.936413</c:v>
                </c:pt>
                <c:pt idx="257">
                  <c:v>110.455451</c:v>
                </c:pt>
                <c:pt idx="258">
                  <c:v>110.455451</c:v>
                </c:pt>
                <c:pt idx="259">
                  <c:v>122.980501</c:v>
                </c:pt>
                <c:pt idx="260">
                  <c:v>108.945414</c:v>
                </c:pt>
                <c:pt idx="261">
                  <c:v>119.47348700000001</c:v>
                </c:pt>
                <c:pt idx="262">
                  <c:v>107.449439</c:v>
                </c:pt>
                <c:pt idx="263">
                  <c:v>107.047982</c:v>
                </c:pt>
                <c:pt idx="264">
                  <c:v>107.283053</c:v>
                </c:pt>
                <c:pt idx="265">
                  <c:v>105.210679</c:v>
                </c:pt>
                <c:pt idx="266">
                  <c:v>107.030097</c:v>
                </c:pt>
                <c:pt idx="267">
                  <c:v>96.671233999999998</c:v>
                </c:pt>
                <c:pt idx="268">
                  <c:v>101.374375</c:v>
                </c:pt>
                <c:pt idx="269">
                  <c:v>108.381602</c:v>
                </c:pt>
                <c:pt idx="270">
                  <c:v>112.30383</c:v>
                </c:pt>
                <c:pt idx="271">
                  <c:v>110.61639700000001</c:v>
                </c:pt>
                <c:pt idx="272">
                  <c:v>109.61379700000001</c:v>
                </c:pt>
                <c:pt idx="273">
                  <c:v>132.61584999999999</c:v>
                </c:pt>
                <c:pt idx="274">
                  <c:v>108.75775400000001</c:v>
                </c:pt>
                <c:pt idx="275">
                  <c:v>121.158795</c:v>
                </c:pt>
                <c:pt idx="276">
                  <c:v>144.158817</c:v>
                </c:pt>
                <c:pt idx="277">
                  <c:v>126.146862</c:v>
                </c:pt>
                <c:pt idx="278">
                  <c:v>116.729722</c:v>
                </c:pt>
                <c:pt idx="279">
                  <c:v>112.467669</c:v>
                </c:pt>
                <c:pt idx="280">
                  <c:v>138.74806899999999</c:v>
                </c:pt>
                <c:pt idx="281">
                  <c:v>145.01753500000001</c:v>
                </c:pt>
                <c:pt idx="282">
                  <c:v>142.81896599999999</c:v>
                </c:pt>
                <c:pt idx="283">
                  <c:v>142.09517700000001</c:v>
                </c:pt>
                <c:pt idx="284">
                  <c:v>142.690774</c:v>
                </c:pt>
                <c:pt idx="285">
                  <c:v>151.942148</c:v>
                </c:pt>
                <c:pt idx="286">
                  <c:v>156.74074100000001</c:v>
                </c:pt>
                <c:pt idx="287">
                  <c:v>154.81965500000001</c:v>
                </c:pt>
                <c:pt idx="288">
                  <c:v>168.92030700000001</c:v>
                </c:pt>
                <c:pt idx="289">
                  <c:v>147.58613199999999</c:v>
                </c:pt>
                <c:pt idx="290">
                  <c:v>152.13760400000001</c:v>
                </c:pt>
                <c:pt idx="291">
                  <c:v>157.11325400000001</c:v>
                </c:pt>
                <c:pt idx="292">
                  <c:v>146.68688599999999</c:v>
                </c:pt>
                <c:pt idx="293">
                  <c:v>146.68688599999999</c:v>
                </c:pt>
                <c:pt idx="294">
                  <c:v>82.316211999999993</c:v>
                </c:pt>
                <c:pt idx="295">
                  <c:v>94.191892999999993</c:v>
                </c:pt>
                <c:pt idx="296">
                  <c:v>95.857586999999995</c:v>
                </c:pt>
                <c:pt idx="297">
                  <c:v>164.963255</c:v>
                </c:pt>
                <c:pt idx="298">
                  <c:v>164.86305400000001</c:v>
                </c:pt>
                <c:pt idx="299">
                  <c:v>152.72325000000001</c:v>
                </c:pt>
                <c:pt idx="300">
                  <c:v>151.83700200000001</c:v>
                </c:pt>
                <c:pt idx="301">
                  <c:v>156.84702200000001</c:v>
                </c:pt>
                <c:pt idx="302">
                  <c:v>191.293453</c:v>
                </c:pt>
                <c:pt idx="303">
                  <c:v>211.26615699999999</c:v>
                </c:pt>
                <c:pt idx="304">
                  <c:v>160.19899599999999</c:v>
                </c:pt>
                <c:pt idx="305">
                  <c:v>176.23106000000001</c:v>
                </c:pt>
                <c:pt idx="306">
                  <c:v>164.10681099999999</c:v>
                </c:pt>
                <c:pt idx="307">
                  <c:v>164.10681099999999</c:v>
                </c:pt>
                <c:pt idx="308">
                  <c:v>196.578337</c:v>
                </c:pt>
                <c:pt idx="309">
                  <c:v>158.104086</c:v>
                </c:pt>
                <c:pt idx="310">
                  <c:v>163.886371</c:v>
                </c:pt>
                <c:pt idx="311">
                  <c:v>162.20300399999999</c:v>
                </c:pt>
                <c:pt idx="312">
                  <c:v>158.094787</c:v>
                </c:pt>
                <c:pt idx="313">
                  <c:v>146.500721</c:v>
                </c:pt>
                <c:pt idx="314">
                  <c:v>148.185089</c:v>
                </c:pt>
                <c:pt idx="315">
                  <c:v>162.10280299999999</c:v>
                </c:pt>
                <c:pt idx="316">
                  <c:v>163.85631000000001</c:v>
                </c:pt>
                <c:pt idx="317">
                  <c:v>164.20701199999999</c:v>
                </c:pt>
                <c:pt idx="318">
                  <c:v>158.094787</c:v>
                </c:pt>
                <c:pt idx="319">
                  <c:v>158.094787</c:v>
                </c:pt>
                <c:pt idx="320">
                  <c:v>144.21238</c:v>
                </c:pt>
                <c:pt idx="321">
                  <c:v>146.256124</c:v>
                </c:pt>
                <c:pt idx="322">
                  <c:v>161.80266900000001</c:v>
                </c:pt>
                <c:pt idx="323">
                  <c:v>164.20701199999999</c:v>
                </c:pt>
                <c:pt idx="324">
                  <c:v>164.20701199999999</c:v>
                </c:pt>
                <c:pt idx="325">
                  <c:v>167.41533200000001</c:v>
                </c:pt>
                <c:pt idx="326">
                  <c:v>173.82840999999999</c:v>
                </c:pt>
                <c:pt idx="327">
                  <c:v>164.20701199999999</c:v>
                </c:pt>
                <c:pt idx="328">
                  <c:v>164.20701199999999</c:v>
                </c:pt>
                <c:pt idx="329">
                  <c:v>164.20701199999999</c:v>
                </c:pt>
                <c:pt idx="330">
                  <c:v>173.42546100000001</c:v>
                </c:pt>
                <c:pt idx="331">
                  <c:v>163.206796</c:v>
                </c:pt>
                <c:pt idx="332">
                  <c:v>170.88131200000001</c:v>
                </c:pt>
                <c:pt idx="333">
                  <c:v>170.72451599999999</c:v>
                </c:pt>
                <c:pt idx="334">
                  <c:v>167.66606200000001</c:v>
                </c:pt>
                <c:pt idx="335">
                  <c:v>167.66606200000001</c:v>
                </c:pt>
                <c:pt idx="336">
                  <c:v>171.83258699999999</c:v>
                </c:pt>
                <c:pt idx="337">
                  <c:v>167.665764</c:v>
                </c:pt>
                <c:pt idx="338">
                  <c:v>169.66977199999999</c:v>
                </c:pt>
                <c:pt idx="339">
                  <c:v>166.66376</c:v>
                </c:pt>
                <c:pt idx="340">
                  <c:v>166.66376</c:v>
                </c:pt>
                <c:pt idx="341">
                  <c:v>169.76402400000001</c:v>
                </c:pt>
                <c:pt idx="342">
                  <c:v>169.66977199999999</c:v>
                </c:pt>
                <c:pt idx="343">
                  <c:v>171.52582699999999</c:v>
                </c:pt>
                <c:pt idx="344">
                  <c:v>177.705288</c:v>
                </c:pt>
                <c:pt idx="345">
                  <c:v>170.17077399999999</c:v>
                </c:pt>
                <c:pt idx="346">
                  <c:v>170.17077399999999</c:v>
                </c:pt>
                <c:pt idx="347">
                  <c:v>164.467986</c:v>
                </c:pt>
                <c:pt idx="348">
                  <c:v>160.96143799999999</c:v>
                </c:pt>
                <c:pt idx="349">
                  <c:v>160.96143799999999</c:v>
                </c:pt>
                <c:pt idx="350">
                  <c:v>166.83372600000001</c:v>
                </c:pt>
                <c:pt idx="351">
                  <c:v>169.61967200000001</c:v>
                </c:pt>
                <c:pt idx="352">
                  <c:v>170.67177599999999</c:v>
                </c:pt>
                <c:pt idx="353">
                  <c:v>170.67177599999999</c:v>
                </c:pt>
                <c:pt idx="354">
                  <c:v>169.16876999999999</c:v>
                </c:pt>
                <c:pt idx="355">
                  <c:v>198.55947499999999</c:v>
                </c:pt>
                <c:pt idx="356">
                  <c:v>192.14283499999999</c:v>
                </c:pt>
                <c:pt idx="357">
                  <c:v>207.784435</c:v>
                </c:pt>
                <c:pt idx="358">
                  <c:v>200.86930599999999</c:v>
                </c:pt>
                <c:pt idx="359">
                  <c:v>193.449026</c:v>
                </c:pt>
                <c:pt idx="360">
                  <c:v>201.06722600000001</c:v>
                </c:pt>
                <c:pt idx="361">
                  <c:v>169.79708099999999</c:v>
                </c:pt>
                <c:pt idx="362">
                  <c:v>164.129197</c:v>
                </c:pt>
                <c:pt idx="363">
                  <c:v>164.74076700000001</c:v>
                </c:pt>
                <c:pt idx="364">
                  <c:v>168.76843400000001</c:v>
                </c:pt>
                <c:pt idx="365">
                  <c:v>170.86368999999999</c:v>
                </c:pt>
                <c:pt idx="366">
                  <c:v>183.791866</c:v>
                </c:pt>
                <c:pt idx="367">
                  <c:v>186.769497</c:v>
                </c:pt>
                <c:pt idx="368">
                  <c:v>206.96840900000001</c:v>
                </c:pt>
                <c:pt idx="369">
                  <c:v>184.86740900000001</c:v>
                </c:pt>
                <c:pt idx="370">
                  <c:v>184.86740900000001</c:v>
                </c:pt>
                <c:pt idx="371">
                  <c:v>204.87235699999999</c:v>
                </c:pt>
                <c:pt idx="372">
                  <c:v>205.22894299999999</c:v>
                </c:pt>
                <c:pt idx="373">
                  <c:v>209.25360699999999</c:v>
                </c:pt>
                <c:pt idx="374">
                  <c:v>216.496982</c:v>
                </c:pt>
                <c:pt idx="375">
                  <c:v>217.42232300000001</c:v>
                </c:pt>
                <c:pt idx="376">
                  <c:v>210.55357100000001</c:v>
                </c:pt>
                <c:pt idx="377">
                  <c:v>215.15420499999999</c:v>
                </c:pt>
                <c:pt idx="378">
                  <c:v>214.13162299999999</c:v>
                </c:pt>
                <c:pt idx="379">
                  <c:v>218.311173</c:v>
                </c:pt>
                <c:pt idx="380">
                  <c:v>217.74057400000001</c:v>
                </c:pt>
                <c:pt idx="381">
                  <c:v>217.68923799999999</c:v>
                </c:pt>
                <c:pt idx="382">
                  <c:v>211.70128399999999</c:v>
                </c:pt>
                <c:pt idx="383">
                  <c:v>188.38491999999999</c:v>
                </c:pt>
                <c:pt idx="384">
                  <c:v>181.56724</c:v>
                </c:pt>
                <c:pt idx="385">
                  <c:v>207.469098</c:v>
                </c:pt>
                <c:pt idx="386">
                  <c:v>215.98151300000001</c:v>
                </c:pt>
                <c:pt idx="387">
                  <c:v>183.070246</c:v>
                </c:pt>
                <c:pt idx="388">
                  <c:v>191.643506</c:v>
                </c:pt>
                <c:pt idx="389">
                  <c:v>215.48171400000001</c:v>
                </c:pt>
                <c:pt idx="390">
                  <c:v>178.060226</c:v>
                </c:pt>
                <c:pt idx="391">
                  <c:v>178.060226</c:v>
                </c:pt>
                <c:pt idx="392">
                  <c:v>194.30939100000001</c:v>
                </c:pt>
                <c:pt idx="393">
                  <c:v>199.10803100000001</c:v>
                </c:pt>
                <c:pt idx="394">
                  <c:v>199.702573</c:v>
                </c:pt>
                <c:pt idx="395">
                  <c:v>187.07826700000001</c:v>
                </c:pt>
                <c:pt idx="396">
                  <c:v>183.76096799999999</c:v>
                </c:pt>
                <c:pt idx="397">
                  <c:v>173.560236</c:v>
                </c:pt>
                <c:pt idx="398">
                  <c:v>184.76287099999999</c:v>
                </c:pt>
                <c:pt idx="399">
                  <c:v>217.97707700000001</c:v>
                </c:pt>
                <c:pt idx="400">
                  <c:v>217.97809000000001</c:v>
                </c:pt>
                <c:pt idx="401">
                  <c:v>202.08594600000001</c:v>
                </c:pt>
                <c:pt idx="402">
                  <c:v>190.94942800000001</c:v>
                </c:pt>
                <c:pt idx="403">
                  <c:v>188.420185</c:v>
                </c:pt>
                <c:pt idx="404">
                  <c:v>188.77088699999999</c:v>
                </c:pt>
                <c:pt idx="405">
                  <c:v>188.77088699999999</c:v>
                </c:pt>
                <c:pt idx="406">
                  <c:v>202.51055500000001</c:v>
                </c:pt>
                <c:pt idx="407">
                  <c:v>200.89055400000001</c:v>
                </c:pt>
                <c:pt idx="408">
                  <c:v>194.05599799999999</c:v>
                </c:pt>
                <c:pt idx="409">
                  <c:v>208.00617399999999</c:v>
                </c:pt>
                <c:pt idx="410">
                  <c:v>197.790482</c:v>
                </c:pt>
                <c:pt idx="411">
                  <c:v>189.77289099999999</c:v>
                </c:pt>
                <c:pt idx="412">
                  <c:v>189.77289099999999</c:v>
                </c:pt>
                <c:pt idx="413">
                  <c:v>209.66567699999999</c:v>
                </c:pt>
                <c:pt idx="414">
                  <c:v>217.97829100000001</c:v>
                </c:pt>
                <c:pt idx="415">
                  <c:v>218.88103100000001</c:v>
                </c:pt>
                <c:pt idx="416">
                  <c:v>199.67857900000001</c:v>
                </c:pt>
                <c:pt idx="417">
                  <c:v>215.61590899999999</c:v>
                </c:pt>
                <c:pt idx="418">
                  <c:v>198.86342500000001</c:v>
                </c:pt>
                <c:pt idx="419">
                  <c:v>199.46498500000001</c:v>
                </c:pt>
                <c:pt idx="420">
                  <c:v>218.87840299999999</c:v>
                </c:pt>
                <c:pt idx="421">
                  <c:v>201.35469699999999</c:v>
                </c:pt>
                <c:pt idx="422">
                  <c:v>190.675231</c:v>
                </c:pt>
                <c:pt idx="423">
                  <c:v>189.673227</c:v>
                </c:pt>
                <c:pt idx="424">
                  <c:v>194.606166</c:v>
                </c:pt>
                <c:pt idx="425">
                  <c:v>175.10924</c:v>
                </c:pt>
                <c:pt idx="426">
                  <c:v>180.37680800000001</c:v>
                </c:pt>
                <c:pt idx="427">
                  <c:v>197.65899899999999</c:v>
                </c:pt>
                <c:pt idx="428">
                  <c:v>197.01111299999999</c:v>
                </c:pt>
                <c:pt idx="429">
                  <c:v>197.01111299999999</c:v>
                </c:pt>
                <c:pt idx="430">
                  <c:v>200.232102</c:v>
                </c:pt>
                <c:pt idx="431">
                  <c:v>213.65680599999999</c:v>
                </c:pt>
                <c:pt idx="432">
                  <c:v>197.807706</c:v>
                </c:pt>
                <c:pt idx="433">
                  <c:v>197.807706</c:v>
                </c:pt>
                <c:pt idx="434">
                  <c:v>197.807706</c:v>
                </c:pt>
                <c:pt idx="435">
                  <c:v>208.31613200000001</c:v>
                </c:pt>
                <c:pt idx="436">
                  <c:v>197.807706</c:v>
                </c:pt>
                <c:pt idx="437">
                  <c:v>201.85524100000001</c:v>
                </c:pt>
                <c:pt idx="438">
                  <c:v>218.91307900000001</c:v>
                </c:pt>
                <c:pt idx="439">
                  <c:v>192.001093</c:v>
                </c:pt>
                <c:pt idx="440">
                  <c:v>186.00454199999999</c:v>
                </c:pt>
                <c:pt idx="441">
                  <c:v>203.46236999999999</c:v>
                </c:pt>
                <c:pt idx="442">
                  <c:v>196.46001100000001</c:v>
                </c:pt>
                <c:pt idx="443">
                  <c:v>197.80772999999999</c:v>
                </c:pt>
                <c:pt idx="444">
                  <c:v>206.039051</c:v>
                </c:pt>
                <c:pt idx="445">
                  <c:v>216.111144</c:v>
                </c:pt>
                <c:pt idx="446">
                  <c:v>197.807706</c:v>
                </c:pt>
                <c:pt idx="447">
                  <c:v>199.80087399999999</c:v>
                </c:pt>
                <c:pt idx="448">
                  <c:v>199.733227</c:v>
                </c:pt>
                <c:pt idx="449">
                  <c:v>197.807706</c:v>
                </c:pt>
                <c:pt idx="450">
                  <c:v>197.807706</c:v>
                </c:pt>
                <c:pt idx="451">
                  <c:v>197.807706</c:v>
                </c:pt>
                <c:pt idx="452">
                  <c:v>200.56170800000001</c:v>
                </c:pt>
                <c:pt idx="453">
                  <c:v>191.02417399999999</c:v>
                </c:pt>
                <c:pt idx="454">
                  <c:v>194.008298</c:v>
                </c:pt>
                <c:pt idx="455">
                  <c:v>170.73912799999999</c:v>
                </c:pt>
                <c:pt idx="456">
                  <c:v>174.04432299999999</c:v>
                </c:pt>
                <c:pt idx="457">
                  <c:v>150.04623900000001</c:v>
                </c:pt>
                <c:pt idx="458">
                  <c:v>178.16515100000001</c:v>
                </c:pt>
                <c:pt idx="459">
                  <c:v>153.64736099999999</c:v>
                </c:pt>
                <c:pt idx="460">
                  <c:v>139.17449500000001</c:v>
                </c:pt>
                <c:pt idx="461">
                  <c:v>139.17449500000001</c:v>
                </c:pt>
                <c:pt idx="462">
                  <c:v>148.59714700000001</c:v>
                </c:pt>
                <c:pt idx="463">
                  <c:v>184.48318599999999</c:v>
                </c:pt>
                <c:pt idx="464">
                  <c:v>147.84182999999999</c:v>
                </c:pt>
                <c:pt idx="465">
                  <c:v>192.056693</c:v>
                </c:pt>
                <c:pt idx="466">
                  <c:v>165.28575000000001</c:v>
                </c:pt>
                <c:pt idx="467">
                  <c:v>148.96342200000001</c:v>
                </c:pt>
                <c:pt idx="468">
                  <c:v>146.689526</c:v>
                </c:pt>
                <c:pt idx="469">
                  <c:v>136.16848300000001</c:v>
                </c:pt>
                <c:pt idx="470">
                  <c:v>112.211715</c:v>
                </c:pt>
                <c:pt idx="471">
                  <c:v>97.562867999999995</c:v>
                </c:pt>
                <c:pt idx="472">
                  <c:v>108.519907</c:v>
                </c:pt>
                <c:pt idx="473">
                  <c:v>116.63588</c:v>
                </c:pt>
                <c:pt idx="474">
                  <c:v>111.68313999999999</c:v>
                </c:pt>
                <c:pt idx="475">
                  <c:v>126.55359900000001</c:v>
                </c:pt>
                <c:pt idx="476">
                  <c:v>121.230966</c:v>
                </c:pt>
                <c:pt idx="477">
                  <c:v>129.31975600000001</c:v>
                </c:pt>
                <c:pt idx="478">
                  <c:v>137.269496</c:v>
                </c:pt>
                <c:pt idx="479">
                  <c:v>141.15826200000001</c:v>
                </c:pt>
                <c:pt idx="480">
                  <c:v>157.695075</c:v>
                </c:pt>
                <c:pt idx="481">
                  <c:v>136.24844300000001</c:v>
                </c:pt>
                <c:pt idx="482">
                  <c:v>136.24844300000001</c:v>
                </c:pt>
                <c:pt idx="483">
                  <c:v>164.99739500000001</c:v>
                </c:pt>
                <c:pt idx="484">
                  <c:v>183.51194899999999</c:v>
                </c:pt>
                <c:pt idx="485">
                  <c:v>94.839241000000001</c:v>
                </c:pt>
                <c:pt idx="486">
                  <c:v>105.543015</c:v>
                </c:pt>
                <c:pt idx="487">
                  <c:v>110.705581</c:v>
                </c:pt>
                <c:pt idx="488">
                  <c:v>99.033338000000001</c:v>
                </c:pt>
                <c:pt idx="489">
                  <c:v>96.622004000000004</c:v>
                </c:pt>
                <c:pt idx="490">
                  <c:v>135.88883799999999</c:v>
                </c:pt>
                <c:pt idx="491">
                  <c:v>136.149113</c:v>
                </c:pt>
                <c:pt idx="492">
                  <c:v>122.95161299999999</c:v>
                </c:pt>
                <c:pt idx="493">
                  <c:v>132.196485</c:v>
                </c:pt>
                <c:pt idx="494">
                  <c:v>133.201469</c:v>
                </c:pt>
                <c:pt idx="495">
                  <c:v>128.57046</c:v>
                </c:pt>
                <c:pt idx="496">
                  <c:v>123.226602</c:v>
                </c:pt>
                <c:pt idx="497">
                  <c:v>133.44559599999999</c:v>
                </c:pt>
                <c:pt idx="498">
                  <c:v>145.77024499999999</c:v>
                </c:pt>
                <c:pt idx="499">
                  <c:v>146.47164799999999</c:v>
                </c:pt>
                <c:pt idx="500">
                  <c:v>133.44559599999999</c:v>
                </c:pt>
                <c:pt idx="501">
                  <c:v>131.976787</c:v>
                </c:pt>
                <c:pt idx="502">
                  <c:v>133.44559599999999</c:v>
                </c:pt>
                <c:pt idx="503">
                  <c:v>133.44559599999999</c:v>
                </c:pt>
                <c:pt idx="504">
                  <c:v>139.95862199999999</c:v>
                </c:pt>
                <c:pt idx="505">
                  <c:v>140.66002399999999</c:v>
                </c:pt>
                <c:pt idx="506">
                  <c:v>142.513732</c:v>
                </c:pt>
                <c:pt idx="507">
                  <c:v>142.06282999999999</c:v>
                </c:pt>
                <c:pt idx="508">
                  <c:v>135.54980399999999</c:v>
                </c:pt>
                <c:pt idx="509">
                  <c:v>133.44559599999999</c:v>
                </c:pt>
                <c:pt idx="510">
                  <c:v>130.04621700000001</c:v>
                </c:pt>
                <c:pt idx="511">
                  <c:v>115.706324</c:v>
                </c:pt>
                <c:pt idx="512">
                  <c:v>124.774107</c:v>
                </c:pt>
                <c:pt idx="513">
                  <c:v>117.89315000000001</c:v>
                </c:pt>
                <c:pt idx="514">
                  <c:v>131.34160700000001</c:v>
                </c:pt>
                <c:pt idx="515">
                  <c:v>141.78092799999999</c:v>
                </c:pt>
                <c:pt idx="516">
                  <c:v>113.469145</c:v>
                </c:pt>
                <c:pt idx="517">
                  <c:v>113.140423</c:v>
                </c:pt>
                <c:pt idx="518">
                  <c:v>106.06924100000001</c:v>
                </c:pt>
                <c:pt idx="519">
                  <c:v>113.18965900000001</c:v>
                </c:pt>
                <c:pt idx="520">
                  <c:v>121.55621600000001</c:v>
                </c:pt>
                <c:pt idx="521">
                  <c:v>116.574297</c:v>
                </c:pt>
                <c:pt idx="522">
                  <c:v>118.57374299999999</c:v>
                </c:pt>
                <c:pt idx="523">
                  <c:v>123.94092999999999</c:v>
                </c:pt>
                <c:pt idx="524">
                  <c:v>123.704386</c:v>
                </c:pt>
                <c:pt idx="525">
                  <c:v>81.039531999999994</c:v>
                </c:pt>
                <c:pt idx="526">
                  <c:v>95.647718999999995</c:v>
                </c:pt>
                <c:pt idx="527">
                  <c:v>105.64263800000001</c:v>
                </c:pt>
                <c:pt idx="528">
                  <c:v>89.504814999999994</c:v>
                </c:pt>
                <c:pt idx="529">
                  <c:v>91.665367000000003</c:v>
                </c:pt>
                <c:pt idx="530">
                  <c:v>73.626410000000007</c:v>
                </c:pt>
                <c:pt idx="531">
                  <c:v>73.480029999999999</c:v>
                </c:pt>
                <c:pt idx="532">
                  <c:v>90.079023000000007</c:v>
                </c:pt>
                <c:pt idx="533">
                  <c:v>79.956121999999993</c:v>
                </c:pt>
                <c:pt idx="534">
                  <c:v>91.458125999999993</c:v>
                </c:pt>
                <c:pt idx="535">
                  <c:v>106.501796</c:v>
                </c:pt>
                <c:pt idx="536">
                  <c:v>89.583442000000005</c:v>
                </c:pt>
                <c:pt idx="537">
                  <c:v>95.375230000000002</c:v>
                </c:pt>
                <c:pt idx="538">
                  <c:v>95.055097000000004</c:v>
                </c:pt>
                <c:pt idx="539">
                  <c:v>106.66623300000001</c:v>
                </c:pt>
                <c:pt idx="540">
                  <c:v>109.414551</c:v>
                </c:pt>
                <c:pt idx="541">
                  <c:v>107.523712</c:v>
                </c:pt>
                <c:pt idx="542">
                  <c:v>105.673222</c:v>
                </c:pt>
                <c:pt idx="543">
                  <c:v>114.960245</c:v>
                </c:pt>
                <c:pt idx="544">
                  <c:v>145.10830899999999</c:v>
                </c:pt>
                <c:pt idx="545">
                  <c:v>145.12897899999999</c:v>
                </c:pt>
                <c:pt idx="546">
                  <c:v>102.24319199999999</c:v>
                </c:pt>
                <c:pt idx="547">
                  <c:v>115.478092</c:v>
                </c:pt>
                <c:pt idx="548">
                  <c:v>112.83664400000001</c:v>
                </c:pt>
                <c:pt idx="549">
                  <c:v>123.11312700000001</c:v>
                </c:pt>
                <c:pt idx="550">
                  <c:v>128.84570500000001</c:v>
                </c:pt>
                <c:pt idx="551">
                  <c:v>95.983583999999993</c:v>
                </c:pt>
                <c:pt idx="552">
                  <c:v>95.983583999999993</c:v>
                </c:pt>
                <c:pt idx="553">
                  <c:v>129.105705</c:v>
                </c:pt>
                <c:pt idx="554">
                  <c:v>130.608711</c:v>
                </c:pt>
                <c:pt idx="555">
                  <c:v>129.325705</c:v>
                </c:pt>
                <c:pt idx="556">
                  <c:v>129.01044899999999</c:v>
                </c:pt>
                <c:pt idx="557">
                  <c:v>134.916326</c:v>
                </c:pt>
                <c:pt idx="558">
                  <c:v>128.867885</c:v>
                </c:pt>
                <c:pt idx="559">
                  <c:v>115.22421199999999</c:v>
                </c:pt>
                <c:pt idx="560">
                  <c:v>129.605705</c:v>
                </c:pt>
                <c:pt idx="561">
                  <c:v>131.208911</c:v>
                </c:pt>
                <c:pt idx="562">
                  <c:v>131.609713</c:v>
                </c:pt>
                <c:pt idx="563">
                  <c:v>129.605705</c:v>
                </c:pt>
                <c:pt idx="564">
                  <c:v>130.106707</c:v>
                </c:pt>
                <c:pt idx="565">
                  <c:v>134.57868999999999</c:v>
                </c:pt>
                <c:pt idx="566">
                  <c:v>134.57868999999999</c:v>
                </c:pt>
                <c:pt idx="567">
                  <c:v>129.605705</c:v>
                </c:pt>
                <c:pt idx="568">
                  <c:v>129.605705</c:v>
                </c:pt>
                <c:pt idx="569">
                  <c:v>129.605705</c:v>
                </c:pt>
                <c:pt idx="570">
                  <c:v>132.010514</c:v>
                </c:pt>
                <c:pt idx="571">
                  <c:v>134.615725</c:v>
                </c:pt>
                <c:pt idx="572">
                  <c:v>94.379374999999996</c:v>
                </c:pt>
                <c:pt idx="573">
                  <c:v>94.379374999999996</c:v>
                </c:pt>
                <c:pt idx="574">
                  <c:v>132.511516</c:v>
                </c:pt>
                <c:pt idx="575">
                  <c:v>129.605705</c:v>
                </c:pt>
                <c:pt idx="576">
                  <c:v>117.574505</c:v>
                </c:pt>
                <c:pt idx="577">
                  <c:v>150.44172800000001</c:v>
                </c:pt>
                <c:pt idx="578">
                  <c:v>162.468458</c:v>
                </c:pt>
                <c:pt idx="579">
                  <c:v>122.534143</c:v>
                </c:pt>
                <c:pt idx="580">
                  <c:v>122.534143</c:v>
                </c:pt>
                <c:pt idx="581">
                  <c:v>154.452426</c:v>
                </c:pt>
                <c:pt idx="582">
                  <c:v>157.05682200000001</c:v>
                </c:pt>
                <c:pt idx="583">
                  <c:v>164.306726</c:v>
                </c:pt>
                <c:pt idx="584">
                  <c:v>164.299542</c:v>
                </c:pt>
                <c:pt idx="585">
                  <c:v>157.05682200000001</c:v>
                </c:pt>
                <c:pt idx="586">
                  <c:v>134.663239</c:v>
                </c:pt>
                <c:pt idx="587">
                  <c:v>134.663239</c:v>
                </c:pt>
                <c:pt idx="588">
                  <c:v>152.837129</c:v>
                </c:pt>
                <c:pt idx="589">
                  <c:v>154.94948099999999</c:v>
                </c:pt>
                <c:pt idx="590">
                  <c:v>153.44275400000001</c:v>
                </c:pt>
                <c:pt idx="591">
                  <c:v>142.91992400000001</c:v>
                </c:pt>
                <c:pt idx="592">
                  <c:v>142.41892200000001</c:v>
                </c:pt>
                <c:pt idx="593">
                  <c:v>117.520031</c:v>
                </c:pt>
                <c:pt idx="594">
                  <c:v>117.520031</c:v>
                </c:pt>
                <c:pt idx="595">
                  <c:v>137.91533100000001</c:v>
                </c:pt>
                <c:pt idx="596">
                  <c:v>137.011799</c:v>
                </c:pt>
                <c:pt idx="597">
                  <c:v>133.49015199999999</c:v>
                </c:pt>
                <c:pt idx="598">
                  <c:v>137.91533100000001</c:v>
                </c:pt>
                <c:pt idx="599">
                  <c:v>137.91533100000001</c:v>
                </c:pt>
                <c:pt idx="600">
                  <c:v>112.012649</c:v>
                </c:pt>
                <c:pt idx="601">
                  <c:v>112.012649</c:v>
                </c:pt>
                <c:pt idx="602">
                  <c:v>137.91533100000001</c:v>
                </c:pt>
                <c:pt idx="603">
                  <c:v>159.40215499999999</c:v>
                </c:pt>
                <c:pt idx="604">
                  <c:v>182.25630899999999</c:v>
                </c:pt>
                <c:pt idx="605">
                  <c:v>187.67252300000001</c:v>
                </c:pt>
                <c:pt idx="606">
                  <c:v>186.70784599999999</c:v>
                </c:pt>
                <c:pt idx="607">
                  <c:v>127.150657</c:v>
                </c:pt>
                <c:pt idx="608">
                  <c:v>98.731934999999993</c:v>
                </c:pt>
                <c:pt idx="609">
                  <c:v>129.706997</c:v>
                </c:pt>
                <c:pt idx="610">
                  <c:v>154.151824</c:v>
                </c:pt>
                <c:pt idx="611">
                  <c:v>175.570796</c:v>
                </c:pt>
                <c:pt idx="612">
                  <c:v>131.811205</c:v>
                </c:pt>
                <c:pt idx="613">
                  <c:v>124.512933</c:v>
                </c:pt>
                <c:pt idx="614">
                  <c:v>87.273274999999998</c:v>
                </c:pt>
                <c:pt idx="615">
                  <c:v>87.273274999999998</c:v>
                </c:pt>
                <c:pt idx="616">
                  <c:v>125.69562500000001</c:v>
                </c:pt>
                <c:pt idx="617">
                  <c:v>115.182542</c:v>
                </c:pt>
                <c:pt idx="618">
                  <c:v>102.54796899999999</c:v>
                </c:pt>
                <c:pt idx="619">
                  <c:v>110.618876</c:v>
                </c:pt>
                <c:pt idx="620">
                  <c:v>121.817183</c:v>
                </c:pt>
                <c:pt idx="621">
                  <c:v>78.779193000000006</c:v>
                </c:pt>
                <c:pt idx="622">
                  <c:v>78.779193000000006</c:v>
                </c:pt>
                <c:pt idx="623">
                  <c:v>144.00118399999999</c:v>
                </c:pt>
                <c:pt idx="624">
                  <c:v>139.626836</c:v>
                </c:pt>
                <c:pt idx="625">
                  <c:v>160.784898</c:v>
                </c:pt>
                <c:pt idx="626">
                  <c:v>164.977328</c:v>
                </c:pt>
                <c:pt idx="627">
                  <c:v>164.97670299999999</c:v>
                </c:pt>
                <c:pt idx="628">
                  <c:v>114.820345</c:v>
                </c:pt>
                <c:pt idx="629">
                  <c:v>123.24218500000001</c:v>
                </c:pt>
                <c:pt idx="630">
                  <c:v>140.13807299999999</c:v>
                </c:pt>
                <c:pt idx="631">
                  <c:v>139.09477200000001</c:v>
                </c:pt>
                <c:pt idx="632">
                  <c:v>148.85066699999999</c:v>
                </c:pt>
                <c:pt idx="633">
                  <c:v>145.08991499999999</c:v>
                </c:pt>
                <c:pt idx="634">
                  <c:v>152.603362</c:v>
                </c:pt>
                <c:pt idx="635">
                  <c:v>149.37296599999999</c:v>
                </c:pt>
                <c:pt idx="636">
                  <c:v>149.35881800000001</c:v>
                </c:pt>
                <c:pt idx="637">
                  <c:v>148.551109</c:v>
                </c:pt>
              </c:numCache>
            </c:numRef>
          </c:val>
          <c:smooth val="0"/>
          <c:extLst>
            <c:ext xmlns:c16="http://schemas.microsoft.com/office/drawing/2014/chart" uri="{C3380CC4-5D6E-409C-BE32-E72D297353CC}">
              <c16:uniqueId val="{00000004-7882-4F0A-9E24-D1CD5CBAD872}"/>
            </c:ext>
          </c:extLst>
        </c:ser>
        <c:ser>
          <c:idx val="4"/>
          <c:order val="3"/>
          <c:tx>
            <c:strRef>
              <c:f>'[Gráfico en Microsoft PowerPoint]Situacion VIP PIRINEOS'!$F$3</c:f>
              <c:strCache>
                <c:ptCount val="1"/>
                <c:pt idx="0">
                  <c:v>Entry technical capacity</c:v>
                </c:pt>
              </c:strCache>
            </c:strRef>
          </c:tx>
          <c:spPr>
            <a:ln w="12700" cap="rnd">
              <a:solidFill>
                <a:srgbClr val="C00000"/>
              </a:solidFill>
              <a:round/>
            </a:ln>
            <a:effectLst/>
          </c:spPr>
          <c:marker>
            <c:symbol val="none"/>
          </c:marker>
          <c:cat>
            <c:numRef>
              <c:f>'[Gráfico en Microsoft PowerPoint]Situacion VIP PIRINEOS'!$B$4:$B$641</c:f>
              <c:numCache>
                <c:formatCode>m/d/yyyy</c:formatCode>
                <c:ptCount val="638"/>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pt idx="365">
                  <c:v>43466</c:v>
                </c:pt>
                <c:pt idx="366">
                  <c:v>43467</c:v>
                </c:pt>
                <c:pt idx="367">
                  <c:v>43468</c:v>
                </c:pt>
                <c:pt idx="368">
                  <c:v>43469</c:v>
                </c:pt>
                <c:pt idx="369">
                  <c:v>43470</c:v>
                </c:pt>
                <c:pt idx="370">
                  <c:v>43471</c:v>
                </c:pt>
                <c:pt idx="371">
                  <c:v>43472</c:v>
                </c:pt>
                <c:pt idx="372">
                  <c:v>43473</c:v>
                </c:pt>
                <c:pt idx="373">
                  <c:v>43474</c:v>
                </c:pt>
                <c:pt idx="374">
                  <c:v>43475</c:v>
                </c:pt>
                <c:pt idx="375">
                  <c:v>43476</c:v>
                </c:pt>
                <c:pt idx="376">
                  <c:v>43477</c:v>
                </c:pt>
                <c:pt idx="377">
                  <c:v>43478</c:v>
                </c:pt>
                <c:pt idx="378">
                  <c:v>43479</c:v>
                </c:pt>
                <c:pt idx="379">
                  <c:v>43480</c:v>
                </c:pt>
                <c:pt idx="380">
                  <c:v>43481</c:v>
                </c:pt>
                <c:pt idx="381">
                  <c:v>43482</c:v>
                </c:pt>
                <c:pt idx="382">
                  <c:v>43483</c:v>
                </c:pt>
                <c:pt idx="383">
                  <c:v>43484</c:v>
                </c:pt>
                <c:pt idx="384">
                  <c:v>43485</c:v>
                </c:pt>
                <c:pt idx="385">
                  <c:v>43486</c:v>
                </c:pt>
                <c:pt idx="386">
                  <c:v>43487</c:v>
                </c:pt>
                <c:pt idx="387">
                  <c:v>43488</c:v>
                </c:pt>
                <c:pt idx="388">
                  <c:v>43489</c:v>
                </c:pt>
                <c:pt idx="389">
                  <c:v>43490</c:v>
                </c:pt>
                <c:pt idx="390">
                  <c:v>43491</c:v>
                </c:pt>
                <c:pt idx="391">
                  <c:v>43492</c:v>
                </c:pt>
                <c:pt idx="392">
                  <c:v>43493</c:v>
                </c:pt>
                <c:pt idx="393">
                  <c:v>43494</c:v>
                </c:pt>
                <c:pt idx="394">
                  <c:v>43495</c:v>
                </c:pt>
                <c:pt idx="395">
                  <c:v>43496</c:v>
                </c:pt>
                <c:pt idx="396">
                  <c:v>43497</c:v>
                </c:pt>
                <c:pt idx="397">
                  <c:v>43498</c:v>
                </c:pt>
                <c:pt idx="398">
                  <c:v>43499</c:v>
                </c:pt>
                <c:pt idx="399">
                  <c:v>43500</c:v>
                </c:pt>
                <c:pt idx="400">
                  <c:v>43501</c:v>
                </c:pt>
                <c:pt idx="401">
                  <c:v>43502</c:v>
                </c:pt>
                <c:pt idx="402">
                  <c:v>43503</c:v>
                </c:pt>
                <c:pt idx="403">
                  <c:v>43504</c:v>
                </c:pt>
                <c:pt idx="404">
                  <c:v>43505</c:v>
                </c:pt>
                <c:pt idx="405">
                  <c:v>43506</c:v>
                </c:pt>
                <c:pt idx="406">
                  <c:v>43507</c:v>
                </c:pt>
                <c:pt idx="407">
                  <c:v>43508</c:v>
                </c:pt>
                <c:pt idx="408">
                  <c:v>43509</c:v>
                </c:pt>
                <c:pt idx="409">
                  <c:v>43510</c:v>
                </c:pt>
                <c:pt idx="410">
                  <c:v>43511</c:v>
                </c:pt>
                <c:pt idx="411">
                  <c:v>43512</c:v>
                </c:pt>
                <c:pt idx="412">
                  <c:v>43513</c:v>
                </c:pt>
                <c:pt idx="413">
                  <c:v>43514</c:v>
                </c:pt>
                <c:pt idx="414">
                  <c:v>43515</c:v>
                </c:pt>
                <c:pt idx="415">
                  <c:v>43516</c:v>
                </c:pt>
                <c:pt idx="416">
                  <c:v>43517</c:v>
                </c:pt>
                <c:pt idx="417">
                  <c:v>43518</c:v>
                </c:pt>
                <c:pt idx="418">
                  <c:v>43519</c:v>
                </c:pt>
                <c:pt idx="419">
                  <c:v>43520</c:v>
                </c:pt>
                <c:pt idx="420">
                  <c:v>43521</c:v>
                </c:pt>
                <c:pt idx="421">
                  <c:v>43522</c:v>
                </c:pt>
                <c:pt idx="422">
                  <c:v>43523</c:v>
                </c:pt>
                <c:pt idx="423">
                  <c:v>43524</c:v>
                </c:pt>
                <c:pt idx="424">
                  <c:v>43525</c:v>
                </c:pt>
                <c:pt idx="425">
                  <c:v>43526</c:v>
                </c:pt>
                <c:pt idx="426">
                  <c:v>43527</c:v>
                </c:pt>
                <c:pt idx="427">
                  <c:v>43528</c:v>
                </c:pt>
                <c:pt idx="428">
                  <c:v>43529</c:v>
                </c:pt>
                <c:pt idx="429">
                  <c:v>43530</c:v>
                </c:pt>
                <c:pt idx="430">
                  <c:v>43531</c:v>
                </c:pt>
                <c:pt idx="431">
                  <c:v>43532</c:v>
                </c:pt>
                <c:pt idx="432">
                  <c:v>43533</c:v>
                </c:pt>
                <c:pt idx="433">
                  <c:v>43534</c:v>
                </c:pt>
                <c:pt idx="434">
                  <c:v>43535</c:v>
                </c:pt>
                <c:pt idx="435">
                  <c:v>43536</c:v>
                </c:pt>
                <c:pt idx="436">
                  <c:v>43537</c:v>
                </c:pt>
                <c:pt idx="437">
                  <c:v>43538</c:v>
                </c:pt>
                <c:pt idx="438">
                  <c:v>43539</c:v>
                </c:pt>
                <c:pt idx="439">
                  <c:v>43540</c:v>
                </c:pt>
                <c:pt idx="440">
                  <c:v>43541</c:v>
                </c:pt>
                <c:pt idx="441">
                  <c:v>43542</c:v>
                </c:pt>
                <c:pt idx="442">
                  <c:v>43543</c:v>
                </c:pt>
                <c:pt idx="443">
                  <c:v>43544</c:v>
                </c:pt>
                <c:pt idx="444">
                  <c:v>43545</c:v>
                </c:pt>
                <c:pt idx="445">
                  <c:v>43546</c:v>
                </c:pt>
                <c:pt idx="446">
                  <c:v>43547</c:v>
                </c:pt>
                <c:pt idx="447">
                  <c:v>43548</c:v>
                </c:pt>
                <c:pt idx="448">
                  <c:v>43549</c:v>
                </c:pt>
                <c:pt idx="449">
                  <c:v>43550</c:v>
                </c:pt>
                <c:pt idx="450">
                  <c:v>43551</c:v>
                </c:pt>
                <c:pt idx="451">
                  <c:v>43552</c:v>
                </c:pt>
                <c:pt idx="452">
                  <c:v>43553</c:v>
                </c:pt>
                <c:pt idx="453">
                  <c:v>43554</c:v>
                </c:pt>
                <c:pt idx="454">
                  <c:v>43555</c:v>
                </c:pt>
                <c:pt idx="455">
                  <c:v>43556</c:v>
                </c:pt>
                <c:pt idx="456">
                  <c:v>43557</c:v>
                </c:pt>
                <c:pt idx="457">
                  <c:v>43558</c:v>
                </c:pt>
                <c:pt idx="458">
                  <c:v>43559</c:v>
                </c:pt>
                <c:pt idx="459">
                  <c:v>43560</c:v>
                </c:pt>
                <c:pt idx="460">
                  <c:v>43561</c:v>
                </c:pt>
                <c:pt idx="461">
                  <c:v>43562</c:v>
                </c:pt>
                <c:pt idx="462">
                  <c:v>43563</c:v>
                </c:pt>
                <c:pt idx="463">
                  <c:v>43564</c:v>
                </c:pt>
                <c:pt idx="464">
                  <c:v>43565</c:v>
                </c:pt>
                <c:pt idx="465">
                  <c:v>43566</c:v>
                </c:pt>
                <c:pt idx="466">
                  <c:v>43567</c:v>
                </c:pt>
                <c:pt idx="467">
                  <c:v>43568</c:v>
                </c:pt>
                <c:pt idx="468">
                  <c:v>43569</c:v>
                </c:pt>
                <c:pt idx="469">
                  <c:v>43570</c:v>
                </c:pt>
                <c:pt idx="470">
                  <c:v>43571</c:v>
                </c:pt>
                <c:pt idx="471">
                  <c:v>43572</c:v>
                </c:pt>
                <c:pt idx="472">
                  <c:v>43573</c:v>
                </c:pt>
                <c:pt idx="473">
                  <c:v>43574</c:v>
                </c:pt>
                <c:pt idx="474">
                  <c:v>43575</c:v>
                </c:pt>
                <c:pt idx="475">
                  <c:v>43576</c:v>
                </c:pt>
                <c:pt idx="476">
                  <c:v>43577</c:v>
                </c:pt>
                <c:pt idx="477">
                  <c:v>43578</c:v>
                </c:pt>
                <c:pt idx="478">
                  <c:v>43579</c:v>
                </c:pt>
                <c:pt idx="479">
                  <c:v>43580</c:v>
                </c:pt>
                <c:pt idx="480">
                  <c:v>43581</c:v>
                </c:pt>
                <c:pt idx="481">
                  <c:v>43582</c:v>
                </c:pt>
                <c:pt idx="482">
                  <c:v>43583</c:v>
                </c:pt>
                <c:pt idx="483">
                  <c:v>43584</c:v>
                </c:pt>
                <c:pt idx="484">
                  <c:v>43585</c:v>
                </c:pt>
                <c:pt idx="485">
                  <c:v>43586</c:v>
                </c:pt>
                <c:pt idx="486">
                  <c:v>43587</c:v>
                </c:pt>
                <c:pt idx="487">
                  <c:v>43588</c:v>
                </c:pt>
                <c:pt idx="488">
                  <c:v>43589</c:v>
                </c:pt>
                <c:pt idx="489">
                  <c:v>43590</c:v>
                </c:pt>
                <c:pt idx="490">
                  <c:v>43591</c:v>
                </c:pt>
                <c:pt idx="491">
                  <c:v>43592</c:v>
                </c:pt>
                <c:pt idx="492">
                  <c:v>43593</c:v>
                </c:pt>
                <c:pt idx="493">
                  <c:v>43594</c:v>
                </c:pt>
                <c:pt idx="494">
                  <c:v>43595</c:v>
                </c:pt>
                <c:pt idx="495">
                  <c:v>43596</c:v>
                </c:pt>
                <c:pt idx="496">
                  <c:v>43597</c:v>
                </c:pt>
                <c:pt idx="497">
                  <c:v>43598</c:v>
                </c:pt>
                <c:pt idx="498">
                  <c:v>43599</c:v>
                </c:pt>
                <c:pt idx="499">
                  <c:v>43600</c:v>
                </c:pt>
                <c:pt idx="500">
                  <c:v>43601</c:v>
                </c:pt>
                <c:pt idx="501">
                  <c:v>43602</c:v>
                </c:pt>
                <c:pt idx="502">
                  <c:v>43603</c:v>
                </c:pt>
                <c:pt idx="503">
                  <c:v>43604</c:v>
                </c:pt>
                <c:pt idx="504">
                  <c:v>43605</c:v>
                </c:pt>
                <c:pt idx="505">
                  <c:v>43606</c:v>
                </c:pt>
                <c:pt idx="506">
                  <c:v>43607</c:v>
                </c:pt>
                <c:pt idx="507">
                  <c:v>43608</c:v>
                </c:pt>
                <c:pt idx="508">
                  <c:v>43609</c:v>
                </c:pt>
                <c:pt idx="509">
                  <c:v>43610</c:v>
                </c:pt>
                <c:pt idx="510">
                  <c:v>43611</c:v>
                </c:pt>
                <c:pt idx="511">
                  <c:v>43612</c:v>
                </c:pt>
                <c:pt idx="512">
                  <c:v>43613</c:v>
                </c:pt>
                <c:pt idx="513">
                  <c:v>43614</c:v>
                </c:pt>
                <c:pt idx="514">
                  <c:v>43615</c:v>
                </c:pt>
                <c:pt idx="515">
                  <c:v>43616</c:v>
                </c:pt>
                <c:pt idx="516">
                  <c:v>43617</c:v>
                </c:pt>
                <c:pt idx="517">
                  <c:v>43618</c:v>
                </c:pt>
                <c:pt idx="518">
                  <c:v>43619</c:v>
                </c:pt>
                <c:pt idx="519">
                  <c:v>43620</c:v>
                </c:pt>
                <c:pt idx="520">
                  <c:v>43621</c:v>
                </c:pt>
                <c:pt idx="521">
                  <c:v>43622</c:v>
                </c:pt>
                <c:pt idx="522">
                  <c:v>43623</c:v>
                </c:pt>
                <c:pt idx="523">
                  <c:v>43624</c:v>
                </c:pt>
                <c:pt idx="524">
                  <c:v>43625</c:v>
                </c:pt>
                <c:pt idx="525">
                  <c:v>43626</c:v>
                </c:pt>
                <c:pt idx="526">
                  <c:v>43627</c:v>
                </c:pt>
                <c:pt idx="527">
                  <c:v>43628</c:v>
                </c:pt>
                <c:pt idx="528">
                  <c:v>43629</c:v>
                </c:pt>
                <c:pt idx="529">
                  <c:v>43630</c:v>
                </c:pt>
                <c:pt idx="530">
                  <c:v>43631</c:v>
                </c:pt>
                <c:pt idx="531">
                  <c:v>43632</c:v>
                </c:pt>
                <c:pt idx="532">
                  <c:v>43633</c:v>
                </c:pt>
                <c:pt idx="533">
                  <c:v>43634</c:v>
                </c:pt>
                <c:pt idx="534">
                  <c:v>43635</c:v>
                </c:pt>
                <c:pt idx="535">
                  <c:v>43636</c:v>
                </c:pt>
                <c:pt idx="536">
                  <c:v>43637</c:v>
                </c:pt>
                <c:pt idx="537">
                  <c:v>43638</c:v>
                </c:pt>
                <c:pt idx="538">
                  <c:v>43639</c:v>
                </c:pt>
                <c:pt idx="539">
                  <c:v>43640</c:v>
                </c:pt>
                <c:pt idx="540">
                  <c:v>43641</c:v>
                </c:pt>
                <c:pt idx="541">
                  <c:v>43642</c:v>
                </c:pt>
                <c:pt idx="542">
                  <c:v>43643</c:v>
                </c:pt>
                <c:pt idx="543">
                  <c:v>43644</c:v>
                </c:pt>
                <c:pt idx="544">
                  <c:v>43645</c:v>
                </c:pt>
                <c:pt idx="545">
                  <c:v>43646</c:v>
                </c:pt>
                <c:pt idx="546">
                  <c:v>43647</c:v>
                </c:pt>
                <c:pt idx="547">
                  <c:v>43648</c:v>
                </c:pt>
                <c:pt idx="548">
                  <c:v>43649</c:v>
                </c:pt>
                <c:pt idx="549">
                  <c:v>43650</c:v>
                </c:pt>
                <c:pt idx="550">
                  <c:v>43651</c:v>
                </c:pt>
                <c:pt idx="551">
                  <c:v>43652</c:v>
                </c:pt>
                <c:pt idx="552">
                  <c:v>43653</c:v>
                </c:pt>
                <c:pt idx="553">
                  <c:v>43654</c:v>
                </c:pt>
                <c:pt idx="554">
                  <c:v>43655</c:v>
                </c:pt>
                <c:pt idx="555">
                  <c:v>43656</c:v>
                </c:pt>
                <c:pt idx="556">
                  <c:v>43657</c:v>
                </c:pt>
                <c:pt idx="557">
                  <c:v>43658</c:v>
                </c:pt>
                <c:pt idx="558">
                  <c:v>43659</c:v>
                </c:pt>
                <c:pt idx="559">
                  <c:v>43660</c:v>
                </c:pt>
                <c:pt idx="560">
                  <c:v>43661</c:v>
                </c:pt>
                <c:pt idx="561">
                  <c:v>43662</c:v>
                </c:pt>
                <c:pt idx="562">
                  <c:v>43663</c:v>
                </c:pt>
                <c:pt idx="563">
                  <c:v>43664</c:v>
                </c:pt>
                <c:pt idx="564">
                  <c:v>43665</c:v>
                </c:pt>
                <c:pt idx="565">
                  <c:v>43666</c:v>
                </c:pt>
                <c:pt idx="566">
                  <c:v>43667</c:v>
                </c:pt>
                <c:pt idx="567">
                  <c:v>43668</c:v>
                </c:pt>
                <c:pt idx="568">
                  <c:v>43669</c:v>
                </c:pt>
                <c:pt idx="569">
                  <c:v>43670</c:v>
                </c:pt>
                <c:pt idx="570">
                  <c:v>43671</c:v>
                </c:pt>
                <c:pt idx="571">
                  <c:v>43672</c:v>
                </c:pt>
                <c:pt idx="572">
                  <c:v>43673</c:v>
                </c:pt>
                <c:pt idx="573">
                  <c:v>43674</c:v>
                </c:pt>
                <c:pt idx="574">
                  <c:v>43675</c:v>
                </c:pt>
                <c:pt idx="575">
                  <c:v>43676</c:v>
                </c:pt>
                <c:pt idx="576">
                  <c:v>43677</c:v>
                </c:pt>
                <c:pt idx="577">
                  <c:v>43678</c:v>
                </c:pt>
                <c:pt idx="578">
                  <c:v>43679</c:v>
                </c:pt>
                <c:pt idx="579">
                  <c:v>43680</c:v>
                </c:pt>
                <c:pt idx="580">
                  <c:v>43681</c:v>
                </c:pt>
                <c:pt idx="581">
                  <c:v>43682</c:v>
                </c:pt>
                <c:pt idx="582">
                  <c:v>43683</c:v>
                </c:pt>
                <c:pt idx="583">
                  <c:v>43684</c:v>
                </c:pt>
                <c:pt idx="584">
                  <c:v>43685</c:v>
                </c:pt>
                <c:pt idx="585">
                  <c:v>43686</c:v>
                </c:pt>
                <c:pt idx="586">
                  <c:v>43687</c:v>
                </c:pt>
                <c:pt idx="587">
                  <c:v>43688</c:v>
                </c:pt>
                <c:pt idx="588">
                  <c:v>43689</c:v>
                </c:pt>
                <c:pt idx="589">
                  <c:v>43690</c:v>
                </c:pt>
                <c:pt idx="590">
                  <c:v>43691</c:v>
                </c:pt>
                <c:pt idx="591">
                  <c:v>43692</c:v>
                </c:pt>
                <c:pt idx="592">
                  <c:v>43693</c:v>
                </c:pt>
                <c:pt idx="593">
                  <c:v>43694</c:v>
                </c:pt>
                <c:pt idx="594">
                  <c:v>43695</c:v>
                </c:pt>
                <c:pt idx="595">
                  <c:v>43696</c:v>
                </c:pt>
                <c:pt idx="596">
                  <c:v>43697</c:v>
                </c:pt>
                <c:pt idx="597">
                  <c:v>43698</c:v>
                </c:pt>
                <c:pt idx="598">
                  <c:v>43699</c:v>
                </c:pt>
                <c:pt idx="599">
                  <c:v>43700</c:v>
                </c:pt>
                <c:pt idx="600">
                  <c:v>43701</c:v>
                </c:pt>
                <c:pt idx="601">
                  <c:v>43702</c:v>
                </c:pt>
                <c:pt idx="602">
                  <c:v>43703</c:v>
                </c:pt>
                <c:pt idx="603">
                  <c:v>43704</c:v>
                </c:pt>
                <c:pt idx="604">
                  <c:v>43705</c:v>
                </c:pt>
                <c:pt idx="605">
                  <c:v>43706</c:v>
                </c:pt>
                <c:pt idx="606">
                  <c:v>43707</c:v>
                </c:pt>
                <c:pt idx="607">
                  <c:v>43708</c:v>
                </c:pt>
                <c:pt idx="608">
                  <c:v>43709</c:v>
                </c:pt>
                <c:pt idx="609">
                  <c:v>43710</c:v>
                </c:pt>
                <c:pt idx="610">
                  <c:v>43711</c:v>
                </c:pt>
                <c:pt idx="611">
                  <c:v>43712</c:v>
                </c:pt>
                <c:pt idx="612">
                  <c:v>43713</c:v>
                </c:pt>
                <c:pt idx="613">
                  <c:v>43714</c:v>
                </c:pt>
                <c:pt idx="614">
                  <c:v>43715</c:v>
                </c:pt>
                <c:pt idx="615">
                  <c:v>43716</c:v>
                </c:pt>
                <c:pt idx="616">
                  <c:v>43717</c:v>
                </c:pt>
                <c:pt idx="617">
                  <c:v>43718</c:v>
                </c:pt>
                <c:pt idx="618">
                  <c:v>43719</c:v>
                </c:pt>
                <c:pt idx="619">
                  <c:v>43720</c:v>
                </c:pt>
                <c:pt idx="620">
                  <c:v>43721</c:v>
                </c:pt>
                <c:pt idx="621">
                  <c:v>43722</c:v>
                </c:pt>
                <c:pt idx="622">
                  <c:v>43723</c:v>
                </c:pt>
                <c:pt idx="623">
                  <c:v>43724</c:v>
                </c:pt>
                <c:pt idx="624">
                  <c:v>43725</c:v>
                </c:pt>
                <c:pt idx="625">
                  <c:v>43726</c:v>
                </c:pt>
                <c:pt idx="626">
                  <c:v>43727</c:v>
                </c:pt>
                <c:pt idx="627">
                  <c:v>43728</c:v>
                </c:pt>
                <c:pt idx="628">
                  <c:v>43729</c:v>
                </c:pt>
                <c:pt idx="629">
                  <c:v>43730</c:v>
                </c:pt>
                <c:pt idx="630">
                  <c:v>43731</c:v>
                </c:pt>
                <c:pt idx="631">
                  <c:v>43732</c:v>
                </c:pt>
                <c:pt idx="632">
                  <c:v>43733</c:v>
                </c:pt>
                <c:pt idx="633">
                  <c:v>43734</c:v>
                </c:pt>
                <c:pt idx="634">
                  <c:v>43735</c:v>
                </c:pt>
                <c:pt idx="635">
                  <c:v>43736</c:v>
                </c:pt>
                <c:pt idx="636">
                  <c:v>43737</c:v>
                </c:pt>
                <c:pt idx="637">
                  <c:v>43738</c:v>
                </c:pt>
              </c:numCache>
            </c:numRef>
          </c:cat>
          <c:val>
            <c:numRef>
              <c:f>'[Gráfico en Microsoft PowerPoint]Situacion VIP PIRINEOS'!$F$4:$F$641</c:f>
              <c:numCache>
                <c:formatCode>#,##0.00</c:formatCode>
                <c:ptCount val="638"/>
                <c:pt idx="0">
                  <c:v>225</c:v>
                </c:pt>
                <c:pt idx="1">
                  <c:v>225</c:v>
                </c:pt>
                <c:pt idx="2">
                  <c:v>225</c:v>
                </c:pt>
                <c:pt idx="3">
                  <c:v>225</c:v>
                </c:pt>
                <c:pt idx="4">
                  <c:v>225</c:v>
                </c:pt>
                <c:pt idx="5">
                  <c:v>225</c:v>
                </c:pt>
                <c:pt idx="6">
                  <c:v>225</c:v>
                </c:pt>
                <c:pt idx="7">
                  <c:v>225</c:v>
                </c:pt>
                <c:pt idx="8">
                  <c:v>225</c:v>
                </c:pt>
                <c:pt idx="9">
                  <c:v>225</c:v>
                </c:pt>
                <c:pt idx="10">
                  <c:v>225</c:v>
                </c:pt>
                <c:pt idx="11">
                  <c:v>225</c:v>
                </c:pt>
                <c:pt idx="12">
                  <c:v>225</c:v>
                </c:pt>
                <c:pt idx="13">
                  <c:v>225</c:v>
                </c:pt>
                <c:pt idx="14">
                  <c:v>225</c:v>
                </c:pt>
                <c:pt idx="15">
                  <c:v>225</c:v>
                </c:pt>
                <c:pt idx="16">
                  <c:v>225</c:v>
                </c:pt>
                <c:pt idx="17">
                  <c:v>225</c:v>
                </c:pt>
                <c:pt idx="18">
                  <c:v>225</c:v>
                </c:pt>
                <c:pt idx="19">
                  <c:v>225</c:v>
                </c:pt>
                <c:pt idx="20">
                  <c:v>225</c:v>
                </c:pt>
                <c:pt idx="21">
                  <c:v>225</c:v>
                </c:pt>
                <c:pt idx="22">
                  <c:v>225</c:v>
                </c:pt>
                <c:pt idx="23">
                  <c:v>225</c:v>
                </c:pt>
                <c:pt idx="24">
                  <c:v>225</c:v>
                </c:pt>
                <c:pt idx="25">
                  <c:v>225</c:v>
                </c:pt>
                <c:pt idx="26">
                  <c:v>225</c:v>
                </c:pt>
                <c:pt idx="27">
                  <c:v>225</c:v>
                </c:pt>
                <c:pt idx="28">
                  <c:v>225</c:v>
                </c:pt>
                <c:pt idx="29">
                  <c:v>225</c:v>
                </c:pt>
                <c:pt idx="30">
                  <c:v>225</c:v>
                </c:pt>
                <c:pt idx="31">
                  <c:v>225</c:v>
                </c:pt>
                <c:pt idx="32">
                  <c:v>225</c:v>
                </c:pt>
                <c:pt idx="33">
                  <c:v>225</c:v>
                </c:pt>
                <c:pt idx="34">
                  <c:v>225</c:v>
                </c:pt>
                <c:pt idx="35">
                  <c:v>225</c:v>
                </c:pt>
                <c:pt idx="36">
                  <c:v>225</c:v>
                </c:pt>
                <c:pt idx="37">
                  <c:v>225</c:v>
                </c:pt>
                <c:pt idx="38">
                  <c:v>225</c:v>
                </c:pt>
                <c:pt idx="39">
                  <c:v>225</c:v>
                </c:pt>
                <c:pt idx="40">
                  <c:v>225</c:v>
                </c:pt>
                <c:pt idx="41">
                  <c:v>225</c:v>
                </c:pt>
                <c:pt idx="42">
                  <c:v>225</c:v>
                </c:pt>
                <c:pt idx="43">
                  <c:v>225</c:v>
                </c:pt>
                <c:pt idx="44">
                  <c:v>225</c:v>
                </c:pt>
                <c:pt idx="45">
                  <c:v>225</c:v>
                </c:pt>
                <c:pt idx="46">
                  <c:v>225</c:v>
                </c:pt>
                <c:pt idx="47">
                  <c:v>225</c:v>
                </c:pt>
                <c:pt idx="48">
                  <c:v>225</c:v>
                </c:pt>
                <c:pt idx="49">
                  <c:v>225</c:v>
                </c:pt>
                <c:pt idx="50">
                  <c:v>225</c:v>
                </c:pt>
                <c:pt idx="51">
                  <c:v>225</c:v>
                </c:pt>
                <c:pt idx="52">
                  <c:v>225</c:v>
                </c:pt>
                <c:pt idx="53">
                  <c:v>225</c:v>
                </c:pt>
                <c:pt idx="54">
                  <c:v>225</c:v>
                </c:pt>
                <c:pt idx="55">
                  <c:v>225</c:v>
                </c:pt>
                <c:pt idx="56">
                  <c:v>225</c:v>
                </c:pt>
                <c:pt idx="57">
                  <c:v>225</c:v>
                </c:pt>
                <c:pt idx="58">
                  <c:v>225</c:v>
                </c:pt>
                <c:pt idx="59">
                  <c:v>225</c:v>
                </c:pt>
                <c:pt idx="60">
                  <c:v>225</c:v>
                </c:pt>
                <c:pt idx="61">
                  <c:v>225</c:v>
                </c:pt>
                <c:pt idx="62">
                  <c:v>225</c:v>
                </c:pt>
                <c:pt idx="63">
                  <c:v>225</c:v>
                </c:pt>
                <c:pt idx="64">
                  <c:v>225</c:v>
                </c:pt>
                <c:pt idx="65">
                  <c:v>225</c:v>
                </c:pt>
                <c:pt idx="66">
                  <c:v>225</c:v>
                </c:pt>
                <c:pt idx="67">
                  <c:v>225</c:v>
                </c:pt>
                <c:pt idx="68">
                  <c:v>225</c:v>
                </c:pt>
                <c:pt idx="69">
                  <c:v>225</c:v>
                </c:pt>
                <c:pt idx="70">
                  <c:v>225</c:v>
                </c:pt>
                <c:pt idx="71">
                  <c:v>225</c:v>
                </c:pt>
                <c:pt idx="72">
                  <c:v>225</c:v>
                </c:pt>
                <c:pt idx="73">
                  <c:v>225</c:v>
                </c:pt>
                <c:pt idx="74">
                  <c:v>225</c:v>
                </c:pt>
                <c:pt idx="75">
                  <c:v>225</c:v>
                </c:pt>
                <c:pt idx="76">
                  <c:v>225</c:v>
                </c:pt>
                <c:pt idx="77">
                  <c:v>225</c:v>
                </c:pt>
                <c:pt idx="78">
                  <c:v>225</c:v>
                </c:pt>
                <c:pt idx="79">
                  <c:v>225</c:v>
                </c:pt>
                <c:pt idx="80">
                  <c:v>225</c:v>
                </c:pt>
                <c:pt idx="81">
                  <c:v>225</c:v>
                </c:pt>
                <c:pt idx="82">
                  <c:v>225</c:v>
                </c:pt>
                <c:pt idx="83">
                  <c:v>225</c:v>
                </c:pt>
                <c:pt idx="84">
                  <c:v>225</c:v>
                </c:pt>
                <c:pt idx="85">
                  <c:v>225</c:v>
                </c:pt>
                <c:pt idx="86">
                  <c:v>225</c:v>
                </c:pt>
                <c:pt idx="87">
                  <c:v>225</c:v>
                </c:pt>
                <c:pt idx="88">
                  <c:v>225</c:v>
                </c:pt>
                <c:pt idx="89">
                  <c:v>225</c:v>
                </c:pt>
                <c:pt idx="90">
                  <c:v>225</c:v>
                </c:pt>
                <c:pt idx="91">
                  <c:v>225</c:v>
                </c:pt>
                <c:pt idx="92">
                  <c:v>225</c:v>
                </c:pt>
                <c:pt idx="93">
                  <c:v>225</c:v>
                </c:pt>
                <c:pt idx="94">
                  <c:v>225</c:v>
                </c:pt>
                <c:pt idx="95">
                  <c:v>225</c:v>
                </c:pt>
                <c:pt idx="96">
                  <c:v>225</c:v>
                </c:pt>
                <c:pt idx="97">
                  <c:v>225</c:v>
                </c:pt>
                <c:pt idx="98">
                  <c:v>225</c:v>
                </c:pt>
                <c:pt idx="99">
                  <c:v>225</c:v>
                </c:pt>
                <c:pt idx="100">
                  <c:v>225</c:v>
                </c:pt>
                <c:pt idx="101">
                  <c:v>225</c:v>
                </c:pt>
                <c:pt idx="102">
                  <c:v>225</c:v>
                </c:pt>
                <c:pt idx="103">
                  <c:v>225</c:v>
                </c:pt>
                <c:pt idx="104">
                  <c:v>225</c:v>
                </c:pt>
                <c:pt idx="105">
                  <c:v>225</c:v>
                </c:pt>
                <c:pt idx="106">
                  <c:v>225</c:v>
                </c:pt>
                <c:pt idx="107">
                  <c:v>225</c:v>
                </c:pt>
                <c:pt idx="108">
                  <c:v>225</c:v>
                </c:pt>
                <c:pt idx="109">
                  <c:v>225</c:v>
                </c:pt>
                <c:pt idx="110">
                  <c:v>225</c:v>
                </c:pt>
                <c:pt idx="111">
                  <c:v>225</c:v>
                </c:pt>
                <c:pt idx="112">
                  <c:v>225</c:v>
                </c:pt>
                <c:pt idx="113">
                  <c:v>225</c:v>
                </c:pt>
                <c:pt idx="114">
                  <c:v>225</c:v>
                </c:pt>
                <c:pt idx="115">
                  <c:v>225</c:v>
                </c:pt>
                <c:pt idx="116">
                  <c:v>225</c:v>
                </c:pt>
                <c:pt idx="117">
                  <c:v>225</c:v>
                </c:pt>
                <c:pt idx="118">
                  <c:v>225</c:v>
                </c:pt>
                <c:pt idx="119">
                  <c:v>225</c:v>
                </c:pt>
                <c:pt idx="120">
                  <c:v>225</c:v>
                </c:pt>
                <c:pt idx="121">
                  <c:v>225</c:v>
                </c:pt>
                <c:pt idx="122">
                  <c:v>225</c:v>
                </c:pt>
                <c:pt idx="123">
                  <c:v>225</c:v>
                </c:pt>
                <c:pt idx="124">
                  <c:v>225</c:v>
                </c:pt>
                <c:pt idx="125">
                  <c:v>225</c:v>
                </c:pt>
                <c:pt idx="126">
                  <c:v>225</c:v>
                </c:pt>
                <c:pt idx="127">
                  <c:v>225</c:v>
                </c:pt>
                <c:pt idx="128">
                  <c:v>225</c:v>
                </c:pt>
                <c:pt idx="129">
                  <c:v>225</c:v>
                </c:pt>
                <c:pt idx="130">
                  <c:v>225</c:v>
                </c:pt>
                <c:pt idx="131">
                  <c:v>225</c:v>
                </c:pt>
                <c:pt idx="132">
                  <c:v>225</c:v>
                </c:pt>
                <c:pt idx="133">
                  <c:v>225</c:v>
                </c:pt>
                <c:pt idx="134">
                  <c:v>225</c:v>
                </c:pt>
                <c:pt idx="135">
                  <c:v>225</c:v>
                </c:pt>
                <c:pt idx="136">
                  <c:v>225</c:v>
                </c:pt>
                <c:pt idx="137">
                  <c:v>225</c:v>
                </c:pt>
                <c:pt idx="138">
                  <c:v>225</c:v>
                </c:pt>
                <c:pt idx="139">
                  <c:v>225</c:v>
                </c:pt>
                <c:pt idx="140">
                  <c:v>225</c:v>
                </c:pt>
                <c:pt idx="141">
                  <c:v>225</c:v>
                </c:pt>
                <c:pt idx="142">
                  <c:v>225</c:v>
                </c:pt>
                <c:pt idx="143">
                  <c:v>225</c:v>
                </c:pt>
                <c:pt idx="144">
                  <c:v>225</c:v>
                </c:pt>
                <c:pt idx="145">
                  <c:v>225</c:v>
                </c:pt>
                <c:pt idx="146">
                  <c:v>225</c:v>
                </c:pt>
                <c:pt idx="147">
                  <c:v>225</c:v>
                </c:pt>
                <c:pt idx="148">
                  <c:v>225</c:v>
                </c:pt>
                <c:pt idx="149">
                  <c:v>225</c:v>
                </c:pt>
                <c:pt idx="150">
                  <c:v>225</c:v>
                </c:pt>
                <c:pt idx="151">
                  <c:v>225</c:v>
                </c:pt>
                <c:pt idx="152">
                  <c:v>225</c:v>
                </c:pt>
                <c:pt idx="153">
                  <c:v>225</c:v>
                </c:pt>
                <c:pt idx="154">
                  <c:v>225</c:v>
                </c:pt>
                <c:pt idx="155">
                  <c:v>225</c:v>
                </c:pt>
                <c:pt idx="156">
                  <c:v>225</c:v>
                </c:pt>
                <c:pt idx="157">
                  <c:v>225</c:v>
                </c:pt>
                <c:pt idx="158">
                  <c:v>225</c:v>
                </c:pt>
                <c:pt idx="159">
                  <c:v>225</c:v>
                </c:pt>
                <c:pt idx="160">
                  <c:v>225</c:v>
                </c:pt>
                <c:pt idx="161">
                  <c:v>225</c:v>
                </c:pt>
                <c:pt idx="162">
                  <c:v>225</c:v>
                </c:pt>
                <c:pt idx="163">
                  <c:v>225</c:v>
                </c:pt>
                <c:pt idx="164">
                  <c:v>225</c:v>
                </c:pt>
                <c:pt idx="165">
                  <c:v>225</c:v>
                </c:pt>
                <c:pt idx="166">
                  <c:v>225</c:v>
                </c:pt>
                <c:pt idx="167">
                  <c:v>225</c:v>
                </c:pt>
                <c:pt idx="168">
                  <c:v>225</c:v>
                </c:pt>
                <c:pt idx="169">
                  <c:v>225</c:v>
                </c:pt>
                <c:pt idx="170">
                  <c:v>225</c:v>
                </c:pt>
                <c:pt idx="171">
                  <c:v>225</c:v>
                </c:pt>
                <c:pt idx="172">
                  <c:v>225</c:v>
                </c:pt>
                <c:pt idx="173">
                  <c:v>225</c:v>
                </c:pt>
                <c:pt idx="174">
                  <c:v>225</c:v>
                </c:pt>
                <c:pt idx="175">
                  <c:v>225</c:v>
                </c:pt>
                <c:pt idx="176">
                  <c:v>225</c:v>
                </c:pt>
                <c:pt idx="177">
                  <c:v>225</c:v>
                </c:pt>
                <c:pt idx="178">
                  <c:v>225</c:v>
                </c:pt>
                <c:pt idx="179">
                  <c:v>225</c:v>
                </c:pt>
                <c:pt idx="180">
                  <c:v>225</c:v>
                </c:pt>
                <c:pt idx="181">
                  <c:v>225</c:v>
                </c:pt>
                <c:pt idx="182">
                  <c:v>225</c:v>
                </c:pt>
                <c:pt idx="183">
                  <c:v>225</c:v>
                </c:pt>
                <c:pt idx="184">
                  <c:v>225</c:v>
                </c:pt>
                <c:pt idx="185">
                  <c:v>225</c:v>
                </c:pt>
                <c:pt idx="186">
                  <c:v>225</c:v>
                </c:pt>
                <c:pt idx="187">
                  <c:v>225</c:v>
                </c:pt>
                <c:pt idx="188">
                  <c:v>225</c:v>
                </c:pt>
                <c:pt idx="189">
                  <c:v>225</c:v>
                </c:pt>
                <c:pt idx="190">
                  <c:v>225</c:v>
                </c:pt>
                <c:pt idx="191">
                  <c:v>225</c:v>
                </c:pt>
                <c:pt idx="192">
                  <c:v>225</c:v>
                </c:pt>
                <c:pt idx="193">
                  <c:v>225</c:v>
                </c:pt>
                <c:pt idx="194">
                  <c:v>225</c:v>
                </c:pt>
                <c:pt idx="195">
                  <c:v>225</c:v>
                </c:pt>
                <c:pt idx="196">
                  <c:v>225</c:v>
                </c:pt>
                <c:pt idx="197">
                  <c:v>225</c:v>
                </c:pt>
                <c:pt idx="198">
                  <c:v>225</c:v>
                </c:pt>
                <c:pt idx="199">
                  <c:v>225</c:v>
                </c:pt>
                <c:pt idx="200">
                  <c:v>225</c:v>
                </c:pt>
                <c:pt idx="201">
                  <c:v>225</c:v>
                </c:pt>
                <c:pt idx="202">
                  <c:v>225</c:v>
                </c:pt>
                <c:pt idx="203">
                  <c:v>225</c:v>
                </c:pt>
                <c:pt idx="204">
                  <c:v>225</c:v>
                </c:pt>
                <c:pt idx="205">
                  <c:v>225</c:v>
                </c:pt>
                <c:pt idx="206">
                  <c:v>225</c:v>
                </c:pt>
                <c:pt idx="207">
                  <c:v>225</c:v>
                </c:pt>
                <c:pt idx="208">
                  <c:v>225</c:v>
                </c:pt>
                <c:pt idx="209">
                  <c:v>225</c:v>
                </c:pt>
                <c:pt idx="210">
                  <c:v>225</c:v>
                </c:pt>
                <c:pt idx="211">
                  <c:v>225</c:v>
                </c:pt>
                <c:pt idx="212">
                  <c:v>225</c:v>
                </c:pt>
                <c:pt idx="213">
                  <c:v>225</c:v>
                </c:pt>
                <c:pt idx="214">
                  <c:v>225</c:v>
                </c:pt>
                <c:pt idx="215">
                  <c:v>225</c:v>
                </c:pt>
                <c:pt idx="216">
                  <c:v>225</c:v>
                </c:pt>
                <c:pt idx="217">
                  <c:v>225</c:v>
                </c:pt>
                <c:pt idx="218">
                  <c:v>225</c:v>
                </c:pt>
                <c:pt idx="219">
                  <c:v>225</c:v>
                </c:pt>
                <c:pt idx="220">
                  <c:v>225</c:v>
                </c:pt>
                <c:pt idx="221">
                  <c:v>225</c:v>
                </c:pt>
                <c:pt idx="222">
                  <c:v>225</c:v>
                </c:pt>
                <c:pt idx="223">
                  <c:v>225</c:v>
                </c:pt>
                <c:pt idx="224">
                  <c:v>225</c:v>
                </c:pt>
                <c:pt idx="225">
                  <c:v>225</c:v>
                </c:pt>
                <c:pt idx="226">
                  <c:v>225</c:v>
                </c:pt>
                <c:pt idx="227">
                  <c:v>225</c:v>
                </c:pt>
                <c:pt idx="228">
                  <c:v>225</c:v>
                </c:pt>
                <c:pt idx="229">
                  <c:v>225</c:v>
                </c:pt>
                <c:pt idx="230">
                  <c:v>225</c:v>
                </c:pt>
                <c:pt idx="231">
                  <c:v>225</c:v>
                </c:pt>
                <c:pt idx="232">
                  <c:v>225</c:v>
                </c:pt>
                <c:pt idx="233">
                  <c:v>225</c:v>
                </c:pt>
                <c:pt idx="234">
                  <c:v>225</c:v>
                </c:pt>
                <c:pt idx="235">
                  <c:v>225</c:v>
                </c:pt>
                <c:pt idx="236">
                  <c:v>225</c:v>
                </c:pt>
                <c:pt idx="237">
                  <c:v>225</c:v>
                </c:pt>
                <c:pt idx="238">
                  <c:v>225</c:v>
                </c:pt>
                <c:pt idx="239">
                  <c:v>225</c:v>
                </c:pt>
                <c:pt idx="240">
                  <c:v>225</c:v>
                </c:pt>
                <c:pt idx="241">
                  <c:v>225</c:v>
                </c:pt>
                <c:pt idx="242">
                  <c:v>225</c:v>
                </c:pt>
                <c:pt idx="243">
                  <c:v>225</c:v>
                </c:pt>
                <c:pt idx="244">
                  <c:v>225</c:v>
                </c:pt>
                <c:pt idx="245">
                  <c:v>225</c:v>
                </c:pt>
                <c:pt idx="246">
                  <c:v>225</c:v>
                </c:pt>
                <c:pt idx="247">
                  <c:v>225</c:v>
                </c:pt>
                <c:pt idx="248">
                  <c:v>225</c:v>
                </c:pt>
                <c:pt idx="249">
                  <c:v>225</c:v>
                </c:pt>
                <c:pt idx="250">
                  <c:v>225</c:v>
                </c:pt>
                <c:pt idx="251">
                  <c:v>225</c:v>
                </c:pt>
                <c:pt idx="252">
                  <c:v>225</c:v>
                </c:pt>
                <c:pt idx="253">
                  <c:v>225</c:v>
                </c:pt>
                <c:pt idx="254">
                  <c:v>225</c:v>
                </c:pt>
                <c:pt idx="255">
                  <c:v>225</c:v>
                </c:pt>
                <c:pt idx="256">
                  <c:v>225</c:v>
                </c:pt>
                <c:pt idx="257">
                  <c:v>225</c:v>
                </c:pt>
                <c:pt idx="258">
                  <c:v>225</c:v>
                </c:pt>
                <c:pt idx="259">
                  <c:v>225</c:v>
                </c:pt>
                <c:pt idx="260">
                  <c:v>225</c:v>
                </c:pt>
                <c:pt idx="261">
                  <c:v>225</c:v>
                </c:pt>
                <c:pt idx="262">
                  <c:v>225</c:v>
                </c:pt>
                <c:pt idx="263">
                  <c:v>225</c:v>
                </c:pt>
                <c:pt idx="264">
                  <c:v>225</c:v>
                </c:pt>
                <c:pt idx="265">
                  <c:v>225</c:v>
                </c:pt>
                <c:pt idx="266">
                  <c:v>225</c:v>
                </c:pt>
                <c:pt idx="267">
                  <c:v>225</c:v>
                </c:pt>
                <c:pt idx="268">
                  <c:v>225</c:v>
                </c:pt>
                <c:pt idx="269">
                  <c:v>225</c:v>
                </c:pt>
                <c:pt idx="270">
                  <c:v>225</c:v>
                </c:pt>
                <c:pt idx="271">
                  <c:v>225</c:v>
                </c:pt>
                <c:pt idx="272">
                  <c:v>225</c:v>
                </c:pt>
                <c:pt idx="273">
                  <c:v>225</c:v>
                </c:pt>
                <c:pt idx="274">
                  <c:v>225</c:v>
                </c:pt>
                <c:pt idx="275">
                  <c:v>225</c:v>
                </c:pt>
                <c:pt idx="276">
                  <c:v>225</c:v>
                </c:pt>
                <c:pt idx="277">
                  <c:v>225</c:v>
                </c:pt>
                <c:pt idx="278">
                  <c:v>225</c:v>
                </c:pt>
                <c:pt idx="279">
                  <c:v>225</c:v>
                </c:pt>
                <c:pt idx="280">
                  <c:v>225</c:v>
                </c:pt>
                <c:pt idx="281">
                  <c:v>225</c:v>
                </c:pt>
                <c:pt idx="282">
                  <c:v>225</c:v>
                </c:pt>
                <c:pt idx="283">
                  <c:v>225</c:v>
                </c:pt>
                <c:pt idx="284">
                  <c:v>225</c:v>
                </c:pt>
                <c:pt idx="285">
                  <c:v>225</c:v>
                </c:pt>
                <c:pt idx="286">
                  <c:v>225</c:v>
                </c:pt>
                <c:pt idx="287">
                  <c:v>225</c:v>
                </c:pt>
                <c:pt idx="288">
                  <c:v>225</c:v>
                </c:pt>
                <c:pt idx="289">
                  <c:v>225</c:v>
                </c:pt>
                <c:pt idx="290">
                  <c:v>225</c:v>
                </c:pt>
                <c:pt idx="291">
                  <c:v>225</c:v>
                </c:pt>
                <c:pt idx="292">
                  <c:v>225</c:v>
                </c:pt>
                <c:pt idx="293">
                  <c:v>225</c:v>
                </c:pt>
                <c:pt idx="294">
                  <c:v>225</c:v>
                </c:pt>
                <c:pt idx="295">
                  <c:v>225</c:v>
                </c:pt>
                <c:pt idx="296">
                  <c:v>225</c:v>
                </c:pt>
                <c:pt idx="297">
                  <c:v>225</c:v>
                </c:pt>
                <c:pt idx="298">
                  <c:v>225</c:v>
                </c:pt>
                <c:pt idx="299">
                  <c:v>225</c:v>
                </c:pt>
                <c:pt idx="300">
                  <c:v>225</c:v>
                </c:pt>
                <c:pt idx="301">
                  <c:v>225</c:v>
                </c:pt>
                <c:pt idx="302">
                  <c:v>225</c:v>
                </c:pt>
                <c:pt idx="303">
                  <c:v>225</c:v>
                </c:pt>
                <c:pt idx="304">
                  <c:v>225</c:v>
                </c:pt>
                <c:pt idx="305">
                  <c:v>225</c:v>
                </c:pt>
                <c:pt idx="306">
                  <c:v>225</c:v>
                </c:pt>
                <c:pt idx="307">
                  <c:v>225</c:v>
                </c:pt>
                <c:pt idx="308">
                  <c:v>225</c:v>
                </c:pt>
                <c:pt idx="309">
                  <c:v>225</c:v>
                </c:pt>
                <c:pt idx="310">
                  <c:v>225</c:v>
                </c:pt>
                <c:pt idx="311">
                  <c:v>225</c:v>
                </c:pt>
                <c:pt idx="312">
                  <c:v>225</c:v>
                </c:pt>
                <c:pt idx="313">
                  <c:v>225</c:v>
                </c:pt>
                <c:pt idx="314">
                  <c:v>225</c:v>
                </c:pt>
                <c:pt idx="315">
                  <c:v>225</c:v>
                </c:pt>
                <c:pt idx="316">
                  <c:v>225</c:v>
                </c:pt>
                <c:pt idx="317">
                  <c:v>225</c:v>
                </c:pt>
                <c:pt idx="318">
                  <c:v>225</c:v>
                </c:pt>
                <c:pt idx="319">
                  <c:v>225</c:v>
                </c:pt>
                <c:pt idx="320">
                  <c:v>225</c:v>
                </c:pt>
                <c:pt idx="321">
                  <c:v>225</c:v>
                </c:pt>
                <c:pt idx="322">
                  <c:v>225</c:v>
                </c:pt>
                <c:pt idx="323">
                  <c:v>225</c:v>
                </c:pt>
                <c:pt idx="324">
                  <c:v>225</c:v>
                </c:pt>
                <c:pt idx="325">
                  <c:v>225</c:v>
                </c:pt>
                <c:pt idx="326">
                  <c:v>225</c:v>
                </c:pt>
                <c:pt idx="327">
                  <c:v>225</c:v>
                </c:pt>
                <c:pt idx="328">
                  <c:v>225</c:v>
                </c:pt>
                <c:pt idx="329">
                  <c:v>225</c:v>
                </c:pt>
                <c:pt idx="330">
                  <c:v>225</c:v>
                </c:pt>
                <c:pt idx="331">
                  <c:v>225</c:v>
                </c:pt>
                <c:pt idx="332">
                  <c:v>225</c:v>
                </c:pt>
                <c:pt idx="333">
                  <c:v>225</c:v>
                </c:pt>
                <c:pt idx="334">
                  <c:v>225</c:v>
                </c:pt>
                <c:pt idx="335">
                  <c:v>225</c:v>
                </c:pt>
                <c:pt idx="336">
                  <c:v>225</c:v>
                </c:pt>
                <c:pt idx="337">
                  <c:v>225</c:v>
                </c:pt>
                <c:pt idx="338">
                  <c:v>225</c:v>
                </c:pt>
                <c:pt idx="339">
                  <c:v>225</c:v>
                </c:pt>
                <c:pt idx="340">
                  <c:v>225</c:v>
                </c:pt>
                <c:pt idx="341">
                  <c:v>225</c:v>
                </c:pt>
                <c:pt idx="342">
                  <c:v>225</c:v>
                </c:pt>
                <c:pt idx="343">
                  <c:v>225</c:v>
                </c:pt>
                <c:pt idx="344">
                  <c:v>225</c:v>
                </c:pt>
                <c:pt idx="345">
                  <c:v>225</c:v>
                </c:pt>
                <c:pt idx="346">
                  <c:v>225</c:v>
                </c:pt>
                <c:pt idx="347">
                  <c:v>225</c:v>
                </c:pt>
                <c:pt idx="348">
                  <c:v>225</c:v>
                </c:pt>
                <c:pt idx="349">
                  <c:v>225</c:v>
                </c:pt>
                <c:pt idx="350">
                  <c:v>225</c:v>
                </c:pt>
                <c:pt idx="351">
                  <c:v>225</c:v>
                </c:pt>
                <c:pt idx="352">
                  <c:v>225</c:v>
                </c:pt>
                <c:pt idx="353">
                  <c:v>225</c:v>
                </c:pt>
                <c:pt idx="354">
                  <c:v>225</c:v>
                </c:pt>
                <c:pt idx="355">
                  <c:v>225</c:v>
                </c:pt>
                <c:pt idx="356">
                  <c:v>225</c:v>
                </c:pt>
                <c:pt idx="357">
                  <c:v>225</c:v>
                </c:pt>
                <c:pt idx="358">
                  <c:v>225</c:v>
                </c:pt>
                <c:pt idx="359">
                  <c:v>225</c:v>
                </c:pt>
                <c:pt idx="360">
                  <c:v>225</c:v>
                </c:pt>
                <c:pt idx="361">
                  <c:v>225</c:v>
                </c:pt>
                <c:pt idx="362">
                  <c:v>225</c:v>
                </c:pt>
                <c:pt idx="363">
                  <c:v>225</c:v>
                </c:pt>
                <c:pt idx="364">
                  <c:v>225</c:v>
                </c:pt>
                <c:pt idx="365">
                  <c:v>225</c:v>
                </c:pt>
                <c:pt idx="366">
                  <c:v>225</c:v>
                </c:pt>
                <c:pt idx="367">
                  <c:v>225</c:v>
                </c:pt>
                <c:pt idx="368">
                  <c:v>225</c:v>
                </c:pt>
                <c:pt idx="369">
                  <c:v>225</c:v>
                </c:pt>
                <c:pt idx="370">
                  <c:v>225</c:v>
                </c:pt>
                <c:pt idx="371">
                  <c:v>225</c:v>
                </c:pt>
                <c:pt idx="372">
                  <c:v>225</c:v>
                </c:pt>
                <c:pt idx="373">
                  <c:v>225</c:v>
                </c:pt>
                <c:pt idx="374">
                  <c:v>225</c:v>
                </c:pt>
                <c:pt idx="375">
                  <c:v>225</c:v>
                </c:pt>
                <c:pt idx="376">
                  <c:v>225</c:v>
                </c:pt>
                <c:pt idx="377">
                  <c:v>225</c:v>
                </c:pt>
                <c:pt idx="378">
                  <c:v>225</c:v>
                </c:pt>
                <c:pt idx="379">
                  <c:v>225</c:v>
                </c:pt>
                <c:pt idx="380">
                  <c:v>225</c:v>
                </c:pt>
                <c:pt idx="381">
                  <c:v>225</c:v>
                </c:pt>
                <c:pt idx="382">
                  <c:v>225</c:v>
                </c:pt>
                <c:pt idx="383">
                  <c:v>225</c:v>
                </c:pt>
                <c:pt idx="384">
                  <c:v>225</c:v>
                </c:pt>
                <c:pt idx="385">
                  <c:v>225</c:v>
                </c:pt>
                <c:pt idx="386">
                  <c:v>225</c:v>
                </c:pt>
                <c:pt idx="387">
                  <c:v>225</c:v>
                </c:pt>
                <c:pt idx="388">
                  <c:v>225</c:v>
                </c:pt>
                <c:pt idx="389">
                  <c:v>225</c:v>
                </c:pt>
                <c:pt idx="390">
                  <c:v>225</c:v>
                </c:pt>
                <c:pt idx="391">
                  <c:v>225</c:v>
                </c:pt>
                <c:pt idx="392">
                  <c:v>225</c:v>
                </c:pt>
                <c:pt idx="393">
                  <c:v>225</c:v>
                </c:pt>
                <c:pt idx="394">
                  <c:v>225</c:v>
                </c:pt>
                <c:pt idx="395">
                  <c:v>225</c:v>
                </c:pt>
                <c:pt idx="396">
                  <c:v>225</c:v>
                </c:pt>
                <c:pt idx="397">
                  <c:v>225</c:v>
                </c:pt>
                <c:pt idx="398">
                  <c:v>225</c:v>
                </c:pt>
                <c:pt idx="399">
                  <c:v>225</c:v>
                </c:pt>
                <c:pt idx="400">
                  <c:v>225</c:v>
                </c:pt>
                <c:pt idx="401">
                  <c:v>225</c:v>
                </c:pt>
                <c:pt idx="402">
                  <c:v>225</c:v>
                </c:pt>
                <c:pt idx="403">
                  <c:v>225</c:v>
                </c:pt>
                <c:pt idx="404">
                  <c:v>225</c:v>
                </c:pt>
                <c:pt idx="405">
                  <c:v>225</c:v>
                </c:pt>
                <c:pt idx="406">
                  <c:v>225</c:v>
                </c:pt>
                <c:pt idx="407">
                  <c:v>225</c:v>
                </c:pt>
                <c:pt idx="408">
                  <c:v>225</c:v>
                </c:pt>
                <c:pt idx="409">
                  <c:v>225</c:v>
                </c:pt>
                <c:pt idx="410">
                  <c:v>225</c:v>
                </c:pt>
                <c:pt idx="411">
                  <c:v>225</c:v>
                </c:pt>
                <c:pt idx="412">
                  <c:v>225</c:v>
                </c:pt>
                <c:pt idx="413">
                  <c:v>225</c:v>
                </c:pt>
                <c:pt idx="414">
                  <c:v>225</c:v>
                </c:pt>
                <c:pt idx="415">
                  <c:v>225</c:v>
                </c:pt>
                <c:pt idx="416">
                  <c:v>225</c:v>
                </c:pt>
                <c:pt idx="417">
                  <c:v>225</c:v>
                </c:pt>
                <c:pt idx="418">
                  <c:v>225</c:v>
                </c:pt>
                <c:pt idx="419">
                  <c:v>225</c:v>
                </c:pt>
                <c:pt idx="420">
                  <c:v>225</c:v>
                </c:pt>
                <c:pt idx="421">
                  <c:v>225</c:v>
                </c:pt>
                <c:pt idx="422">
                  <c:v>225</c:v>
                </c:pt>
                <c:pt idx="423">
                  <c:v>225</c:v>
                </c:pt>
                <c:pt idx="424">
                  <c:v>225</c:v>
                </c:pt>
                <c:pt idx="425">
                  <c:v>225</c:v>
                </c:pt>
                <c:pt idx="426">
                  <c:v>225</c:v>
                </c:pt>
                <c:pt idx="427">
                  <c:v>225</c:v>
                </c:pt>
                <c:pt idx="428">
                  <c:v>225</c:v>
                </c:pt>
                <c:pt idx="429">
                  <c:v>225</c:v>
                </c:pt>
                <c:pt idx="430">
                  <c:v>225</c:v>
                </c:pt>
                <c:pt idx="431">
                  <c:v>225</c:v>
                </c:pt>
                <c:pt idx="432">
                  <c:v>225</c:v>
                </c:pt>
                <c:pt idx="433">
                  <c:v>225</c:v>
                </c:pt>
                <c:pt idx="434">
                  <c:v>225</c:v>
                </c:pt>
                <c:pt idx="435">
                  <c:v>225</c:v>
                </c:pt>
                <c:pt idx="436">
                  <c:v>225</c:v>
                </c:pt>
                <c:pt idx="437">
                  <c:v>225</c:v>
                </c:pt>
                <c:pt idx="438">
                  <c:v>225</c:v>
                </c:pt>
                <c:pt idx="439">
                  <c:v>225</c:v>
                </c:pt>
                <c:pt idx="440">
                  <c:v>225</c:v>
                </c:pt>
                <c:pt idx="441">
                  <c:v>225</c:v>
                </c:pt>
                <c:pt idx="442">
                  <c:v>225</c:v>
                </c:pt>
                <c:pt idx="443">
                  <c:v>225</c:v>
                </c:pt>
                <c:pt idx="444">
                  <c:v>225</c:v>
                </c:pt>
                <c:pt idx="445">
                  <c:v>225</c:v>
                </c:pt>
                <c:pt idx="446">
                  <c:v>225</c:v>
                </c:pt>
                <c:pt idx="447">
                  <c:v>225</c:v>
                </c:pt>
                <c:pt idx="448">
                  <c:v>225</c:v>
                </c:pt>
                <c:pt idx="449">
                  <c:v>225</c:v>
                </c:pt>
                <c:pt idx="450">
                  <c:v>225</c:v>
                </c:pt>
                <c:pt idx="451">
                  <c:v>225</c:v>
                </c:pt>
                <c:pt idx="452">
                  <c:v>225</c:v>
                </c:pt>
                <c:pt idx="453">
                  <c:v>225</c:v>
                </c:pt>
                <c:pt idx="454">
                  <c:v>225</c:v>
                </c:pt>
                <c:pt idx="455">
                  <c:v>225</c:v>
                </c:pt>
                <c:pt idx="456">
                  <c:v>225</c:v>
                </c:pt>
                <c:pt idx="457">
                  <c:v>225</c:v>
                </c:pt>
                <c:pt idx="458">
                  <c:v>225</c:v>
                </c:pt>
                <c:pt idx="459">
                  <c:v>225</c:v>
                </c:pt>
                <c:pt idx="460">
                  <c:v>225</c:v>
                </c:pt>
                <c:pt idx="461">
                  <c:v>225</c:v>
                </c:pt>
                <c:pt idx="462">
                  <c:v>225</c:v>
                </c:pt>
                <c:pt idx="463">
                  <c:v>225</c:v>
                </c:pt>
                <c:pt idx="464">
                  <c:v>225</c:v>
                </c:pt>
                <c:pt idx="465">
                  <c:v>225</c:v>
                </c:pt>
                <c:pt idx="466">
                  <c:v>225</c:v>
                </c:pt>
                <c:pt idx="467">
                  <c:v>225</c:v>
                </c:pt>
                <c:pt idx="468">
                  <c:v>225</c:v>
                </c:pt>
                <c:pt idx="469">
                  <c:v>225</c:v>
                </c:pt>
                <c:pt idx="470">
                  <c:v>225</c:v>
                </c:pt>
                <c:pt idx="471">
                  <c:v>225</c:v>
                </c:pt>
                <c:pt idx="472">
                  <c:v>225</c:v>
                </c:pt>
                <c:pt idx="473">
                  <c:v>225</c:v>
                </c:pt>
                <c:pt idx="474">
                  <c:v>225</c:v>
                </c:pt>
                <c:pt idx="475">
                  <c:v>225</c:v>
                </c:pt>
                <c:pt idx="476">
                  <c:v>225</c:v>
                </c:pt>
                <c:pt idx="477">
                  <c:v>225</c:v>
                </c:pt>
                <c:pt idx="478">
                  <c:v>225</c:v>
                </c:pt>
                <c:pt idx="479">
                  <c:v>225</c:v>
                </c:pt>
                <c:pt idx="480">
                  <c:v>225</c:v>
                </c:pt>
                <c:pt idx="481">
                  <c:v>225</c:v>
                </c:pt>
                <c:pt idx="482">
                  <c:v>225</c:v>
                </c:pt>
                <c:pt idx="483">
                  <c:v>225</c:v>
                </c:pt>
                <c:pt idx="484">
                  <c:v>225</c:v>
                </c:pt>
                <c:pt idx="485">
                  <c:v>225</c:v>
                </c:pt>
                <c:pt idx="486">
                  <c:v>225</c:v>
                </c:pt>
                <c:pt idx="487">
                  <c:v>225</c:v>
                </c:pt>
                <c:pt idx="488">
                  <c:v>225</c:v>
                </c:pt>
                <c:pt idx="489">
                  <c:v>225</c:v>
                </c:pt>
                <c:pt idx="490">
                  <c:v>225</c:v>
                </c:pt>
                <c:pt idx="491">
                  <c:v>225</c:v>
                </c:pt>
                <c:pt idx="492">
                  <c:v>225</c:v>
                </c:pt>
                <c:pt idx="493">
                  <c:v>225</c:v>
                </c:pt>
                <c:pt idx="494">
                  <c:v>225</c:v>
                </c:pt>
                <c:pt idx="495">
                  <c:v>225</c:v>
                </c:pt>
                <c:pt idx="496">
                  <c:v>225</c:v>
                </c:pt>
                <c:pt idx="497">
                  <c:v>225</c:v>
                </c:pt>
                <c:pt idx="498">
                  <c:v>225</c:v>
                </c:pt>
                <c:pt idx="499">
                  <c:v>225</c:v>
                </c:pt>
                <c:pt idx="500">
                  <c:v>225</c:v>
                </c:pt>
                <c:pt idx="501">
                  <c:v>225</c:v>
                </c:pt>
                <c:pt idx="502">
                  <c:v>225</c:v>
                </c:pt>
                <c:pt idx="503">
                  <c:v>225</c:v>
                </c:pt>
                <c:pt idx="504">
                  <c:v>225</c:v>
                </c:pt>
                <c:pt idx="505">
                  <c:v>225</c:v>
                </c:pt>
                <c:pt idx="506">
                  <c:v>225</c:v>
                </c:pt>
                <c:pt idx="507">
                  <c:v>225</c:v>
                </c:pt>
                <c:pt idx="508">
                  <c:v>225</c:v>
                </c:pt>
                <c:pt idx="509">
                  <c:v>225</c:v>
                </c:pt>
                <c:pt idx="510">
                  <c:v>225</c:v>
                </c:pt>
                <c:pt idx="511">
                  <c:v>225</c:v>
                </c:pt>
                <c:pt idx="512">
                  <c:v>225</c:v>
                </c:pt>
                <c:pt idx="513">
                  <c:v>225</c:v>
                </c:pt>
                <c:pt idx="514">
                  <c:v>225</c:v>
                </c:pt>
                <c:pt idx="515">
                  <c:v>225</c:v>
                </c:pt>
                <c:pt idx="516">
                  <c:v>225</c:v>
                </c:pt>
                <c:pt idx="517">
                  <c:v>225</c:v>
                </c:pt>
                <c:pt idx="518">
                  <c:v>225</c:v>
                </c:pt>
                <c:pt idx="519">
                  <c:v>225</c:v>
                </c:pt>
                <c:pt idx="520">
                  <c:v>225</c:v>
                </c:pt>
                <c:pt idx="521">
                  <c:v>225</c:v>
                </c:pt>
                <c:pt idx="522">
                  <c:v>225</c:v>
                </c:pt>
                <c:pt idx="523">
                  <c:v>225</c:v>
                </c:pt>
                <c:pt idx="524">
                  <c:v>225</c:v>
                </c:pt>
                <c:pt idx="525">
                  <c:v>225</c:v>
                </c:pt>
                <c:pt idx="526">
                  <c:v>225</c:v>
                </c:pt>
                <c:pt idx="527">
                  <c:v>225</c:v>
                </c:pt>
                <c:pt idx="528">
                  <c:v>225</c:v>
                </c:pt>
                <c:pt idx="529">
                  <c:v>225</c:v>
                </c:pt>
                <c:pt idx="530">
                  <c:v>225</c:v>
                </c:pt>
                <c:pt idx="531">
                  <c:v>225</c:v>
                </c:pt>
                <c:pt idx="532">
                  <c:v>225</c:v>
                </c:pt>
                <c:pt idx="533">
                  <c:v>225</c:v>
                </c:pt>
                <c:pt idx="534">
                  <c:v>225</c:v>
                </c:pt>
                <c:pt idx="535">
                  <c:v>225</c:v>
                </c:pt>
                <c:pt idx="536">
                  <c:v>225</c:v>
                </c:pt>
                <c:pt idx="537">
                  <c:v>225</c:v>
                </c:pt>
                <c:pt idx="538">
                  <c:v>225</c:v>
                </c:pt>
                <c:pt idx="539">
                  <c:v>225</c:v>
                </c:pt>
                <c:pt idx="540">
                  <c:v>225</c:v>
                </c:pt>
                <c:pt idx="541">
                  <c:v>225</c:v>
                </c:pt>
                <c:pt idx="542">
                  <c:v>225</c:v>
                </c:pt>
                <c:pt idx="543">
                  <c:v>225</c:v>
                </c:pt>
                <c:pt idx="544">
                  <c:v>225</c:v>
                </c:pt>
                <c:pt idx="545">
                  <c:v>225</c:v>
                </c:pt>
                <c:pt idx="546">
                  <c:v>225</c:v>
                </c:pt>
                <c:pt idx="547">
                  <c:v>225</c:v>
                </c:pt>
                <c:pt idx="548">
                  <c:v>225</c:v>
                </c:pt>
                <c:pt idx="549">
                  <c:v>225</c:v>
                </c:pt>
                <c:pt idx="550">
                  <c:v>225</c:v>
                </c:pt>
                <c:pt idx="551">
                  <c:v>225</c:v>
                </c:pt>
                <c:pt idx="552">
                  <c:v>225</c:v>
                </c:pt>
                <c:pt idx="553">
                  <c:v>225</c:v>
                </c:pt>
                <c:pt idx="554">
                  <c:v>225</c:v>
                </c:pt>
                <c:pt idx="555">
                  <c:v>225</c:v>
                </c:pt>
                <c:pt idx="556">
                  <c:v>225</c:v>
                </c:pt>
                <c:pt idx="557">
                  <c:v>225</c:v>
                </c:pt>
                <c:pt idx="558">
                  <c:v>225</c:v>
                </c:pt>
                <c:pt idx="559">
                  <c:v>225</c:v>
                </c:pt>
                <c:pt idx="560">
                  <c:v>225</c:v>
                </c:pt>
                <c:pt idx="561">
                  <c:v>225</c:v>
                </c:pt>
                <c:pt idx="562">
                  <c:v>225</c:v>
                </c:pt>
                <c:pt idx="563">
                  <c:v>225</c:v>
                </c:pt>
                <c:pt idx="564">
                  <c:v>225</c:v>
                </c:pt>
                <c:pt idx="565">
                  <c:v>225</c:v>
                </c:pt>
                <c:pt idx="566">
                  <c:v>225</c:v>
                </c:pt>
                <c:pt idx="567">
                  <c:v>225</c:v>
                </c:pt>
                <c:pt idx="568">
                  <c:v>225</c:v>
                </c:pt>
                <c:pt idx="569">
                  <c:v>225</c:v>
                </c:pt>
                <c:pt idx="570">
                  <c:v>225</c:v>
                </c:pt>
                <c:pt idx="571">
                  <c:v>225</c:v>
                </c:pt>
                <c:pt idx="572">
                  <c:v>225</c:v>
                </c:pt>
                <c:pt idx="573">
                  <c:v>225</c:v>
                </c:pt>
                <c:pt idx="574">
                  <c:v>225</c:v>
                </c:pt>
                <c:pt idx="575">
                  <c:v>225</c:v>
                </c:pt>
                <c:pt idx="576">
                  <c:v>225</c:v>
                </c:pt>
                <c:pt idx="577">
                  <c:v>225</c:v>
                </c:pt>
                <c:pt idx="578">
                  <c:v>225</c:v>
                </c:pt>
                <c:pt idx="579">
                  <c:v>225</c:v>
                </c:pt>
                <c:pt idx="580">
                  <c:v>225</c:v>
                </c:pt>
                <c:pt idx="581">
                  <c:v>225</c:v>
                </c:pt>
                <c:pt idx="582">
                  <c:v>225</c:v>
                </c:pt>
                <c:pt idx="583">
                  <c:v>225</c:v>
                </c:pt>
                <c:pt idx="584">
                  <c:v>225</c:v>
                </c:pt>
                <c:pt idx="585">
                  <c:v>225</c:v>
                </c:pt>
                <c:pt idx="586">
                  <c:v>225</c:v>
                </c:pt>
                <c:pt idx="587">
                  <c:v>225</c:v>
                </c:pt>
                <c:pt idx="588">
                  <c:v>225</c:v>
                </c:pt>
                <c:pt idx="589">
                  <c:v>225</c:v>
                </c:pt>
                <c:pt idx="590">
                  <c:v>225</c:v>
                </c:pt>
                <c:pt idx="591">
                  <c:v>225</c:v>
                </c:pt>
                <c:pt idx="592">
                  <c:v>225</c:v>
                </c:pt>
                <c:pt idx="593">
                  <c:v>225</c:v>
                </c:pt>
                <c:pt idx="594">
                  <c:v>225</c:v>
                </c:pt>
                <c:pt idx="595">
                  <c:v>225</c:v>
                </c:pt>
                <c:pt idx="596">
                  <c:v>225</c:v>
                </c:pt>
                <c:pt idx="597">
                  <c:v>225</c:v>
                </c:pt>
                <c:pt idx="598">
                  <c:v>225</c:v>
                </c:pt>
                <c:pt idx="599">
                  <c:v>225</c:v>
                </c:pt>
                <c:pt idx="600">
                  <c:v>225</c:v>
                </c:pt>
                <c:pt idx="601">
                  <c:v>225</c:v>
                </c:pt>
                <c:pt idx="602">
                  <c:v>225</c:v>
                </c:pt>
                <c:pt idx="603">
                  <c:v>225</c:v>
                </c:pt>
                <c:pt idx="604">
                  <c:v>225</c:v>
                </c:pt>
                <c:pt idx="605">
                  <c:v>225</c:v>
                </c:pt>
                <c:pt idx="606">
                  <c:v>225</c:v>
                </c:pt>
                <c:pt idx="607">
                  <c:v>225</c:v>
                </c:pt>
                <c:pt idx="608">
                  <c:v>225</c:v>
                </c:pt>
                <c:pt idx="609">
                  <c:v>225</c:v>
                </c:pt>
                <c:pt idx="610">
                  <c:v>225</c:v>
                </c:pt>
                <c:pt idx="611">
                  <c:v>225</c:v>
                </c:pt>
                <c:pt idx="612">
                  <c:v>225</c:v>
                </c:pt>
                <c:pt idx="613">
                  <c:v>225</c:v>
                </c:pt>
                <c:pt idx="614">
                  <c:v>225</c:v>
                </c:pt>
                <c:pt idx="615">
                  <c:v>225</c:v>
                </c:pt>
                <c:pt idx="616">
                  <c:v>225</c:v>
                </c:pt>
                <c:pt idx="617">
                  <c:v>225</c:v>
                </c:pt>
                <c:pt idx="618">
                  <c:v>225</c:v>
                </c:pt>
                <c:pt idx="619">
                  <c:v>225</c:v>
                </c:pt>
                <c:pt idx="620">
                  <c:v>225</c:v>
                </c:pt>
                <c:pt idx="621">
                  <c:v>225</c:v>
                </c:pt>
                <c:pt idx="622">
                  <c:v>225</c:v>
                </c:pt>
                <c:pt idx="623">
                  <c:v>225</c:v>
                </c:pt>
                <c:pt idx="624">
                  <c:v>225</c:v>
                </c:pt>
                <c:pt idx="625">
                  <c:v>225</c:v>
                </c:pt>
                <c:pt idx="626">
                  <c:v>225</c:v>
                </c:pt>
                <c:pt idx="627">
                  <c:v>225</c:v>
                </c:pt>
                <c:pt idx="628">
                  <c:v>225</c:v>
                </c:pt>
                <c:pt idx="629">
                  <c:v>225</c:v>
                </c:pt>
                <c:pt idx="630">
                  <c:v>225</c:v>
                </c:pt>
                <c:pt idx="631">
                  <c:v>225</c:v>
                </c:pt>
                <c:pt idx="632">
                  <c:v>225</c:v>
                </c:pt>
                <c:pt idx="633">
                  <c:v>225</c:v>
                </c:pt>
                <c:pt idx="634">
                  <c:v>225</c:v>
                </c:pt>
                <c:pt idx="635">
                  <c:v>225</c:v>
                </c:pt>
                <c:pt idx="636">
                  <c:v>225</c:v>
                </c:pt>
                <c:pt idx="637">
                  <c:v>225</c:v>
                </c:pt>
              </c:numCache>
            </c:numRef>
          </c:val>
          <c:smooth val="0"/>
          <c:extLst>
            <c:ext xmlns:c16="http://schemas.microsoft.com/office/drawing/2014/chart" uri="{C3380CC4-5D6E-409C-BE32-E72D297353CC}">
              <c16:uniqueId val="{00000005-7882-4F0A-9E24-D1CD5CBAD872}"/>
            </c:ext>
          </c:extLst>
        </c:ser>
        <c:ser>
          <c:idx val="5"/>
          <c:order val="4"/>
          <c:tx>
            <c:strRef>
              <c:f>'[Gráfico en Microsoft PowerPoint]Situacion VIP PIRINEOS'!$G$3</c:f>
              <c:strCache>
                <c:ptCount val="1"/>
                <c:pt idx="0">
                  <c:v>Physical flow</c:v>
                </c:pt>
              </c:strCache>
            </c:strRef>
          </c:tx>
          <c:spPr>
            <a:ln w="12700" cap="rnd">
              <a:solidFill>
                <a:srgbClr val="C00000"/>
              </a:solidFill>
              <a:round/>
            </a:ln>
            <a:effectLst/>
          </c:spPr>
          <c:marker>
            <c:symbol val="none"/>
          </c:marker>
          <c:cat>
            <c:numRef>
              <c:f>'[Gráfico en Microsoft PowerPoint]Situacion VIP PIRINEOS'!$B$4:$B$641</c:f>
              <c:numCache>
                <c:formatCode>m/d/yyyy</c:formatCode>
                <c:ptCount val="638"/>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pt idx="365">
                  <c:v>43466</c:v>
                </c:pt>
                <c:pt idx="366">
                  <c:v>43467</c:v>
                </c:pt>
                <c:pt idx="367">
                  <c:v>43468</c:v>
                </c:pt>
                <c:pt idx="368">
                  <c:v>43469</c:v>
                </c:pt>
                <c:pt idx="369">
                  <c:v>43470</c:v>
                </c:pt>
                <c:pt idx="370">
                  <c:v>43471</c:v>
                </c:pt>
                <c:pt idx="371">
                  <c:v>43472</c:v>
                </c:pt>
                <c:pt idx="372">
                  <c:v>43473</c:v>
                </c:pt>
                <c:pt idx="373">
                  <c:v>43474</c:v>
                </c:pt>
                <c:pt idx="374">
                  <c:v>43475</c:v>
                </c:pt>
                <c:pt idx="375">
                  <c:v>43476</c:v>
                </c:pt>
                <c:pt idx="376">
                  <c:v>43477</c:v>
                </c:pt>
                <c:pt idx="377">
                  <c:v>43478</c:v>
                </c:pt>
                <c:pt idx="378">
                  <c:v>43479</c:v>
                </c:pt>
                <c:pt idx="379">
                  <c:v>43480</c:v>
                </c:pt>
                <c:pt idx="380">
                  <c:v>43481</c:v>
                </c:pt>
                <c:pt idx="381">
                  <c:v>43482</c:v>
                </c:pt>
                <c:pt idx="382">
                  <c:v>43483</c:v>
                </c:pt>
                <c:pt idx="383">
                  <c:v>43484</c:v>
                </c:pt>
                <c:pt idx="384">
                  <c:v>43485</c:v>
                </c:pt>
                <c:pt idx="385">
                  <c:v>43486</c:v>
                </c:pt>
                <c:pt idx="386">
                  <c:v>43487</c:v>
                </c:pt>
                <c:pt idx="387">
                  <c:v>43488</c:v>
                </c:pt>
                <c:pt idx="388">
                  <c:v>43489</c:v>
                </c:pt>
                <c:pt idx="389">
                  <c:v>43490</c:v>
                </c:pt>
                <c:pt idx="390">
                  <c:v>43491</c:v>
                </c:pt>
                <c:pt idx="391">
                  <c:v>43492</c:v>
                </c:pt>
                <c:pt idx="392">
                  <c:v>43493</c:v>
                </c:pt>
                <c:pt idx="393">
                  <c:v>43494</c:v>
                </c:pt>
                <c:pt idx="394">
                  <c:v>43495</c:v>
                </c:pt>
                <c:pt idx="395">
                  <c:v>43496</c:v>
                </c:pt>
                <c:pt idx="396">
                  <c:v>43497</c:v>
                </c:pt>
                <c:pt idx="397">
                  <c:v>43498</c:v>
                </c:pt>
                <c:pt idx="398">
                  <c:v>43499</c:v>
                </c:pt>
                <c:pt idx="399">
                  <c:v>43500</c:v>
                </c:pt>
                <c:pt idx="400">
                  <c:v>43501</c:v>
                </c:pt>
                <c:pt idx="401">
                  <c:v>43502</c:v>
                </c:pt>
                <c:pt idx="402">
                  <c:v>43503</c:v>
                </c:pt>
                <c:pt idx="403">
                  <c:v>43504</c:v>
                </c:pt>
                <c:pt idx="404">
                  <c:v>43505</c:v>
                </c:pt>
                <c:pt idx="405">
                  <c:v>43506</c:v>
                </c:pt>
                <c:pt idx="406">
                  <c:v>43507</c:v>
                </c:pt>
                <c:pt idx="407">
                  <c:v>43508</c:v>
                </c:pt>
                <c:pt idx="408">
                  <c:v>43509</c:v>
                </c:pt>
                <c:pt idx="409">
                  <c:v>43510</c:v>
                </c:pt>
                <c:pt idx="410">
                  <c:v>43511</c:v>
                </c:pt>
                <c:pt idx="411">
                  <c:v>43512</c:v>
                </c:pt>
                <c:pt idx="412">
                  <c:v>43513</c:v>
                </c:pt>
                <c:pt idx="413">
                  <c:v>43514</c:v>
                </c:pt>
                <c:pt idx="414">
                  <c:v>43515</c:v>
                </c:pt>
                <c:pt idx="415">
                  <c:v>43516</c:v>
                </c:pt>
                <c:pt idx="416">
                  <c:v>43517</c:v>
                </c:pt>
                <c:pt idx="417">
                  <c:v>43518</c:v>
                </c:pt>
                <c:pt idx="418">
                  <c:v>43519</c:v>
                </c:pt>
                <c:pt idx="419">
                  <c:v>43520</c:v>
                </c:pt>
                <c:pt idx="420">
                  <c:v>43521</c:v>
                </c:pt>
                <c:pt idx="421">
                  <c:v>43522</c:v>
                </c:pt>
                <c:pt idx="422">
                  <c:v>43523</c:v>
                </c:pt>
                <c:pt idx="423">
                  <c:v>43524</c:v>
                </c:pt>
                <c:pt idx="424">
                  <c:v>43525</c:v>
                </c:pt>
                <c:pt idx="425">
                  <c:v>43526</c:v>
                </c:pt>
                <c:pt idx="426">
                  <c:v>43527</c:v>
                </c:pt>
                <c:pt idx="427">
                  <c:v>43528</c:v>
                </c:pt>
                <c:pt idx="428">
                  <c:v>43529</c:v>
                </c:pt>
                <c:pt idx="429">
                  <c:v>43530</c:v>
                </c:pt>
                <c:pt idx="430">
                  <c:v>43531</c:v>
                </c:pt>
                <c:pt idx="431">
                  <c:v>43532</c:v>
                </c:pt>
                <c:pt idx="432">
                  <c:v>43533</c:v>
                </c:pt>
                <c:pt idx="433">
                  <c:v>43534</c:v>
                </c:pt>
                <c:pt idx="434">
                  <c:v>43535</c:v>
                </c:pt>
                <c:pt idx="435">
                  <c:v>43536</c:v>
                </c:pt>
                <c:pt idx="436">
                  <c:v>43537</c:v>
                </c:pt>
                <c:pt idx="437">
                  <c:v>43538</c:v>
                </c:pt>
                <c:pt idx="438">
                  <c:v>43539</c:v>
                </c:pt>
                <c:pt idx="439">
                  <c:v>43540</c:v>
                </c:pt>
                <c:pt idx="440">
                  <c:v>43541</c:v>
                </c:pt>
                <c:pt idx="441">
                  <c:v>43542</c:v>
                </c:pt>
                <c:pt idx="442">
                  <c:v>43543</c:v>
                </c:pt>
                <c:pt idx="443">
                  <c:v>43544</c:v>
                </c:pt>
                <c:pt idx="444">
                  <c:v>43545</c:v>
                </c:pt>
                <c:pt idx="445">
                  <c:v>43546</c:v>
                </c:pt>
                <c:pt idx="446">
                  <c:v>43547</c:v>
                </c:pt>
                <c:pt idx="447">
                  <c:v>43548</c:v>
                </c:pt>
                <c:pt idx="448">
                  <c:v>43549</c:v>
                </c:pt>
                <c:pt idx="449">
                  <c:v>43550</c:v>
                </c:pt>
                <c:pt idx="450">
                  <c:v>43551</c:v>
                </c:pt>
                <c:pt idx="451">
                  <c:v>43552</c:v>
                </c:pt>
                <c:pt idx="452">
                  <c:v>43553</c:v>
                </c:pt>
                <c:pt idx="453">
                  <c:v>43554</c:v>
                </c:pt>
                <c:pt idx="454">
                  <c:v>43555</c:v>
                </c:pt>
                <c:pt idx="455">
                  <c:v>43556</c:v>
                </c:pt>
                <c:pt idx="456">
                  <c:v>43557</c:v>
                </c:pt>
                <c:pt idx="457">
                  <c:v>43558</c:v>
                </c:pt>
                <c:pt idx="458">
                  <c:v>43559</c:v>
                </c:pt>
                <c:pt idx="459">
                  <c:v>43560</c:v>
                </c:pt>
                <c:pt idx="460">
                  <c:v>43561</c:v>
                </c:pt>
                <c:pt idx="461">
                  <c:v>43562</c:v>
                </c:pt>
                <c:pt idx="462">
                  <c:v>43563</c:v>
                </c:pt>
                <c:pt idx="463">
                  <c:v>43564</c:v>
                </c:pt>
                <c:pt idx="464">
                  <c:v>43565</c:v>
                </c:pt>
                <c:pt idx="465">
                  <c:v>43566</c:v>
                </c:pt>
                <c:pt idx="466">
                  <c:v>43567</c:v>
                </c:pt>
                <c:pt idx="467">
                  <c:v>43568</c:v>
                </c:pt>
                <c:pt idx="468">
                  <c:v>43569</c:v>
                </c:pt>
                <c:pt idx="469">
                  <c:v>43570</c:v>
                </c:pt>
                <c:pt idx="470">
                  <c:v>43571</c:v>
                </c:pt>
                <c:pt idx="471">
                  <c:v>43572</c:v>
                </c:pt>
                <c:pt idx="472">
                  <c:v>43573</c:v>
                </c:pt>
                <c:pt idx="473">
                  <c:v>43574</c:v>
                </c:pt>
                <c:pt idx="474">
                  <c:v>43575</c:v>
                </c:pt>
                <c:pt idx="475">
                  <c:v>43576</c:v>
                </c:pt>
                <c:pt idx="476">
                  <c:v>43577</c:v>
                </c:pt>
                <c:pt idx="477">
                  <c:v>43578</c:v>
                </c:pt>
                <c:pt idx="478">
                  <c:v>43579</c:v>
                </c:pt>
                <c:pt idx="479">
                  <c:v>43580</c:v>
                </c:pt>
                <c:pt idx="480">
                  <c:v>43581</c:v>
                </c:pt>
                <c:pt idx="481">
                  <c:v>43582</c:v>
                </c:pt>
                <c:pt idx="482">
                  <c:v>43583</c:v>
                </c:pt>
                <c:pt idx="483">
                  <c:v>43584</c:v>
                </c:pt>
                <c:pt idx="484">
                  <c:v>43585</c:v>
                </c:pt>
                <c:pt idx="485">
                  <c:v>43586</c:v>
                </c:pt>
                <c:pt idx="486">
                  <c:v>43587</c:v>
                </c:pt>
                <c:pt idx="487">
                  <c:v>43588</c:v>
                </c:pt>
                <c:pt idx="488">
                  <c:v>43589</c:v>
                </c:pt>
                <c:pt idx="489">
                  <c:v>43590</c:v>
                </c:pt>
                <c:pt idx="490">
                  <c:v>43591</c:v>
                </c:pt>
                <c:pt idx="491">
                  <c:v>43592</c:v>
                </c:pt>
                <c:pt idx="492">
                  <c:v>43593</c:v>
                </c:pt>
                <c:pt idx="493">
                  <c:v>43594</c:v>
                </c:pt>
                <c:pt idx="494">
                  <c:v>43595</c:v>
                </c:pt>
                <c:pt idx="495">
                  <c:v>43596</c:v>
                </c:pt>
                <c:pt idx="496">
                  <c:v>43597</c:v>
                </c:pt>
                <c:pt idx="497">
                  <c:v>43598</c:v>
                </c:pt>
                <c:pt idx="498">
                  <c:v>43599</c:v>
                </c:pt>
                <c:pt idx="499">
                  <c:v>43600</c:v>
                </c:pt>
                <c:pt idx="500">
                  <c:v>43601</c:v>
                </c:pt>
                <c:pt idx="501">
                  <c:v>43602</c:v>
                </c:pt>
                <c:pt idx="502">
                  <c:v>43603</c:v>
                </c:pt>
                <c:pt idx="503">
                  <c:v>43604</c:v>
                </c:pt>
                <c:pt idx="504">
                  <c:v>43605</c:v>
                </c:pt>
                <c:pt idx="505">
                  <c:v>43606</c:v>
                </c:pt>
                <c:pt idx="506">
                  <c:v>43607</c:v>
                </c:pt>
                <c:pt idx="507">
                  <c:v>43608</c:v>
                </c:pt>
                <c:pt idx="508">
                  <c:v>43609</c:v>
                </c:pt>
                <c:pt idx="509">
                  <c:v>43610</c:v>
                </c:pt>
                <c:pt idx="510">
                  <c:v>43611</c:v>
                </c:pt>
                <c:pt idx="511">
                  <c:v>43612</c:v>
                </c:pt>
                <c:pt idx="512">
                  <c:v>43613</c:v>
                </c:pt>
                <c:pt idx="513">
                  <c:v>43614</c:v>
                </c:pt>
                <c:pt idx="514">
                  <c:v>43615</c:v>
                </c:pt>
                <c:pt idx="515">
                  <c:v>43616</c:v>
                </c:pt>
                <c:pt idx="516">
                  <c:v>43617</c:v>
                </c:pt>
                <c:pt idx="517">
                  <c:v>43618</c:v>
                </c:pt>
                <c:pt idx="518">
                  <c:v>43619</c:v>
                </c:pt>
                <c:pt idx="519">
                  <c:v>43620</c:v>
                </c:pt>
                <c:pt idx="520">
                  <c:v>43621</c:v>
                </c:pt>
                <c:pt idx="521">
                  <c:v>43622</c:v>
                </c:pt>
                <c:pt idx="522">
                  <c:v>43623</c:v>
                </c:pt>
                <c:pt idx="523">
                  <c:v>43624</c:v>
                </c:pt>
                <c:pt idx="524">
                  <c:v>43625</c:v>
                </c:pt>
                <c:pt idx="525">
                  <c:v>43626</c:v>
                </c:pt>
                <c:pt idx="526">
                  <c:v>43627</c:v>
                </c:pt>
                <c:pt idx="527">
                  <c:v>43628</c:v>
                </c:pt>
                <c:pt idx="528">
                  <c:v>43629</c:v>
                </c:pt>
                <c:pt idx="529">
                  <c:v>43630</c:v>
                </c:pt>
                <c:pt idx="530">
                  <c:v>43631</c:v>
                </c:pt>
                <c:pt idx="531">
                  <c:v>43632</c:v>
                </c:pt>
                <c:pt idx="532">
                  <c:v>43633</c:v>
                </c:pt>
                <c:pt idx="533">
                  <c:v>43634</c:v>
                </c:pt>
                <c:pt idx="534">
                  <c:v>43635</c:v>
                </c:pt>
                <c:pt idx="535">
                  <c:v>43636</c:v>
                </c:pt>
                <c:pt idx="536">
                  <c:v>43637</c:v>
                </c:pt>
                <c:pt idx="537">
                  <c:v>43638</c:v>
                </c:pt>
                <c:pt idx="538">
                  <c:v>43639</c:v>
                </c:pt>
                <c:pt idx="539">
                  <c:v>43640</c:v>
                </c:pt>
                <c:pt idx="540">
                  <c:v>43641</c:v>
                </c:pt>
                <c:pt idx="541">
                  <c:v>43642</c:v>
                </c:pt>
                <c:pt idx="542">
                  <c:v>43643</c:v>
                </c:pt>
                <c:pt idx="543">
                  <c:v>43644</c:v>
                </c:pt>
                <c:pt idx="544">
                  <c:v>43645</c:v>
                </c:pt>
                <c:pt idx="545">
                  <c:v>43646</c:v>
                </c:pt>
                <c:pt idx="546">
                  <c:v>43647</c:v>
                </c:pt>
                <c:pt idx="547">
                  <c:v>43648</c:v>
                </c:pt>
                <c:pt idx="548">
                  <c:v>43649</c:v>
                </c:pt>
                <c:pt idx="549">
                  <c:v>43650</c:v>
                </c:pt>
                <c:pt idx="550">
                  <c:v>43651</c:v>
                </c:pt>
                <c:pt idx="551">
                  <c:v>43652</c:v>
                </c:pt>
                <c:pt idx="552">
                  <c:v>43653</c:v>
                </c:pt>
                <c:pt idx="553">
                  <c:v>43654</c:v>
                </c:pt>
                <c:pt idx="554">
                  <c:v>43655</c:v>
                </c:pt>
                <c:pt idx="555">
                  <c:v>43656</c:v>
                </c:pt>
                <c:pt idx="556">
                  <c:v>43657</c:v>
                </c:pt>
                <c:pt idx="557">
                  <c:v>43658</c:v>
                </c:pt>
                <c:pt idx="558">
                  <c:v>43659</c:v>
                </c:pt>
                <c:pt idx="559">
                  <c:v>43660</c:v>
                </c:pt>
                <c:pt idx="560">
                  <c:v>43661</c:v>
                </c:pt>
                <c:pt idx="561">
                  <c:v>43662</c:v>
                </c:pt>
                <c:pt idx="562">
                  <c:v>43663</c:v>
                </c:pt>
                <c:pt idx="563">
                  <c:v>43664</c:v>
                </c:pt>
                <c:pt idx="564">
                  <c:v>43665</c:v>
                </c:pt>
                <c:pt idx="565">
                  <c:v>43666</c:v>
                </c:pt>
                <c:pt idx="566">
                  <c:v>43667</c:v>
                </c:pt>
                <c:pt idx="567">
                  <c:v>43668</c:v>
                </c:pt>
                <c:pt idx="568">
                  <c:v>43669</c:v>
                </c:pt>
                <c:pt idx="569">
                  <c:v>43670</c:v>
                </c:pt>
                <c:pt idx="570">
                  <c:v>43671</c:v>
                </c:pt>
                <c:pt idx="571">
                  <c:v>43672</c:v>
                </c:pt>
                <c:pt idx="572">
                  <c:v>43673</c:v>
                </c:pt>
                <c:pt idx="573">
                  <c:v>43674</c:v>
                </c:pt>
                <c:pt idx="574">
                  <c:v>43675</c:v>
                </c:pt>
                <c:pt idx="575">
                  <c:v>43676</c:v>
                </c:pt>
                <c:pt idx="576">
                  <c:v>43677</c:v>
                </c:pt>
                <c:pt idx="577">
                  <c:v>43678</c:v>
                </c:pt>
                <c:pt idx="578">
                  <c:v>43679</c:v>
                </c:pt>
                <c:pt idx="579">
                  <c:v>43680</c:v>
                </c:pt>
                <c:pt idx="580">
                  <c:v>43681</c:v>
                </c:pt>
                <c:pt idx="581">
                  <c:v>43682</c:v>
                </c:pt>
                <c:pt idx="582">
                  <c:v>43683</c:v>
                </c:pt>
                <c:pt idx="583">
                  <c:v>43684</c:v>
                </c:pt>
                <c:pt idx="584">
                  <c:v>43685</c:v>
                </c:pt>
                <c:pt idx="585">
                  <c:v>43686</c:v>
                </c:pt>
                <c:pt idx="586">
                  <c:v>43687</c:v>
                </c:pt>
                <c:pt idx="587">
                  <c:v>43688</c:v>
                </c:pt>
                <c:pt idx="588">
                  <c:v>43689</c:v>
                </c:pt>
                <c:pt idx="589">
                  <c:v>43690</c:v>
                </c:pt>
                <c:pt idx="590">
                  <c:v>43691</c:v>
                </c:pt>
                <c:pt idx="591">
                  <c:v>43692</c:v>
                </c:pt>
                <c:pt idx="592">
                  <c:v>43693</c:v>
                </c:pt>
                <c:pt idx="593">
                  <c:v>43694</c:v>
                </c:pt>
                <c:pt idx="594">
                  <c:v>43695</c:v>
                </c:pt>
                <c:pt idx="595">
                  <c:v>43696</c:v>
                </c:pt>
                <c:pt idx="596">
                  <c:v>43697</c:v>
                </c:pt>
                <c:pt idx="597">
                  <c:v>43698</c:v>
                </c:pt>
                <c:pt idx="598">
                  <c:v>43699</c:v>
                </c:pt>
                <c:pt idx="599">
                  <c:v>43700</c:v>
                </c:pt>
                <c:pt idx="600">
                  <c:v>43701</c:v>
                </c:pt>
                <c:pt idx="601">
                  <c:v>43702</c:v>
                </c:pt>
                <c:pt idx="602">
                  <c:v>43703</c:v>
                </c:pt>
                <c:pt idx="603">
                  <c:v>43704</c:v>
                </c:pt>
                <c:pt idx="604">
                  <c:v>43705</c:v>
                </c:pt>
                <c:pt idx="605">
                  <c:v>43706</c:v>
                </c:pt>
                <c:pt idx="606">
                  <c:v>43707</c:v>
                </c:pt>
                <c:pt idx="607">
                  <c:v>43708</c:v>
                </c:pt>
                <c:pt idx="608">
                  <c:v>43709</c:v>
                </c:pt>
                <c:pt idx="609">
                  <c:v>43710</c:v>
                </c:pt>
                <c:pt idx="610">
                  <c:v>43711</c:v>
                </c:pt>
                <c:pt idx="611">
                  <c:v>43712</c:v>
                </c:pt>
                <c:pt idx="612">
                  <c:v>43713</c:v>
                </c:pt>
                <c:pt idx="613">
                  <c:v>43714</c:v>
                </c:pt>
                <c:pt idx="614">
                  <c:v>43715</c:v>
                </c:pt>
                <c:pt idx="615">
                  <c:v>43716</c:v>
                </c:pt>
                <c:pt idx="616">
                  <c:v>43717</c:v>
                </c:pt>
                <c:pt idx="617">
                  <c:v>43718</c:v>
                </c:pt>
                <c:pt idx="618">
                  <c:v>43719</c:v>
                </c:pt>
                <c:pt idx="619">
                  <c:v>43720</c:v>
                </c:pt>
                <c:pt idx="620">
                  <c:v>43721</c:v>
                </c:pt>
                <c:pt idx="621">
                  <c:v>43722</c:v>
                </c:pt>
                <c:pt idx="622">
                  <c:v>43723</c:v>
                </c:pt>
                <c:pt idx="623">
                  <c:v>43724</c:v>
                </c:pt>
                <c:pt idx="624">
                  <c:v>43725</c:v>
                </c:pt>
                <c:pt idx="625">
                  <c:v>43726</c:v>
                </c:pt>
                <c:pt idx="626">
                  <c:v>43727</c:v>
                </c:pt>
                <c:pt idx="627">
                  <c:v>43728</c:v>
                </c:pt>
                <c:pt idx="628">
                  <c:v>43729</c:v>
                </c:pt>
                <c:pt idx="629">
                  <c:v>43730</c:v>
                </c:pt>
                <c:pt idx="630">
                  <c:v>43731</c:v>
                </c:pt>
                <c:pt idx="631">
                  <c:v>43732</c:v>
                </c:pt>
                <c:pt idx="632">
                  <c:v>43733</c:v>
                </c:pt>
                <c:pt idx="633">
                  <c:v>43734</c:v>
                </c:pt>
                <c:pt idx="634">
                  <c:v>43735</c:v>
                </c:pt>
                <c:pt idx="635">
                  <c:v>43736</c:v>
                </c:pt>
                <c:pt idx="636">
                  <c:v>43737</c:v>
                </c:pt>
                <c:pt idx="637">
                  <c:v>43738</c:v>
                </c:pt>
              </c:numCache>
            </c:numRef>
          </c:cat>
          <c:val>
            <c:numRef>
              <c:f>'[Gráfico en Microsoft PowerPoint]Situacion VIP PIRINEOS'!$G$4:$G$641</c:f>
              <c:numCache>
                <c:formatCode>General</c:formatCode>
                <c:ptCount val="638"/>
                <c:pt idx="0">
                  <c:v>130.38999999999999</c:v>
                </c:pt>
                <c:pt idx="1">
                  <c:v>119.38</c:v>
                </c:pt>
                <c:pt idx="2">
                  <c:v>115.09</c:v>
                </c:pt>
                <c:pt idx="3">
                  <c:v>95.2</c:v>
                </c:pt>
                <c:pt idx="4">
                  <c:v>118.41</c:v>
                </c:pt>
                <c:pt idx="5">
                  <c:v>116.92</c:v>
                </c:pt>
                <c:pt idx="6">
                  <c:v>117.52</c:v>
                </c:pt>
                <c:pt idx="7">
                  <c:v>128.06</c:v>
                </c:pt>
                <c:pt idx="8">
                  <c:v>117.25</c:v>
                </c:pt>
                <c:pt idx="9">
                  <c:v>120.74</c:v>
                </c:pt>
                <c:pt idx="10">
                  <c:v>121.8</c:v>
                </c:pt>
                <c:pt idx="11">
                  <c:v>133.53</c:v>
                </c:pt>
                <c:pt idx="12">
                  <c:v>122.64</c:v>
                </c:pt>
                <c:pt idx="13">
                  <c:v>119.68</c:v>
                </c:pt>
                <c:pt idx="14">
                  <c:v>126.84</c:v>
                </c:pt>
                <c:pt idx="15">
                  <c:v>117.4</c:v>
                </c:pt>
                <c:pt idx="16">
                  <c:v>117.85</c:v>
                </c:pt>
                <c:pt idx="17">
                  <c:v>118.82</c:v>
                </c:pt>
                <c:pt idx="18">
                  <c:v>118.42</c:v>
                </c:pt>
                <c:pt idx="19">
                  <c:v>117.96</c:v>
                </c:pt>
                <c:pt idx="20">
                  <c:v>119.04</c:v>
                </c:pt>
                <c:pt idx="21">
                  <c:v>120.86</c:v>
                </c:pt>
                <c:pt idx="22">
                  <c:v>146.26</c:v>
                </c:pt>
                <c:pt idx="23">
                  <c:v>128.47</c:v>
                </c:pt>
                <c:pt idx="24">
                  <c:v>126.53</c:v>
                </c:pt>
                <c:pt idx="25">
                  <c:v>120</c:v>
                </c:pt>
                <c:pt idx="26">
                  <c:v>119.2</c:v>
                </c:pt>
                <c:pt idx="27">
                  <c:v>119.07</c:v>
                </c:pt>
                <c:pt idx="28">
                  <c:v>127.03</c:v>
                </c:pt>
                <c:pt idx="29">
                  <c:v>137.79</c:v>
                </c:pt>
                <c:pt idx="30">
                  <c:v>147.44</c:v>
                </c:pt>
                <c:pt idx="31">
                  <c:v>138.31</c:v>
                </c:pt>
                <c:pt idx="32">
                  <c:v>149.77000000000001</c:v>
                </c:pt>
                <c:pt idx="33">
                  <c:v>155.1</c:v>
                </c:pt>
                <c:pt idx="34">
                  <c:v>151.56</c:v>
                </c:pt>
                <c:pt idx="35">
                  <c:v>151.21</c:v>
                </c:pt>
                <c:pt idx="36">
                  <c:v>150.85</c:v>
                </c:pt>
                <c:pt idx="37">
                  <c:v>174.21</c:v>
                </c:pt>
                <c:pt idx="38">
                  <c:v>179.89</c:v>
                </c:pt>
                <c:pt idx="39">
                  <c:v>194.04</c:v>
                </c:pt>
                <c:pt idx="40">
                  <c:v>135.88</c:v>
                </c:pt>
                <c:pt idx="41">
                  <c:v>135.51</c:v>
                </c:pt>
                <c:pt idx="42">
                  <c:v>146.77000000000001</c:v>
                </c:pt>
                <c:pt idx="43">
                  <c:v>143.97999999999999</c:v>
                </c:pt>
                <c:pt idx="44">
                  <c:v>144.72999999999999</c:v>
                </c:pt>
                <c:pt idx="45">
                  <c:v>148.66999999999999</c:v>
                </c:pt>
                <c:pt idx="46">
                  <c:v>145.25</c:v>
                </c:pt>
                <c:pt idx="47">
                  <c:v>133.96</c:v>
                </c:pt>
                <c:pt idx="48">
                  <c:v>130.11000000000001</c:v>
                </c:pt>
                <c:pt idx="49">
                  <c:v>137.58000000000001</c:v>
                </c:pt>
                <c:pt idx="50">
                  <c:v>129.02000000000001</c:v>
                </c:pt>
                <c:pt idx="51">
                  <c:v>108.5</c:v>
                </c:pt>
                <c:pt idx="52">
                  <c:v>116.52</c:v>
                </c:pt>
                <c:pt idx="53">
                  <c:v>115.9</c:v>
                </c:pt>
                <c:pt idx="54">
                  <c:v>120.23</c:v>
                </c:pt>
                <c:pt idx="55">
                  <c:v>123.34</c:v>
                </c:pt>
                <c:pt idx="56">
                  <c:v>60.69</c:v>
                </c:pt>
                <c:pt idx="57">
                  <c:v>69.040000000000006</c:v>
                </c:pt>
                <c:pt idx="58">
                  <c:v>-9.7199999999999989</c:v>
                </c:pt>
                <c:pt idx="59">
                  <c:v>-115.86</c:v>
                </c:pt>
                <c:pt idx="60">
                  <c:v>-133.1</c:v>
                </c:pt>
                <c:pt idx="61">
                  <c:v>28.57</c:v>
                </c:pt>
                <c:pt idx="62">
                  <c:v>51.34</c:v>
                </c:pt>
                <c:pt idx="63">
                  <c:v>92.02</c:v>
                </c:pt>
                <c:pt idx="64">
                  <c:v>116.6</c:v>
                </c:pt>
                <c:pt idx="65">
                  <c:v>116.02</c:v>
                </c:pt>
                <c:pt idx="66">
                  <c:v>130.77000000000001</c:v>
                </c:pt>
                <c:pt idx="67">
                  <c:v>124.27</c:v>
                </c:pt>
                <c:pt idx="68">
                  <c:v>108.28</c:v>
                </c:pt>
                <c:pt idx="69">
                  <c:v>104.42</c:v>
                </c:pt>
                <c:pt idx="70">
                  <c:v>98.64</c:v>
                </c:pt>
                <c:pt idx="71">
                  <c:v>91.81</c:v>
                </c:pt>
                <c:pt idx="72">
                  <c:v>104.07</c:v>
                </c:pt>
                <c:pt idx="73">
                  <c:v>101.88</c:v>
                </c:pt>
                <c:pt idx="74">
                  <c:v>98.98</c:v>
                </c:pt>
                <c:pt idx="75">
                  <c:v>96.52</c:v>
                </c:pt>
                <c:pt idx="76">
                  <c:v>96.48</c:v>
                </c:pt>
                <c:pt idx="77">
                  <c:v>101.72</c:v>
                </c:pt>
                <c:pt idx="78">
                  <c:v>110.32</c:v>
                </c:pt>
                <c:pt idx="79">
                  <c:v>108.05</c:v>
                </c:pt>
                <c:pt idx="80">
                  <c:v>106.09</c:v>
                </c:pt>
                <c:pt idx="81">
                  <c:v>123.26</c:v>
                </c:pt>
                <c:pt idx="82">
                  <c:v>98.87</c:v>
                </c:pt>
                <c:pt idx="83">
                  <c:v>102.15</c:v>
                </c:pt>
                <c:pt idx="84">
                  <c:v>108.97999999999999</c:v>
                </c:pt>
                <c:pt idx="85">
                  <c:v>124.61</c:v>
                </c:pt>
                <c:pt idx="86">
                  <c:v>100.64</c:v>
                </c:pt>
                <c:pt idx="87">
                  <c:v>86.18</c:v>
                </c:pt>
                <c:pt idx="88">
                  <c:v>72.290000000000006</c:v>
                </c:pt>
                <c:pt idx="89">
                  <c:v>85.64</c:v>
                </c:pt>
                <c:pt idx="90">
                  <c:v>72.400000000000006</c:v>
                </c:pt>
                <c:pt idx="91">
                  <c:v>74.819999999999993</c:v>
                </c:pt>
                <c:pt idx="92">
                  <c:v>71.81</c:v>
                </c:pt>
                <c:pt idx="93">
                  <c:v>66.81</c:v>
                </c:pt>
                <c:pt idx="94">
                  <c:v>52.49</c:v>
                </c:pt>
                <c:pt idx="95">
                  <c:v>50.42</c:v>
                </c:pt>
                <c:pt idx="96">
                  <c:v>54.5</c:v>
                </c:pt>
                <c:pt idx="97">
                  <c:v>56.05</c:v>
                </c:pt>
                <c:pt idx="98">
                  <c:v>76.97</c:v>
                </c:pt>
                <c:pt idx="99">
                  <c:v>80.2</c:v>
                </c:pt>
                <c:pt idx="100">
                  <c:v>55.57</c:v>
                </c:pt>
                <c:pt idx="101">
                  <c:v>58.93</c:v>
                </c:pt>
                <c:pt idx="102">
                  <c:v>81.42</c:v>
                </c:pt>
                <c:pt idx="103">
                  <c:v>80.69</c:v>
                </c:pt>
                <c:pt idx="104">
                  <c:v>77.819999999999993</c:v>
                </c:pt>
                <c:pt idx="105">
                  <c:v>74.84</c:v>
                </c:pt>
                <c:pt idx="106">
                  <c:v>76.040000000000006</c:v>
                </c:pt>
                <c:pt idx="107">
                  <c:v>77.17</c:v>
                </c:pt>
                <c:pt idx="108">
                  <c:v>48.51</c:v>
                </c:pt>
                <c:pt idx="109">
                  <c:v>47.57</c:v>
                </c:pt>
                <c:pt idx="110">
                  <c:v>65.44</c:v>
                </c:pt>
                <c:pt idx="111">
                  <c:v>52.28</c:v>
                </c:pt>
                <c:pt idx="112">
                  <c:v>14.19</c:v>
                </c:pt>
                <c:pt idx="113">
                  <c:v>3.1</c:v>
                </c:pt>
                <c:pt idx="114">
                  <c:v>4.33</c:v>
                </c:pt>
                <c:pt idx="115">
                  <c:v>2.95</c:v>
                </c:pt>
                <c:pt idx="116">
                  <c:v>0.57999999999999996</c:v>
                </c:pt>
                <c:pt idx="117">
                  <c:v>33.79</c:v>
                </c:pt>
                <c:pt idx="118">
                  <c:v>35.909999999999997</c:v>
                </c:pt>
                <c:pt idx="119">
                  <c:v>33.65</c:v>
                </c:pt>
                <c:pt idx="120">
                  <c:v>34.82</c:v>
                </c:pt>
                <c:pt idx="121">
                  <c:v>44.65</c:v>
                </c:pt>
                <c:pt idx="122">
                  <c:v>43.81</c:v>
                </c:pt>
                <c:pt idx="123">
                  <c:v>41.08</c:v>
                </c:pt>
                <c:pt idx="124">
                  <c:v>48.36</c:v>
                </c:pt>
                <c:pt idx="125">
                  <c:v>49.42</c:v>
                </c:pt>
                <c:pt idx="126">
                  <c:v>55.74</c:v>
                </c:pt>
                <c:pt idx="127">
                  <c:v>66.55</c:v>
                </c:pt>
                <c:pt idx="128">
                  <c:v>60.92</c:v>
                </c:pt>
                <c:pt idx="129">
                  <c:v>51.05</c:v>
                </c:pt>
                <c:pt idx="130">
                  <c:v>39.909999999999997</c:v>
                </c:pt>
                <c:pt idx="131">
                  <c:v>12.99</c:v>
                </c:pt>
                <c:pt idx="132">
                  <c:v>16.07</c:v>
                </c:pt>
                <c:pt idx="133">
                  <c:v>46.44</c:v>
                </c:pt>
                <c:pt idx="134">
                  <c:v>49.87</c:v>
                </c:pt>
                <c:pt idx="135">
                  <c:v>45.94</c:v>
                </c:pt>
                <c:pt idx="136">
                  <c:v>20.58</c:v>
                </c:pt>
                <c:pt idx="137">
                  <c:v>33.61</c:v>
                </c:pt>
                <c:pt idx="138">
                  <c:v>42.72</c:v>
                </c:pt>
                <c:pt idx="139">
                  <c:v>49.08</c:v>
                </c:pt>
                <c:pt idx="140">
                  <c:v>55.57</c:v>
                </c:pt>
                <c:pt idx="141">
                  <c:v>68.25</c:v>
                </c:pt>
                <c:pt idx="142">
                  <c:v>73.78</c:v>
                </c:pt>
                <c:pt idx="143">
                  <c:v>65.55</c:v>
                </c:pt>
                <c:pt idx="144">
                  <c:v>42.95</c:v>
                </c:pt>
                <c:pt idx="145">
                  <c:v>51.38</c:v>
                </c:pt>
                <c:pt idx="146">
                  <c:v>50.19</c:v>
                </c:pt>
                <c:pt idx="147">
                  <c:v>41.65</c:v>
                </c:pt>
                <c:pt idx="148">
                  <c:v>37.729999999999997</c:v>
                </c:pt>
                <c:pt idx="149">
                  <c:v>38.770000000000003</c:v>
                </c:pt>
                <c:pt idx="150">
                  <c:v>36.5</c:v>
                </c:pt>
                <c:pt idx="151">
                  <c:v>19.89</c:v>
                </c:pt>
                <c:pt idx="152">
                  <c:v>7.96</c:v>
                </c:pt>
                <c:pt idx="153">
                  <c:v>7.22</c:v>
                </c:pt>
                <c:pt idx="154">
                  <c:v>29.03</c:v>
                </c:pt>
                <c:pt idx="155">
                  <c:v>8.69</c:v>
                </c:pt>
                <c:pt idx="156">
                  <c:v>15.46</c:v>
                </c:pt>
                <c:pt idx="157">
                  <c:v>24.93</c:v>
                </c:pt>
                <c:pt idx="158">
                  <c:v>30.6</c:v>
                </c:pt>
                <c:pt idx="159">
                  <c:v>32.79</c:v>
                </c:pt>
                <c:pt idx="160">
                  <c:v>30.95</c:v>
                </c:pt>
                <c:pt idx="161">
                  <c:v>34.56</c:v>
                </c:pt>
                <c:pt idx="162">
                  <c:v>27.25</c:v>
                </c:pt>
                <c:pt idx="163">
                  <c:v>18.98</c:v>
                </c:pt>
                <c:pt idx="164">
                  <c:v>13.29</c:v>
                </c:pt>
                <c:pt idx="165">
                  <c:v>6.85</c:v>
                </c:pt>
                <c:pt idx="166">
                  <c:v>3.08</c:v>
                </c:pt>
                <c:pt idx="167">
                  <c:v>6.34</c:v>
                </c:pt>
                <c:pt idx="168">
                  <c:v>11.33</c:v>
                </c:pt>
                <c:pt idx="169">
                  <c:v>5.83</c:v>
                </c:pt>
                <c:pt idx="170">
                  <c:v>0.11</c:v>
                </c:pt>
                <c:pt idx="171">
                  <c:v>-8.33</c:v>
                </c:pt>
                <c:pt idx="172">
                  <c:v>19.739999999999998</c:v>
                </c:pt>
                <c:pt idx="173">
                  <c:v>21.35</c:v>
                </c:pt>
                <c:pt idx="174">
                  <c:v>19.510000000000002</c:v>
                </c:pt>
                <c:pt idx="175">
                  <c:v>-1.5999999999999996</c:v>
                </c:pt>
                <c:pt idx="176">
                  <c:v>11.42</c:v>
                </c:pt>
                <c:pt idx="177">
                  <c:v>9.8699999999999992</c:v>
                </c:pt>
                <c:pt idx="178">
                  <c:v>3.45</c:v>
                </c:pt>
                <c:pt idx="179">
                  <c:v>0.73</c:v>
                </c:pt>
                <c:pt idx="180">
                  <c:v>-32.32</c:v>
                </c:pt>
                <c:pt idx="181">
                  <c:v>44.01</c:v>
                </c:pt>
                <c:pt idx="182">
                  <c:v>35.22</c:v>
                </c:pt>
                <c:pt idx="183">
                  <c:v>40.17</c:v>
                </c:pt>
                <c:pt idx="184">
                  <c:v>23.9</c:v>
                </c:pt>
                <c:pt idx="185">
                  <c:v>38.72</c:v>
                </c:pt>
                <c:pt idx="186">
                  <c:v>46.02</c:v>
                </c:pt>
                <c:pt idx="187">
                  <c:v>35.270000000000003</c:v>
                </c:pt>
                <c:pt idx="188">
                  <c:v>36.99</c:v>
                </c:pt>
                <c:pt idx="189">
                  <c:v>34.950000000000003</c:v>
                </c:pt>
                <c:pt idx="190">
                  <c:v>37.14</c:v>
                </c:pt>
                <c:pt idx="191">
                  <c:v>39.6</c:v>
                </c:pt>
                <c:pt idx="192">
                  <c:v>38.76</c:v>
                </c:pt>
                <c:pt idx="193">
                  <c:v>40.299999999999997</c:v>
                </c:pt>
                <c:pt idx="194">
                  <c:v>36.35</c:v>
                </c:pt>
                <c:pt idx="195">
                  <c:v>39.49</c:v>
                </c:pt>
                <c:pt idx="196">
                  <c:v>29.66</c:v>
                </c:pt>
                <c:pt idx="197">
                  <c:v>19.37</c:v>
                </c:pt>
                <c:pt idx="198">
                  <c:v>15.240000000000002</c:v>
                </c:pt>
                <c:pt idx="199">
                  <c:v>3.03</c:v>
                </c:pt>
                <c:pt idx="200">
                  <c:v>-9.85</c:v>
                </c:pt>
                <c:pt idx="201">
                  <c:v>18.82</c:v>
                </c:pt>
                <c:pt idx="202">
                  <c:v>20.76</c:v>
                </c:pt>
                <c:pt idx="203">
                  <c:v>22.72</c:v>
                </c:pt>
                <c:pt idx="204">
                  <c:v>19.63</c:v>
                </c:pt>
                <c:pt idx="205">
                  <c:v>29.29</c:v>
                </c:pt>
                <c:pt idx="206">
                  <c:v>39.5</c:v>
                </c:pt>
                <c:pt idx="207">
                  <c:v>46.53</c:v>
                </c:pt>
                <c:pt idx="208">
                  <c:v>42.99</c:v>
                </c:pt>
                <c:pt idx="209">
                  <c:v>42.14</c:v>
                </c:pt>
                <c:pt idx="210">
                  <c:v>57.21</c:v>
                </c:pt>
                <c:pt idx="211">
                  <c:v>71.88</c:v>
                </c:pt>
                <c:pt idx="212">
                  <c:v>18.84</c:v>
                </c:pt>
                <c:pt idx="213">
                  <c:v>22.2</c:v>
                </c:pt>
                <c:pt idx="214">
                  <c:v>33.42</c:v>
                </c:pt>
                <c:pt idx="215">
                  <c:v>15.97</c:v>
                </c:pt>
                <c:pt idx="216">
                  <c:v>16.04</c:v>
                </c:pt>
                <c:pt idx="217">
                  <c:v>30.62</c:v>
                </c:pt>
                <c:pt idx="218">
                  <c:v>32.82</c:v>
                </c:pt>
                <c:pt idx="219">
                  <c:v>20.14</c:v>
                </c:pt>
                <c:pt idx="220">
                  <c:v>-6.98</c:v>
                </c:pt>
                <c:pt idx="221">
                  <c:v>-0.08</c:v>
                </c:pt>
                <c:pt idx="222">
                  <c:v>7.22</c:v>
                </c:pt>
                <c:pt idx="223">
                  <c:v>6.1</c:v>
                </c:pt>
                <c:pt idx="224">
                  <c:v>12.5</c:v>
                </c:pt>
                <c:pt idx="225">
                  <c:v>12.9</c:v>
                </c:pt>
                <c:pt idx="226">
                  <c:v>7.91</c:v>
                </c:pt>
                <c:pt idx="227">
                  <c:v>16.990000000000002</c:v>
                </c:pt>
                <c:pt idx="228">
                  <c:v>7.14</c:v>
                </c:pt>
                <c:pt idx="229">
                  <c:v>4.6499999999999995</c:v>
                </c:pt>
                <c:pt idx="230">
                  <c:v>12.67</c:v>
                </c:pt>
                <c:pt idx="231">
                  <c:v>5.19</c:v>
                </c:pt>
                <c:pt idx="232">
                  <c:v>-5.7899999999999991</c:v>
                </c:pt>
                <c:pt idx="233">
                  <c:v>9.2199999999999989</c:v>
                </c:pt>
                <c:pt idx="234">
                  <c:v>19.2</c:v>
                </c:pt>
                <c:pt idx="235">
                  <c:v>11.7</c:v>
                </c:pt>
                <c:pt idx="236">
                  <c:v>5.97</c:v>
                </c:pt>
                <c:pt idx="237">
                  <c:v>12.42</c:v>
                </c:pt>
                <c:pt idx="238">
                  <c:v>27.39</c:v>
                </c:pt>
                <c:pt idx="239">
                  <c:v>38.39</c:v>
                </c:pt>
                <c:pt idx="240">
                  <c:v>49.44</c:v>
                </c:pt>
                <c:pt idx="241">
                  <c:v>43.88</c:v>
                </c:pt>
                <c:pt idx="242">
                  <c:v>42.81</c:v>
                </c:pt>
                <c:pt idx="243">
                  <c:v>89.25</c:v>
                </c:pt>
                <c:pt idx="244">
                  <c:v>92.2</c:v>
                </c:pt>
                <c:pt idx="245">
                  <c:v>103.33</c:v>
                </c:pt>
                <c:pt idx="246">
                  <c:v>103.09</c:v>
                </c:pt>
                <c:pt idx="247">
                  <c:v>103.59</c:v>
                </c:pt>
                <c:pt idx="248">
                  <c:v>106.46</c:v>
                </c:pt>
                <c:pt idx="249">
                  <c:v>96.69</c:v>
                </c:pt>
                <c:pt idx="250">
                  <c:v>104.58</c:v>
                </c:pt>
                <c:pt idx="251">
                  <c:v>109.06</c:v>
                </c:pt>
                <c:pt idx="252">
                  <c:v>104.17</c:v>
                </c:pt>
                <c:pt idx="253">
                  <c:v>70.209999999999994</c:v>
                </c:pt>
                <c:pt idx="254">
                  <c:v>73.430000000000007</c:v>
                </c:pt>
                <c:pt idx="255">
                  <c:v>100.66</c:v>
                </c:pt>
                <c:pt idx="256">
                  <c:v>103.87</c:v>
                </c:pt>
                <c:pt idx="257">
                  <c:v>92.34</c:v>
                </c:pt>
                <c:pt idx="258">
                  <c:v>92.79</c:v>
                </c:pt>
                <c:pt idx="259">
                  <c:v>103.77</c:v>
                </c:pt>
                <c:pt idx="260">
                  <c:v>90.68</c:v>
                </c:pt>
                <c:pt idx="261">
                  <c:v>102.27</c:v>
                </c:pt>
                <c:pt idx="262">
                  <c:v>89.1</c:v>
                </c:pt>
                <c:pt idx="263">
                  <c:v>89.42</c:v>
                </c:pt>
                <c:pt idx="264">
                  <c:v>90.08</c:v>
                </c:pt>
                <c:pt idx="265">
                  <c:v>85.86</c:v>
                </c:pt>
                <c:pt idx="266">
                  <c:v>85.89</c:v>
                </c:pt>
                <c:pt idx="267">
                  <c:v>73.64</c:v>
                </c:pt>
                <c:pt idx="268">
                  <c:v>77.25</c:v>
                </c:pt>
                <c:pt idx="269">
                  <c:v>91.27</c:v>
                </c:pt>
                <c:pt idx="270">
                  <c:v>92.94</c:v>
                </c:pt>
                <c:pt idx="271">
                  <c:v>93.3</c:v>
                </c:pt>
                <c:pt idx="272">
                  <c:v>91.56</c:v>
                </c:pt>
                <c:pt idx="273">
                  <c:v>103.91</c:v>
                </c:pt>
                <c:pt idx="274">
                  <c:v>74.849999999999994</c:v>
                </c:pt>
                <c:pt idx="275">
                  <c:v>88.3</c:v>
                </c:pt>
                <c:pt idx="276">
                  <c:v>123.28</c:v>
                </c:pt>
                <c:pt idx="277">
                  <c:v>109.76</c:v>
                </c:pt>
                <c:pt idx="278">
                  <c:v>96.85</c:v>
                </c:pt>
                <c:pt idx="279">
                  <c:v>93.46</c:v>
                </c:pt>
                <c:pt idx="280">
                  <c:v>117.57</c:v>
                </c:pt>
                <c:pt idx="281">
                  <c:v>122.17</c:v>
                </c:pt>
                <c:pt idx="282">
                  <c:v>126.19</c:v>
                </c:pt>
                <c:pt idx="283">
                  <c:v>123.47</c:v>
                </c:pt>
                <c:pt idx="284">
                  <c:v>124.97</c:v>
                </c:pt>
                <c:pt idx="285">
                  <c:v>130.08000000000001</c:v>
                </c:pt>
                <c:pt idx="286">
                  <c:v>136.9</c:v>
                </c:pt>
                <c:pt idx="287">
                  <c:v>133.72</c:v>
                </c:pt>
                <c:pt idx="288">
                  <c:v>143.91999999999999</c:v>
                </c:pt>
                <c:pt idx="289">
                  <c:v>130.6</c:v>
                </c:pt>
                <c:pt idx="290">
                  <c:v>137.33000000000001</c:v>
                </c:pt>
                <c:pt idx="291">
                  <c:v>132</c:v>
                </c:pt>
                <c:pt idx="292">
                  <c:v>122.5</c:v>
                </c:pt>
                <c:pt idx="293">
                  <c:v>127.49</c:v>
                </c:pt>
                <c:pt idx="294">
                  <c:v>67.02</c:v>
                </c:pt>
                <c:pt idx="295">
                  <c:v>60.510000000000005</c:v>
                </c:pt>
                <c:pt idx="296">
                  <c:v>73.56</c:v>
                </c:pt>
                <c:pt idx="297">
                  <c:v>144.68</c:v>
                </c:pt>
                <c:pt idx="298">
                  <c:v>144.29</c:v>
                </c:pt>
                <c:pt idx="299">
                  <c:v>128.91999999999999</c:v>
                </c:pt>
                <c:pt idx="300">
                  <c:v>135.5</c:v>
                </c:pt>
                <c:pt idx="301">
                  <c:v>135</c:v>
                </c:pt>
                <c:pt idx="302">
                  <c:v>183.44</c:v>
                </c:pt>
                <c:pt idx="303">
                  <c:v>217.67</c:v>
                </c:pt>
                <c:pt idx="304">
                  <c:v>154.16</c:v>
                </c:pt>
                <c:pt idx="305">
                  <c:v>165.41</c:v>
                </c:pt>
                <c:pt idx="306">
                  <c:v>156.08000000000001</c:v>
                </c:pt>
                <c:pt idx="307">
                  <c:v>155.6</c:v>
                </c:pt>
                <c:pt idx="308">
                  <c:v>185.5</c:v>
                </c:pt>
                <c:pt idx="309">
                  <c:v>153.63</c:v>
                </c:pt>
                <c:pt idx="310">
                  <c:v>158.58000000000001</c:v>
                </c:pt>
                <c:pt idx="311">
                  <c:v>153.12</c:v>
                </c:pt>
                <c:pt idx="312">
                  <c:v>150.63</c:v>
                </c:pt>
                <c:pt idx="313">
                  <c:v>134.32</c:v>
                </c:pt>
                <c:pt idx="314">
                  <c:v>143.04</c:v>
                </c:pt>
                <c:pt idx="315">
                  <c:v>152.87</c:v>
                </c:pt>
                <c:pt idx="316">
                  <c:v>154.09</c:v>
                </c:pt>
                <c:pt idx="317">
                  <c:v>155.63</c:v>
                </c:pt>
                <c:pt idx="318">
                  <c:v>149.88999999999999</c:v>
                </c:pt>
                <c:pt idx="319">
                  <c:v>148.62</c:v>
                </c:pt>
                <c:pt idx="320">
                  <c:v>129.03</c:v>
                </c:pt>
                <c:pt idx="321">
                  <c:v>127.71</c:v>
                </c:pt>
                <c:pt idx="322">
                  <c:v>158.33000000000001</c:v>
                </c:pt>
                <c:pt idx="323">
                  <c:v>162.55000000000001</c:v>
                </c:pt>
                <c:pt idx="324">
                  <c:v>162.05000000000001</c:v>
                </c:pt>
                <c:pt idx="325">
                  <c:v>167.61</c:v>
                </c:pt>
                <c:pt idx="326">
                  <c:v>176.67</c:v>
                </c:pt>
                <c:pt idx="327">
                  <c:v>154.91</c:v>
                </c:pt>
                <c:pt idx="328">
                  <c:v>156.12</c:v>
                </c:pt>
                <c:pt idx="329">
                  <c:v>157.52000000000001</c:v>
                </c:pt>
                <c:pt idx="330">
                  <c:v>161.22999999999999</c:v>
                </c:pt>
                <c:pt idx="331">
                  <c:v>160.74</c:v>
                </c:pt>
                <c:pt idx="332">
                  <c:v>163.26</c:v>
                </c:pt>
                <c:pt idx="333">
                  <c:v>158.99</c:v>
                </c:pt>
                <c:pt idx="334">
                  <c:v>158.83000000000001</c:v>
                </c:pt>
                <c:pt idx="335">
                  <c:v>160.5</c:v>
                </c:pt>
                <c:pt idx="336">
                  <c:v>167.14</c:v>
                </c:pt>
                <c:pt idx="337">
                  <c:v>160.16</c:v>
                </c:pt>
                <c:pt idx="338">
                  <c:v>160.30000000000001</c:v>
                </c:pt>
                <c:pt idx="339">
                  <c:v>159.43</c:v>
                </c:pt>
                <c:pt idx="340">
                  <c:v>155.66999999999999</c:v>
                </c:pt>
                <c:pt idx="341">
                  <c:v>161.88</c:v>
                </c:pt>
                <c:pt idx="342">
                  <c:v>162.37</c:v>
                </c:pt>
                <c:pt idx="343">
                  <c:v>161.63</c:v>
                </c:pt>
                <c:pt idx="344">
                  <c:v>168.04</c:v>
                </c:pt>
                <c:pt idx="345">
                  <c:v>162.88</c:v>
                </c:pt>
                <c:pt idx="346">
                  <c:v>163.66999999999999</c:v>
                </c:pt>
                <c:pt idx="347">
                  <c:v>160.15</c:v>
                </c:pt>
                <c:pt idx="348">
                  <c:v>148.77000000000001</c:v>
                </c:pt>
                <c:pt idx="349">
                  <c:v>152.34</c:v>
                </c:pt>
                <c:pt idx="350">
                  <c:v>162.22</c:v>
                </c:pt>
                <c:pt idx="351">
                  <c:v>170.87</c:v>
                </c:pt>
                <c:pt idx="352">
                  <c:v>165.28</c:v>
                </c:pt>
                <c:pt idx="353">
                  <c:v>161.22</c:v>
                </c:pt>
                <c:pt idx="354">
                  <c:v>161.43</c:v>
                </c:pt>
                <c:pt idx="355">
                  <c:v>190.14</c:v>
                </c:pt>
                <c:pt idx="356">
                  <c:v>183.59</c:v>
                </c:pt>
                <c:pt idx="357">
                  <c:v>200.29</c:v>
                </c:pt>
                <c:pt idx="358">
                  <c:v>191.88</c:v>
                </c:pt>
                <c:pt idx="359">
                  <c:v>188.48</c:v>
                </c:pt>
                <c:pt idx="360">
                  <c:v>191.55</c:v>
                </c:pt>
                <c:pt idx="361">
                  <c:v>161.13</c:v>
                </c:pt>
                <c:pt idx="362">
                  <c:v>159.29</c:v>
                </c:pt>
                <c:pt idx="363">
                  <c:v>158.69999999999999</c:v>
                </c:pt>
                <c:pt idx="364">
                  <c:v>160.07</c:v>
                </c:pt>
                <c:pt idx="365">
                  <c:v>165.29</c:v>
                </c:pt>
                <c:pt idx="366">
                  <c:v>179.08</c:v>
                </c:pt>
                <c:pt idx="367">
                  <c:v>181.49</c:v>
                </c:pt>
                <c:pt idx="368">
                  <c:v>201.87</c:v>
                </c:pt>
                <c:pt idx="369">
                  <c:v>182.62</c:v>
                </c:pt>
                <c:pt idx="370">
                  <c:v>180.97</c:v>
                </c:pt>
                <c:pt idx="371">
                  <c:v>203.48</c:v>
                </c:pt>
                <c:pt idx="372">
                  <c:v>204.87</c:v>
                </c:pt>
                <c:pt idx="373">
                  <c:v>208.54</c:v>
                </c:pt>
                <c:pt idx="374">
                  <c:v>222.63</c:v>
                </c:pt>
                <c:pt idx="375">
                  <c:v>219.92</c:v>
                </c:pt>
                <c:pt idx="376">
                  <c:v>212.33</c:v>
                </c:pt>
                <c:pt idx="377">
                  <c:v>215.78</c:v>
                </c:pt>
                <c:pt idx="378">
                  <c:v>212.64</c:v>
                </c:pt>
                <c:pt idx="379">
                  <c:v>224.07</c:v>
                </c:pt>
                <c:pt idx="380">
                  <c:v>226.38</c:v>
                </c:pt>
                <c:pt idx="381">
                  <c:v>219.55</c:v>
                </c:pt>
                <c:pt idx="382">
                  <c:v>212.73</c:v>
                </c:pt>
                <c:pt idx="383">
                  <c:v>189.19</c:v>
                </c:pt>
                <c:pt idx="384">
                  <c:v>182.34</c:v>
                </c:pt>
                <c:pt idx="385">
                  <c:v>211.62</c:v>
                </c:pt>
                <c:pt idx="386">
                  <c:v>222.01</c:v>
                </c:pt>
                <c:pt idx="387">
                  <c:v>180.5</c:v>
                </c:pt>
                <c:pt idx="388">
                  <c:v>188.61</c:v>
                </c:pt>
                <c:pt idx="389">
                  <c:v>221.06</c:v>
                </c:pt>
                <c:pt idx="390">
                  <c:v>178.6</c:v>
                </c:pt>
                <c:pt idx="391">
                  <c:v>177.72</c:v>
                </c:pt>
                <c:pt idx="392">
                  <c:v>193.26</c:v>
                </c:pt>
                <c:pt idx="393">
                  <c:v>198.47</c:v>
                </c:pt>
                <c:pt idx="394">
                  <c:v>203.9</c:v>
                </c:pt>
                <c:pt idx="395">
                  <c:v>185.61</c:v>
                </c:pt>
                <c:pt idx="396">
                  <c:v>185.85</c:v>
                </c:pt>
                <c:pt idx="397">
                  <c:v>174.36</c:v>
                </c:pt>
                <c:pt idx="398">
                  <c:v>182</c:v>
                </c:pt>
                <c:pt idx="399">
                  <c:v>222.93</c:v>
                </c:pt>
                <c:pt idx="400">
                  <c:v>224.72</c:v>
                </c:pt>
                <c:pt idx="401">
                  <c:v>202.58</c:v>
                </c:pt>
                <c:pt idx="402">
                  <c:v>190</c:v>
                </c:pt>
                <c:pt idx="403">
                  <c:v>188.65</c:v>
                </c:pt>
                <c:pt idx="404">
                  <c:v>189.74</c:v>
                </c:pt>
                <c:pt idx="405">
                  <c:v>187.75</c:v>
                </c:pt>
                <c:pt idx="406">
                  <c:v>203.54</c:v>
                </c:pt>
                <c:pt idx="407">
                  <c:v>200.33</c:v>
                </c:pt>
                <c:pt idx="408">
                  <c:v>196.39</c:v>
                </c:pt>
                <c:pt idx="409">
                  <c:v>206</c:v>
                </c:pt>
                <c:pt idx="410">
                  <c:v>198.87</c:v>
                </c:pt>
                <c:pt idx="411">
                  <c:v>194.39</c:v>
                </c:pt>
                <c:pt idx="412">
                  <c:v>191.87</c:v>
                </c:pt>
                <c:pt idx="413">
                  <c:v>207.04</c:v>
                </c:pt>
                <c:pt idx="414">
                  <c:v>219.7</c:v>
                </c:pt>
                <c:pt idx="415">
                  <c:v>221.01</c:v>
                </c:pt>
                <c:pt idx="416">
                  <c:v>198.67</c:v>
                </c:pt>
                <c:pt idx="417">
                  <c:v>216.83</c:v>
                </c:pt>
                <c:pt idx="418">
                  <c:v>199.93</c:v>
                </c:pt>
                <c:pt idx="419">
                  <c:v>200.45</c:v>
                </c:pt>
                <c:pt idx="420">
                  <c:v>223.05</c:v>
                </c:pt>
                <c:pt idx="421">
                  <c:v>202.66</c:v>
                </c:pt>
                <c:pt idx="422">
                  <c:v>192.15</c:v>
                </c:pt>
                <c:pt idx="423">
                  <c:v>190.69</c:v>
                </c:pt>
                <c:pt idx="424">
                  <c:v>191.17</c:v>
                </c:pt>
                <c:pt idx="425">
                  <c:v>175.97</c:v>
                </c:pt>
                <c:pt idx="426">
                  <c:v>180.58</c:v>
                </c:pt>
                <c:pt idx="427">
                  <c:v>199.31</c:v>
                </c:pt>
                <c:pt idx="428">
                  <c:v>197.51</c:v>
                </c:pt>
                <c:pt idx="429">
                  <c:v>196.52</c:v>
                </c:pt>
                <c:pt idx="430">
                  <c:v>198.78</c:v>
                </c:pt>
                <c:pt idx="431">
                  <c:v>215.51</c:v>
                </c:pt>
                <c:pt idx="432">
                  <c:v>198.63</c:v>
                </c:pt>
                <c:pt idx="433">
                  <c:v>195.96</c:v>
                </c:pt>
                <c:pt idx="434">
                  <c:v>203.9</c:v>
                </c:pt>
                <c:pt idx="435">
                  <c:v>202.54</c:v>
                </c:pt>
                <c:pt idx="436">
                  <c:v>200.19</c:v>
                </c:pt>
                <c:pt idx="437">
                  <c:v>200.95</c:v>
                </c:pt>
                <c:pt idx="438">
                  <c:v>217.63</c:v>
                </c:pt>
                <c:pt idx="439">
                  <c:v>194.2</c:v>
                </c:pt>
                <c:pt idx="440">
                  <c:v>184.33</c:v>
                </c:pt>
                <c:pt idx="441">
                  <c:v>204.35</c:v>
                </c:pt>
                <c:pt idx="442">
                  <c:v>194.83</c:v>
                </c:pt>
                <c:pt idx="443">
                  <c:v>201.89</c:v>
                </c:pt>
                <c:pt idx="444">
                  <c:v>203.7</c:v>
                </c:pt>
                <c:pt idx="445">
                  <c:v>220.82</c:v>
                </c:pt>
                <c:pt idx="446">
                  <c:v>197.79</c:v>
                </c:pt>
                <c:pt idx="447">
                  <c:v>199.66</c:v>
                </c:pt>
                <c:pt idx="448">
                  <c:v>200.05</c:v>
                </c:pt>
                <c:pt idx="449">
                  <c:v>200.07</c:v>
                </c:pt>
                <c:pt idx="450">
                  <c:v>195.68</c:v>
                </c:pt>
                <c:pt idx="451">
                  <c:v>199.21</c:v>
                </c:pt>
                <c:pt idx="452">
                  <c:v>201.48</c:v>
                </c:pt>
                <c:pt idx="453">
                  <c:v>190.64</c:v>
                </c:pt>
                <c:pt idx="454">
                  <c:v>192.95</c:v>
                </c:pt>
                <c:pt idx="455">
                  <c:v>171.31</c:v>
                </c:pt>
                <c:pt idx="456">
                  <c:v>175.04</c:v>
                </c:pt>
                <c:pt idx="457">
                  <c:v>154.36000000000001</c:v>
                </c:pt>
                <c:pt idx="458">
                  <c:v>173.72</c:v>
                </c:pt>
                <c:pt idx="459">
                  <c:v>154.15</c:v>
                </c:pt>
                <c:pt idx="460">
                  <c:v>137.74</c:v>
                </c:pt>
                <c:pt idx="461">
                  <c:v>140.96</c:v>
                </c:pt>
                <c:pt idx="462">
                  <c:v>144.82</c:v>
                </c:pt>
                <c:pt idx="463">
                  <c:v>190.55</c:v>
                </c:pt>
                <c:pt idx="464">
                  <c:v>149.68</c:v>
                </c:pt>
                <c:pt idx="465">
                  <c:v>190.83</c:v>
                </c:pt>
                <c:pt idx="466">
                  <c:v>169.72</c:v>
                </c:pt>
                <c:pt idx="467">
                  <c:v>147.41</c:v>
                </c:pt>
                <c:pt idx="468">
                  <c:v>147.94999999999999</c:v>
                </c:pt>
                <c:pt idx="469">
                  <c:v>134.05000000000001</c:v>
                </c:pt>
                <c:pt idx="470">
                  <c:v>75.8</c:v>
                </c:pt>
                <c:pt idx="471">
                  <c:v>42.41</c:v>
                </c:pt>
                <c:pt idx="472">
                  <c:v>55.95</c:v>
                </c:pt>
                <c:pt idx="473">
                  <c:v>50.76</c:v>
                </c:pt>
                <c:pt idx="474">
                  <c:v>98.39</c:v>
                </c:pt>
                <c:pt idx="475">
                  <c:v>120.85</c:v>
                </c:pt>
                <c:pt idx="476">
                  <c:v>118.17</c:v>
                </c:pt>
                <c:pt idx="477">
                  <c:v>98.74</c:v>
                </c:pt>
                <c:pt idx="478">
                  <c:v>136.22</c:v>
                </c:pt>
                <c:pt idx="479">
                  <c:v>141.83000000000001</c:v>
                </c:pt>
                <c:pt idx="480">
                  <c:v>150.35</c:v>
                </c:pt>
                <c:pt idx="481">
                  <c:v>141.79</c:v>
                </c:pt>
                <c:pt idx="482">
                  <c:v>136.5</c:v>
                </c:pt>
                <c:pt idx="483">
                  <c:v>165.54</c:v>
                </c:pt>
                <c:pt idx="484">
                  <c:v>181.17</c:v>
                </c:pt>
                <c:pt idx="485">
                  <c:v>99.08</c:v>
                </c:pt>
                <c:pt idx="486">
                  <c:v>102.76</c:v>
                </c:pt>
                <c:pt idx="487">
                  <c:v>107.09</c:v>
                </c:pt>
                <c:pt idx="488">
                  <c:v>92.74</c:v>
                </c:pt>
                <c:pt idx="489">
                  <c:v>92.15</c:v>
                </c:pt>
                <c:pt idx="490">
                  <c:v>118.98</c:v>
                </c:pt>
                <c:pt idx="491">
                  <c:v>161.44999999999999</c:v>
                </c:pt>
                <c:pt idx="492">
                  <c:v>123.61</c:v>
                </c:pt>
                <c:pt idx="493">
                  <c:v>123.31</c:v>
                </c:pt>
                <c:pt idx="494">
                  <c:v>129.29</c:v>
                </c:pt>
                <c:pt idx="495">
                  <c:v>5.12</c:v>
                </c:pt>
                <c:pt idx="496">
                  <c:v>120.68</c:v>
                </c:pt>
                <c:pt idx="497">
                  <c:v>129.12</c:v>
                </c:pt>
                <c:pt idx="498">
                  <c:v>146.75</c:v>
                </c:pt>
                <c:pt idx="499">
                  <c:v>143.38999999999999</c:v>
                </c:pt>
                <c:pt idx="500">
                  <c:v>138.93</c:v>
                </c:pt>
                <c:pt idx="501">
                  <c:v>129.13</c:v>
                </c:pt>
                <c:pt idx="502">
                  <c:v>131.87</c:v>
                </c:pt>
                <c:pt idx="503">
                  <c:v>132.31</c:v>
                </c:pt>
                <c:pt idx="504">
                  <c:v>135.85</c:v>
                </c:pt>
                <c:pt idx="505">
                  <c:v>144.16</c:v>
                </c:pt>
                <c:pt idx="506">
                  <c:v>143.68</c:v>
                </c:pt>
                <c:pt idx="507">
                  <c:v>144.18</c:v>
                </c:pt>
                <c:pt idx="508">
                  <c:v>135.33000000000001</c:v>
                </c:pt>
                <c:pt idx="509">
                  <c:v>132.08000000000001</c:v>
                </c:pt>
                <c:pt idx="510">
                  <c:v>133.76</c:v>
                </c:pt>
                <c:pt idx="511">
                  <c:v>112.03</c:v>
                </c:pt>
                <c:pt idx="512">
                  <c:v>124.7</c:v>
                </c:pt>
                <c:pt idx="513">
                  <c:v>121.48</c:v>
                </c:pt>
                <c:pt idx="514">
                  <c:v>129.22</c:v>
                </c:pt>
                <c:pt idx="515">
                  <c:v>141.59</c:v>
                </c:pt>
                <c:pt idx="516">
                  <c:v>116.61</c:v>
                </c:pt>
                <c:pt idx="517">
                  <c:v>110.1</c:v>
                </c:pt>
                <c:pt idx="518">
                  <c:v>106.12</c:v>
                </c:pt>
                <c:pt idx="519">
                  <c:v>114.35</c:v>
                </c:pt>
                <c:pt idx="520">
                  <c:v>120.97</c:v>
                </c:pt>
                <c:pt idx="521">
                  <c:v>118.77</c:v>
                </c:pt>
                <c:pt idx="522">
                  <c:v>118.54</c:v>
                </c:pt>
                <c:pt idx="523">
                  <c:v>122.57</c:v>
                </c:pt>
                <c:pt idx="524">
                  <c:v>121.76</c:v>
                </c:pt>
                <c:pt idx="525">
                  <c:v>83.38</c:v>
                </c:pt>
                <c:pt idx="526">
                  <c:v>89.62</c:v>
                </c:pt>
                <c:pt idx="527">
                  <c:v>105.03</c:v>
                </c:pt>
                <c:pt idx="528">
                  <c:v>91.39</c:v>
                </c:pt>
                <c:pt idx="529">
                  <c:v>94.04</c:v>
                </c:pt>
                <c:pt idx="530">
                  <c:v>72.760000000000005</c:v>
                </c:pt>
                <c:pt idx="531">
                  <c:v>72.7</c:v>
                </c:pt>
                <c:pt idx="532">
                  <c:v>91.13</c:v>
                </c:pt>
                <c:pt idx="533">
                  <c:v>80.86</c:v>
                </c:pt>
                <c:pt idx="534">
                  <c:v>91.04</c:v>
                </c:pt>
                <c:pt idx="535">
                  <c:v>106.24</c:v>
                </c:pt>
                <c:pt idx="536">
                  <c:v>89.19</c:v>
                </c:pt>
                <c:pt idx="537">
                  <c:v>92.49</c:v>
                </c:pt>
                <c:pt idx="538">
                  <c:v>98.68</c:v>
                </c:pt>
                <c:pt idx="539">
                  <c:v>105.68</c:v>
                </c:pt>
                <c:pt idx="540">
                  <c:v>108.12</c:v>
                </c:pt>
                <c:pt idx="541">
                  <c:v>108.94</c:v>
                </c:pt>
                <c:pt idx="542">
                  <c:v>109.66</c:v>
                </c:pt>
                <c:pt idx="543">
                  <c:v>111.73</c:v>
                </c:pt>
                <c:pt idx="544">
                  <c:v>160.26</c:v>
                </c:pt>
                <c:pt idx="545">
                  <c:v>156.58000000000001</c:v>
                </c:pt>
                <c:pt idx="546">
                  <c:v>104.311655</c:v>
                </c:pt>
                <c:pt idx="547">
                  <c:v>111.90629200000001</c:v>
                </c:pt>
                <c:pt idx="548">
                  <c:v>113.25379599999999</c:v>
                </c:pt>
                <c:pt idx="549">
                  <c:v>120.602501</c:v>
                </c:pt>
                <c:pt idx="550">
                  <c:v>127.182773</c:v>
                </c:pt>
                <c:pt idx="551">
                  <c:v>98.393563999999998</c:v>
                </c:pt>
                <c:pt idx="552">
                  <c:v>95.019666999999998</c:v>
                </c:pt>
                <c:pt idx="553">
                  <c:v>130.41446400000001</c:v>
                </c:pt>
                <c:pt idx="554">
                  <c:v>131.631306</c:v>
                </c:pt>
                <c:pt idx="555">
                  <c:v>129.88384500000001</c:v>
                </c:pt>
                <c:pt idx="556">
                  <c:v>126.456232</c:v>
                </c:pt>
                <c:pt idx="557">
                  <c:v>135.36712900000001</c:v>
                </c:pt>
                <c:pt idx="558">
                  <c:v>129.376259</c:v>
                </c:pt>
                <c:pt idx="559">
                  <c:v>115.094652</c:v>
                </c:pt>
                <c:pt idx="560">
                  <c:v>127.01395100000001</c:v>
                </c:pt>
                <c:pt idx="561">
                  <c:v>132.32299599999999</c:v>
                </c:pt>
                <c:pt idx="562">
                  <c:v>129.94404599999999</c:v>
                </c:pt>
                <c:pt idx="563">
                  <c:v>129.12383700000001</c:v>
                </c:pt>
                <c:pt idx="564">
                  <c:v>128.43984</c:v>
                </c:pt>
                <c:pt idx="565">
                  <c:v>133.69991100000001</c:v>
                </c:pt>
                <c:pt idx="566">
                  <c:v>136.82239300000001</c:v>
                </c:pt>
                <c:pt idx="567">
                  <c:v>129.44753400000002</c:v>
                </c:pt>
                <c:pt idx="568">
                  <c:v>128.46285</c:v>
                </c:pt>
                <c:pt idx="569">
                  <c:v>130.08303799999999</c:v>
                </c:pt>
                <c:pt idx="570">
                  <c:v>131.36720399999999</c:v>
                </c:pt>
                <c:pt idx="571">
                  <c:v>131.278942</c:v>
                </c:pt>
                <c:pt idx="572">
                  <c:v>95.546194</c:v>
                </c:pt>
                <c:pt idx="573">
                  <c:v>95.911212000000006</c:v>
                </c:pt>
                <c:pt idx="574">
                  <c:v>132.14578800000001</c:v>
                </c:pt>
                <c:pt idx="575">
                  <c:v>130.119148</c:v>
                </c:pt>
                <c:pt idx="576">
                  <c:v>116.78700900000001</c:v>
                </c:pt>
                <c:pt idx="577">
                  <c:v>148.54490200000001</c:v>
                </c:pt>
                <c:pt idx="578">
                  <c:v>159.12014200000002</c:v>
                </c:pt>
                <c:pt idx="579">
                  <c:v>122.975123</c:v>
                </c:pt>
                <c:pt idx="580">
                  <c:v>124.452575</c:v>
                </c:pt>
                <c:pt idx="581">
                  <c:v>152.52246</c:v>
                </c:pt>
                <c:pt idx="582">
                  <c:v>153.542754</c:v>
                </c:pt>
                <c:pt idx="583">
                  <c:v>168.63451900000001</c:v>
                </c:pt>
                <c:pt idx="584">
                  <c:v>163.180758</c:v>
                </c:pt>
                <c:pt idx="585">
                  <c:v>153.07389900000001</c:v>
                </c:pt>
                <c:pt idx="586">
                  <c:v>139.012033</c:v>
                </c:pt>
                <c:pt idx="587">
                  <c:v>138.53562400000001</c:v>
                </c:pt>
                <c:pt idx="588">
                  <c:v>142.69848500000001</c:v>
                </c:pt>
                <c:pt idx="589">
                  <c:v>151.41423</c:v>
                </c:pt>
                <c:pt idx="590">
                  <c:v>151.09257500000001</c:v>
                </c:pt>
                <c:pt idx="591">
                  <c:v>144.17184499999999</c:v>
                </c:pt>
                <c:pt idx="592">
                  <c:v>139.50716499999999</c:v>
                </c:pt>
                <c:pt idx="593">
                  <c:v>114.85565700000001</c:v>
                </c:pt>
                <c:pt idx="594">
                  <c:v>114.036978</c:v>
                </c:pt>
                <c:pt idx="595">
                  <c:v>135.24201399999998</c:v>
                </c:pt>
                <c:pt idx="596">
                  <c:v>135.78058199999998</c:v>
                </c:pt>
                <c:pt idx="597">
                  <c:v>135.63530900000001</c:v>
                </c:pt>
                <c:pt idx="598">
                  <c:v>135.30040399999999</c:v>
                </c:pt>
                <c:pt idx="599">
                  <c:v>138.45823799999999</c:v>
                </c:pt>
                <c:pt idx="600">
                  <c:v>109.528516</c:v>
                </c:pt>
                <c:pt idx="601">
                  <c:v>111.51530700000001</c:v>
                </c:pt>
                <c:pt idx="602">
                  <c:v>135.67654999999999</c:v>
                </c:pt>
                <c:pt idx="603">
                  <c:v>159.74316199999998</c:v>
                </c:pt>
                <c:pt idx="604">
                  <c:v>181.261009</c:v>
                </c:pt>
                <c:pt idx="605">
                  <c:v>191.78386900000001</c:v>
                </c:pt>
                <c:pt idx="606">
                  <c:v>188.32453000000001</c:v>
                </c:pt>
                <c:pt idx="607">
                  <c:v>128.66333299999999</c:v>
                </c:pt>
                <c:pt idx="608">
                  <c:v>99.449881000000005</c:v>
                </c:pt>
                <c:pt idx="609">
                  <c:v>136.66012499999999</c:v>
                </c:pt>
                <c:pt idx="610">
                  <c:v>160.87036800000001</c:v>
                </c:pt>
                <c:pt idx="611">
                  <c:v>188.96442999999999</c:v>
                </c:pt>
                <c:pt idx="612">
                  <c:v>141.76498699999999</c:v>
                </c:pt>
                <c:pt idx="613">
                  <c:v>134.10330999999999</c:v>
                </c:pt>
                <c:pt idx="614">
                  <c:v>88.439846000000003</c:v>
                </c:pt>
                <c:pt idx="615">
                  <c:v>88.960044999999994</c:v>
                </c:pt>
                <c:pt idx="616">
                  <c:v>132.63126199999999</c:v>
                </c:pt>
                <c:pt idx="617">
                  <c:v>124.00320600000001</c:v>
                </c:pt>
                <c:pt idx="618">
                  <c:v>106.610507</c:v>
                </c:pt>
                <c:pt idx="619">
                  <c:v>119.705941</c:v>
                </c:pt>
                <c:pt idx="620">
                  <c:v>132.552099</c:v>
                </c:pt>
                <c:pt idx="621">
                  <c:v>78.986352999999994</c:v>
                </c:pt>
                <c:pt idx="622">
                  <c:v>77.631730000000005</c:v>
                </c:pt>
                <c:pt idx="623">
                  <c:v>149.35563200000001</c:v>
                </c:pt>
                <c:pt idx="624">
                  <c:v>153.32459299999999</c:v>
                </c:pt>
                <c:pt idx="625">
                  <c:v>169.86568299999999</c:v>
                </c:pt>
                <c:pt idx="626">
                  <c:v>175.813367</c:v>
                </c:pt>
                <c:pt idx="627">
                  <c:v>174.57341700000001</c:v>
                </c:pt>
                <c:pt idx="628">
                  <c:v>124.670435</c:v>
                </c:pt>
                <c:pt idx="629">
                  <c:v>132.546594</c:v>
                </c:pt>
                <c:pt idx="630">
                  <c:v>149.89226500000001</c:v>
                </c:pt>
                <c:pt idx="631">
                  <c:v>148.88136299999999</c:v>
                </c:pt>
                <c:pt idx="632">
                  <c:v>155.24618100000001</c:v>
                </c:pt>
                <c:pt idx="633">
                  <c:v>157.275857</c:v>
                </c:pt>
                <c:pt idx="634">
                  <c:v>159.43030300000001</c:v>
                </c:pt>
                <c:pt idx="635">
                  <c:v>160.78712400000001</c:v>
                </c:pt>
                <c:pt idx="636">
                  <c:v>159.94450499999999</c:v>
                </c:pt>
                <c:pt idx="637">
                  <c:v>158.560102</c:v>
                </c:pt>
              </c:numCache>
            </c:numRef>
          </c:val>
          <c:smooth val="0"/>
          <c:extLst>
            <c:ext xmlns:c16="http://schemas.microsoft.com/office/drawing/2014/chart" uri="{C3380CC4-5D6E-409C-BE32-E72D297353CC}">
              <c16:uniqueId val="{00000006-7882-4F0A-9E24-D1CD5CBAD872}"/>
            </c:ext>
          </c:extLst>
        </c:ser>
        <c:ser>
          <c:idx val="9"/>
          <c:order val="7"/>
          <c:tx>
            <c:strRef>
              <c:f>'[Gráfico en Microsoft PowerPoint]Situacion VIP PIRINEOS'!$J$3</c:f>
              <c:strCache>
                <c:ptCount val="1"/>
                <c:pt idx="0">
                  <c:v>Exit nominated  capacity</c:v>
                </c:pt>
              </c:strCache>
            </c:strRef>
          </c:tx>
          <c:spPr>
            <a:ln w="12700" cap="rnd">
              <a:solidFill>
                <a:srgbClr val="7030A0"/>
              </a:solidFill>
              <a:round/>
            </a:ln>
            <a:effectLst/>
          </c:spPr>
          <c:marker>
            <c:symbol val="none"/>
          </c:marker>
          <c:cat>
            <c:numRef>
              <c:f>'[Gráfico en Microsoft PowerPoint]Situacion VIP PIRINEOS'!$B$4:$B$641</c:f>
              <c:numCache>
                <c:formatCode>m/d/yyyy</c:formatCode>
                <c:ptCount val="638"/>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pt idx="365">
                  <c:v>43466</c:v>
                </c:pt>
                <c:pt idx="366">
                  <c:v>43467</c:v>
                </c:pt>
                <c:pt idx="367">
                  <c:v>43468</c:v>
                </c:pt>
                <c:pt idx="368">
                  <c:v>43469</c:v>
                </c:pt>
                <c:pt idx="369">
                  <c:v>43470</c:v>
                </c:pt>
                <c:pt idx="370">
                  <c:v>43471</c:v>
                </c:pt>
                <c:pt idx="371">
                  <c:v>43472</c:v>
                </c:pt>
                <c:pt idx="372">
                  <c:v>43473</c:v>
                </c:pt>
                <c:pt idx="373">
                  <c:v>43474</c:v>
                </c:pt>
                <c:pt idx="374">
                  <c:v>43475</c:v>
                </c:pt>
                <c:pt idx="375">
                  <c:v>43476</c:v>
                </c:pt>
                <c:pt idx="376">
                  <c:v>43477</c:v>
                </c:pt>
                <c:pt idx="377">
                  <c:v>43478</c:v>
                </c:pt>
                <c:pt idx="378">
                  <c:v>43479</c:v>
                </c:pt>
                <c:pt idx="379">
                  <c:v>43480</c:v>
                </c:pt>
                <c:pt idx="380">
                  <c:v>43481</c:v>
                </c:pt>
                <c:pt idx="381">
                  <c:v>43482</c:v>
                </c:pt>
                <c:pt idx="382">
                  <c:v>43483</c:v>
                </c:pt>
                <c:pt idx="383">
                  <c:v>43484</c:v>
                </c:pt>
                <c:pt idx="384">
                  <c:v>43485</c:v>
                </c:pt>
                <c:pt idx="385">
                  <c:v>43486</c:v>
                </c:pt>
                <c:pt idx="386">
                  <c:v>43487</c:v>
                </c:pt>
                <c:pt idx="387">
                  <c:v>43488</c:v>
                </c:pt>
                <c:pt idx="388">
                  <c:v>43489</c:v>
                </c:pt>
                <c:pt idx="389">
                  <c:v>43490</c:v>
                </c:pt>
                <c:pt idx="390">
                  <c:v>43491</c:v>
                </c:pt>
                <c:pt idx="391">
                  <c:v>43492</c:v>
                </c:pt>
                <c:pt idx="392">
                  <c:v>43493</c:v>
                </c:pt>
                <c:pt idx="393">
                  <c:v>43494</c:v>
                </c:pt>
                <c:pt idx="394">
                  <c:v>43495</c:v>
                </c:pt>
                <c:pt idx="395">
                  <c:v>43496</c:v>
                </c:pt>
                <c:pt idx="396">
                  <c:v>43497</c:v>
                </c:pt>
                <c:pt idx="397">
                  <c:v>43498</c:v>
                </c:pt>
                <c:pt idx="398">
                  <c:v>43499</c:v>
                </c:pt>
                <c:pt idx="399">
                  <c:v>43500</c:v>
                </c:pt>
                <c:pt idx="400">
                  <c:v>43501</c:v>
                </c:pt>
                <c:pt idx="401">
                  <c:v>43502</c:v>
                </c:pt>
                <c:pt idx="402">
                  <c:v>43503</c:v>
                </c:pt>
                <c:pt idx="403">
                  <c:v>43504</c:v>
                </c:pt>
                <c:pt idx="404">
                  <c:v>43505</c:v>
                </c:pt>
                <c:pt idx="405">
                  <c:v>43506</c:v>
                </c:pt>
                <c:pt idx="406">
                  <c:v>43507</c:v>
                </c:pt>
                <c:pt idx="407">
                  <c:v>43508</c:v>
                </c:pt>
                <c:pt idx="408">
                  <c:v>43509</c:v>
                </c:pt>
                <c:pt idx="409">
                  <c:v>43510</c:v>
                </c:pt>
                <c:pt idx="410">
                  <c:v>43511</c:v>
                </c:pt>
                <c:pt idx="411">
                  <c:v>43512</c:v>
                </c:pt>
                <c:pt idx="412">
                  <c:v>43513</c:v>
                </c:pt>
                <c:pt idx="413">
                  <c:v>43514</c:v>
                </c:pt>
                <c:pt idx="414">
                  <c:v>43515</c:v>
                </c:pt>
                <c:pt idx="415">
                  <c:v>43516</c:v>
                </c:pt>
                <c:pt idx="416">
                  <c:v>43517</c:v>
                </c:pt>
                <c:pt idx="417">
                  <c:v>43518</c:v>
                </c:pt>
                <c:pt idx="418">
                  <c:v>43519</c:v>
                </c:pt>
                <c:pt idx="419">
                  <c:v>43520</c:v>
                </c:pt>
                <c:pt idx="420">
                  <c:v>43521</c:v>
                </c:pt>
                <c:pt idx="421">
                  <c:v>43522</c:v>
                </c:pt>
                <c:pt idx="422">
                  <c:v>43523</c:v>
                </c:pt>
                <c:pt idx="423">
                  <c:v>43524</c:v>
                </c:pt>
                <c:pt idx="424">
                  <c:v>43525</c:v>
                </c:pt>
                <c:pt idx="425">
                  <c:v>43526</c:v>
                </c:pt>
                <c:pt idx="426">
                  <c:v>43527</c:v>
                </c:pt>
                <c:pt idx="427">
                  <c:v>43528</c:v>
                </c:pt>
                <c:pt idx="428">
                  <c:v>43529</c:v>
                </c:pt>
                <c:pt idx="429">
                  <c:v>43530</c:v>
                </c:pt>
                <c:pt idx="430">
                  <c:v>43531</c:v>
                </c:pt>
                <c:pt idx="431">
                  <c:v>43532</c:v>
                </c:pt>
                <c:pt idx="432">
                  <c:v>43533</c:v>
                </c:pt>
                <c:pt idx="433">
                  <c:v>43534</c:v>
                </c:pt>
                <c:pt idx="434">
                  <c:v>43535</c:v>
                </c:pt>
                <c:pt idx="435">
                  <c:v>43536</c:v>
                </c:pt>
                <c:pt idx="436">
                  <c:v>43537</c:v>
                </c:pt>
                <c:pt idx="437">
                  <c:v>43538</c:v>
                </c:pt>
                <c:pt idx="438">
                  <c:v>43539</c:v>
                </c:pt>
                <c:pt idx="439">
                  <c:v>43540</c:v>
                </c:pt>
                <c:pt idx="440">
                  <c:v>43541</c:v>
                </c:pt>
                <c:pt idx="441">
                  <c:v>43542</c:v>
                </c:pt>
                <c:pt idx="442">
                  <c:v>43543</c:v>
                </c:pt>
                <c:pt idx="443">
                  <c:v>43544</c:v>
                </c:pt>
                <c:pt idx="444">
                  <c:v>43545</c:v>
                </c:pt>
                <c:pt idx="445">
                  <c:v>43546</c:v>
                </c:pt>
                <c:pt idx="446">
                  <c:v>43547</c:v>
                </c:pt>
                <c:pt idx="447">
                  <c:v>43548</c:v>
                </c:pt>
                <c:pt idx="448">
                  <c:v>43549</c:v>
                </c:pt>
                <c:pt idx="449">
                  <c:v>43550</c:v>
                </c:pt>
                <c:pt idx="450">
                  <c:v>43551</c:v>
                </c:pt>
                <c:pt idx="451">
                  <c:v>43552</c:v>
                </c:pt>
                <c:pt idx="452">
                  <c:v>43553</c:v>
                </c:pt>
                <c:pt idx="453">
                  <c:v>43554</c:v>
                </c:pt>
                <c:pt idx="454">
                  <c:v>43555</c:v>
                </c:pt>
                <c:pt idx="455">
                  <c:v>43556</c:v>
                </c:pt>
                <c:pt idx="456">
                  <c:v>43557</c:v>
                </c:pt>
                <c:pt idx="457">
                  <c:v>43558</c:v>
                </c:pt>
                <c:pt idx="458">
                  <c:v>43559</c:v>
                </c:pt>
                <c:pt idx="459">
                  <c:v>43560</c:v>
                </c:pt>
                <c:pt idx="460">
                  <c:v>43561</c:v>
                </c:pt>
                <c:pt idx="461">
                  <c:v>43562</c:v>
                </c:pt>
                <c:pt idx="462">
                  <c:v>43563</c:v>
                </c:pt>
                <c:pt idx="463">
                  <c:v>43564</c:v>
                </c:pt>
                <c:pt idx="464">
                  <c:v>43565</c:v>
                </c:pt>
                <c:pt idx="465">
                  <c:v>43566</c:v>
                </c:pt>
                <c:pt idx="466">
                  <c:v>43567</c:v>
                </c:pt>
                <c:pt idx="467">
                  <c:v>43568</c:v>
                </c:pt>
                <c:pt idx="468">
                  <c:v>43569</c:v>
                </c:pt>
                <c:pt idx="469">
                  <c:v>43570</c:v>
                </c:pt>
                <c:pt idx="470">
                  <c:v>43571</c:v>
                </c:pt>
                <c:pt idx="471">
                  <c:v>43572</c:v>
                </c:pt>
                <c:pt idx="472">
                  <c:v>43573</c:v>
                </c:pt>
                <c:pt idx="473">
                  <c:v>43574</c:v>
                </c:pt>
                <c:pt idx="474">
                  <c:v>43575</c:v>
                </c:pt>
                <c:pt idx="475">
                  <c:v>43576</c:v>
                </c:pt>
                <c:pt idx="476">
                  <c:v>43577</c:v>
                </c:pt>
                <c:pt idx="477">
                  <c:v>43578</c:v>
                </c:pt>
                <c:pt idx="478">
                  <c:v>43579</c:v>
                </c:pt>
                <c:pt idx="479">
                  <c:v>43580</c:v>
                </c:pt>
                <c:pt idx="480">
                  <c:v>43581</c:v>
                </c:pt>
                <c:pt idx="481">
                  <c:v>43582</c:v>
                </c:pt>
                <c:pt idx="482">
                  <c:v>43583</c:v>
                </c:pt>
                <c:pt idx="483">
                  <c:v>43584</c:v>
                </c:pt>
                <c:pt idx="484">
                  <c:v>43585</c:v>
                </c:pt>
                <c:pt idx="485">
                  <c:v>43586</c:v>
                </c:pt>
                <c:pt idx="486">
                  <c:v>43587</c:v>
                </c:pt>
                <c:pt idx="487">
                  <c:v>43588</c:v>
                </c:pt>
                <c:pt idx="488">
                  <c:v>43589</c:v>
                </c:pt>
                <c:pt idx="489">
                  <c:v>43590</c:v>
                </c:pt>
                <c:pt idx="490">
                  <c:v>43591</c:v>
                </c:pt>
                <c:pt idx="491">
                  <c:v>43592</c:v>
                </c:pt>
                <c:pt idx="492">
                  <c:v>43593</c:v>
                </c:pt>
                <c:pt idx="493">
                  <c:v>43594</c:v>
                </c:pt>
                <c:pt idx="494">
                  <c:v>43595</c:v>
                </c:pt>
                <c:pt idx="495">
                  <c:v>43596</c:v>
                </c:pt>
                <c:pt idx="496">
                  <c:v>43597</c:v>
                </c:pt>
                <c:pt idx="497">
                  <c:v>43598</c:v>
                </c:pt>
                <c:pt idx="498">
                  <c:v>43599</c:v>
                </c:pt>
                <c:pt idx="499">
                  <c:v>43600</c:v>
                </c:pt>
                <c:pt idx="500">
                  <c:v>43601</c:v>
                </c:pt>
                <c:pt idx="501">
                  <c:v>43602</c:v>
                </c:pt>
                <c:pt idx="502">
                  <c:v>43603</c:v>
                </c:pt>
                <c:pt idx="503">
                  <c:v>43604</c:v>
                </c:pt>
                <c:pt idx="504">
                  <c:v>43605</c:v>
                </c:pt>
                <c:pt idx="505">
                  <c:v>43606</c:v>
                </c:pt>
                <c:pt idx="506">
                  <c:v>43607</c:v>
                </c:pt>
                <c:pt idx="507">
                  <c:v>43608</c:v>
                </c:pt>
                <c:pt idx="508">
                  <c:v>43609</c:v>
                </c:pt>
                <c:pt idx="509">
                  <c:v>43610</c:v>
                </c:pt>
                <c:pt idx="510">
                  <c:v>43611</c:v>
                </c:pt>
                <c:pt idx="511">
                  <c:v>43612</c:v>
                </c:pt>
                <c:pt idx="512">
                  <c:v>43613</c:v>
                </c:pt>
                <c:pt idx="513">
                  <c:v>43614</c:v>
                </c:pt>
                <c:pt idx="514">
                  <c:v>43615</c:v>
                </c:pt>
                <c:pt idx="515">
                  <c:v>43616</c:v>
                </c:pt>
                <c:pt idx="516">
                  <c:v>43617</c:v>
                </c:pt>
                <c:pt idx="517">
                  <c:v>43618</c:v>
                </c:pt>
                <c:pt idx="518">
                  <c:v>43619</c:v>
                </c:pt>
                <c:pt idx="519">
                  <c:v>43620</c:v>
                </c:pt>
                <c:pt idx="520">
                  <c:v>43621</c:v>
                </c:pt>
                <c:pt idx="521">
                  <c:v>43622</c:v>
                </c:pt>
                <c:pt idx="522">
                  <c:v>43623</c:v>
                </c:pt>
                <c:pt idx="523">
                  <c:v>43624</c:v>
                </c:pt>
                <c:pt idx="524">
                  <c:v>43625</c:v>
                </c:pt>
                <c:pt idx="525">
                  <c:v>43626</c:v>
                </c:pt>
                <c:pt idx="526">
                  <c:v>43627</c:v>
                </c:pt>
                <c:pt idx="527">
                  <c:v>43628</c:v>
                </c:pt>
                <c:pt idx="528">
                  <c:v>43629</c:v>
                </c:pt>
                <c:pt idx="529">
                  <c:v>43630</c:v>
                </c:pt>
                <c:pt idx="530">
                  <c:v>43631</c:v>
                </c:pt>
                <c:pt idx="531">
                  <c:v>43632</c:v>
                </c:pt>
                <c:pt idx="532">
                  <c:v>43633</c:v>
                </c:pt>
                <c:pt idx="533">
                  <c:v>43634</c:v>
                </c:pt>
                <c:pt idx="534">
                  <c:v>43635</c:v>
                </c:pt>
                <c:pt idx="535">
                  <c:v>43636</c:v>
                </c:pt>
                <c:pt idx="536">
                  <c:v>43637</c:v>
                </c:pt>
                <c:pt idx="537">
                  <c:v>43638</c:v>
                </c:pt>
                <c:pt idx="538">
                  <c:v>43639</c:v>
                </c:pt>
                <c:pt idx="539">
                  <c:v>43640</c:v>
                </c:pt>
                <c:pt idx="540">
                  <c:v>43641</c:v>
                </c:pt>
                <c:pt idx="541">
                  <c:v>43642</c:v>
                </c:pt>
                <c:pt idx="542">
                  <c:v>43643</c:v>
                </c:pt>
                <c:pt idx="543">
                  <c:v>43644</c:v>
                </c:pt>
                <c:pt idx="544">
                  <c:v>43645</c:v>
                </c:pt>
                <c:pt idx="545">
                  <c:v>43646</c:v>
                </c:pt>
                <c:pt idx="546">
                  <c:v>43647</c:v>
                </c:pt>
                <c:pt idx="547">
                  <c:v>43648</c:v>
                </c:pt>
                <c:pt idx="548">
                  <c:v>43649</c:v>
                </c:pt>
                <c:pt idx="549">
                  <c:v>43650</c:v>
                </c:pt>
                <c:pt idx="550">
                  <c:v>43651</c:v>
                </c:pt>
                <c:pt idx="551">
                  <c:v>43652</c:v>
                </c:pt>
                <c:pt idx="552">
                  <c:v>43653</c:v>
                </c:pt>
                <c:pt idx="553">
                  <c:v>43654</c:v>
                </c:pt>
                <c:pt idx="554">
                  <c:v>43655</c:v>
                </c:pt>
                <c:pt idx="555">
                  <c:v>43656</c:v>
                </c:pt>
                <c:pt idx="556">
                  <c:v>43657</c:v>
                </c:pt>
                <c:pt idx="557">
                  <c:v>43658</c:v>
                </c:pt>
                <c:pt idx="558">
                  <c:v>43659</c:v>
                </c:pt>
                <c:pt idx="559">
                  <c:v>43660</c:v>
                </c:pt>
                <c:pt idx="560">
                  <c:v>43661</c:v>
                </c:pt>
                <c:pt idx="561">
                  <c:v>43662</c:v>
                </c:pt>
                <c:pt idx="562">
                  <c:v>43663</c:v>
                </c:pt>
                <c:pt idx="563">
                  <c:v>43664</c:v>
                </c:pt>
                <c:pt idx="564">
                  <c:v>43665</c:v>
                </c:pt>
                <c:pt idx="565">
                  <c:v>43666</c:v>
                </c:pt>
                <c:pt idx="566">
                  <c:v>43667</c:v>
                </c:pt>
                <c:pt idx="567">
                  <c:v>43668</c:v>
                </c:pt>
                <c:pt idx="568">
                  <c:v>43669</c:v>
                </c:pt>
                <c:pt idx="569">
                  <c:v>43670</c:v>
                </c:pt>
                <c:pt idx="570">
                  <c:v>43671</c:v>
                </c:pt>
                <c:pt idx="571">
                  <c:v>43672</c:v>
                </c:pt>
                <c:pt idx="572">
                  <c:v>43673</c:v>
                </c:pt>
                <c:pt idx="573">
                  <c:v>43674</c:v>
                </c:pt>
                <c:pt idx="574">
                  <c:v>43675</c:v>
                </c:pt>
                <c:pt idx="575">
                  <c:v>43676</c:v>
                </c:pt>
                <c:pt idx="576">
                  <c:v>43677</c:v>
                </c:pt>
                <c:pt idx="577">
                  <c:v>43678</c:v>
                </c:pt>
                <c:pt idx="578">
                  <c:v>43679</c:v>
                </c:pt>
                <c:pt idx="579">
                  <c:v>43680</c:v>
                </c:pt>
                <c:pt idx="580">
                  <c:v>43681</c:v>
                </c:pt>
                <c:pt idx="581">
                  <c:v>43682</c:v>
                </c:pt>
                <c:pt idx="582">
                  <c:v>43683</c:v>
                </c:pt>
                <c:pt idx="583">
                  <c:v>43684</c:v>
                </c:pt>
                <c:pt idx="584">
                  <c:v>43685</c:v>
                </c:pt>
                <c:pt idx="585">
                  <c:v>43686</c:v>
                </c:pt>
                <c:pt idx="586">
                  <c:v>43687</c:v>
                </c:pt>
                <c:pt idx="587">
                  <c:v>43688</c:v>
                </c:pt>
                <c:pt idx="588">
                  <c:v>43689</c:v>
                </c:pt>
                <c:pt idx="589">
                  <c:v>43690</c:v>
                </c:pt>
                <c:pt idx="590">
                  <c:v>43691</c:v>
                </c:pt>
                <c:pt idx="591">
                  <c:v>43692</c:v>
                </c:pt>
                <c:pt idx="592">
                  <c:v>43693</c:v>
                </c:pt>
                <c:pt idx="593">
                  <c:v>43694</c:v>
                </c:pt>
                <c:pt idx="594">
                  <c:v>43695</c:v>
                </c:pt>
                <c:pt idx="595">
                  <c:v>43696</c:v>
                </c:pt>
                <c:pt idx="596">
                  <c:v>43697</c:v>
                </c:pt>
                <c:pt idx="597">
                  <c:v>43698</c:v>
                </c:pt>
                <c:pt idx="598">
                  <c:v>43699</c:v>
                </c:pt>
                <c:pt idx="599">
                  <c:v>43700</c:v>
                </c:pt>
                <c:pt idx="600">
                  <c:v>43701</c:v>
                </c:pt>
                <c:pt idx="601">
                  <c:v>43702</c:v>
                </c:pt>
                <c:pt idx="602">
                  <c:v>43703</c:v>
                </c:pt>
                <c:pt idx="603">
                  <c:v>43704</c:v>
                </c:pt>
                <c:pt idx="604">
                  <c:v>43705</c:v>
                </c:pt>
                <c:pt idx="605">
                  <c:v>43706</c:v>
                </c:pt>
                <c:pt idx="606">
                  <c:v>43707</c:v>
                </c:pt>
                <c:pt idx="607">
                  <c:v>43708</c:v>
                </c:pt>
                <c:pt idx="608">
                  <c:v>43709</c:v>
                </c:pt>
                <c:pt idx="609">
                  <c:v>43710</c:v>
                </c:pt>
                <c:pt idx="610">
                  <c:v>43711</c:v>
                </c:pt>
                <c:pt idx="611">
                  <c:v>43712</c:v>
                </c:pt>
                <c:pt idx="612">
                  <c:v>43713</c:v>
                </c:pt>
                <c:pt idx="613">
                  <c:v>43714</c:v>
                </c:pt>
                <c:pt idx="614">
                  <c:v>43715</c:v>
                </c:pt>
                <c:pt idx="615">
                  <c:v>43716</c:v>
                </c:pt>
                <c:pt idx="616">
                  <c:v>43717</c:v>
                </c:pt>
                <c:pt idx="617">
                  <c:v>43718</c:v>
                </c:pt>
                <c:pt idx="618">
                  <c:v>43719</c:v>
                </c:pt>
                <c:pt idx="619">
                  <c:v>43720</c:v>
                </c:pt>
                <c:pt idx="620">
                  <c:v>43721</c:v>
                </c:pt>
                <c:pt idx="621">
                  <c:v>43722</c:v>
                </c:pt>
                <c:pt idx="622">
                  <c:v>43723</c:v>
                </c:pt>
                <c:pt idx="623">
                  <c:v>43724</c:v>
                </c:pt>
                <c:pt idx="624">
                  <c:v>43725</c:v>
                </c:pt>
                <c:pt idx="625">
                  <c:v>43726</c:v>
                </c:pt>
                <c:pt idx="626">
                  <c:v>43727</c:v>
                </c:pt>
                <c:pt idx="627">
                  <c:v>43728</c:v>
                </c:pt>
                <c:pt idx="628">
                  <c:v>43729</c:v>
                </c:pt>
                <c:pt idx="629">
                  <c:v>43730</c:v>
                </c:pt>
                <c:pt idx="630">
                  <c:v>43731</c:v>
                </c:pt>
                <c:pt idx="631">
                  <c:v>43732</c:v>
                </c:pt>
                <c:pt idx="632">
                  <c:v>43733</c:v>
                </c:pt>
                <c:pt idx="633">
                  <c:v>43734</c:v>
                </c:pt>
                <c:pt idx="634">
                  <c:v>43735</c:v>
                </c:pt>
                <c:pt idx="635">
                  <c:v>43736</c:v>
                </c:pt>
                <c:pt idx="636">
                  <c:v>43737</c:v>
                </c:pt>
                <c:pt idx="637">
                  <c:v>43738</c:v>
                </c:pt>
              </c:numCache>
            </c:numRef>
          </c:cat>
          <c:val>
            <c:numRef>
              <c:f>'[Gráfico en Microsoft PowerPoint]Situacion VIP PIRINEOS'!$J$4:$J$641</c:f>
              <c:numCache>
                <c:formatCode>#,##0.00</c:formatCode>
                <c:ptCount val="638"/>
                <c:pt idx="0">
                  <c:v>0</c:v>
                </c:pt>
                <c:pt idx="1">
                  <c:v>0</c:v>
                </c:pt>
                <c:pt idx="2">
                  <c:v>0</c:v>
                </c:pt>
                <c:pt idx="3">
                  <c:v>-4.8124799999999999</c:v>
                </c:pt>
                <c:pt idx="4">
                  <c:v>-1.40364</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-9.8818000000000001</c:v>
                </c:pt>
                <c:pt idx="32">
                  <c:v>0</c:v>
                </c:pt>
                <c:pt idx="33">
                  <c:v>0</c:v>
                </c:pt>
                <c:pt idx="34">
                  <c:v>0</c:v>
                </c:pt>
                <c:pt idx="35">
                  <c:v>0</c:v>
                </c:pt>
                <c:pt idx="36">
                  <c:v>0</c:v>
                </c:pt>
                <c:pt idx="37">
                  <c:v>0</c:v>
                </c:pt>
                <c:pt idx="38">
                  <c:v>0</c:v>
                </c:pt>
                <c:pt idx="39">
                  <c:v>0</c:v>
                </c:pt>
                <c:pt idx="40">
                  <c:v>-14.49376</c:v>
                </c:pt>
                <c:pt idx="41">
                  <c:v>-14.49376</c:v>
                </c:pt>
                <c:pt idx="42">
                  <c:v>0</c:v>
                </c:pt>
                <c:pt idx="43">
                  <c:v>0</c:v>
                </c:pt>
                <c:pt idx="44">
                  <c:v>0</c:v>
                </c:pt>
                <c:pt idx="45">
                  <c:v>0</c:v>
                </c:pt>
                <c:pt idx="46">
                  <c:v>0</c:v>
                </c:pt>
                <c:pt idx="47">
                  <c:v>-14.49376</c:v>
                </c:pt>
                <c:pt idx="48">
                  <c:v>-14.49376</c:v>
                </c:pt>
                <c:pt idx="49">
                  <c:v>0</c:v>
                </c:pt>
                <c:pt idx="50">
                  <c:v>-14.49376</c:v>
                </c:pt>
                <c:pt idx="51">
                  <c:v>-14.49376</c:v>
                </c:pt>
                <c:pt idx="52">
                  <c:v>-14.49376</c:v>
                </c:pt>
                <c:pt idx="53">
                  <c:v>-14.49376</c:v>
                </c:pt>
                <c:pt idx="54">
                  <c:v>-14.49376</c:v>
                </c:pt>
                <c:pt idx="55">
                  <c:v>-17.501560000000001</c:v>
                </c:pt>
                <c:pt idx="56">
                  <c:v>-28.270669999999999</c:v>
                </c:pt>
                <c:pt idx="57">
                  <c:v>-32.487030000000004</c:v>
                </c:pt>
                <c:pt idx="58">
                  <c:v>-86.251748000000006</c:v>
                </c:pt>
                <c:pt idx="59">
                  <c:v>-150.219302</c:v>
                </c:pt>
                <c:pt idx="60">
                  <c:v>-201.70910099999998</c:v>
                </c:pt>
                <c:pt idx="61">
                  <c:v>-53.133442000000002</c:v>
                </c:pt>
                <c:pt idx="62">
                  <c:v>-39.569267000000004</c:v>
                </c:pt>
                <c:pt idx="63">
                  <c:v>-26.630357</c:v>
                </c:pt>
                <c:pt idx="64">
                  <c:v>-11.879856999999999</c:v>
                </c:pt>
                <c:pt idx="65">
                  <c:v>-7.3681570000000001</c:v>
                </c:pt>
                <c:pt idx="66">
                  <c:v>-2.8564569999999998</c:v>
                </c:pt>
                <c:pt idx="67">
                  <c:v>-6.8668570000000004</c:v>
                </c:pt>
                <c:pt idx="68">
                  <c:v>-16.892856999999999</c:v>
                </c:pt>
                <c:pt idx="69">
                  <c:v>-16.892856999999999</c:v>
                </c:pt>
                <c:pt idx="70">
                  <c:v>-16.894856999999998</c:v>
                </c:pt>
                <c:pt idx="71">
                  <c:v>-16.892856999999999</c:v>
                </c:pt>
                <c:pt idx="72">
                  <c:v>-16.892856999999999</c:v>
                </c:pt>
                <c:pt idx="73">
                  <c:v>-16.892856999999999</c:v>
                </c:pt>
                <c:pt idx="74">
                  <c:v>-16.892856999999999</c:v>
                </c:pt>
                <c:pt idx="75">
                  <c:v>-16.892856999999999</c:v>
                </c:pt>
                <c:pt idx="76">
                  <c:v>-16.892856999999999</c:v>
                </c:pt>
                <c:pt idx="77">
                  <c:v>-16.892856999999999</c:v>
                </c:pt>
                <c:pt idx="78">
                  <c:v>-16.892856999999999</c:v>
                </c:pt>
                <c:pt idx="79">
                  <c:v>-11.879856999999999</c:v>
                </c:pt>
                <c:pt idx="80">
                  <c:v>-16.892856999999999</c:v>
                </c:pt>
                <c:pt idx="81">
                  <c:v>0</c:v>
                </c:pt>
                <c:pt idx="82">
                  <c:v>-16.892856999999999</c:v>
                </c:pt>
                <c:pt idx="83">
                  <c:v>-16.892856999999999</c:v>
                </c:pt>
                <c:pt idx="84">
                  <c:v>-8.4710169999999998</c:v>
                </c:pt>
                <c:pt idx="85">
                  <c:v>0</c:v>
                </c:pt>
                <c:pt idx="86">
                  <c:v>-12.882457</c:v>
                </c:pt>
                <c:pt idx="87">
                  <c:v>-18.597276999999998</c:v>
                </c:pt>
                <c:pt idx="88">
                  <c:v>-26.929435000000002</c:v>
                </c:pt>
                <c:pt idx="89">
                  <c:v>-16.892856999999999</c:v>
                </c:pt>
                <c:pt idx="90">
                  <c:v>-15.484019999999999</c:v>
                </c:pt>
                <c:pt idx="91">
                  <c:v>-15.484019999999999</c:v>
                </c:pt>
                <c:pt idx="92">
                  <c:v>-17.486578999999999</c:v>
                </c:pt>
                <c:pt idx="93">
                  <c:v>-17.486578999999999</c:v>
                </c:pt>
                <c:pt idx="94">
                  <c:v>-19.840684</c:v>
                </c:pt>
                <c:pt idx="95">
                  <c:v>-22.240684000000002</c:v>
                </c:pt>
                <c:pt idx="96">
                  <c:v>-19.886579000000001</c:v>
                </c:pt>
                <c:pt idx="97">
                  <c:v>-19.886579000000001</c:v>
                </c:pt>
                <c:pt idx="98">
                  <c:v>-10.525138999999999</c:v>
                </c:pt>
                <c:pt idx="99">
                  <c:v>-10.525138999999999</c:v>
                </c:pt>
                <c:pt idx="100">
                  <c:v>-24.025138999999999</c:v>
                </c:pt>
                <c:pt idx="101">
                  <c:v>-20.955964999999999</c:v>
                </c:pt>
                <c:pt idx="102">
                  <c:v>-16.846757</c:v>
                </c:pt>
                <c:pt idx="103">
                  <c:v>-10.525138999999999</c:v>
                </c:pt>
                <c:pt idx="104">
                  <c:v>-10.525138999999999</c:v>
                </c:pt>
                <c:pt idx="105">
                  <c:v>-10.525138999999999</c:v>
                </c:pt>
                <c:pt idx="106">
                  <c:v>-17.443079000000001</c:v>
                </c:pt>
                <c:pt idx="107">
                  <c:v>-10.525138999999999</c:v>
                </c:pt>
                <c:pt idx="108">
                  <c:v>-21.448278999999999</c:v>
                </c:pt>
                <c:pt idx="109">
                  <c:v>-19.448278999999999</c:v>
                </c:pt>
                <c:pt idx="110">
                  <c:v>-19.448278999999999</c:v>
                </c:pt>
                <c:pt idx="111">
                  <c:v>-19.448278999999999</c:v>
                </c:pt>
                <c:pt idx="112">
                  <c:v>-17.443079000000001</c:v>
                </c:pt>
                <c:pt idx="113">
                  <c:v>-20.739628</c:v>
                </c:pt>
                <c:pt idx="114">
                  <c:v>-23.245884</c:v>
                </c:pt>
                <c:pt idx="115">
                  <c:v>-24.245884</c:v>
                </c:pt>
                <c:pt idx="116">
                  <c:v>-24.245884</c:v>
                </c:pt>
                <c:pt idx="117">
                  <c:v>-28.202383999999999</c:v>
                </c:pt>
                <c:pt idx="118">
                  <c:v>-28.202383999999999</c:v>
                </c:pt>
                <c:pt idx="119">
                  <c:v>-24.802384</c:v>
                </c:pt>
                <c:pt idx="120">
                  <c:v>-23.002383999999999</c:v>
                </c:pt>
                <c:pt idx="121">
                  <c:v>-17.087043999999999</c:v>
                </c:pt>
                <c:pt idx="122">
                  <c:v>-17.087043999999999</c:v>
                </c:pt>
                <c:pt idx="123">
                  <c:v>-23.002383999999999</c:v>
                </c:pt>
                <c:pt idx="124">
                  <c:v>-14.732939</c:v>
                </c:pt>
                <c:pt idx="125">
                  <c:v>-15.041740000000001</c:v>
                </c:pt>
                <c:pt idx="126">
                  <c:v>-14.732939</c:v>
                </c:pt>
                <c:pt idx="127">
                  <c:v>-12.727739</c:v>
                </c:pt>
                <c:pt idx="128">
                  <c:v>-12.727739</c:v>
                </c:pt>
                <c:pt idx="129">
                  <c:v>-14.732939</c:v>
                </c:pt>
                <c:pt idx="130">
                  <c:v>-22.087043999999999</c:v>
                </c:pt>
                <c:pt idx="131">
                  <c:v>-45.482384000000003</c:v>
                </c:pt>
                <c:pt idx="132">
                  <c:v>-42.525232000000003</c:v>
                </c:pt>
                <c:pt idx="133">
                  <c:v>-17.740739000000001</c:v>
                </c:pt>
                <c:pt idx="134">
                  <c:v>-20.648278999999999</c:v>
                </c:pt>
                <c:pt idx="135">
                  <c:v>-18.743338999999999</c:v>
                </c:pt>
                <c:pt idx="136">
                  <c:v>-37.534179000000002</c:v>
                </c:pt>
                <c:pt idx="137">
                  <c:v>-35.682067000000004</c:v>
                </c:pt>
                <c:pt idx="138">
                  <c:v>-24.902698999999998</c:v>
                </c:pt>
                <c:pt idx="139">
                  <c:v>-24.902698999999998</c:v>
                </c:pt>
                <c:pt idx="140">
                  <c:v>-21.694379000000001</c:v>
                </c:pt>
                <c:pt idx="141">
                  <c:v>-17.892856999999999</c:v>
                </c:pt>
                <c:pt idx="142">
                  <c:v>-19.689178999999999</c:v>
                </c:pt>
                <c:pt idx="143">
                  <c:v>-19.689178999999999</c:v>
                </c:pt>
                <c:pt idx="144">
                  <c:v>-28.081879000000001</c:v>
                </c:pt>
                <c:pt idx="145">
                  <c:v>-21.694379000000001</c:v>
                </c:pt>
                <c:pt idx="146">
                  <c:v>-21.694379000000001</c:v>
                </c:pt>
                <c:pt idx="147">
                  <c:v>-30.266608999999999</c:v>
                </c:pt>
                <c:pt idx="148">
                  <c:v>-25.203479000000002</c:v>
                </c:pt>
                <c:pt idx="149">
                  <c:v>-34.327139000000003</c:v>
                </c:pt>
                <c:pt idx="150">
                  <c:v>-33.725597999999998</c:v>
                </c:pt>
                <c:pt idx="151">
                  <c:v>-49.542743999999999</c:v>
                </c:pt>
                <c:pt idx="152">
                  <c:v>-60.089528000000001</c:v>
                </c:pt>
                <c:pt idx="153">
                  <c:v>-60.089528000000001</c:v>
                </c:pt>
                <c:pt idx="154">
                  <c:v>-42.304132000000003</c:v>
                </c:pt>
                <c:pt idx="155">
                  <c:v>-55.750253000000001</c:v>
                </c:pt>
                <c:pt idx="156">
                  <c:v>-50.235413000000001</c:v>
                </c:pt>
                <c:pt idx="157">
                  <c:v>-48.901347999999999</c:v>
                </c:pt>
                <c:pt idx="158">
                  <c:v>-45.783262000000001</c:v>
                </c:pt>
                <c:pt idx="159">
                  <c:v>-41.883147999999998</c:v>
                </c:pt>
                <c:pt idx="160">
                  <c:v>-41.883147999999998</c:v>
                </c:pt>
                <c:pt idx="161">
                  <c:v>-40.278987999999998</c:v>
                </c:pt>
                <c:pt idx="162">
                  <c:v>-44.018116999999997</c:v>
                </c:pt>
                <c:pt idx="163">
                  <c:v>-48.247653</c:v>
                </c:pt>
                <c:pt idx="164">
                  <c:v>-57.916947999999998</c:v>
                </c:pt>
                <c:pt idx="165">
                  <c:v>-59.495306999999997</c:v>
                </c:pt>
                <c:pt idx="166">
                  <c:v>-61.268453000000001</c:v>
                </c:pt>
                <c:pt idx="167">
                  <c:v>-61.268453000000001</c:v>
                </c:pt>
                <c:pt idx="168">
                  <c:v>-55.152593000000003</c:v>
                </c:pt>
                <c:pt idx="169">
                  <c:v>-78.358114999999998</c:v>
                </c:pt>
                <c:pt idx="170">
                  <c:v>-71.761752999999999</c:v>
                </c:pt>
                <c:pt idx="171">
                  <c:v>-62.261642000000002</c:v>
                </c:pt>
                <c:pt idx="172">
                  <c:v>-42.388148000000001</c:v>
                </c:pt>
                <c:pt idx="173">
                  <c:v>-46.242252999999998</c:v>
                </c:pt>
                <c:pt idx="174">
                  <c:v>-48.247453</c:v>
                </c:pt>
                <c:pt idx="175">
                  <c:v>-72.770853000000002</c:v>
                </c:pt>
                <c:pt idx="176">
                  <c:v>-57.108947999999998</c:v>
                </c:pt>
                <c:pt idx="177">
                  <c:v>-57.937240000000003</c:v>
                </c:pt>
                <c:pt idx="178">
                  <c:v>-65.943034999999995</c:v>
                </c:pt>
                <c:pt idx="179">
                  <c:v>-76.696803000000003</c:v>
                </c:pt>
                <c:pt idx="180">
                  <c:v>-99.196984000000015</c:v>
                </c:pt>
                <c:pt idx="181">
                  <c:v>-23.200583000000002</c:v>
                </c:pt>
                <c:pt idx="182">
                  <c:v>-28.01163</c:v>
                </c:pt>
                <c:pt idx="183">
                  <c:v>-32.839140999999998</c:v>
                </c:pt>
                <c:pt idx="184">
                  <c:v>-40.932797999999998</c:v>
                </c:pt>
                <c:pt idx="185">
                  <c:v>-41.163245000000003</c:v>
                </c:pt>
                <c:pt idx="186">
                  <c:v>-23.296216999999999</c:v>
                </c:pt>
                <c:pt idx="187">
                  <c:v>-33.290609000000003</c:v>
                </c:pt>
                <c:pt idx="188">
                  <c:v>-30.290609</c:v>
                </c:pt>
                <c:pt idx="189">
                  <c:v>-32.303609000000002</c:v>
                </c:pt>
                <c:pt idx="190">
                  <c:v>-28.306208999999999</c:v>
                </c:pt>
                <c:pt idx="191">
                  <c:v>-27.062985000000001</c:v>
                </c:pt>
                <c:pt idx="192">
                  <c:v>-32.316609</c:v>
                </c:pt>
                <c:pt idx="193">
                  <c:v>-25.028061000000001</c:v>
                </c:pt>
                <c:pt idx="194">
                  <c:v>-30.010608999999999</c:v>
                </c:pt>
                <c:pt idx="195">
                  <c:v>-30.010608999999999</c:v>
                </c:pt>
                <c:pt idx="196">
                  <c:v>-39.319563000000002</c:v>
                </c:pt>
                <c:pt idx="197">
                  <c:v>-52.624065000000002</c:v>
                </c:pt>
                <c:pt idx="198">
                  <c:v>-54.493175000000001</c:v>
                </c:pt>
                <c:pt idx="199">
                  <c:v>-58.941308999999997</c:v>
                </c:pt>
                <c:pt idx="200">
                  <c:v>-81.872489000000002</c:v>
                </c:pt>
                <c:pt idx="201">
                  <c:v>-48.784658999999998</c:v>
                </c:pt>
                <c:pt idx="202">
                  <c:v>-47.784658999999998</c:v>
                </c:pt>
                <c:pt idx="203">
                  <c:v>-45.461975000000002</c:v>
                </c:pt>
                <c:pt idx="204">
                  <c:v>-47.639862999999998</c:v>
                </c:pt>
                <c:pt idx="205">
                  <c:v>-40.842658999999998</c:v>
                </c:pt>
                <c:pt idx="206">
                  <c:v>-37.734175</c:v>
                </c:pt>
                <c:pt idx="207">
                  <c:v>-37.483525</c:v>
                </c:pt>
                <c:pt idx="208">
                  <c:v>-32.938575</c:v>
                </c:pt>
                <c:pt idx="209">
                  <c:v>-31.438575</c:v>
                </c:pt>
                <c:pt idx="210">
                  <c:v>-24.689934000000001</c:v>
                </c:pt>
                <c:pt idx="211">
                  <c:v>-25.452324999999998</c:v>
                </c:pt>
                <c:pt idx="212">
                  <c:v>-56.737822000000001</c:v>
                </c:pt>
                <c:pt idx="213">
                  <c:v>-54.384824999999999</c:v>
                </c:pt>
                <c:pt idx="214">
                  <c:v>-51.984825000000001</c:v>
                </c:pt>
                <c:pt idx="215">
                  <c:v>-54.290804999999999</c:v>
                </c:pt>
                <c:pt idx="216">
                  <c:v>-54.330908999999998</c:v>
                </c:pt>
                <c:pt idx="217">
                  <c:v>-49.979624999999999</c:v>
                </c:pt>
                <c:pt idx="218">
                  <c:v>-48.979624999999999</c:v>
                </c:pt>
                <c:pt idx="219">
                  <c:v>-52.365813000000003</c:v>
                </c:pt>
                <c:pt idx="220">
                  <c:v>-74.617033000000006</c:v>
                </c:pt>
                <c:pt idx="221">
                  <c:v>-68.399613000000002</c:v>
                </c:pt>
                <c:pt idx="222">
                  <c:v>-61.890512999999999</c:v>
                </c:pt>
                <c:pt idx="223">
                  <c:v>-60.887912999999998</c:v>
                </c:pt>
                <c:pt idx="224">
                  <c:v>-53.869712999999997</c:v>
                </c:pt>
                <c:pt idx="225">
                  <c:v>-54.371012999999998</c:v>
                </c:pt>
                <c:pt idx="226">
                  <c:v>-59.376213</c:v>
                </c:pt>
                <c:pt idx="227">
                  <c:v>-51.484825000000001</c:v>
                </c:pt>
                <c:pt idx="228">
                  <c:v>-65.644413</c:v>
                </c:pt>
                <c:pt idx="229">
                  <c:v>-57.378813000000001</c:v>
                </c:pt>
                <c:pt idx="230">
                  <c:v>-54.371012999999998</c:v>
                </c:pt>
                <c:pt idx="231">
                  <c:v>-61.389212999999998</c:v>
                </c:pt>
                <c:pt idx="232">
                  <c:v>-72.904813000000004</c:v>
                </c:pt>
                <c:pt idx="233">
                  <c:v>-63.511344999999999</c:v>
                </c:pt>
                <c:pt idx="234">
                  <c:v>-53.939895</c:v>
                </c:pt>
                <c:pt idx="235">
                  <c:v>-52.365813000000003</c:v>
                </c:pt>
                <c:pt idx="236">
                  <c:v>-61.389212999999998</c:v>
                </c:pt>
                <c:pt idx="237">
                  <c:v>-59.003025000000001</c:v>
                </c:pt>
                <c:pt idx="238">
                  <c:v>-51.984825000000001</c:v>
                </c:pt>
                <c:pt idx="239">
                  <c:v>-48.479624999999999</c:v>
                </c:pt>
                <c:pt idx="240">
                  <c:v>-42.979624999999999</c:v>
                </c:pt>
                <c:pt idx="241">
                  <c:v>-49.979624999999999</c:v>
                </c:pt>
                <c:pt idx="242">
                  <c:v>-49.979624999999999</c:v>
                </c:pt>
                <c:pt idx="243">
                  <c:v>-17.892856999999999</c:v>
                </c:pt>
                <c:pt idx="244">
                  <c:v>-17.892856999999999</c:v>
                </c:pt>
                <c:pt idx="245">
                  <c:v>-17.892856999999999</c:v>
                </c:pt>
                <c:pt idx="246">
                  <c:v>-17.892856999999999</c:v>
                </c:pt>
                <c:pt idx="247">
                  <c:v>-17.892856999999999</c:v>
                </c:pt>
                <c:pt idx="248">
                  <c:v>-17.892856999999999</c:v>
                </c:pt>
                <c:pt idx="249">
                  <c:v>-17.892856999999999</c:v>
                </c:pt>
                <c:pt idx="250">
                  <c:v>-17.892856999999999</c:v>
                </c:pt>
                <c:pt idx="251">
                  <c:v>-17.892856999999999</c:v>
                </c:pt>
                <c:pt idx="252">
                  <c:v>-17.892856999999999</c:v>
                </c:pt>
                <c:pt idx="253">
                  <c:v>-22.103777000000001</c:v>
                </c:pt>
                <c:pt idx="254">
                  <c:v>-23.908456999999999</c:v>
                </c:pt>
                <c:pt idx="255">
                  <c:v>-17.892856999999999</c:v>
                </c:pt>
                <c:pt idx="256">
                  <c:v>-17.892856999999999</c:v>
                </c:pt>
                <c:pt idx="257">
                  <c:v>-17.892856999999999</c:v>
                </c:pt>
                <c:pt idx="258">
                  <c:v>-17.892856999999999</c:v>
                </c:pt>
                <c:pt idx="259">
                  <c:v>-17.892856999999999</c:v>
                </c:pt>
                <c:pt idx="260">
                  <c:v>-17.892856999999999</c:v>
                </c:pt>
                <c:pt idx="261">
                  <c:v>-17.892856999999999</c:v>
                </c:pt>
                <c:pt idx="262">
                  <c:v>-17.892856999999999</c:v>
                </c:pt>
                <c:pt idx="263">
                  <c:v>-17.892856999999999</c:v>
                </c:pt>
                <c:pt idx="264">
                  <c:v>-17.892856999999999</c:v>
                </c:pt>
                <c:pt idx="265">
                  <c:v>-17.892856999999999</c:v>
                </c:pt>
                <c:pt idx="266">
                  <c:v>-20.900656999999999</c:v>
                </c:pt>
                <c:pt idx="267">
                  <c:v>-22.905857000000001</c:v>
                </c:pt>
                <c:pt idx="268">
                  <c:v>-22.905857000000001</c:v>
                </c:pt>
                <c:pt idx="269">
                  <c:v>-17.892856999999999</c:v>
                </c:pt>
                <c:pt idx="270">
                  <c:v>-17.892856999999999</c:v>
                </c:pt>
                <c:pt idx="271">
                  <c:v>-17.892856999999999</c:v>
                </c:pt>
                <c:pt idx="272">
                  <c:v>-17.892856999999999</c:v>
                </c:pt>
                <c:pt idx="273">
                  <c:v>-27.918856999999999</c:v>
                </c:pt>
                <c:pt idx="274">
                  <c:v>-43.970837000000003</c:v>
                </c:pt>
                <c:pt idx="275">
                  <c:v>-22.905857000000001</c:v>
                </c:pt>
                <c:pt idx="276">
                  <c:v>-17.892856999999999</c:v>
                </c:pt>
                <c:pt idx="277">
                  <c:v>-17.892856999999999</c:v>
                </c:pt>
                <c:pt idx="278">
                  <c:v>-19.898057000000001</c:v>
                </c:pt>
                <c:pt idx="279">
                  <c:v>-19.898057000000001</c:v>
                </c:pt>
                <c:pt idx="280">
                  <c:v>-17.892856999999999</c:v>
                </c:pt>
                <c:pt idx="281">
                  <c:v>-17.892856999999999</c:v>
                </c:pt>
                <c:pt idx="282">
                  <c:v>-17.892856999999999</c:v>
                </c:pt>
                <c:pt idx="283">
                  <c:v>-17.892856999999999</c:v>
                </c:pt>
                <c:pt idx="284">
                  <c:v>-17.892856999999999</c:v>
                </c:pt>
                <c:pt idx="285">
                  <c:v>-17.892856999999999</c:v>
                </c:pt>
                <c:pt idx="286">
                  <c:v>-17.892856999999999</c:v>
                </c:pt>
                <c:pt idx="287">
                  <c:v>-17.892856999999999</c:v>
                </c:pt>
                <c:pt idx="288">
                  <c:v>-17.892856999999999</c:v>
                </c:pt>
                <c:pt idx="289">
                  <c:v>-17.892856999999999</c:v>
                </c:pt>
                <c:pt idx="290">
                  <c:v>-17.892856999999999</c:v>
                </c:pt>
                <c:pt idx="291">
                  <c:v>-17.892856999999999</c:v>
                </c:pt>
                <c:pt idx="292">
                  <c:v>-26.515217</c:v>
                </c:pt>
                <c:pt idx="293">
                  <c:v>-19.396757000000001</c:v>
                </c:pt>
                <c:pt idx="294">
                  <c:v>-23.206637000000001</c:v>
                </c:pt>
                <c:pt idx="295">
                  <c:v>-17.892856999999999</c:v>
                </c:pt>
                <c:pt idx="296">
                  <c:v>-17.892856999999999</c:v>
                </c:pt>
                <c:pt idx="297">
                  <c:v>-17.892856999999999</c:v>
                </c:pt>
                <c:pt idx="298">
                  <c:v>-17.892856999999999</c:v>
                </c:pt>
                <c:pt idx="299">
                  <c:v>-17.892856999999999</c:v>
                </c:pt>
                <c:pt idx="300">
                  <c:v>-17.892856999999999</c:v>
                </c:pt>
                <c:pt idx="301">
                  <c:v>-17.892856999999999</c:v>
                </c:pt>
                <c:pt idx="302">
                  <c:v>-5.8616570000000001</c:v>
                </c:pt>
                <c:pt idx="303">
                  <c:v>-0.84865699999999999</c:v>
                </c:pt>
                <c:pt idx="304">
                  <c:v>-8.8693570000000008</c:v>
                </c:pt>
                <c:pt idx="305">
                  <c:v>-8.8693570000000008</c:v>
                </c:pt>
                <c:pt idx="306">
                  <c:v>-8.8693570000000008</c:v>
                </c:pt>
                <c:pt idx="307">
                  <c:v>-8.8693570000000008</c:v>
                </c:pt>
                <c:pt idx="308">
                  <c:v>-8.8693570000000008</c:v>
                </c:pt>
                <c:pt idx="309">
                  <c:v>-8.8693570000000008</c:v>
                </c:pt>
                <c:pt idx="310">
                  <c:v>-8.8693570000000008</c:v>
                </c:pt>
                <c:pt idx="311">
                  <c:v>-8.8693570000000008</c:v>
                </c:pt>
                <c:pt idx="312">
                  <c:v>-8.8693570000000008</c:v>
                </c:pt>
                <c:pt idx="313">
                  <c:v>-8.8693570000000008</c:v>
                </c:pt>
                <c:pt idx="314">
                  <c:v>-8.8693570000000008</c:v>
                </c:pt>
                <c:pt idx="315">
                  <c:v>-8.8693570000000008</c:v>
                </c:pt>
                <c:pt idx="316">
                  <c:v>-8.8693570000000008</c:v>
                </c:pt>
                <c:pt idx="317">
                  <c:v>-8.8693570000000008</c:v>
                </c:pt>
                <c:pt idx="318">
                  <c:v>-8.8693570000000008</c:v>
                </c:pt>
                <c:pt idx="319">
                  <c:v>-8.8693570000000008</c:v>
                </c:pt>
                <c:pt idx="320">
                  <c:v>-15.887556999999999</c:v>
                </c:pt>
                <c:pt idx="321">
                  <c:v>-15.887556999999999</c:v>
                </c:pt>
                <c:pt idx="322">
                  <c:v>-5.8615570000000004</c:v>
                </c:pt>
                <c:pt idx="323">
                  <c:v>0</c:v>
                </c:pt>
                <c:pt idx="324">
                  <c:v>-3.856357</c:v>
                </c:pt>
                <c:pt idx="325">
                  <c:v>0</c:v>
                </c:pt>
                <c:pt idx="326">
                  <c:v>-4.6476999999999997E-2</c:v>
                </c:pt>
                <c:pt idx="327">
                  <c:v>-8.8693570000000008</c:v>
                </c:pt>
                <c:pt idx="328">
                  <c:v>-8.8693570000000008</c:v>
                </c:pt>
                <c:pt idx="329">
                  <c:v>-8.8693570000000008</c:v>
                </c:pt>
                <c:pt idx="330">
                  <c:v>-8.8693570000000008</c:v>
                </c:pt>
                <c:pt idx="331">
                  <c:v>-4.6476999999999997E-2</c:v>
                </c:pt>
                <c:pt idx="332">
                  <c:v>-5.8615570000000004</c:v>
                </c:pt>
                <c:pt idx="333">
                  <c:v>-8.8693570000000008</c:v>
                </c:pt>
                <c:pt idx="334">
                  <c:v>-7.8668570000000004</c:v>
                </c:pt>
                <c:pt idx="335">
                  <c:v>-7.8668570000000004</c:v>
                </c:pt>
                <c:pt idx="336">
                  <c:v>-6.4431649999999996</c:v>
                </c:pt>
                <c:pt idx="337">
                  <c:v>-1.8913610000000001</c:v>
                </c:pt>
                <c:pt idx="338">
                  <c:v>-1.8512569999999999</c:v>
                </c:pt>
                <c:pt idx="339">
                  <c:v>-7.8668570000000004</c:v>
                </c:pt>
                <c:pt idx="340">
                  <c:v>-7.8668570000000004</c:v>
                </c:pt>
                <c:pt idx="341">
                  <c:v>-7.8668570000000004</c:v>
                </c:pt>
                <c:pt idx="342">
                  <c:v>-7.8668570000000004</c:v>
                </c:pt>
                <c:pt idx="343">
                  <c:v>-7.8668570000000004</c:v>
                </c:pt>
                <c:pt idx="344">
                  <c:v>-7.8668570000000004</c:v>
                </c:pt>
                <c:pt idx="345">
                  <c:v>-7.8668570000000004</c:v>
                </c:pt>
                <c:pt idx="346">
                  <c:v>-7.8668570000000004</c:v>
                </c:pt>
                <c:pt idx="347">
                  <c:v>-7.8668570000000004</c:v>
                </c:pt>
                <c:pt idx="348">
                  <c:v>-7.8668570000000004</c:v>
                </c:pt>
                <c:pt idx="349">
                  <c:v>-7.8668570000000004</c:v>
                </c:pt>
                <c:pt idx="350">
                  <c:v>-3.9334289999999998</c:v>
                </c:pt>
                <c:pt idx="351">
                  <c:v>0</c:v>
                </c:pt>
                <c:pt idx="352">
                  <c:v>-7.3655569999999999</c:v>
                </c:pt>
                <c:pt idx="353">
                  <c:v>-7.8668570000000004</c:v>
                </c:pt>
                <c:pt idx="354">
                  <c:v>-7.8668570000000004</c:v>
                </c:pt>
                <c:pt idx="355">
                  <c:v>-7.8668570000000004</c:v>
                </c:pt>
                <c:pt idx="356">
                  <c:v>-7.8668570000000004</c:v>
                </c:pt>
                <c:pt idx="357">
                  <c:v>-7.8668570000000004</c:v>
                </c:pt>
                <c:pt idx="358">
                  <c:v>-7.8668570000000004</c:v>
                </c:pt>
                <c:pt idx="359">
                  <c:v>-7.8668570000000004</c:v>
                </c:pt>
                <c:pt idx="360">
                  <c:v>-7.8668570000000004</c:v>
                </c:pt>
                <c:pt idx="361">
                  <c:v>-7.8668570000000004</c:v>
                </c:pt>
                <c:pt idx="362">
                  <c:v>-7.8668570000000004</c:v>
                </c:pt>
                <c:pt idx="363">
                  <c:v>-7.8668570000000004</c:v>
                </c:pt>
                <c:pt idx="364">
                  <c:v>-7.8668570000000004</c:v>
                </c:pt>
                <c:pt idx="365">
                  <c:v>-4.0103999999999997</c:v>
                </c:pt>
                <c:pt idx="366">
                  <c:v>-4.0103999999999997</c:v>
                </c:pt>
                <c:pt idx="367">
                  <c:v>-2.0051999999999999</c:v>
                </c:pt>
                <c:pt idx="368">
                  <c:v>0</c:v>
                </c:pt>
                <c:pt idx="369">
                  <c:v>-2.7872279999999998</c:v>
                </c:pt>
                <c:pt idx="370">
                  <c:v>-2.7872279999999998</c:v>
                </c:pt>
                <c:pt idx="371">
                  <c:v>-2.0051999999999999</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-4.0103999999999997</c:v>
                </c:pt>
                <c:pt idx="388">
                  <c:v>-2.0051999999999999</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-6.0156000000000001</c:v>
                </c:pt>
                <c:pt idx="470">
                  <c:v>-34.698653</c:v>
                </c:pt>
                <c:pt idx="471">
                  <c:v>-55.884901999999997</c:v>
                </c:pt>
                <c:pt idx="472">
                  <c:v>-54.481636999999999</c:v>
                </c:pt>
                <c:pt idx="473">
                  <c:v>-65.424642000000006</c:v>
                </c:pt>
                <c:pt idx="474">
                  <c:v>-10.915512</c:v>
                </c:pt>
                <c:pt idx="475">
                  <c:v>-7.9238819999999999</c:v>
                </c:pt>
                <c:pt idx="476">
                  <c:v>-2.0051999999999999</c:v>
                </c:pt>
                <c:pt idx="477">
                  <c:v>-33.547800000000002</c:v>
                </c:pt>
                <c:pt idx="478">
                  <c:v>0</c:v>
                </c:pt>
                <c:pt idx="479">
                  <c:v>0</c:v>
                </c:pt>
                <c:pt idx="480">
                  <c:v>0</c:v>
                </c:pt>
                <c:pt idx="481">
                  <c:v>0</c:v>
                </c:pt>
                <c:pt idx="482">
                  <c:v>0</c:v>
                </c:pt>
                <c:pt idx="483">
                  <c:v>0</c:v>
                </c:pt>
                <c:pt idx="484">
                  <c:v>0</c:v>
                </c:pt>
                <c:pt idx="485">
                  <c:v>-6.0156000000000001E-2</c:v>
                </c:pt>
                <c:pt idx="486">
                  <c:v>-4.2911279999999996</c:v>
                </c:pt>
                <c:pt idx="487">
                  <c:v>-2.065356</c:v>
                </c:pt>
                <c:pt idx="488">
                  <c:v>-4.4515440000000002</c:v>
                </c:pt>
                <c:pt idx="489">
                  <c:v>-6.4515440000000002</c:v>
                </c:pt>
                <c:pt idx="490">
                  <c:v>0</c:v>
                </c:pt>
                <c:pt idx="491">
                  <c:v>0</c:v>
                </c:pt>
                <c:pt idx="492">
                  <c:v>0</c:v>
                </c:pt>
                <c:pt idx="493">
                  <c:v>0</c:v>
                </c:pt>
                <c:pt idx="494">
                  <c:v>-2.0051999999999999</c:v>
                </c:pt>
                <c:pt idx="495">
                  <c:v>-2.0051999999999999</c:v>
                </c:pt>
                <c:pt idx="496">
                  <c:v>-2.0051999999999999</c:v>
                </c:pt>
                <c:pt idx="497">
                  <c:v>0</c:v>
                </c:pt>
                <c:pt idx="498">
                  <c:v>0</c:v>
                </c:pt>
                <c:pt idx="499">
                  <c:v>0</c:v>
                </c:pt>
                <c:pt idx="500">
                  <c:v>0</c:v>
                </c:pt>
                <c:pt idx="501">
                  <c:v>-2.4563700000000002</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-1.4E-5</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numCache>
            </c:numRef>
          </c:val>
          <c:smooth val="0"/>
          <c:extLst>
            <c:ext xmlns:c16="http://schemas.microsoft.com/office/drawing/2014/chart" uri="{C3380CC4-5D6E-409C-BE32-E72D297353CC}">
              <c16:uniqueId val="{00000007-7882-4F0A-9E24-D1CD5CBAD872}"/>
            </c:ext>
          </c:extLst>
        </c:ser>
        <c:ser>
          <c:idx val="10"/>
          <c:order val="8"/>
          <c:tx>
            <c:strRef>
              <c:f>'[Gráfico en Microsoft PowerPoint]Situacion VIP PIRINEOS'!$K$3</c:f>
              <c:strCache>
                <c:ptCount val="1"/>
                <c:pt idx="0">
                  <c:v>Exit technical capacity</c:v>
                </c:pt>
              </c:strCache>
            </c:strRef>
          </c:tx>
          <c:spPr>
            <a:ln w="12700" cap="rnd">
              <a:solidFill>
                <a:srgbClr val="C00000"/>
              </a:solidFill>
              <a:round/>
            </a:ln>
            <a:effectLst/>
          </c:spPr>
          <c:marker>
            <c:symbol val="none"/>
          </c:marker>
          <c:cat>
            <c:numRef>
              <c:f>'[Gráfico en Microsoft PowerPoint]Situacion VIP PIRINEOS'!$B$4:$B$641</c:f>
              <c:numCache>
                <c:formatCode>m/d/yyyy</c:formatCode>
                <c:ptCount val="638"/>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pt idx="365">
                  <c:v>43466</c:v>
                </c:pt>
                <c:pt idx="366">
                  <c:v>43467</c:v>
                </c:pt>
                <c:pt idx="367">
                  <c:v>43468</c:v>
                </c:pt>
                <c:pt idx="368">
                  <c:v>43469</c:v>
                </c:pt>
                <c:pt idx="369">
                  <c:v>43470</c:v>
                </c:pt>
                <c:pt idx="370">
                  <c:v>43471</c:v>
                </c:pt>
                <c:pt idx="371">
                  <c:v>43472</c:v>
                </c:pt>
                <c:pt idx="372">
                  <c:v>43473</c:v>
                </c:pt>
                <c:pt idx="373">
                  <c:v>43474</c:v>
                </c:pt>
                <c:pt idx="374">
                  <c:v>43475</c:v>
                </c:pt>
                <c:pt idx="375">
                  <c:v>43476</c:v>
                </c:pt>
                <c:pt idx="376">
                  <c:v>43477</c:v>
                </c:pt>
                <c:pt idx="377">
                  <c:v>43478</c:v>
                </c:pt>
                <c:pt idx="378">
                  <c:v>43479</c:v>
                </c:pt>
                <c:pt idx="379">
                  <c:v>43480</c:v>
                </c:pt>
                <c:pt idx="380">
                  <c:v>43481</c:v>
                </c:pt>
                <c:pt idx="381">
                  <c:v>43482</c:v>
                </c:pt>
                <c:pt idx="382">
                  <c:v>43483</c:v>
                </c:pt>
                <c:pt idx="383">
                  <c:v>43484</c:v>
                </c:pt>
                <c:pt idx="384">
                  <c:v>43485</c:v>
                </c:pt>
                <c:pt idx="385">
                  <c:v>43486</c:v>
                </c:pt>
                <c:pt idx="386">
                  <c:v>43487</c:v>
                </c:pt>
                <c:pt idx="387">
                  <c:v>43488</c:v>
                </c:pt>
                <c:pt idx="388">
                  <c:v>43489</c:v>
                </c:pt>
                <c:pt idx="389">
                  <c:v>43490</c:v>
                </c:pt>
                <c:pt idx="390">
                  <c:v>43491</c:v>
                </c:pt>
                <c:pt idx="391">
                  <c:v>43492</c:v>
                </c:pt>
                <c:pt idx="392">
                  <c:v>43493</c:v>
                </c:pt>
                <c:pt idx="393">
                  <c:v>43494</c:v>
                </c:pt>
                <c:pt idx="394">
                  <c:v>43495</c:v>
                </c:pt>
                <c:pt idx="395">
                  <c:v>43496</c:v>
                </c:pt>
                <c:pt idx="396">
                  <c:v>43497</c:v>
                </c:pt>
                <c:pt idx="397">
                  <c:v>43498</c:v>
                </c:pt>
                <c:pt idx="398">
                  <c:v>43499</c:v>
                </c:pt>
                <c:pt idx="399">
                  <c:v>43500</c:v>
                </c:pt>
                <c:pt idx="400">
                  <c:v>43501</c:v>
                </c:pt>
                <c:pt idx="401">
                  <c:v>43502</c:v>
                </c:pt>
                <c:pt idx="402">
                  <c:v>43503</c:v>
                </c:pt>
                <c:pt idx="403">
                  <c:v>43504</c:v>
                </c:pt>
                <c:pt idx="404">
                  <c:v>43505</c:v>
                </c:pt>
                <c:pt idx="405">
                  <c:v>43506</c:v>
                </c:pt>
                <c:pt idx="406">
                  <c:v>43507</c:v>
                </c:pt>
                <c:pt idx="407">
                  <c:v>43508</c:v>
                </c:pt>
                <c:pt idx="408">
                  <c:v>43509</c:v>
                </c:pt>
                <c:pt idx="409">
                  <c:v>43510</c:v>
                </c:pt>
                <c:pt idx="410">
                  <c:v>43511</c:v>
                </c:pt>
                <c:pt idx="411">
                  <c:v>43512</c:v>
                </c:pt>
                <c:pt idx="412">
                  <c:v>43513</c:v>
                </c:pt>
                <c:pt idx="413">
                  <c:v>43514</c:v>
                </c:pt>
                <c:pt idx="414">
                  <c:v>43515</c:v>
                </c:pt>
                <c:pt idx="415">
                  <c:v>43516</c:v>
                </c:pt>
                <c:pt idx="416">
                  <c:v>43517</c:v>
                </c:pt>
                <c:pt idx="417">
                  <c:v>43518</c:v>
                </c:pt>
                <c:pt idx="418">
                  <c:v>43519</c:v>
                </c:pt>
                <c:pt idx="419">
                  <c:v>43520</c:v>
                </c:pt>
                <c:pt idx="420">
                  <c:v>43521</c:v>
                </c:pt>
                <c:pt idx="421">
                  <c:v>43522</c:v>
                </c:pt>
                <c:pt idx="422">
                  <c:v>43523</c:v>
                </c:pt>
                <c:pt idx="423">
                  <c:v>43524</c:v>
                </c:pt>
                <c:pt idx="424">
                  <c:v>43525</c:v>
                </c:pt>
                <c:pt idx="425">
                  <c:v>43526</c:v>
                </c:pt>
                <c:pt idx="426">
                  <c:v>43527</c:v>
                </c:pt>
                <c:pt idx="427">
                  <c:v>43528</c:v>
                </c:pt>
                <c:pt idx="428">
                  <c:v>43529</c:v>
                </c:pt>
                <c:pt idx="429">
                  <c:v>43530</c:v>
                </c:pt>
                <c:pt idx="430">
                  <c:v>43531</c:v>
                </c:pt>
                <c:pt idx="431">
                  <c:v>43532</c:v>
                </c:pt>
                <c:pt idx="432">
                  <c:v>43533</c:v>
                </c:pt>
                <c:pt idx="433">
                  <c:v>43534</c:v>
                </c:pt>
                <c:pt idx="434">
                  <c:v>43535</c:v>
                </c:pt>
                <c:pt idx="435">
                  <c:v>43536</c:v>
                </c:pt>
                <c:pt idx="436">
                  <c:v>43537</c:v>
                </c:pt>
                <c:pt idx="437">
                  <c:v>43538</c:v>
                </c:pt>
                <c:pt idx="438">
                  <c:v>43539</c:v>
                </c:pt>
                <c:pt idx="439">
                  <c:v>43540</c:v>
                </c:pt>
                <c:pt idx="440">
                  <c:v>43541</c:v>
                </c:pt>
                <c:pt idx="441">
                  <c:v>43542</c:v>
                </c:pt>
                <c:pt idx="442">
                  <c:v>43543</c:v>
                </c:pt>
                <c:pt idx="443">
                  <c:v>43544</c:v>
                </c:pt>
                <c:pt idx="444">
                  <c:v>43545</c:v>
                </c:pt>
                <c:pt idx="445">
                  <c:v>43546</c:v>
                </c:pt>
                <c:pt idx="446">
                  <c:v>43547</c:v>
                </c:pt>
                <c:pt idx="447">
                  <c:v>43548</c:v>
                </c:pt>
                <c:pt idx="448">
                  <c:v>43549</c:v>
                </c:pt>
                <c:pt idx="449">
                  <c:v>43550</c:v>
                </c:pt>
                <c:pt idx="450">
                  <c:v>43551</c:v>
                </c:pt>
                <c:pt idx="451">
                  <c:v>43552</c:v>
                </c:pt>
                <c:pt idx="452">
                  <c:v>43553</c:v>
                </c:pt>
                <c:pt idx="453">
                  <c:v>43554</c:v>
                </c:pt>
                <c:pt idx="454">
                  <c:v>43555</c:v>
                </c:pt>
                <c:pt idx="455">
                  <c:v>43556</c:v>
                </c:pt>
                <c:pt idx="456">
                  <c:v>43557</c:v>
                </c:pt>
                <c:pt idx="457">
                  <c:v>43558</c:v>
                </c:pt>
                <c:pt idx="458">
                  <c:v>43559</c:v>
                </c:pt>
                <c:pt idx="459">
                  <c:v>43560</c:v>
                </c:pt>
                <c:pt idx="460">
                  <c:v>43561</c:v>
                </c:pt>
                <c:pt idx="461">
                  <c:v>43562</c:v>
                </c:pt>
                <c:pt idx="462">
                  <c:v>43563</c:v>
                </c:pt>
                <c:pt idx="463">
                  <c:v>43564</c:v>
                </c:pt>
                <c:pt idx="464">
                  <c:v>43565</c:v>
                </c:pt>
                <c:pt idx="465">
                  <c:v>43566</c:v>
                </c:pt>
                <c:pt idx="466">
                  <c:v>43567</c:v>
                </c:pt>
                <c:pt idx="467">
                  <c:v>43568</c:v>
                </c:pt>
                <c:pt idx="468">
                  <c:v>43569</c:v>
                </c:pt>
                <c:pt idx="469">
                  <c:v>43570</c:v>
                </c:pt>
                <c:pt idx="470">
                  <c:v>43571</c:v>
                </c:pt>
                <c:pt idx="471">
                  <c:v>43572</c:v>
                </c:pt>
                <c:pt idx="472">
                  <c:v>43573</c:v>
                </c:pt>
                <c:pt idx="473">
                  <c:v>43574</c:v>
                </c:pt>
                <c:pt idx="474">
                  <c:v>43575</c:v>
                </c:pt>
                <c:pt idx="475">
                  <c:v>43576</c:v>
                </c:pt>
                <c:pt idx="476">
                  <c:v>43577</c:v>
                </c:pt>
                <c:pt idx="477">
                  <c:v>43578</c:v>
                </c:pt>
                <c:pt idx="478">
                  <c:v>43579</c:v>
                </c:pt>
                <c:pt idx="479">
                  <c:v>43580</c:v>
                </c:pt>
                <c:pt idx="480">
                  <c:v>43581</c:v>
                </c:pt>
                <c:pt idx="481">
                  <c:v>43582</c:v>
                </c:pt>
                <c:pt idx="482">
                  <c:v>43583</c:v>
                </c:pt>
                <c:pt idx="483">
                  <c:v>43584</c:v>
                </c:pt>
                <c:pt idx="484">
                  <c:v>43585</c:v>
                </c:pt>
                <c:pt idx="485">
                  <c:v>43586</c:v>
                </c:pt>
                <c:pt idx="486">
                  <c:v>43587</c:v>
                </c:pt>
                <c:pt idx="487">
                  <c:v>43588</c:v>
                </c:pt>
                <c:pt idx="488">
                  <c:v>43589</c:v>
                </c:pt>
                <c:pt idx="489">
                  <c:v>43590</c:v>
                </c:pt>
                <c:pt idx="490">
                  <c:v>43591</c:v>
                </c:pt>
                <c:pt idx="491">
                  <c:v>43592</c:v>
                </c:pt>
                <c:pt idx="492">
                  <c:v>43593</c:v>
                </c:pt>
                <c:pt idx="493">
                  <c:v>43594</c:v>
                </c:pt>
                <c:pt idx="494">
                  <c:v>43595</c:v>
                </c:pt>
                <c:pt idx="495">
                  <c:v>43596</c:v>
                </c:pt>
                <c:pt idx="496">
                  <c:v>43597</c:v>
                </c:pt>
                <c:pt idx="497">
                  <c:v>43598</c:v>
                </c:pt>
                <c:pt idx="498">
                  <c:v>43599</c:v>
                </c:pt>
                <c:pt idx="499">
                  <c:v>43600</c:v>
                </c:pt>
                <c:pt idx="500">
                  <c:v>43601</c:v>
                </c:pt>
                <c:pt idx="501">
                  <c:v>43602</c:v>
                </c:pt>
                <c:pt idx="502">
                  <c:v>43603</c:v>
                </c:pt>
                <c:pt idx="503">
                  <c:v>43604</c:v>
                </c:pt>
                <c:pt idx="504">
                  <c:v>43605</c:v>
                </c:pt>
                <c:pt idx="505">
                  <c:v>43606</c:v>
                </c:pt>
                <c:pt idx="506">
                  <c:v>43607</c:v>
                </c:pt>
                <c:pt idx="507">
                  <c:v>43608</c:v>
                </c:pt>
                <c:pt idx="508">
                  <c:v>43609</c:v>
                </c:pt>
                <c:pt idx="509">
                  <c:v>43610</c:v>
                </c:pt>
                <c:pt idx="510">
                  <c:v>43611</c:v>
                </c:pt>
                <c:pt idx="511">
                  <c:v>43612</c:v>
                </c:pt>
                <c:pt idx="512">
                  <c:v>43613</c:v>
                </c:pt>
                <c:pt idx="513">
                  <c:v>43614</c:v>
                </c:pt>
                <c:pt idx="514">
                  <c:v>43615</c:v>
                </c:pt>
                <c:pt idx="515">
                  <c:v>43616</c:v>
                </c:pt>
                <c:pt idx="516">
                  <c:v>43617</c:v>
                </c:pt>
                <c:pt idx="517">
                  <c:v>43618</c:v>
                </c:pt>
                <c:pt idx="518">
                  <c:v>43619</c:v>
                </c:pt>
                <c:pt idx="519">
                  <c:v>43620</c:v>
                </c:pt>
                <c:pt idx="520">
                  <c:v>43621</c:v>
                </c:pt>
                <c:pt idx="521">
                  <c:v>43622</c:v>
                </c:pt>
                <c:pt idx="522">
                  <c:v>43623</c:v>
                </c:pt>
                <c:pt idx="523">
                  <c:v>43624</c:v>
                </c:pt>
                <c:pt idx="524">
                  <c:v>43625</c:v>
                </c:pt>
                <c:pt idx="525">
                  <c:v>43626</c:v>
                </c:pt>
                <c:pt idx="526">
                  <c:v>43627</c:v>
                </c:pt>
                <c:pt idx="527">
                  <c:v>43628</c:v>
                </c:pt>
                <c:pt idx="528">
                  <c:v>43629</c:v>
                </c:pt>
                <c:pt idx="529">
                  <c:v>43630</c:v>
                </c:pt>
                <c:pt idx="530">
                  <c:v>43631</c:v>
                </c:pt>
                <c:pt idx="531">
                  <c:v>43632</c:v>
                </c:pt>
                <c:pt idx="532">
                  <c:v>43633</c:v>
                </c:pt>
                <c:pt idx="533">
                  <c:v>43634</c:v>
                </c:pt>
                <c:pt idx="534">
                  <c:v>43635</c:v>
                </c:pt>
                <c:pt idx="535">
                  <c:v>43636</c:v>
                </c:pt>
                <c:pt idx="536">
                  <c:v>43637</c:v>
                </c:pt>
                <c:pt idx="537">
                  <c:v>43638</c:v>
                </c:pt>
                <c:pt idx="538">
                  <c:v>43639</c:v>
                </c:pt>
                <c:pt idx="539">
                  <c:v>43640</c:v>
                </c:pt>
                <c:pt idx="540">
                  <c:v>43641</c:v>
                </c:pt>
                <c:pt idx="541">
                  <c:v>43642</c:v>
                </c:pt>
                <c:pt idx="542">
                  <c:v>43643</c:v>
                </c:pt>
                <c:pt idx="543">
                  <c:v>43644</c:v>
                </c:pt>
                <c:pt idx="544">
                  <c:v>43645</c:v>
                </c:pt>
                <c:pt idx="545">
                  <c:v>43646</c:v>
                </c:pt>
                <c:pt idx="546">
                  <c:v>43647</c:v>
                </c:pt>
                <c:pt idx="547">
                  <c:v>43648</c:v>
                </c:pt>
                <c:pt idx="548">
                  <c:v>43649</c:v>
                </c:pt>
                <c:pt idx="549">
                  <c:v>43650</c:v>
                </c:pt>
                <c:pt idx="550">
                  <c:v>43651</c:v>
                </c:pt>
                <c:pt idx="551">
                  <c:v>43652</c:v>
                </c:pt>
                <c:pt idx="552">
                  <c:v>43653</c:v>
                </c:pt>
                <c:pt idx="553">
                  <c:v>43654</c:v>
                </c:pt>
                <c:pt idx="554">
                  <c:v>43655</c:v>
                </c:pt>
                <c:pt idx="555">
                  <c:v>43656</c:v>
                </c:pt>
                <c:pt idx="556">
                  <c:v>43657</c:v>
                </c:pt>
                <c:pt idx="557">
                  <c:v>43658</c:v>
                </c:pt>
                <c:pt idx="558">
                  <c:v>43659</c:v>
                </c:pt>
                <c:pt idx="559">
                  <c:v>43660</c:v>
                </c:pt>
                <c:pt idx="560">
                  <c:v>43661</c:v>
                </c:pt>
                <c:pt idx="561">
                  <c:v>43662</c:v>
                </c:pt>
                <c:pt idx="562">
                  <c:v>43663</c:v>
                </c:pt>
                <c:pt idx="563">
                  <c:v>43664</c:v>
                </c:pt>
                <c:pt idx="564">
                  <c:v>43665</c:v>
                </c:pt>
                <c:pt idx="565">
                  <c:v>43666</c:v>
                </c:pt>
                <c:pt idx="566">
                  <c:v>43667</c:v>
                </c:pt>
                <c:pt idx="567">
                  <c:v>43668</c:v>
                </c:pt>
                <c:pt idx="568">
                  <c:v>43669</c:v>
                </c:pt>
                <c:pt idx="569">
                  <c:v>43670</c:v>
                </c:pt>
                <c:pt idx="570">
                  <c:v>43671</c:v>
                </c:pt>
                <c:pt idx="571">
                  <c:v>43672</c:v>
                </c:pt>
                <c:pt idx="572">
                  <c:v>43673</c:v>
                </c:pt>
                <c:pt idx="573">
                  <c:v>43674</c:v>
                </c:pt>
                <c:pt idx="574">
                  <c:v>43675</c:v>
                </c:pt>
                <c:pt idx="575">
                  <c:v>43676</c:v>
                </c:pt>
                <c:pt idx="576">
                  <c:v>43677</c:v>
                </c:pt>
                <c:pt idx="577">
                  <c:v>43678</c:v>
                </c:pt>
                <c:pt idx="578">
                  <c:v>43679</c:v>
                </c:pt>
                <c:pt idx="579">
                  <c:v>43680</c:v>
                </c:pt>
                <c:pt idx="580">
                  <c:v>43681</c:v>
                </c:pt>
                <c:pt idx="581">
                  <c:v>43682</c:v>
                </c:pt>
                <c:pt idx="582">
                  <c:v>43683</c:v>
                </c:pt>
                <c:pt idx="583">
                  <c:v>43684</c:v>
                </c:pt>
                <c:pt idx="584">
                  <c:v>43685</c:v>
                </c:pt>
                <c:pt idx="585">
                  <c:v>43686</c:v>
                </c:pt>
                <c:pt idx="586">
                  <c:v>43687</c:v>
                </c:pt>
                <c:pt idx="587">
                  <c:v>43688</c:v>
                </c:pt>
                <c:pt idx="588">
                  <c:v>43689</c:v>
                </c:pt>
                <c:pt idx="589">
                  <c:v>43690</c:v>
                </c:pt>
                <c:pt idx="590">
                  <c:v>43691</c:v>
                </c:pt>
                <c:pt idx="591">
                  <c:v>43692</c:v>
                </c:pt>
                <c:pt idx="592">
                  <c:v>43693</c:v>
                </c:pt>
                <c:pt idx="593">
                  <c:v>43694</c:v>
                </c:pt>
                <c:pt idx="594">
                  <c:v>43695</c:v>
                </c:pt>
                <c:pt idx="595">
                  <c:v>43696</c:v>
                </c:pt>
                <c:pt idx="596">
                  <c:v>43697</c:v>
                </c:pt>
                <c:pt idx="597">
                  <c:v>43698</c:v>
                </c:pt>
                <c:pt idx="598">
                  <c:v>43699</c:v>
                </c:pt>
                <c:pt idx="599">
                  <c:v>43700</c:v>
                </c:pt>
                <c:pt idx="600">
                  <c:v>43701</c:v>
                </c:pt>
                <c:pt idx="601">
                  <c:v>43702</c:v>
                </c:pt>
                <c:pt idx="602">
                  <c:v>43703</c:v>
                </c:pt>
                <c:pt idx="603">
                  <c:v>43704</c:v>
                </c:pt>
                <c:pt idx="604">
                  <c:v>43705</c:v>
                </c:pt>
                <c:pt idx="605">
                  <c:v>43706</c:v>
                </c:pt>
                <c:pt idx="606">
                  <c:v>43707</c:v>
                </c:pt>
                <c:pt idx="607">
                  <c:v>43708</c:v>
                </c:pt>
                <c:pt idx="608">
                  <c:v>43709</c:v>
                </c:pt>
                <c:pt idx="609">
                  <c:v>43710</c:v>
                </c:pt>
                <c:pt idx="610">
                  <c:v>43711</c:v>
                </c:pt>
                <c:pt idx="611">
                  <c:v>43712</c:v>
                </c:pt>
                <c:pt idx="612">
                  <c:v>43713</c:v>
                </c:pt>
                <c:pt idx="613">
                  <c:v>43714</c:v>
                </c:pt>
                <c:pt idx="614">
                  <c:v>43715</c:v>
                </c:pt>
                <c:pt idx="615">
                  <c:v>43716</c:v>
                </c:pt>
                <c:pt idx="616">
                  <c:v>43717</c:v>
                </c:pt>
                <c:pt idx="617">
                  <c:v>43718</c:v>
                </c:pt>
                <c:pt idx="618">
                  <c:v>43719</c:v>
                </c:pt>
                <c:pt idx="619">
                  <c:v>43720</c:v>
                </c:pt>
                <c:pt idx="620">
                  <c:v>43721</c:v>
                </c:pt>
                <c:pt idx="621">
                  <c:v>43722</c:v>
                </c:pt>
                <c:pt idx="622">
                  <c:v>43723</c:v>
                </c:pt>
                <c:pt idx="623">
                  <c:v>43724</c:v>
                </c:pt>
                <c:pt idx="624">
                  <c:v>43725</c:v>
                </c:pt>
                <c:pt idx="625">
                  <c:v>43726</c:v>
                </c:pt>
                <c:pt idx="626">
                  <c:v>43727</c:v>
                </c:pt>
                <c:pt idx="627">
                  <c:v>43728</c:v>
                </c:pt>
                <c:pt idx="628">
                  <c:v>43729</c:v>
                </c:pt>
                <c:pt idx="629">
                  <c:v>43730</c:v>
                </c:pt>
                <c:pt idx="630">
                  <c:v>43731</c:v>
                </c:pt>
                <c:pt idx="631">
                  <c:v>43732</c:v>
                </c:pt>
                <c:pt idx="632">
                  <c:v>43733</c:v>
                </c:pt>
                <c:pt idx="633">
                  <c:v>43734</c:v>
                </c:pt>
                <c:pt idx="634">
                  <c:v>43735</c:v>
                </c:pt>
                <c:pt idx="635">
                  <c:v>43736</c:v>
                </c:pt>
                <c:pt idx="636">
                  <c:v>43737</c:v>
                </c:pt>
                <c:pt idx="637">
                  <c:v>43738</c:v>
                </c:pt>
              </c:numCache>
            </c:numRef>
          </c:cat>
          <c:val>
            <c:numRef>
              <c:f>'[Gráfico en Microsoft PowerPoint]Situacion VIP PIRINEOS'!$K$4:$K$641</c:f>
              <c:numCache>
                <c:formatCode>#,##0.00</c:formatCode>
                <c:ptCount val="638"/>
                <c:pt idx="0">
                  <c:v>-225</c:v>
                </c:pt>
                <c:pt idx="1">
                  <c:v>-225</c:v>
                </c:pt>
                <c:pt idx="2">
                  <c:v>-225</c:v>
                </c:pt>
                <c:pt idx="3">
                  <c:v>-225</c:v>
                </c:pt>
                <c:pt idx="4">
                  <c:v>-225</c:v>
                </c:pt>
                <c:pt idx="5">
                  <c:v>-225</c:v>
                </c:pt>
                <c:pt idx="6">
                  <c:v>-225</c:v>
                </c:pt>
                <c:pt idx="7">
                  <c:v>-225</c:v>
                </c:pt>
                <c:pt idx="8">
                  <c:v>-225</c:v>
                </c:pt>
                <c:pt idx="9">
                  <c:v>-225</c:v>
                </c:pt>
                <c:pt idx="10">
                  <c:v>-225</c:v>
                </c:pt>
                <c:pt idx="11">
                  <c:v>-225</c:v>
                </c:pt>
                <c:pt idx="12">
                  <c:v>-225</c:v>
                </c:pt>
                <c:pt idx="13">
                  <c:v>-225</c:v>
                </c:pt>
                <c:pt idx="14">
                  <c:v>-225</c:v>
                </c:pt>
                <c:pt idx="15">
                  <c:v>-225</c:v>
                </c:pt>
                <c:pt idx="16">
                  <c:v>-225</c:v>
                </c:pt>
                <c:pt idx="17">
                  <c:v>-225</c:v>
                </c:pt>
                <c:pt idx="18">
                  <c:v>-225</c:v>
                </c:pt>
                <c:pt idx="19">
                  <c:v>-225</c:v>
                </c:pt>
                <c:pt idx="20">
                  <c:v>-225</c:v>
                </c:pt>
                <c:pt idx="21">
                  <c:v>-225</c:v>
                </c:pt>
                <c:pt idx="22">
                  <c:v>-225</c:v>
                </c:pt>
                <c:pt idx="23">
                  <c:v>-225</c:v>
                </c:pt>
                <c:pt idx="24">
                  <c:v>-225</c:v>
                </c:pt>
                <c:pt idx="25">
                  <c:v>-225</c:v>
                </c:pt>
                <c:pt idx="26">
                  <c:v>-225</c:v>
                </c:pt>
                <c:pt idx="27">
                  <c:v>-225</c:v>
                </c:pt>
                <c:pt idx="28">
                  <c:v>-225</c:v>
                </c:pt>
                <c:pt idx="29">
                  <c:v>-225</c:v>
                </c:pt>
                <c:pt idx="30">
                  <c:v>-225</c:v>
                </c:pt>
                <c:pt idx="31">
                  <c:v>-225</c:v>
                </c:pt>
                <c:pt idx="32">
                  <c:v>-225</c:v>
                </c:pt>
                <c:pt idx="33">
                  <c:v>-225</c:v>
                </c:pt>
                <c:pt idx="34">
                  <c:v>-225</c:v>
                </c:pt>
                <c:pt idx="35">
                  <c:v>-225</c:v>
                </c:pt>
                <c:pt idx="36">
                  <c:v>-225</c:v>
                </c:pt>
                <c:pt idx="37">
                  <c:v>-225</c:v>
                </c:pt>
                <c:pt idx="38">
                  <c:v>-225</c:v>
                </c:pt>
                <c:pt idx="39">
                  <c:v>-225</c:v>
                </c:pt>
                <c:pt idx="40">
                  <c:v>-225</c:v>
                </c:pt>
                <c:pt idx="41">
                  <c:v>-225</c:v>
                </c:pt>
                <c:pt idx="42">
                  <c:v>-225</c:v>
                </c:pt>
                <c:pt idx="43">
                  <c:v>-225</c:v>
                </c:pt>
                <c:pt idx="44">
                  <c:v>-225</c:v>
                </c:pt>
                <c:pt idx="45">
                  <c:v>-225</c:v>
                </c:pt>
                <c:pt idx="46">
                  <c:v>-225</c:v>
                </c:pt>
                <c:pt idx="47">
                  <c:v>-225</c:v>
                </c:pt>
                <c:pt idx="48">
                  <c:v>-225</c:v>
                </c:pt>
                <c:pt idx="49">
                  <c:v>-225</c:v>
                </c:pt>
                <c:pt idx="50">
                  <c:v>-225</c:v>
                </c:pt>
                <c:pt idx="51">
                  <c:v>-225</c:v>
                </c:pt>
                <c:pt idx="52">
                  <c:v>-225</c:v>
                </c:pt>
                <c:pt idx="53">
                  <c:v>-225</c:v>
                </c:pt>
                <c:pt idx="54">
                  <c:v>-225</c:v>
                </c:pt>
                <c:pt idx="55">
                  <c:v>-225</c:v>
                </c:pt>
                <c:pt idx="56">
                  <c:v>-225</c:v>
                </c:pt>
                <c:pt idx="57">
                  <c:v>-225</c:v>
                </c:pt>
                <c:pt idx="58">
                  <c:v>-225</c:v>
                </c:pt>
                <c:pt idx="59">
                  <c:v>-225</c:v>
                </c:pt>
                <c:pt idx="60">
                  <c:v>-225</c:v>
                </c:pt>
                <c:pt idx="61">
                  <c:v>-225</c:v>
                </c:pt>
                <c:pt idx="62">
                  <c:v>-225</c:v>
                </c:pt>
                <c:pt idx="63">
                  <c:v>-225</c:v>
                </c:pt>
                <c:pt idx="64">
                  <c:v>-225</c:v>
                </c:pt>
                <c:pt idx="65">
                  <c:v>-225</c:v>
                </c:pt>
                <c:pt idx="66">
                  <c:v>-225</c:v>
                </c:pt>
                <c:pt idx="67">
                  <c:v>-225</c:v>
                </c:pt>
                <c:pt idx="68">
                  <c:v>-225</c:v>
                </c:pt>
                <c:pt idx="69">
                  <c:v>-225</c:v>
                </c:pt>
                <c:pt idx="70">
                  <c:v>-225</c:v>
                </c:pt>
                <c:pt idx="71">
                  <c:v>-225</c:v>
                </c:pt>
                <c:pt idx="72">
                  <c:v>-225</c:v>
                </c:pt>
                <c:pt idx="73">
                  <c:v>-225</c:v>
                </c:pt>
                <c:pt idx="74">
                  <c:v>-225</c:v>
                </c:pt>
                <c:pt idx="75">
                  <c:v>-225</c:v>
                </c:pt>
                <c:pt idx="76">
                  <c:v>-225</c:v>
                </c:pt>
                <c:pt idx="77">
                  <c:v>-225</c:v>
                </c:pt>
                <c:pt idx="78">
                  <c:v>-225</c:v>
                </c:pt>
                <c:pt idx="79">
                  <c:v>-225</c:v>
                </c:pt>
                <c:pt idx="80">
                  <c:v>-225</c:v>
                </c:pt>
                <c:pt idx="81">
                  <c:v>-225</c:v>
                </c:pt>
                <c:pt idx="82">
                  <c:v>-225</c:v>
                </c:pt>
                <c:pt idx="83">
                  <c:v>-225</c:v>
                </c:pt>
                <c:pt idx="84">
                  <c:v>-225</c:v>
                </c:pt>
                <c:pt idx="85">
                  <c:v>-225</c:v>
                </c:pt>
                <c:pt idx="86">
                  <c:v>-225</c:v>
                </c:pt>
                <c:pt idx="87">
                  <c:v>-225</c:v>
                </c:pt>
                <c:pt idx="88">
                  <c:v>-225</c:v>
                </c:pt>
                <c:pt idx="89">
                  <c:v>-225</c:v>
                </c:pt>
                <c:pt idx="90">
                  <c:v>-225</c:v>
                </c:pt>
                <c:pt idx="91">
                  <c:v>-225</c:v>
                </c:pt>
                <c:pt idx="92">
                  <c:v>-225</c:v>
                </c:pt>
                <c:pt idx="93">
                  <c:v>-225</c:v>
                </c:pt>
                <c:pt idx="94">
                  <c:v>-225</c:v>
                </c:pt>
                <c:pt idx="95">
                  <c:v>-225</c:v>
                </c:pt>
                <c:pt idx="96">
                  <c:v>-225</c:v>
                </c:pt>
                <c:pt idx="97">
                  <c:v>-225</c:v>
                </c:pt>
                <c:pt idx="98">
                  <c:v>-225</c:v>
                </c:pt>
                <c:pt idx="99">
                  <c:v>-225</c:v>
                </c:pt>
                <c:pt idx="100">
                  <c:v>-225</c:v>
                </c:pt>
                <c:pt idx="101">
                  <c:v>-225</c:v>
                </c:pt>
                <c:pt idx="102">
                  <c:v>-225</c:v>
                </c:pt>
                <c:pt idx="103">
                  <c:v>-225</c:v>
                </c:pt>
                <c:pt idx="104">
                  <c:v>-225</c:v>
                </c:pt>
                <c:pt idx="105">
                  <c:v>-225</c:v>
                </c:pt>
                <c:pt idx="106">
                  <c:v>-225</c:v>
                </c:pt>
                <c:pt idx="107">
                  <c:v>-225</c:v>
                </c:pt>
                <c:pt idx="108">
                  <c:v>-225</c:v>
                </c:pt>
                <c:pt idx="109">
                  <c:v>-225</c:v>
                </c:pt>
                <c:pt idx="110">
                  <c:v>-225</c:v>
                </c:pt>
                <c:pt idx="111">
                  <c:v>-225</c:v>
                </c:pt>
                <c:pt idx="112">
                  <c:v>-225</c:v>
                </c:pt>
                <c:pt idx="113">
                  <c:v>-225</c:v>
                </c:pt>
                <c:pt idx="114">
                  <c:v>-225</c:v>
                </c:pt>
                <c:pt idx="115">
                  <c:v>-225</c:v>
                </c:pt>
                <c:pt idx="116">
                  <c:v>-225</c:v>
                </c:pt>
                <c:pt idx="117">
                  <c:v>-225</c:v>
                </c:pt>
                <c:pt idx="118">
                  <c:v>-225</c:v>
                </c:pt>
                <c:pt idx="119">
                  <c:v>-225</c:v>
                </c:pt>
                <c:pt idx="120">
                  <c:v>-225</c:v>
                </c:pt>
                <c:pt idx="121">
                  <c:v>-225</c:v>
                </c:pt>
                <c:pt idx="122">
                  <c:v>-225</c:v>
                </c:pt>
                <c:pt idx="123">
                  <c:v>-225</c:v>
                </c:pt>
                <c:pt idx="124">
                  <c:v>-225</c:v>
                </c:pt>
                <c:pt idx="125">
                  <c:v>-225</c:v>
                </c:pt>
                <c:pt idx="126">
                  <c:v>-225</c:v>
                </c:pt>
                <c:pt idx="127">
                  <c:v>-225</c:v>
                </c:pt>
                <c:pt idx="128">
                  <c:v>-225</c:v>
                </c:pt>
                <c:pt idx="129">
                  <c:v>-225</c:v>
                </c:pt>
                <c:pt idx="130">
                  <c:v>-225</c:v>
                </c:pt>
                <c:pt idx="131">
                  <c:v>-225</c:v>
                </c:pt>
                <c:pt idx="132">
                  <c:v>-225</c:v>
                </c:pt>
                <c:pt idx="133">
                  <c:v>-225</c:v>
                </c:pt>
                <c:pt idx="134">
                  <c:v>-225</c:v>
                </c:pt>
                <c:pt idx="135">
                  <c:v>-225</c:v>
                </c:pt>
                <c:pt idx="136">
                  <c:v>-225</c:v>
                </c:pt>
                <c:pt idx="137">
                  <c:v>-225</c:v>
                </c:pt>
                <c:pt idx="138">
                  <c:v>-225</c:v>
                </c:pt>
                <c:pt idx="139">
                  <c:v>-225</c:v>
                </c:pt>
                <c:pt idx="140">
                  <c:v>-225</c:v>
                </c:pt>
                <c:pt idx="141">
                  <c:v>-225</c:v>
                </c:pt>
                <c:pt idx="142">
                  <c:v>-225</c:v>
                </c:pt>
                <c:pt idx="143">
                  <c:v>-225</c:v>
                </c:pt>
                <c:pt idx="144">
                  <c:v>-225</c:v>
                </c:pt>
                <c:pt idx="145">
                  <c:v>-225</c:v>
                </c:pt>
                <c:pt idx="146">
                  <c:v>-225</c:v>
                </c:pt>
                <c:pt idx="147">
                  <c:v>-225</c:v>
                </c:pt>
                <c:pt idx="148">
                  <c:v>-225</c:v>
                </c:pt>
                <c:pt idx="149">
                  <c:v>-225</c:v>
                </c:pt>
                <c:pt idx="150">
                  <c:v>-225</c:v>
                </c:pt>
                <c:pt idx="151">
                  <c:v>-225</c:v>
                </c:pt>
                <c:pt idx="152">
                  <c:v>-225</c:v>
                </c:pt>
                <c:pt idx="153">
                  <c:v>-225</c:v>
                </c:pt>
                <c:pt idx="154">
                  <c:v>-225</c:v>
                </c:pt>
                <c:pt idx="155">
                  <c:v>-225</c:v>
                </c:pt>
                <c:pt idx="156">
                  <c:v>-225</c:v>
                </c:pt>
                <c:pt idx="157">
                  <c:v>-225</c:v>
                </c:pt>
                <c:pt idx="158">
                  <c:v>-225</c:v>
                </c:pt>
                <c:pt idx="159">
                  <c:v>-225</c:v>
                </c:pt>
                <c:pt idx="160">
                  <c:v>-225</c:v>
                </c:pt>
                <c:pt idx="161">
                  <c:v>-225</c:v>
                </c:pt>
                <c:pt idx="162">
                  <c:v>-225</c:v>
                </c:pt>
                <c:pt idx="163">
                  <c:v>-225</c:v>
                </c:pt>
                <c:pt idx="164">
                  <c:v>-225</c:v>
                </c:pt>
                <c:pt idx="165">
                  <c:v>-225</c:v>
                </c:pt>
                <c:pt idx="166">
                  <c:v>-225</c:v>
                </c:pt>
                <c:pt idx="167">
                  <c:v>-225</c:v>
                </c:pt>
                <c:pt idx="168">
                  <c:v>-225</c:v>
                </c:pt>
                <c:pt idx="169">
                  <c:v>-225</c:v>
                </c:pt>
                <c:pt idx="170">
                  <c:v>-225</c:v>
                </c:pt>
                <c:pt idx="171">
                  <c:v>-225</c:v>
                </c:pt>
                <c:pt idx="172">
                  <c:v>-225</c:v>
                </c:pt>
                <c:pt idx="173">
                  <c:v>-225</c:v>
                </c:pt>
                <c:pt idx="174">
                  <c:v>-225</c:v>
                </c:pt>
                <c:pt idx="175">
                  <c:v>-225</c:v>
                </c:pt>
                <c:pt idx="176">
                  <c:v>-225</c:v>
                </c:pt>
                <c:pt idx="177">
                  <c:v>-225</c:v>
                </c:pt>
                <c:pt idx="178">
                  <c:v>-225</c:v>
                </c:pt>
                <c:pt idx="179">
                  <c:v>-225</c:v>
                </c:pt>
                <c:pt idx="180">
                  <c:v>-225</c:v>
                </c:pt>
                <c:pt idx="181">
                  <c:v>-225</c:v>
                </c:pt>
                <c:pt idx="182">
                  <c:v>-225</c:v>
                </c:pt>
                <c:pt idx="183">
                  <c:v>-225</c:v>
                </c:pt>
                <c:pt idx="184">
                  <c:v>-225</c:v>
                </c:pt>
                <c:pt idx="185">
                  <c:v>-225</c:v>
                </c:pt>
                <c:pt idx="186">
                  <c:v>-225</c:v>
                </c:pt>
                <c:pt idx="187">
                  <c:v>-225</c:v>
                </c:pt>
                <c:pt idx="188">
                  <c:v>-225</c:v>
                </c:pt>
                <c:pt idx="189">
                  <c:v>-225</c:v>
                </c:pt>
                <c:pt idx="190">
                  <c:v>-225</c:v>
                </c:pt>
                <c:pt idx="191">
                  <c:v>-225</c:v>
                </c:pt>
                <c:pt idx="192">
                  <c:v>-225</c:v>
                </c:pt>
                <c:pt idx="193">
                  <c:v>-225</c:v>
                </c:pt>
                <c:pt idx="194">
                  <c:v>-225</c:v>
                </c:pt>
                <c:pt idx="195">
                  <c:v>-225</c:v>
                </c:pt>
                <c:pt idx="196">
                  <c:v>-225</c:v>
                </c:pt>
                <c:pt idx="197">
                  <c:v>-225</c:v>
                </c:pt>
                <c:pt idx="198">
                  <c:v>-225</c:v>
                </c:pt>
                <c:pt idx="199">
                  <c:v>-225</c:v>
                </c:pt>
                <c:pt idx="200">
                  <c:v>-225</c:v>
                </c:pt>
                <c:pt idx="201">
                  <c:v>-225</c:v>
                </c:pt>
                <c:pt idx="202">
                  <c:v>-225</c:v>
                </c:pt>
                <c:pt idx="203">
                  <c:v>-225</c:v>
                </c:pt>
                <c:pt idx="204">
                  <c:v>-225</c:v>
                </c:pt>
                <c:pt idx="205">
                  <c:v>-225</c:v>
                </c:pt>
                <c:pt idx="206">
                  <c:v>-225</c:v>
                </c:pt>
                <c:pt idx="207">
                  <c:v>-225</c:v>
                </c:pt>
                <c:pt idx="208">
                  <c:v>-225</c:v>
                </c:pt>
                <c:pt idx="209">
                  <c:v>-225</c:v>
                </c:pt>
                <c:pt idx="210">
                  <c:v>-225</c:v>
                </c:pt>
                <c:pt idx="211">
                  <c:v>-225</c:v>
                </c:pt>
                <c:pt idx="212">
                  <c:v>-225</c:v>
                </c:pt>
                <c:pt idx="213">
                  <c:v>-225</c:v>
                </c:pt>
                <c:pt idx="214">
                  <c:v>-225</c:v>
                </c:pt>
                <c:pt idx="215">
                  <c:v>-225</c:v>
                </c:pt>
                <c:pt idx="216">
                  <c:v>-225</c:v>
                </c:pt>
                <c:pt idx="217">
                  <c:v>-225</c:v>
                </c:pt>
                <c:pt idx="218">
                  <c:v>-225</c:v>
                </c:pt>
                <c:pt idx="219">
                  <c:v>-225</c:v>
                </c:pt>
                <c:pt idx="220">
                  <c:v>-225</c:v>
                </c:pt>
                <c:pt idx="221">
                  <c:v>-225</c:v>
                </c:pt>
                <c:pt idx="222">
                  <c:v>-225</c:v>
                </c:pt>
                <c:pt idx="223">
                  <c:v>-225</c:v>
                </c:pt>
                <c:pt idx="224">
                  <c:v>-225</c:v>
                </c:pt>
                <c:pt idx="225">
                  <c:v>-225</c:v>
                </c:pt>
                <c:pt idx="226">
                  <c:v>-225</c:v>
                </c:pt>
                <c:pt idx="227">
                  <c:v>-225</c:v>
                </c:pt>
                <c:pt idx="228">
                  <c:v>-225</c:v>
                </c:pt>
                <c:pt idx="229">
                  <c:v>-225</c:v>
                </c:pt>
                <c:pt idx="230">
                  <c:v>-225</c:v>
                </c:pt>
                <c:pt idx="231">
                  <c:v>-225</c:v>
                </c:pt>
                <c:pt idx="232">
                  <c:v>-225</c:v>
                </c:pt>
                <c:pt idx="233">
                  <c:v>-225</c:v>
                </c:pt>
                <c:pt idx="234">
                  <c:v>-225</c:v>
                </c:pt>
                <c:pt idx="235">
                  <c:v>-225</c:v>
                </c:pt>
                <c:pt idx="236">
                  <c:v>-225</c:v>
                </c:pt>
                <c:pt idx="237">
                  <c:v>-225</c:v>
                </c:pt>
                <c:pt idx="238">
                  <c:v>-225</c:v>
                </c:pt>
                <c:pt idx="239">
                  <c:v>-225</c:v>
                </c:pt>
                <c:pt idx="240">
                  <c:v>-225</c:v>
                </c:pt>
                <c:pt idx="241">
                  <c:v>-225</c:v>
                </c:pt>
                <c:pt idx="242">
                  <c:v>-225</c:v>
                </c:pt>
                <c:pt idx="243">
                  <c:v>-225</c:v>
                </c:pt>
                <c:pt idx="244">
                  <c:v>-225</c:v>
                </c:pt>
                <c:pt idx="245">
                  <c:v>-225</c:v>
                </c:pt>
                <c:pt idx="246">
                  <c:v>-225</c:v>
                </c:pt>
                <c:pt idx="247">
                  <c:v>-225</c:v>
                </c:pt>
                <c:pt idx="248">
                  <c:v>-225</c:v>
                </c:pt>
                <c:pt idx="249">
                  <c:v>-225</c:v>
                </c:pt>
                <c:pt idx="250">
                  <c:v>-225</c:v>
                </c:pt>
                <c:pt idx="251">
                  <c:v>-225</c:v>
                </c:pt>
                <c:pt idx="252">
                  <c:v>-225</c:v>
                </c:pt>
                <c:pt idx="253">
                  <c:v>-225</c:v>
                </c:pt>
                <c:pt idx="254">
                  <c:v>-225</c:v>
                </c:pt>
                <c:pt idx="255">
                  <c:v>-225</c:v>
                </c:pt>
                <c:pt idx="256">
                  <c:v>-225</c:v>
                </c:pt>
                <c:pt idx="257">
                  <c:v>-225</c:v>
                </c:pt>
                <c:pt idx="258">
                  <c:v>-225</c:v>
                </c:pt>
                <c:pt idx="259">
                  <c:v>-225</c:v>
                </c:pt>
                <c:pt idx="260">
                  <c:v>-225</c:v>
                </c:pt>
                <c:pt idx="261">
                  <c:v>-225</c:v>
                </c:pt>
                <c:pt idx="262">
                  <c:v>-225</c:v>
                </c:pt>
                <c:pt idx="263">
                  <c:v>-225</c:v>
                </c:pt>
                <c:pt idx="264">
                  <c:v>-225</c:v>
                </c:pt>
                <c:pt idx="265">
                  <c:v>-225</c:v>
                </c:pt>
                <c:pt idx="266">
                  <c:v>-225</c:v>
                </c:pt>
                <c:pt idx="267">
                  <c:v>-225</c:v>
                </c:pt>
                <c:pt idx="268">
                  <c:v>-225</c:v>
                </c:pt>
                <c:pt idx="269">
                  <c:v>-225</c:v>
                </c:pt>
                <c:pt idx="270">
                  <c:v>-225</c:v>
                </c:pt>
                <c:pt idx="271">
                  <c:v>-225</c:v>
                </c:pt>
                <c:pt idx="272">
                  <c:v>-225</c:v>
                </c:pt>
                <c:pt idx="273">
                  <c:v>-225</c:v>
                </c:pt>
                <c:pt idx="274">
                  <c:v>-225</c:v>
                </c:pt>
                <c:pt idx="275">
                  <c:v>-225</c:v>
                </c:pt>
                <c:pt idx="276">
                  <c:v>-225</c:v>
                </c:pt>
                <c:pt idx="277">
                  <c:v>-225</c:v>
                </c:pt>
                <c:pt idx="278">
                  <c:v>-225</c:v>
                </c:pt>
                <c:pt idx="279">
                  <c:v>-225</c:v>
                </c:pt>
                <c:pt idx="280">
                  <c:v>-225</c:v>
                </c:pt>
                <c:pt idx="281">
                  <c:v>-225</c:v>
                </c:pt>
                <c:pt idx="282">
                  <c:v>-225</c:v>
                </c:pt>
                <c:pt idx="283">
                  <c:v>-225</c:v>
                </c:pt>
                <c:pt idx="284">
                  <c:v>-225</c:v>
                </c:pt>
                <c:pt idx="285">
                  <c:v>-225</c:v>
                </c:pt>
                <c:pt idx="286">
                  <c:v>-225</c:v>
                </c:pt>
                <c:pt idx="287">
                  <c:v>-225</c:v>
                </c:pt>
                <c:pt idx="288">
                  <c:v>-225</c:v>
                </c:pt>
                <c:pt idx="289">
                  <c:v>-225</c:v>
                </c:pt>
                <c:pt idx="290">
                  <c:v>-225</c:v>
                </c:pt>
                <c:pt idx="291">
                  <c:v>-225</c:v>
                </c:pt>
                <c:pt idx="292">
                  <c:v>-225</c:v>
                </c:pt>
                <c:pt idx="293">
                  <c:v>-225</c:v>
                </c:pt>
                <c:pt idx="294">
                  <c:v>-225</c:v>
                </c:pt>
                <c:pt idx="295">
                  <c:v>-225</c:v>
                </c:pt>
                <c:pt idx="296">
                  <c:v>-225</c:v>
                </c:pt>
                <c:pt idx="297">
                  <c:v>-225</c:v>
                </c:pt>
                <c:pt idx="298">
                  <c:v>-225</c:v>
                </c:pt>
                <c:pt idx="299">
                  <c:v>-225</c:v>
                </c:pt>
                <c:pt idx="300">
                  <c:v>-225</c:v>
                </c:pt>
                <c:pt idx="301">
                  <c:v>-225</c:v>
                </c:pt>
                <c:pt idx="302">
                  <c:v>-225</c:v>
                </c:pt>
                <c:pt idx="303">
                  <c:v>-225</c:v>
                </c:pt>
                <c:pt idx="304">
                  <c:v>-225</c:v>
                </c:pt>
                <c:pt idx="305">
                  <c:v>-225</c:v>
                </c:pt>
                <c:pt idx="306">
                  <c:v>-225</c:v>
                </c:pt>
                <c:pt idx="307">
                  <c:v>-225</c:v>
                </c:pt>
                <c:pt idx="308">
                  <c:v>-225</c:v>
                </c:pt>
                <c:pt idx="309">
                  <c:v>-225</c:v>
                </c:pt>
                <c:pt idx="310">
                  <c:v>-225</c:v>
                </c:pt>
                <c:pt idx="311">
                  <c:v>-225</c:v>
                </c:pt>
                <c:pt idx="312">
                  <c:v>-225</c:v>
                </c:pt>
                <c:pt idx="313">
                  <c:v>-225</c:v>
                </c:pt>
                <c:pt idx="314">
                  <c:v>-225</c:v>
                </c:pt>
                <c:pt idx="315">
                  <c:v>-225</c:v>
                </c:pt>
                <c:pt idx="316">
                  <c:v>-225</c:v>
                </c:pt>
                <c:pt idx="317">
                  <c:v>-225</c:v>
                </c:pt>
                <c:pt idx="318">
                  <c:v>-225</c:v>
                </c:pt>
                <c:pt idx="319">
                  <c:v>-225</c:v>
                </c:pt>
                <c:pt idx="320">
                  <c:v>-225</c:v>
                </c:pt>
                <c:pt idx="321">
                  <c:v>-225</c:v>
                </c:pt>
                <c:pt idx="322">
                  <c:v>-225</c:v>
                </c:pt>
                <c:pt idx="323">
                  <c:v>-225</c:v>
                </c:pt>
                <c:pt idx="324">
                  <c:v>-225</c:v>
                </c:pt>
                <c:pt idx="325">
                  <c:v>-225</c:v>
                </c:pt>
                <c:pt idx="326">
                  <c:v>-225</c:v>
                </c:pt>
                <c:pt idx="327">
                  <c:v>-225</c:v>
                </c:pt>
                <c:pt idx="328">
                  <c:v>-225</c:v>
                </c:pt>
                <c:pt idx="329">
                  <c:v>-225</c:v>
                </c:pt>
                <c:pt idx="330">
                  <c:v>-225</c:v>
                </c:pt>
                <c:pt idx="331">
                  <c:v>-225</c:v>
                </c:pt>
                <c:pt idx="332">
                  <c:v>-225</c:v>
                </c:pt>
                <c:pt idx="333">
                  <c:v>-225</c:v>
                </c:pt>
                <c:pt idx="334">
                  <c:v>-225</c:v>
                </c:pt>
                <c:pt idx="335">
                  <c:v>-225</c:v>
                </c:pt>
                <c:pt idx="336">
                  <c:v>-225</c:v>
                </c:pt>
                <c:pt idx="337">
                  <c:v>-225</c:v>
                </c:pt>
                <c:pt idx="338">
                  <c:v>-225</c:v>
                </c:pt>
                <c:pt idx="339">
                  <c:v>-225</c:v>
                </c:pt>
                <c:pt idx="340">
                  <c:v>-225</c:v>
                </c:pt>
                <c:pt idx="341">
                  <c:v>-225</c:v>
                </c:pt>
                <c:pt idx="342">
                  <c:v>-225</c:v>
                </c:pt>
                <c:pt idx="343">
                  <c:v>-225</c:v>
                </c:pt>
                <c:pt idx="344">
                  <c:v>-225</c:v>
                </c:pt>
                <c:pt idx="345">
                  <c:v>-225</c:v>
                </c:pt>
                <c:pt idx="346">
                  <c:v>-225</c:v>
                </c:pt>
                <c:pt idx="347">
                  <c:v>-225</c:v>
                </c:pt>
                <c:pt idx="348">
                  <c:v>-225</c:v>
                </c:pt>
                <c:pt idx="349">
                  <c:v>-225</c:v>
                </c:pt>
                <c:pt idx="350">
                  <c:v>-225</c:v>
                </c:pt>
                <c:pt idx="351">
                  <c:v>-225</c:v>
                </c:pt>
                <c:pt idx="352">
                  <c:v>-225</c:v>
                </c:pt>
                <c:pt idx="353">
                  <c:v>-225</c:v>
                </c:pt>
                <c:pt idx="354">
                  <c:v>-225</c:v>
                </c:pt>
                <c:pt idx="355">
                  <c:v>-225</c:v>
                </c:pt>
                <c:pt idx="356">
                  <c:v>-225</c:v>
                </c:pt>
                <c:pt idx="357">
                  <c:v>-225</c:v>
                </c:pt>
                <c:pt idx="358">
                  <c:v>-225</c:v>
                </c:pt>
                <c:pt idx="359">
                  <c:v>-225</c:v>
                </c:pt>
                <c:pt idx="360">
                  <c:v>-225</c:v>
                </c:pt>
                <c:pt idx="361">
                  <c:v>-225</c:v>
                </c:pt>
                <c:pt idx="362">
                  <c:v>-225</c:v>
                </c:pt>
                <c:pt idx="363">
                  <c:v>-225</c:v>
                </c:pt>
                <c:pt idx="364">
                  <c:v>-225</c:v>
                </c:pt>
                <c:pt idx="365">
                  <c:v>-225</c:v>
                </c:pt>
                <c:pt idx="366">
                  <c:v>-225</c:v>
                </c:pt>
                <c:pt idx="367">
                  <c:v>-225</c:v>
                </c:pt>
                <c:pt idx="368">
                  <c:v>-225</c:v>
                </c:pt>
                <c:pt idx="369">
                  <c:v>-225</c:v>
                </c:pt>
                <c:pt idx="370">
                  <c:v>-225</c:v>
                </c:pt>
                <c:pt idx="371">
                  <c:v>-225</c:v>
                </c:pt>
                <c:pt idx="372">
                  <c:v>-225</c:v>
                </c:pt>
                <c:pt idx="373">
                  <c:v>-225</c:v>
                </c:pt>
                <c:pt idx="374">
                  <c:v>-225</c:v>
                </c:pt>
                <c:pt idx="375">
                  <c:v>-225</c:v>
                </c:pt>
                <c:pt idx="376">
                  <c:v>-225</c:v>
                </c:pt>
                <c:pt idx="377">
                  <c:v>-225</c:v>
                </c:pt>
                <c:pt idx="378">
                  <c:v>-225</c:v>
                </c:pt>
                <c:pt idx="379">
                  <c:v>-225</c:v>
                </c:pt>
                <c:pt idx="380">
                  <c:v>-225</c:v>
                </c:pt>
                <c:pt idx="381">
                  <c:v>-225</c:v>
                </c:pt>
                <c:pt idx="382">
                  <c:v>-225</c:v>
                </c:pt>
                <c:pt idx="383">
                  <c:v>-225</c:v>
                </c:pt>
                <c:pt idx="384">
                  <c:v>-225</c:v>
                </c:pt>
                <c:pt idx="385">
                  <c:v>-225</c:v>
                </c:pt>
                <c:pt idx="386">
                  <c:v>-225</c:v>
                </c:pt>
                <c:pt idx="387">
                  <c:v>-225</c:v>
                </c:pt>
                <c:pt idx="388">
                  <c:v>-225</c:v>
                </c:pt>
                <c:pt idx="389">
                  <c:v>-225</c:v>
                </c:pt>
                <c:pt idx="390">
                  <c:v>-225</c:v>
                </c:pt>
                <c:pt idx="391">
                  <c:v>-225</c:v>
                </c:pt>
                <c:pt idx="392">
                  <c:v>-225</c:v>
                </c:pt>
                <c:pt idx="393">
                  <c:v>-225</c:v>
                </c:pt>
                <c:pt idx="394">
                  <c:v>-225</c:v>
                </c:pt>
                <c:pt idx="395">
                  <c:v>-225</c:v>
                </c:pt>
                <c:pt idx="396">
                  <c:v>-225</c:v>
                </c:pt>
                <c:pt idx="397">
                  <c:v>-225</c:v>
                </c:pt>
                <c:pt idx="398">
                  <c:v>-225</c:v>
                </c:pt>
                <c:pt idx="399">
                  <c:v>-225</c:v>
                </c:pt>
                <c:pt idx="400">
                  <c:v>-225</c:v>
                </c:pt>
                <c:pt idx="401">
                  <c:v>-225</c:v>
                </c:pt>
                <c:pt idx="402">
                  <c:v>-225</c:v>
                </c:pt>
                <c:pt idx="403">
                  <c:v>-225</c:v>
                </c:pt>
                <c:pt idx="404">
                  <c:v>-225</c:v>
                </c:pt>
                <c:pt idx="405">
                  <c:v>-225</c:v>
                </c:pt>
                <c:pt idx="406">
                  <c:v>-225</c:v>
                </c:pt>
                <c:pt idx="407">
                  <c:v>-225</c:v>
                </c:pt>
                <c:pt idx="408">
                  <c:v>-225</c:v>
                </c:pt>
                <c:pt idx="409">
                  <c:v>-225</c:v>
                </c:pt>
                <c:pt idx="410">
                  <c:v>-225</c:v>
                </c:pt>
                <c:pt idx="411">
                  <c:v>-225</c:v>
                </c:pt>
                <c:pt idx="412">
                  <c:v>-225</c:v>
                </c:pt>
                <c:pt idx="413">
                  <c:v>-225</c:v>
                </c:pt>
                <c:pt idx="414">
                  <c:v>-225</c:v>
                </c:pt>
                <c:pt idx="415">
                  <c:v>-225</c:v>
                </c:pt>
                <c:pt idx="416">
                  <c:v>-225</c:v>
                </c:pt>
                <c:pt idx="417">
                  <c:v>-225</c:v>
                </c:pt>
                <c:pt idx="418">
                  <c:v>-225</c:v>
                </c:pt>
                <c:pt idx="419">
                  <c:v>-225</c:v>
                </c:pt>
                <c:pt idx="420">
                  <c:v>-225</c:v>
                </c:pt>
                <c:pt idx="421">
                  <c:v>-225</c:v>
                </c:pt>
                <c:pt idx="422">
                  <c:v>-225</c:v>
                </c:pt>
                <c:pt idx="423">
                  <c:v>-225</c:v>
                </c:pt>
                <c:pt idx="424">
                  <c:v>-225</c:v>
                </c:pt>
                <c:pt idx="425">
                  <c:v>-225</c:v>
                </c:pt>
                <c:pt idx="426">
                  <c:v>-225</c:v>
                </c:pt>
                <c:pt idx="427">
                  <c:v>-225</c:v>
                </c:pt>
                <c:pt idx="428">
                  <c:v>-225</c:v>
                </c:pt>
                <c:pt idx="429">
                  <c:v>-225</c:v>
                </c:pt>
                <c:pt idx="430">
                  <c:v>-225</c:v>
                </c:pt>
                <c:pt idx="431">
                  <c:v>-225</c:v>
                </c:pt>
                <c:pt idx="432">
                  <c:v>-225</c:v>
                </c:pt>
                <c:pt idx="433">
                  <c:v>-225</c:v>
                </c:pt>
                <c:pt idx="434">
                  <c:v>-225</c:v>
                </c:pt>
                <c:pt idx="435">
                  <c:v>-225</c:v>
                </c:pt>
                <c:pt idx="436">
                  <c:v>-225</c:v>
                </c:pt>
                <c:pt idx="437">
                  <c:v>-225</c:v>
                </c:pt>
                <c:pt idx="438">
                  <c:v>-225</c:v>
                </c:pt>
                <c:pt idx="439">
                  <c:v>-225</c:v>
                </c:pt>
                <c:pt idx="440">
                  <c:v>-225</c:v>
                </c:pt>
                <c:pt idx="441">
                  <c:v>-225</c:v>
                </c:pt>
                <c:pt idx="442">
                  <c:v>-225</c:v>
                </c:pt>
                <c:pt idx="443">
                  <c:v>-225</c:v>
                </c:pt>
                <c:pt idx="444">
                  <c:v>-225</c:v>
                </c:pt>
                <c:pt idx="445">
                  <c:v>-225</c:v>
                </c:pt>
                <c:pt idx="446">
                  <c:v>-225</c:v>
                </c:pt>
                <c:pt idx="447">
                  <c:v>-225</c:v>
                </c:pt>
                <c:pt idx="448">
                  <c:v>-225</c:v>
                </c:pt>
                <c:pt idx="449">
                  <c:v>-225</c:v>
                </c:pt>
                <c:pt idx="450">
                  <c:v>-225</c:v>
                </c:pt>
                <c:pt idx="451">
                  <c:v>-225</c:v>
                </c:pt>
                <c:pt idx="452">
                  <c:v>-225</c:v>
                </c:pt>
                <c:pt idx="453">
                  <c:v>-225</c:v>
                </c:pt>
                <c:pt idx="454">
                  <c:v>-225</c:v>
                </c:pt>
                <c:pt idx="455">
                  <c:v>-225</c:v>
                </c:pt>
                <c:pt idx="456">
                  <c:v>-225</c:v>
                </c:pt>
                <c:pt idx="457">
                  <c:v>-225</c:v>
                </c:pt>
                <c:pt idx="458">
                  <c:v>-225</c:v>
                </c:pt>
                <c:pt idx="459">
                  <c:v>-225</c:v>
                </c:pt>
                <c:pt idx="460">
                  <c:v>-225</c:v>
                </c:pt>
                <c:pt idx="461">
                  <c:v>-225</c:v>
                </c:pt>
                <c:pt idx="462">
                  <c:v>-225</c:v>
                </c:pt>
                <c:pt idx="463">
                  <c:v>-225</c:v>
                </c:pt>
                <c:pt idx="464">
                  <c:v>-225</c:v>
                </c:pt>
                <c:pt idx="465">
                  <c:v>-225</c:v>
                </c:pt>
                <c:pt idx="466">
                  <c:v>-225</c:v>
                </c:pt>
                <c:pt idx="467">
                  <c:v>-225</c:v>
                </c:pt>
                <c:pt idx="468">
                  <c:v>-225</c:v>
                </c:pt>
                <c:pt idx="469">
                  <c:v>-225</c:v>
                </c:pt>
                <c:pt idx="470">
                  <c:v>-225</c:v>
                </c:pt>
                <c:pt idx="471">
                  <c:v>-225</c:v>
                </c:pt>
                <c:pt idx="472">
                  <c:v>-225</c:v>
                </c:pt>
                <c:pt idx="473">
                  <c:v>-225</c:v>
                </c:pt>
                <c:pt idx="474">
                  <c:v>-225</c:v>
                </c:pt>
                <c:pt idx="475">
                  <c:v>-225</c:v>
                </c:pt>
                <c:pt idx="476">
                  <c:v>-225</c:v>
                </c:pt>
                <c:pt idx="477">
                  <c:v>-225</c:v>
                </c:pt>
                <c:pt idx="478">
                  <c:v>-225</c:v>
                </c:pt>
                <c:pt idx="479">
                  <c:v>-225</c:v>
                </c:pt>
                <c:pt idx="480">
                  <c:v>-225</c:v>
                </c:pt>
                <c:pt idx="481">
                  <c:v>-225</c:v>
                </c:pt>
                <c:pt idx="482">
                  <c:v>-225</c:v>
                </c:pt>
                <c:pt idx="483">
                  <c:v>-225</c:v>
                </c:pt>
                <c:pt idx="484">
                  <c:v>-225</c:v>
                </c:pt>
                <c:pt idx="485">
                  <c:v>-225</c:v>
                </c:pt>
                <c:pt idx="486">
                  <c:v>-225</c:v>
                </c:pt>
                <c:pt idx="487">
                  <c:v>-225</c:v>
                </c:pt>
                <c:pt idx="488">
                  <c:v>-225</c:v>
                </c:pt>
                <c:pt idx="489">
                  <c:v>-225</c:v>
                </c:pt>
                <c:pt idx="490">
                  <c:v>-225</c:v>
                </c:pt>
                <c:pt idx="491">
                  <c:v>-225</c:v>
                </c:pt>
                <c:pt idx="492">
                  <c:v>-225</c:v>
                </c:pt>
                <c:pt idx="493">
                  <c:v>-225</c:v>
                </c:pt>
                <c:pt idx="494">
                  <c:v>-225</c:v>
                </c:pt>
                <c:pt idx="495">
                  <c:v>-225</c:v>
                </c:pt>
                <c:pt idx="496">
                  <c:v>-225</c:v>
                </c:pt>
                <c:pt idx="497">
                  <c:v>-225</c:v>
                </c:pt>
                <c:pt idx="498">
                  <c:v>-225</c:v>
                </c:pt>
                <c:pt idx="499">
                  <c:v>-225</c:v>
                </c:pt>
                <c:pt idx="500">
                  <c:v>-225</c:v>
                </c:pt>
                <c:pt idx="501">
                  <c:v>-225</c:v>
                </c:pt>
                <c:pt idx="502">
                  <c:v>-225</c:v>
                </c:pt>
                <c:pt idx="503">
                  <c:v>-225</c:v>
                </c:pt>
                <c:pt idx="504">
                  <c:v>-225</c:v>
                </c:pt>
                <c:pt idx="505">
                  <c:v>-225</c:v>
                </c:pt>
                <c:pt idx="506">
                  <c:v>-225</c:v>
                </c:pt>
                <c:pt idx="507">
                  <c:v>-225</c:v>
                </c:pt>
                <c:pt idx="508">
                  <c:v>-225</c:v>
                </c:pt>
                <c:pt idx="509">
                  <c:v>-225</c:v>
                </c:pt>
                <c:pt idx="510">
                  <c:v>-225</c:v>
                </c:pt>
                <c:pt idx="511">
                  <c:v>-225</c:v>
                </c:pt>
                <c:pt idx="512">
                  <c:v>-225</c:v>
                </c:pt>
                <c:pt idx="513">
                  <c:v>-225</c:v>
                </c:pt>
                <c:pt idx="514">
                  <c:v>-225</c:v>
                </c:pt>
                <c:pt idx="515">
                  <c:v>-225</c:v>
                </c:pt>
                <c:pt idx="516">
                  <c:v>-225</c:v>
                </c:pt>
                <c:pt idx="517">
                  <c:v>-225</c:v>
                </c:pt>
                <c:pt idx="518">
                  <c:v>-225</c:v>
                </c:pt>
                <c:pt idx="519">
                  <c:v>-225</c:v>
                </c:pt>
                <c:pt idx="520">
                  <c:v>-225</c:v>
                </c:pt>
                <c:pt idx="521">
                  <c:v>-225</c:v>
                </c:pt>
                <c:pt idx="522">
                  <c:v>-225</c:v>
                </c:pt>
                <c:pt idx="523">
                  <c:v>-225</c:v>
                </c:pt>
                <c:pt idx="524">
                  <c:v>-225</c:v>
                </c:pt>
                <c:pt idx="525">
                  <c:v>-225</c:v>
                </c:pt>
                <c:pt idx="526">
                  <c:v>-225</c:v>
                </c:pt>
                <c:pt idx="527">
                  <c:v>-225</c:v>
                </c:pt>
                <c:pt idx="528">
                  <c:v>-225</c:v>
                </c:pt>
                <c:pt idx="529">
                  <c:v>-225</c:v>
                </c:pt>
                <c:pt idx="530">
                  <c:v>-225</c:v>
                </c:pt>
                <c:pt idx="531">
                  <c:v>-225</c:v>
                </c:pt>
                <c:pt idx="532">
                  <c:v>-225</c:v>
                </c:pt>
                <c:pt idx="533">
                  <c:v>-225</c:v>
                </c:pt>
                <c:pt idx="534">
                  <c:v>-225</c:v>
                </c:pt>
                <c:pt idx="535">
                  <c:v>-225</c:v>
                </c:pt>
                <c:pt idx="536">
                  <c:v>-225</c:v>
                </c:pt>
                <c:pt idx="537">
                  <c:v>-225</c:v>
                </c:pt>
                <c:pt idx="538">
                  <c:v>-225</c:v>
                </c:pt>
                <c:pt idx="539">
                  <c:v>-225</c:v>
                </c:pt>
                <c:pt idx="540">
                  <c:v>-225</c:v>
                </c:pt>
                <c:pt idx="541">
                  <c:v>-225</c:v>
                </c:pt>
                <c:pt idx="542">
                  <c:v>-225</c:v>
                </c:pt>
                <c:pt idx="543">
                  <c:v>-225</c:v>
                </c:pt>
                <c:pt idx="544">
                  <c:v>-225</c:v>
                </c:pt>
                <c:pt idx="545">
                  <c:v>-225</c:v>
                </c:pt>
                <c:pt idx="546">
                  <c:v>-225</c:v>
                </c:pt>
                <c:pt idx="547">
                  <c:v>-225</c:v>
                </c:pt>
                <c:pt idx="548">
                  <c:v>-225</c:v>
                </c:pt>
                <c:pt idx="549">
                  <c:v>-225</c:v>
                </c:pt>
                <c:pt idx="550">
                  <c:v>-225</c:v>
                </c:pt>
                <c:pt idx="551">
                  <c:v>-225</c:v>
                </c:pt>
                <c:pt idx="552">
                  <c:v>-225</c:v>
                </c:pt>
                <c:pt idx="553">
                  <c:v>-225</c:v>
                </c:pt>
                <c:pt idx="554">
                  <c:v>-225</c:v>
                </c:pt>
                <c:pt idx="555">
                  <c:v>-225</c:v>
                </c:pt>
                <c:pt idx="556">
                  <c:v>-225</c:v>
                </c:pt>
                <c:pt idx="557">
                  <c:v>-225</c:v>
                </c:pt>
                <c:pt idx="558">
                  <c:v>-225</c:v>
                </c:pt>
                <c:pt idx="559">
                  <c:v>-225</c:v>
                </c:pt>
                <c:pt idx="560">
                  <c:v>-225</c:v>
                </c:pt>
                <c:pt idx="561">
                  <c:v>-225</c:v>
                </c:pt>
                <c:pt idx="562">
                  <c:v>-225</c:v>
                </c:pt>
                <c:pt idx="563">
                  <c:v>-225</c:v>
                </c:pt>
                <c:pt idx="564">
                  <c:v>-225</c:v>
                </c:pt>
                <c:pt idx="565">
                  <c:v>-225</c:v>
                </c:pt>
                <c:pt idx="566">
                  <c:v>-225</c:v>
                </c:pt>
                <c:pt idx="567">
                  <c:v>-225</c:v>
                </c:pt>
                <c:pt idx="568">
                  <c:v>-225</c:v>
                </c:pt>
                <c:pt idx="569">
                  <c:v>-225</c:v>
                </c:pt>
                <c:pt idx="570">
                  <c:v>-225</c:v>
                </c:pt>
                <c:pt idx="571">
                  <c:v>-225</c:v>
                </c:pt>
                <c:pt idx="572">
                  <c:v>-225</c:v>
                </c:pt>
                <c:pt idx="573">
                  <c:v>-225</c:v>
                </c:pt>
                <c:pt idx="574">
                  <c:v>-225</c:v>
                </c:pt>
                <c:pt idx="575">
                  <c:v>-225</c:v>
                </c:pt>
                <c:pt idx="576">
                  <c:v>-225</c:v>
                </c:pt>
                <c:pt idx="577">
                  <c:v>-225</c:v>
                </c:pt>
                <c:pt idx="578">
                  <c:v>-225</c:v>
                </c:pt>
                <c:pt idx="579">
                  <c:v>-225</c:v>
                </c:pt>
                <c:pt idx="580">
                  <c:v>-225</c:v>
                </c:pt>
                <c:pt idx="581">
                  <c:v>-225</c:v>
                </c:pt>
                <c:pt idx="582">
                  <c:v>-225</c:v>
                </c:pt>
                <c:pt idx="583">
                  <c:v>-225</c:v>
                </c:pt>
                <c:pt idx="584">
                  <c:v>-225</c:v>
                </c:pt>
                <c:pt idx="585">
                  <c:v>-225</c:v>
                </c:pt>
                <c:pt idx="586">
                  <c:v>-225</c:v>
                </c:pt>
                <c:pt idx="587">
                  <c:v>-225</c:v>
                </c:pt>
                <c:pt idx="588">
                  <c:v>-225</c:v>
                </c:pt>
                <c:pt idx="589">
                  <c:v>-225</c:v>
                </c:pt>
                <c:pt idx="590">
                  <c:v>-225</c:v>
                </c:pt>
                <c:pt idx="591">
                  <c:v>-225</c:v>
                </c:pt>
                <c:pt idx="592">
                  <c:v>-225</c:v>
                </c:pt>
                <c:pt idx="593">
                  <c:v>-225</c:v>
                </c:pt>
                <c:pt idx="594">
                  <c:v>-225</c:v>
                </c:pt>
                <c:pt idx="595">
                  <c:v>-225</c:v>
                </c:pt>
                <c:pt idx="596">
                  <c:v>-225</c:v>
                </c:pt>
                <c:pt idx="597">
                  <c:v>-225</c:v>
                </c:pt>
                <c:pt idx="598">
                  <c:v>-225</c:v>
                </c:pt>
                <c:pt idx="599">
                  <c:v>-225</c:v>
                </c:pt>
                <c:pt idx="600">
                  <c:v>-225</c:v>
                </c:pt>
                <c:pt idx="601">
                  <c:v>-225</c:v>
                </c:pt>
                <c:pt idx="602">
                  <c:v>-225</c:v>
                </c:pt>
                <c:pt idx="603">
                  <c:v>-225</c:v>
                </c:pt>
                <c:pt idx="604">
                  <c:v>-225</c:v>
                </c:pt>
                <c:pt idx="605">
                  <c:v>-225</c:v>
                </c:pt>
                <c:pt idx="606">
                  <c:v>-225</c:v>
                </c:pt>
                <c:pt idx="607">
                  <c:v>-225</c:v>
                </c:pt>
                <c:pt idx="608">
                  <c:v>-225</c:v>
                </c:pt>
                <c:pt idx="609">
                  <c:v>-225</c:v>
                </c:pt>
                <c:pt idx="610">
                  <c:v>-225</c:v>
                </c:pt>
                <c:pt idx="611">
                  <c:v>-225</c:v>
                </c:pt>
                <c:pt idx="612">
                  <c:v>-225</c:v>
                </c:pt>
                <c:pt idx="613">
                  <c:v>-225</c:v>
                </c:pt>
                <c:pt idx="614">
                  <c:v>-225</c:v>
                </c:pt>
                <c:pt idx="615">
                  <c:v>-225</c:v>
                </c:pt>
                <c:pt idx="616">
                  <c:v>-225</c:v>
                </c:pt>
                <c:pt idx="617">
                  <c:v>-225</c:v>
                </c:pt>
                <c:pt idx="618">
                  <c:v>-225</c:v>
                </c:pt>
                <c:pt idx="619">
                  <c:v>-225</c:v>
                </c:pt>
                <c:pt idx="620">
                  <c:v>-225</c:v>
                </c:pt>
                <c:pt idx="621">
                  <c:v>-225</c:v>
                </c:pt>
                <c:pt idx="622">
                  <c:v>-225</c:v>
                </c:pt>
                <c:pt idx="623">
                  <c:v>-225</c:v>
                </c:pt>
                <c:pt idx="624">
                  <c:v>-225</c:v>
                </c:pt>
                <c:pt idx="625">
                  <c:v>-225</c:v>
                </c:pt>
                <c:pt idx="626">
                  <c:v>-225</c:v>
                </c:pt>
                <c:pt idx="627">
                  <c:v>-225</c:v>
                </c:pt>
                <c:pt idx="628">
                  <c:v>-225</c:v>
                </c:pt>
                <c:pt idx="629">
                  <c:v>-225</c:v>
                </c:pt>
                <c:pt idx="630">
                  <c:v>-225</c:v>
                </c:pt>
                <c:pt idx="631">
                  <c:v>-225</c:v>
                </c:pt>
                <c:pt idx="632">
                  <c:v>-225</c:v>
                </c:pt>
                <c:pt idx="633">
                  <c:v>-225</c:v>
                </c:pt>
                <c:pt idx="634">
                  <c:v>-225</c:v>
                </c:pt>
                <c:pt idx="635">
                  <c:v>-225</c:v>
                </c:pt>
                <c:pt idx="636">
                  <c:v>-225</c:v>
                </c:pt>
                <c:pt idx="637">
                  <c:v>-225</c:v>
                </c:pt>
              </c:numCache>
            </c:numRef>
          </c:val>
          <c:smooth val="0"/>
          <c:extLst>
            <c:ext xmlns:c16="http://schemas.microsoft.com/office/drawing/2014/chart" uri="{C3380CC4-5D6E-409C-BE32-E72D297353CC}">
              <c16:uniqueId val="{00000008-7882-4F0A-9E24-D1CD5CBAD872}"/>
            </c:ext>
          </c:extLst>
        </c:ser>
        <c:dLbls>
          <c:showLegendKey val="0"/>
          <c:showVal val="0"/>
          <c:showCatName val="0"/>
          <c:showSerName val="0"/>
          <c:showPercent val="0"/>
          <c:showBubbleSize val="0"/>
        </c:dLbls>
        <c:marker val="1"/>
        <c:smooth val="0"/>
        <c:axId val="1106308304"/>
        <c:axId val="1106306128"/>
      </c:lineChart>
      <c:dateAx>
        <c:axId val="1106308304"/>
        <c:scaling>
          <c:orientation val="minMax"/>
          <c:max val="43555"/>
          <c:min val="43405"/>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lgn="ctr">
              <a:defRPr lang="es-ES" sz="500" b="0" i="0" u="none" strike="noStrike" kern="1200" baseline="0">
                <a:solidFill>
                  <a:schemeClr val="tx1"/>
                </a:solidFill>
                <a:latin typeface="+mn-lt"/>
                <a:ea typeface="+mn-ea"/>
                <a:cs typeface="+mn-cs"/>
              </a:defRPr>
            </a:pPr>
            <a:endParaRPr lang="es-ES"/>
          </a:p>
        </c:txPr>
        <c:crossAx val="1106306128"/>
        <c:crosses val="autoZero"/>
        <c:auto val="1"/>
        <c:lblOffset val="100"/>
        <c:baseTimeUnit val="days"/>
        <c:majorUnit val="7"/>
        <c:majorTimeUnit val="days"/>
      </c:dateAx>
      <c:valAx>
        <c:axId val="1106306128"/>
        <c:scaling>
          <c:orientation val="minMax"/>
          <c:max val="250"/>
          <c:min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sz="1000" b="1" i="0" baseline="0" dirty="0" err="1" smtClean="0">
                    <a:effectLst/>
                  </a:rPr>
                  <a:t>GWh</a:t>
                </a:r>
                <a:r>
                  <a:rPr lang="es-ES_tradnl" sz="1000" b="1" i="0" baseline="0" dirty="0" smtClean="0">
                    <a:effectLst/>
                  </a:rPr>
                  <a:t>/d 0°C</a:t>
                </a:r>
                <a:endParaRPr lang="es-ES" sz="1000" dirty="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lgn="ctr">
              <a:defRPr lang="es-ES" sz="800" b="1" i="0" u="none" strike="noStrike" kern="1200" baseline="0">
                <a:solidFill>
                  <a:schemeClr val="tx1">
                    <a:lumMod val="65000"/>
                    <a:lumOff val="35000"/>
                  </a:schemeClr>
                </a:solidFill>
                <a:latin typeface="+mn-lt"/>
                <a:ea typeface="+mn-ea"/>
                <a:cs typeface="+mn-cs"/>
              </a:defRPr>
            </a:pPr>
            <a:endParaRPr lang="es-ES"/>
          </a:p>
        </c:txPr>
        <c:crossAx val="1106308304"/>
        <c:crosses val="autoZero"/>
        <c:crossBetween val="between"/>
        <c:majorUnit val="50"/>
        <c:minorUnit val="20"/>
      </c:valAx>
      <c:spPr>
        <a:noFill/>
        <a:ln>
          <a:noFill/>
        </a:ln>
        <a:effectLst/>
      </c:spPr>
    </c:plotArea>
    <c:legend>
      <c:legendPos val="b"/>
      <c:layout>
        <c:manualLayout>
          <c:xMode val="edge"/>
          <c:yMode val="edge"/>
          <c:x val="7.5899213292847878E-2"/>
          <c:y val="0.82179630083212296"/>
          <c:w val="0.90386394628360356"/>
          <c:h val="0.16076250277808254"/>
        </c:manualLayout>
      </c:layout>
      <c:overlay val="0"/>
      <c:spPr>
        <a:noFill/>
        <a:ln>
          <a:noFill/>
        </a:ln>
        <a:effectLst/>
      </c:spPr>
      <c:txPr>
        <a:bodyPr rot="0" spcFirstLastPara="1" vertOverflow="ellipsis" vert="horz" wrap="square" anchor="ctr" anchorCtr="1"/>
        <a:lstStyle/>
        <a:p>
          <a:pPr algn="ctr">
            <a:defRPr lang="es-ES" sz="6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6A14A919F7FD469959A89C2695724F" ma:contentTypeVersion="1" ma:contentTypeDescription="Create a new document." ma:contentTypeScope="" ma:versionID="93589767ebcb2ba21bf7ee22c6ce8086">
  <xsd:schema xmlns:xsd="http://www.w3.org/2001/XMLSchema" xmlns:xs="http://www.w3.org/2001/XMLSchema" xmlns:p="http://schemas.microsoft.com/office/2006/metadata/properties" xmlns:ns2="985daa2e-53d8-4475-82b8-9c7d25324e34" xmlns:ns3="836346e4-5425-44f0-954f-c57c03acbf61" targetNamespace="http://schemas.microsoft.com/office/2006/metadata/properties" ma:root="true" ma:fieldsID="f9ea436cf98a8b8672318af95760a1b9" ns2:_="" ns3:_="">
    <xsd:import namespace="985daa2e-53d8-4475-82b8-9c7d25324e34"/>
    <xsd:import namespace="836346e4-5425-44f0-954f-c57c03acbf61"/>
    <xsd:element name="properties">
      <xsd:complexType>
        <xsd:sequence>
          <xsd:element name="documentManagement">
            <xsd:complexType>
              <xsd:all>
                <xsd:element ref="ns2:_dlc_DocId" minOccurs="0"/>
                <xsd:element ref="ns2:_dlc_DocIdUrl" minOccurs="0"/>
                <xsd:element ref="ns2:_dlc_DocIdPersistId" minOccurs="0"/>
                <xsd:element ref="ns2:ACER_Abstract" minOccurs="0"/>
                <xsd:element ref="ns3:AcerDocumen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1" nillable="true" ma:displayName="Abstract" ma:description="" ma:internalName="ACER_Abstrac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6346e4-5425-44f0-954f-c57c03acbf61" elementFormDefault="qualified">
    <xsd:import namespace="http://schemas.microsoft.com/office/2006/documentManagement/types"/>
    <xsd:import namespace="http://schemas.microsoft.com/office/infopath/2007/PartnerControls"/>
    <xsd:element name="AcerDocumentName" ma:index="12"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erDocumentName xmlns="836346e4-5425-44f0-954f-c57c03acbf61">20200831_WP1_UseOfInfrastructures_FINAL_ext_SENT.DOCX</AcerDocumentName>
    <ACER_Abstract xmlns="985daa2e-53d8-4475-82b8-9c7d25324e34" xsi:nil="true"/>
    <_dlc_DocId xmlns="985daa2e-53d8-4475-82b8-9c7d25324e34">ACER-2020-94183</_dlc_DocId>
    <_dlc_DocIdUrl xmlns="985daa2e-53d8-4475-82b8-9c7d25324e34">
      <Url>https://extranet.acer.europa.eu/Events/55th-IG-Meeting/_layouts/15/DocIdRedir.aspx?ID=ACER-2020-94183</Url>
      <Description>ACER-2020-94183</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Props1.xml><?xml version="1.0" encoding="utf-8"?>
<ds:datastoreItem xmlns:ds="http://schemas.openxmlformats.org/officeDocument/2006/customXml" ds:itemID="{93BCE7A8-5D2D-4B75-B884-D38B2B271302}"/>
</file>

<file path=customXml/itemProps2.xml><?xml version="1.0" encoding="utf-8"?>
<ds:datastoreItem xmlns:ds="http://schemas.openxmlformats.org/officeDocument/2006/customXml" ds:itemID="{A5398437-8E52-4C8C-A0E6-4DD1FCC779C7}">
  <ds:schemaRefs>
    <ds:schemaRef ds:uri="http://schemas.microsoft.com/sharepoint/v3/contenttype/forms"/>
  </ds:schemaRefs>
</ds:datastoreItem>
</file>

<file path=customXml/itemProps3.xml><?xml version="1.0" encoding="utf-8"?>
<ds:datastoreItem xmlns:ds="http://schemas.openxmlformats.org/officeDocument/2006/customXml" ds:itemID="{04242BC3-A44A-41F5-B456-A568B0FF7B9F}">
  <ds:schemaRefs>
    <ds:schemaRef ds:uri="http://purl.org/dc/terms/"/>
    <ds:schemaRef ds:uri="http://purl.org/dc/elements/1.1/"/>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infopath/2007/PartnerControls"/>
    <ds:schemaRef ds:uri="9b3efd44-45ce-4fea-a425-c5b3f003c207"/>
    <ds:schemaRef ds:uri="http://schemas.microsoft.com/office/2006/metadata/properties"/>
  </ds:schemaRefs>
</ds:datastoreItem>
</file>

<file path=customXml/itemProps4.xml><?xml version="1.0" encoding="utf-8"?>
<ds:datastoreItem xmlns:ds="http://schemas.openxmlformats.org/officeDocument/2006/customXml" ds:itemID="{32E27CE6-9064-4F7A-A21B-5F82D03D8C39}">
  <ds:schemaRefs>
    <ds:schemaRef ds:uri="http://schemas.openxmlformats.org/officeDocument/2006/bibliography"/>
  </ds:schemaRefs>
</ds:datastoreItem>
</file>

<file path=customXml/itemProps5.xml><?xml version="1.0" encoding="utf-8"?>
<ds:datastoreItem xmlns:ds="http://schemas.openxmlformats.org/officeDocument/2006/customXml" ds:itemID="{8C6A40EC-1E2A-46F6-82CD-F4A2C937D0B8}"/>
</file>

<file path=docProps/app.xml><?xml version="1.0" encoding="utf-8"?>
<Properties xmlns="http://schemas.openxmlformats.org/officeDocument/2006/extended-properties" xmlns:vt="http://schemas.openxmlformats.org/officeDocument/2006/docPropsVTypes">
  <Template>Normal</Template>
  <TotalTime>0</TotalTime>
  <Pages>89</Pages>
  <Words>15472</Words>
  <Characters>83871</Characters>
  <Application>Microsoft Office Word</Application>
  <DocSecurity>4</DocSecurity>
  <Lines>698</Lines>
  <Paragraphs>198</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OFFRES ET ALLOCATION DE CAPACITES</vt:lpstr>
      <vt:lpstr>OFFRES ET ALLOCATION DE CAPACITES</vt:lpstr>
      <vt:lpstr>OFFRES ET ALLOCATION DE CAPACITES</vt:lpstr>
    </vt:vector>
  </TitlesOfParts>
  <Company>GDF SUEZ</Company>
  <LinksUpToDate>false</LinksUpToDate>
  <CharactersWithSpaces>99145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OFFRES ET ALLOCATION DE CAPACITES</dc:title>
  <dc:subject/>
  <dc:creator>Dutertre</dc:creator>
  <cp:keywords/>
  <dc:description/>
  <cp:lastModifiedBy>Alonso Borrego, Nuria</cp:lastModifiedBy>
  <cp:revision>2</cp:revision>
  <cp:lastPrinted>2020-08-31T10:50:00Z</cp:lastPrinted>
  <dcterms:created xsi:type="dcterms:W3CDTF">2020-09-15T13:31:00Z</dcterms:created>
  <dcterms:modified xsi:type="dcterms:W3CDTF">2020-09-15T13:31:00Z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0x010100B16A14A919F7FD469959A89C2695724F</vt:lpwstr>
  </property>
  <property fmtid="{D5CDD505-2E9C-101B-9397-08002B2CF9AE}" pid="4" name="MSIP_Label_0fc55952-1fc0-4bcb-977a-64773f1984fe_Enabled">
    <vt:lpwstr>True</vt:lpwstr>
  </property>
  <property fmtid="{D5CDD505-2E9C-101B-9397-08002B2CF9AE}" pid="5" name="MSIP_Label_0fc55952-1fc0-4bcb-977a-64773f1984fe_SiteId">
    <vt:lpwstr>081c4a9c-ea86-468c-9b4c-30d99d63df76</vt:lpwstr>
  </property>
  <property fmtid="{D5CDD505-2E9C-101B-9397-08002B2CF9AE}" pid="6" name="MSIP_Label_0fc55952-1fc0-4bcb-977a-64773f1984fe_Owner">
    <vt:lpwstr>7857FK@tera.infragaz.com</vt:lpwstr>
  </property>
  <property fmtid="{D5CDD505-2E9C-101B-9397-08002B2CF9AE}" pid="7" name="MSIP_Label_0fc55952-1fc0-4bcb-977a-64773f1984fe_SetDate">
    <vt:lpwstr>2019-12-16T13:52:30.2219712Z</vt:lpwstr>
  </property>
  <property fmtid="{D5CDD505-2E9C-101B-9397-08002B2CF9AE}" pid="8" name="MSIP_Label_0fc55952-1fc0-4bcb-977a-64773f1984fe_Name">
    <vt:lpwstr>Interne</vt:lpwstr>
  </property>
  <property fmtid="{D5CDD505-2E9C-101B-9397-08002B2CF9AE}" pid="9" name="MSIP_Label_0fc55952-1fc0-4bcb-977a-64773f1984fe_Application">
    <vt:lpwstr>Microsoft Azure Information Protection</vt:lpwstr>
  </property>
  <property fmtid="{D5CDD505-2E9C-101B-9397-08002B2CF9AE}" pid="10" name="MSIP_Label_0fc55952-1fc0-4bcb-977a-64773f1984fe_ActionId">
    <vt:lpwstr>fbacf406-4aaf-4c9c-ba18-8a46ec329ed5</vt:lpwstr>
  </property>
  <property fmtid="{D5CDD505-2E9C-101B-9397-08002B2CF9AE}" pid="11" name="MSIP_Label_0fc55952-1fc0-4bcb-977a-64773f1984fe_Extended_MSFT_Method">
    <vt:lpwstr>Automatic</vt:lpwstr>
  </property>
  <property fmtid="{D5CDD505-2E9C-101B-9397-08002B2CF9AE}" pid="12" name="Sensitivity">
    <vt:lpwstr>Interne</vt:lpwstr>
  </property>
  <property fmtid="{D5CDD505-2E9C-101B-9397-08002B2CF9AE}" pid="13" name="_dlc_DocIdItemGuid">
    <vt:lpwstr>ec0c257f-d5dc-463b-9c6f-e1683ddcda0c</vt:lpwstr>
  </property>
</Properties>
</file>