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04DA" w14:textId="77777777" w:rsidR="0056455A" w:rsidRDefault="0056455A" w:rsidP="0056455A">
      <w:pPr>
        <w:pBdr>
          <w:top w:val="single" w:sz="4" w:space="1" w:color="auto"/>
        </w:pBdr>
        <w:spacing w:after="120"/>
        <w:jc w:val="center"/>
        <w:rPr>
          <w:b/>
          <w:sz w:val="24"/>
          <w:szCs w:val="24"/>
          <w:lang w:val="en-GB"/>
        </w:rPr>
      </w:pPr>
    </w:p>
    <w:p w14:paraId="7F8BE241" w14:textId="77777777" w:rsidR="000E6914" w:rsidRPr="00D4207C" w:rsidRDefault="00716827" w:rsidP="0056455A">
      <w:pPr>
        <w:pBdr>
          <w:top w:val="single" w:sz="4" w:space="1" w:color="auto"/>
        </w:pBdr>
        <w:spacing w:after="120"/>
        <w:jc w:val="center"/>
        <w:rPr>
          <w:rFonts w:ascii="Times New Roman" w:hAnsi="Times New Roman"/>
          <w:b/>
          <w:sz w:val="24"/>
          <w:szCs w:val="24"/>
          <w:lang w:val="en-GB"/>
        </w:rPr>
      </w:pPr>
      <w:r w:rsidRPr="00D4207C">
        <w:rPr>
          <w:rFonts w:ascii="Times New Roman" w:hAnsi="Times New Roman"/>
          <w:b/>
          <w:sz w:val="24"/>
          <w:szCs w:val="24"/>
          <w:lang w:val="en-GB"/>
        </w:rPr>
        <w:t>3</w:t>
      </w:r>
      <w:r w:rsidR="00B21480" w:rsidRPr="00D4207C">
        <w:rPr>
          <w:rFonts w:ascii="Times New Roman" w:hAnsi="Times New Roman"/>
          <w:b/>
          <w:sz w:val="24"/>
          <w:szCs w:val="24"/>
          <w:lang w:val="en-GB"/>
        </w:rPr>
        <w:t>2</w:t>
      </w:r>
      <w:r w:rsidR="00B21480" w:rsidRPr="00D4207C">
        <w:rPr>
          <w:rFonts w:ascii="Times New Roman" w:hAnsi="Times New Roman"/>
          <w:b/>
          <w:sz w:val="24"/>
          <w:szCs w:val="24"/>
          <w:vertAlign w:val="superscript"/>
          <w:lang w:val="en-GB"/>
        </w:rPr>
        <w:t>nd</w:t>
      </w:r>
      <w:r w:rsidR="0056455A" w:rsidRPr="00D4207C">
        <w:rPr>
          <w:rFonts w:ascii="Times New Roman" w:hAnsi="Times New Roman"/>
          <w:b/>
          <w:sz w:val="24"/>
          <w:szCs w:val="24"/>
          <w:lang w:val="en-GB"/>
        </w:rPr>
        <w:t xml:space="preserve"> </w:t>
      </w:r>
      <w:r w:rsidR="00443C6A" w:rsidRPr="00D4207C">
        <w:rPr>
          <w:rFonts w:ascii="Times New Roman" w:hAnsi="Times New Roman"/>
          <w:b/>
          <w:sz w:val="24"/>
          <w:szCs w:val="24"/>
          <w:lang w:val="en-GB"/>
        </w:rPr>
        <w:t>Regional Coordination Committee</w:t>
      </w:r>
      <w:r w:rsidR="000E6914" w:rsidRPr="00D4207C">
        <w:rPr>
          <w:rFonts w:ascii="Times New Roman" w:hAnsi="Times New Roman"/>
          <w:b/>
          <w:sz w:val="24"/>
          <w:szCs w:val="24"/>
          <w:lang w:val="en-GB"/>
        </w:rPr>
        <w:t xml:space="preserve"> Meeting</w:t>
      </w:r>
    </w:p>
    <w:p w14:paraId="3473C742" w14:textId="77777777" w:rsidR="000E6914" w:rsidRPr="00D4207C" w:rsidRDefault="000E6914">
      <w:pPr>
        <w:spacing w:after="120"/>
        <w:jc w:val="center"/>
        <w:rPr>
          <w:rFonts w:ascii="Times New Roman" w:hAnsi="Times New Roman"/>
          <w:b/>
          <w:color w:val="000000"/>
          <w:sz w:val="26"/>
          <w:szCs w:val="26"/>
          <w:lang w:val="en-GB"/>
        </w:rPr>
      </w:pPr>
      <w:r w:rsidRPr="00D4207C">
        <w:rPr>
          <w:rFonts w:ascii="Times New Roman" w:hAnsi="Times New Roman"/>
          <w:b/>
          <w:color w:val="000000"/>
          <w:sz w:val="26"/>
          <w:szCs w:val="26"/>
          <w:lang w:val="en-GB"/>
        </w:rPr>
        <w:t>GAS REGIONAL INITIATIVE – SOUTH SOUTH-EAST</w:t>
      </w:r>
    </w:p>
    <w:p w14:paraId="58AFFB54" w14:textId="77777777" w:rsidR="00B21480" w:rsidRPr="00D4207C" w:rsidRDefault="00B21480" w:rsidP="00B21480">
      <w:pPr>
        <w:pBdr>
          <w:bottom w:val="single" w:sz="6" w:space="1" w:color="auto"/>
        </w:pBdr>
        <w:spacing w:after="120"/>
        <w:jc w:val="center"/>
        <w:rPr>
          <w:rFonts w:ascii="Times New Roman" w:hAnsi="Times New Roman"/>
          <w:b/>
          <w:lang w:val="en-GB"/>
        </w:rPr>
      </w:pPr>
      <w:r w:rsidRPr="00D4207C">
        <w:rPr>
          <w:rFonts w:ascii="Times New Roman" w:hAnsi="Times New Roman"/>
          <w:b/>
          <w:lang w:val="en-GB"/>
        </w:rPr>
        <w:t>29 November 2017, 14:00 – 19:30</w:t>
      </w:r>
    </w:p>
    <w:p w14:paraId="7249A2E0" w14:textId="77777777" w:rsidR="00B21480" w:rsidRPr="00D4207C" w:rsidRDefault="00B21480" w:rsidP="00B21480">
      <w:pPr>
        <w:pBdr>
          <w:bottom w:val="single" w:sz="6" w:space="1" w:color="auto"/>
        </w:pBdr>
        <w:spacing w:after="120"/>
        <w:jc w:val="center"/>
        <w:rPr>
          <w:rFonts w:ascii="Times New Roman" w:hAnsi="Times New Roman"/>
          <w:b/>
          <w:szCs w:val="22"/>
          <w:lang w:val="en-GB"/>
        </w:rPr>
      </w:pPr>
      <w:r w:rsidRPr="00D4207C">
        <w:rPr>
          <w:rFonts w:ascii="Times New Roman" w:hAnsi="Times New Roman"/>
          <w:b/>
          <w:szCs w:val="22"/>
          <w:lang w:val="en-GB"/>
        </w:rPr>
        <w:t xml:space="preserve">5 </w:t>
      </w:r>
      <w:proofErr w:type="spellStart"/>
      <w:r w:rsidRPr="00D4207C">
        <w:rPr>
          <w:rFonts w:ascii="Times New Roman" w:hAnsi="Times New Roman"/>
          <w:b/>
          <w:szCs w:val="22"/>
          <w:lang w:val="en-GB"/>
        </w:rPr>
        <w:t>Terazije</w:t>
      </w:r>
      <w:proofErr w:type="spellEnd"/>
      <w:r w:rsidRPr="00D4207C">
        <w:rPr>
          <w:rFonts w:ascii="Times New Roman" w:hAnsi="Times New Roman"/>
          <w:b/>
          <w:szCs w:val="22"/>
          <w:lang w:val="en-GB"/>
        </w:rPr>
        <w:t>, I floor, Belgrade, Serbia</w:t>
      </w:r>
    </w:p>
    <w:p w14:paraId="0DFA51A8" w14:textId="77777777" w:rsidR="00B21480" w:rsidRPr="00D4207C" w:rsidRDefault="00B21480" w:rsidP="00B21480">
      <w:pPr>
        <w:pBdr>
          <w:bottom w:val="single" w:sz="6" w:space="1" w:color="auto"/>
        </w:pBdr>
        <w:spacing w:after="120"/>
        <w:jc w:val="center"/>
        <w:rPr>
          <w:rFonts w:ascii="Times New Roman" w:hAnsi="Times New Roman"/>
          <w:b/>
          <w:szCs w:val="22"/>
          <w:lang w:val="en-GB"/>
        </w:rPr>
      </w:pPr>
      <w:r w:rsidRPr="00D4207C">
        <w:rPr>
          <w:rFonts w:ascii="Times New Roman" w:hAnsi="Times New Roman"/>
          <w:b/>
          <w:szCs w:val="22"/>
          <w:lang w:val="en-GB"/>
        </w:rPr>
        <w:t>AERS building</w:t>
      </w:r>
    </w:p>
    <w:p w14:paraId="571B4B42" w14:textId="77777777" w:rsidR="00941F4A" w:rsidRPr="004028F6" w:rsidRDefault="00941F4A" w:rsidP="009C7F61">
      <w:pPr>
        <w:spacing w:after="120"/>
        <w:rPr>
          <w:b/>
          <w:sz w:val="24"/>
          <w:szCs w:val="24"/>
          <w:lang w:val="it-IT"/>
        </w:rPr>
      </w:pPr>
    </w:p>
    <w:p w14:paraId="4D2309C7" w14:textId="77777777" w:rsidR="00CF3484" w:rsidRPr="004028F6" w:rsidRDefault="00B21480">
      <w:pPr>
        <w:spacing w:after="120"/>
        <w:jc w:val="center"/>
        <w:rPr>
          <w:b/>
          <w:sz w:val="24"/>
          <w:szCs w:val="24"/>
          <w:lang w:val="it-IT"/>
        </w:rPr>
      </w:pPr>
      <w:r>
        <w:rPr>
          <w:rFonts w:ascii="Times New Roman" w:hAnsi="Times New Roman"/>
          <w:b/>
          <w:sz w:val="24"/>
          <w:szCs w:val="24"/>
          <w:lang w:val="it-IT"/>
        </w:rPr>
        <w:t xml:space="preserve">Draft </w:t>
      </w:r>
      <w:r w:rsidR="007E5AF8" w:rsidRPr="00C91FEA">
        <w:rPr>
          <w:rFonts w:ascii="Times New Roman" w:hAnsi="Times New Roman"/>
          <w:b/>
          <w:sz w:val="24"/>
          <w:szCs w:val="24"/>
          <w:lang w:val="it-IT"/>
        </w:rPr>
        <w:t>Minutes</w:t>
      </w:r>
      <w:r>
        <w:rPr>
          <w:rFonts w:ascii="Times New Roman" w:hAnsi="Times New Roman"/>
          <w:b/>
          <w:sz w:val="24"/>
          <w:szCs w:val="24"/>
          <w:lang w:val="it-IT"/>
        </w:rPr>
        <w:t xml:space="preserve"> v1</w:t>
      </w:r>
      <w:r w:rsidR="002B4060">
        <w:rPr>
          <w:rFonts w:ascii="Times New Roman" w:hAnsi="Times New Roman"/>
          <w:b/>
          <w:sz w:val="24"/>
          <w:szCs w:val="24"/>
          <w:lang w:val="it-IT"/>
        </w:rPr>
        <w:t xml:space="preserve"> </w:t>
      </w: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532"/>
      </w:tblGrid>
      <w:tr w:rsidR="00603A5A" w:rsidRPr="00E407FD" w14:paraId="7577E90E" w14:textId="77777777" w:rsidTr="00CB04F0">
        <w:tc>
          <w:tcPr>
            <w:tcW w:w="9778" w:type="dxa"/>
            <w:shd w:val="clear" w:color="auto" w:fill="auto"/>
            <w:vAlign w:val="center"/>
          </w:tcPr>
          <w:p w14:paraId="543AF939" w14:textId="77777777" w:rsidR="00EE6CF5" w:rsidRPr="00E407FD" w:rsidRDefault="00603A5A" w:rsidP="00EE6CF5">
            <w:pPr>
              <w:spacing w:before="240" w:after="240"/>
              <w:jc w:val="left"/>
              <w:rPr>
                <w:rFonts w:ascii="Times New Roman" w:hAnsi="Times New Roman"/>
                <w:lang w:val="en-GB"/>
              </w:rPr>
            </w:pPr>
            <w:r w:rsidRPr="00E407FD">
              <w:rPr>
                <w:rFonts w:ascii="Times New Roman" w:hAnsi="Times New Roman"/>
                <w:lang w:val="en-GB"/>
              </w:rPr>
              <w:t xml:space="preserve">Link to meeting documents: </w:t>
            </w:r>
            <w:hyperlink r:id="rId8" w:history="1">
              <w:r w:rsidR="00B21480" w:rsidRPr="004E7FE4">
                <w:rPr>
                  <w:rStyle w:val="Hyperlink"/>
                  <w:rFonts w:ascii="Times New Roman" w:hAnsi="Times New Roman"/>
                  <w:lang w:val="en-GB"/>
                </w:rPr>
                <w:t>http://www.acer.europa.eu/Events/32st-Regional-Coordination-Committee-RCC-Meeting/default.aspx</w:t>
              </w:r>
            </w:hyperlink>
          </w:p>
        </w:tc>
      </w:tr>
    </w:tbl>
    <w:p w14:paraId="1434A6C4" w14:textId="77777777" w:rsidR="00603A5A" w:rsidRDefault="00603A5A">
      <w:pPr>
        <w:rPr>
          <w:rFonts w:ascii="Times New Roman" w:hAnsi="Times New Roman"/>
          <w:lang w:val="en-GB"/>
        </w:rPr>
      </w:pPr>
    </w:p>
    <w:p w14:paraId="42EE573D" w14:textId="77777777" w:rsidR="00BE43F3" w:rsidRPr="00D4207C" w:rsidRDefault="00BE43F3" w:rsidP="00BE43F3">
      <w:pPr>
        <w:jc w:val="center"/>
        <w:rPr>
          <w:rFonts w:ascii="Times New Roman" w:hAnsi="Times New Roman"/>
          <w:b/>
          <w:sz w:val="24"/>
          <w:szCs w:val="24"/>
          <w:lang w:val="en-GB"/>
        </w:rPr>
      </w:pPr>
      <w:r w:rsidRPr="00D4207C">
        <w:rPr>
          <w:rFonts w:ascii="Times New Roman" w:hAnsi="Times New Roman"/>
          <w:b/>
          <w:sz w:val="24"/>
          <w:szCs w:val="24"/>
          <w:lang w:val="en-GB"/>
        </w:rPr>
        <w:t>Participants</w:t>
      </w:r>
    </w:p>
    <w:p w14:paraId="4C95952D" w14:textId="77777777" w:rsidR="00BE43F3" w:rsidRPr="00D4207C" w:rsidRDefault="00BE43F3">
      <w:pPr>
        <w:rPr>
          <w:rFonts w:ascii="Times New Roman" w:hAnsi="Times New Roman"/>
          <w:lang w:val="en-GB"/>
        </w:rPr>
      </w:pPr>
    </w:p>
    <w:tbl>
      <w:tblPr>
        <w:tblW w:w="4965" w:type="pct"/>
        <w:tblBorders>
          <w:top w:val="single" w:sz="4" w:space="0" w:color="336797"/>
          <w:left w:val="single" w:sz="4" w:space="0" w:color="336797"/>
          <w:bottom w:val="single" w:sz="4" w:space="0" w:color="336797"/>
          <w:right w:val="single" w:sz="4" w:space="0" w:color="336797"/>
          <w:insideH w:val="single" w:sz="4" w:space="0" w:color="336797"/>
          <w:insideV w:val="single" w:sz="4" w:space="0" w:color="336797"/>
        </w:tblBorders>
        <w:tblLayout w:type="fixed"/>
        <w:tblCellMar>
          <w:left w:w="70" w:type="dxa"/>
          <w:right w:w="70" w:type="dxa"/>
        </w:tblCellMar>
        <w:tblLook w:val="0000" w:firstRow="0" w:lastRow="0" w:firstColumn="0" w:lastColumn="0" w:noHBand="0" w:noVBand="0"/>
      </w:tblPr>
      <w:tblGrid>
        <w:gridCol w:w="703"/>
        <w:gridCol w:w="1819"/>
        <w:gridCol w:w="1526"/>
        <w:gridCol w:w="5513"/>
      </w:tblGrid>
      <w:tr w:rsidR="00B21480" w:rsidRPr="00D4207C" w14:paraId="31D745C7" w14:textId="77777777" w:rsidTr="00B21480">
        <w:trPr>
          <w:trHeight w:val="255"/>
        </w:trPr>
        <w:tc>
          <w:tcPr>
            <w:tcW w:w="368" w:type="pct"/>
            <w:tcBorders>
              <w:top w:val="single" w:sz="4" w:space="0" w:color="FFFFFF"/>
              <w:left w:val="single" w:sz="4" w:space="0" w:color="FFFFFF"/>
              <w:bottom w:val="single" w:sz="4" w:space="0" w:color="FFFFFF"/>
              <w:right w:val="single" w:sz="4" w:space="0" w:color="FFFFFF"/>
            </w:tcBorders>
            <w:shd w:val="clear" w:color="auto" w:fill="5B9BD5"/>
          </w:tcPr>
          <w:p w14:paraId="2188CD45" w14:textId="77777777" w:rsidR="00B21480" w:rsidRPr="00D4207C" w:rsidRDefault="00B21480" w:rsidP="00EF57A1">
            <w:pPr>
              <w:spacing w:after="120"/>
              <w:jc w:val="center"/>
              <w:rPr>
                <w:rFonts w:ascii="Times New Roman" w:hAnsi="Times New Roman"/>
                <w:b/>
                <w:sz w:val="24"/>
                <w:szCs w:val="24"/>
                <w:lang w:val="en-GB"/>
              </w:rPr>
            </w:pPr>
            <w:r w:rsidRPr="00D4207C">
              <w:rPr>
                <w:rFonts w:ascii="Times New Roman" w:hAnsi="Times New Roman"/>
                <w:b/>
                <w:sz w:val="24"/>
                <w:szCs w:val="24"/>
                <w:lang w:val="en-GB"/>
              </w:rPr>
              <w:t>No.</w:t>
            </w:r>
          </w:p>
        </w:tc>
        <w:tc>
          <w:tcPr>
            <w:tcW w:w="951" w:type="pct"/>
            <w:tcBorders>
              <w:top w:val="single" w:sz="4" w:space="0" w:color="FFFFFF"/>
              <w:left w:val="single" w:sz="4" w:space="0" w:color="FFFFFF"/>
              <w:bottom w:val="single" w:sz="4" w:space="0" w:color="FFFFFF"/>
              <w:right w:val="single" w:sz="4" w:space="0" w:color="FFFFFF"/>
            </w:tcBorders>
            <w:shd w:val="clear" w:color="auto" w:fill="5B9BD5"/>
          </w:tcPr>
          <w:p w14:paraId="18379574" w14:textId="77777777" w:rsidR="00B21480" w:rsidRPr="00D4207C" w:rsidRDefault="00B21480" w:rsidP="00EF57A1">
            <w:pPr>
              <w:spacing w:after="120"/>
              <w:jc w:val="center"/>
              <w:rPr>
                <w:rFonts w:ascii="Times New Roman" w:hAnsi="Times New Roman"/>
                <w:b/>
                <w:sz w:val="24"/>
                <w:szCs w:val="24"/>
                <w:lang w:val="en-GB"/>
              </w:rPr>
            </w:pPr>
            <w:r w:rsidRPr="00D4207C">
              <w:rPr>
                <w:rFonts w:ascii="Times New Roman" w:hAnsi="Times New Roman"/>
                <w:b/>
                <w:sz w:val="24"/>
                <w:szCs w:val="24"/>
                <w:lang w:val="en-GB"/>
              </w:rPr>
              <w:t>Surname</w:t>
            </w:r>
          </w:p>
        </w:tc>
        <w:tc>
          <w:tcPr>
            <w:tcW w:w="798" w:type="pct"/>
            <w:tcBorders>
              <w:top w:val="single" w:sz="4" w:space="0" w:color="FFFFFF"/>
              <w:left w:val="single" w:sz="4" w:space="0" w:color="FFFFFF"/>
              <w:bottom w:val="single" w:sz="4" w:space="0" w:color="FFFFFF"/>
              <w:right w:val="single" w:sz="4" w:space="0" w:color="FFFFFF"/>
            </w:tcBorders>
            <w:shd w:val="clear" w:color="auto" w:fill="5B9BD5"/>
            <w:noWrap/>
          </w:tcPr>
          <w:p w14:paraId="276D3E43" w14:textId="77777777" w:rsidR="00B21480" w:rsidRPr="00D4207C" w:rsidRDefault="00B21480" w:rsidP="00EF57A1">
            <w:pPr>
              <w:spacing w:after="120"/>
              <w:jc w:val="center"/>
              <w:rPr>
                <w:rFonts w:ascii="Times New Roman" w:hAnsi="Times New Roman"/>
                <w:b/>
                <w:sz w:val="24"/>
                <w:szCs w:val="24"/>
                <w:lang w:val="en-GB"/>
              </w:rPr>
            </w:pPr>
            <w:r w:rsidRPr="00D4207C">
              <w:rPr>
                <w:rFonts w:ascii="Times New Roman" w:hAnsi="Times New Roman"/>
                <w:b/>
                <w:sz w:val="24"/>
                <w:szCs w:val="24"/>
                <w:lang w:val="en-GB"/>
              </w:rPr>
              <w:t>Name</w:t>
            </w:r>
          </w:p>
        </w:tc>
        <w:tc>
          <w:tcPr>
            <w:tcW w:w="2883" w:type="pct"/>
            <w:tcBorders>
              <w:top w:val="single" w:sz="4" w:space="0" w:color="FFFFFF"/>
              <w:left w:val="single" w:sz="4" w:space="0" w:color="FFFFFF"/>
              <w:bottom w:val="single" w:sz="4" w:space="0" w:color="FFFFFF"/>
              <w:right w:val="single" w:sz="4" w:space="0" w:color="FFFFFF"/>
            </w:tcBorders>
            <w:shd w:val="clear" w:color="auto" w:fill="5B9BD5"/>
          </w:tcPr>
          <w:p w14:paraId="24FA4FE2" w14:textId="77777777" w:rsidR="00B21480" w:rsidRPr="00D4207C" w:rsidRDefault="00B21480" w:rsidP="00EF57A1">
            <w:pPr>
              <w:spacing w:after="120"/>
              <w:jc w:val="center"/>
              <w:rPr>
                <w:rFonts w:ascii="Times New Roman" w:hAnsi="Times New Roman"/>
                <w:b/>
                <w:sz w:val="24"/>
                <w:szCs w:val="24"/>
                <w:lang w:val="en-GB"/>
              </w:rPr>
            </w:pPr>
            <w:r w:rsidRPr="00D4207C">
              <w:rPr>
                <w:rFonts w:ascii="Times New Roman" w:hAnsi="Times New Roman"/>
                <w:b/>
                <w:sz w:val="24"/>
                <w:szCs w:val="24"/>
                <w:lang w:val="en-GB"/>
              </w:rPr>
              <w:t>Organisation</w:t>
            </w:r>
          </w:p>
        </w:tc>
      </w:tr>
      <w:tr w:rsidR="00B21480" w:rsidRPr="00D4207C" w14:paraId="4EFF5086"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A9CB15F"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84D4754"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Backes</w:t>
            </w:r>
          </w:p>
        </w:tc>
        <w:tc>
          <w:tcPr>
            <w:tcW w:w="798" w:type="pct"/>
            <w:tcBorders>
              <w:top w:val="nil"/>
              <w:left w:val="nil"/>
              <w:bottom w:val="single" w:sz="4" w:space="0" w:color="auto"/>
              <w:right w:val="single" w:sz="4" w:space="0" w:color="auto"/>
            </w:tcBorders>
            <w:shd w:val="clear" w:color="auto" w:fill="auto"/>
            <w:noWrap/>
          </w:tcPr>
          <w:p w14:paraId="27B635BD"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Markus</w:t>
            </w:r>
          </w:p>
        </w:tc>
        <w:tc>
          <w:tcPr>
            <w:tcW w:w="2883" w:type="pct"/>
            <w:tcBorders>
              <w:top w:val="nil"/>
              <w:left w:val="nil"/>
              <w:bottom w:val="single" w:sz="4" w:space="0" w:color="auto"/>
              <w:right w:val="single" w:sz="4" w:space="0" w:color="auto"/>
            </w:tcBorders>
            <w:shd w:val="clear" w:color="auto" w:fill="auto"/>
            <w:noWrap/>
          </w:tcPr>
          <w:p w14:paraId="14384D6F"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Cs w:val="22"/>
              </w:rPr>
              <w:t>European Commission</w:t>
            </w:r>
          </w:p>
        </w:tc>
      </w:tr>
      <w:tr w:rsidR="00B21480" w:rsidRPr="00D4207C" w14:paraId="1B1C77A4"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3C0FD2C"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DBD4852"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lang w:val="sr-Latn-RS"/>
              </w:rPr>
              <w:t>Bundeleski</w:t>
            </w:r>
          </w:p>
        </w:tc>
        <w:tc>
          <w:tcPr>
            <w:tcW w:w="798" w:type="pct"/>
            <w:tcBorders>
              <w:top w:val="nil"/>
              <w:left w:val="nil"/>
              <w:bottom w:val="single" w:sz="4" w:space="0" w:color="auto"/>
              <w:right w:val="single" w:sz="4" w:space="0" w:color="auto"/>
            </w:tcBorders>
            <w:shd w:val="clear" w:color="auto" w:fill="auto"/>
            <w:noWrap/>
          </w:tcPr>
          <w:p w14:paraId="318C2245" w14:textId="77777777" w:rsidR="00B21480" w:rsidRPr="00D4207C" w:rsidRDefault="00B21480" w:rsidP="00B21480">
            <w:pPr>
              <w:jc w:val="center"/>
              <w:rPr>
                <w:rFonts w:ascii="Times New Roman" w:hAnsi="Times New Roman"/>
                <w:sz w:val="24"/>
                <w:szCs w:val="24"/>
                <w:lang w:val="sr-Latn-RS"/>
              </w:rPr>
            </w:pPr>
            <w:r w:rsidRPr="00D4207C">
              <w:rPr>
                <w:rFonts w:ascii="Times New Roman" w:hAnsi="Times New Roman"/>
                <w:sz w:val="24"/>
                <w:szCs w:val="24"/>
                <w:lang w:val="sr-Latn-RS"/>
              </w:rPr>
              <w:t>Slavko</w:t>
            </w:r>
          </w:p>
        </w:tc>
        <w:tc>
          <w:tcPr>
            <w:tcW w:w="2883" w:type="pct"/>
            <w:tcBorders>
              <w:top w:val="nil"/>
              <w:left w:val="nil"/>
              <w:bottom w:val="single" w:sz="4" w:space="0" w:color="auto"/>
              <w:right w:val="single" w:sz="4" w:space="0" w:color="auto"/>
            </w:tcBorders>
            <w:shd w:val="clear" w:color="auto" w:fill="auto"/>
            <w:noWrap/>
          </w:tcPr>
          <w:p w14:paraId="680B788C"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ERC</w:t>
            </w:r>
          </w:p>
        </w:tc>
      </w:tr>
      <w:tr w:rsidR="00B21480" w:rsidRPr="00D4207C" w14:paraId="757C3322"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E268DD2"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181B7075" w14:textId="77777777" w:rsidR="00B21480" w:rsidRPr="00D4207C" w:rsidRDefault="00B21480" w:rsidP="00B21480">
            <w:pPr>
              <w:jc w:val="center"/>
              <w:rPr>
                <w:rFonts w:ascii="Times New Roman" w:hAnsi="Times New Roman"/>
                <w:sz w:val="24"/>
                <w:szCs w:val="24"/>
              </w:rPr>
            </w:pPr>
            <w:r w:rsidRPr="00D4207C">
              <w:rPr>
                <w:rFonts w:ascii="Times New Roman" w:hAnsi="Times New Roman"/>
                <w:lang w:val="sr-Latn-RS"/>
              </w:rPr>
              <w:t>Cioffo</w:t>
            </w:r>
          </w:p>
        </w:tc>
        <w:tc>
          <w:tcPr>
            <w:tcW w:w="798" w:type="pct"/>
            <w:tcBorders>
              <w:top w:val="nil"/>
              <w:left w:val="nil"/>
              <w:bottom w:val="single" w:sz="4" w:space="0" w:color="auto"/>
              <w:right w:val="single" w:sz="4" w:space="0" w:color="auto"/>
            </w:tcBorders>
            <w:shd w:val="clear" w:color="auto" w:fill="auto"/>
            <w:noWrap/>
          </w:tcPr>
          <w:p w14:paraId="6FB5F0B3" w14:textId="77777777" w:rsidR="00B21480" w:rsidRPr="00D4207C" w:rsidRDefault="00B21480" w:rsidP="00B21480">
            <w:pPr>
              <w:jc w:val="center"/>
              <w:rPr>
                <w:rFonts w:ascii="Times New Roman" w:hAnsi="Times New Roman"/>
                <w:sz w:val="24"/>
                <w:szCs w:val="24"/>
              </w:rPr>
            </w:pPr>
            <w:r w:rsidRPr="00D4207C">
              <w:rPr>
                <w:rFonts w:ascii="Times New Roman" w:hAnsi="Times New Roman"/>
                <w:lang w:val="sr-Latn-RS"/>
              </w:rPr>
              <w:t>Vincenzo</w:t>
            </w:r>
          </w:p>
        </w:tc>
        <w:tc>
          <w:tcPr>
            <w:tcW w:w="2883" w:type="pct"/>
            <w:tcBorders>
              <w:top w:val="nil"/>
              <w:left w:val="nil"/>
              <w:bottom w:val="single" w:sz="4" w:space="0" w:color="auto"/>
              <w:right w:val="single" w:sz="4" w:space="0" w:color="auto"/>
            </w:tcBorders>
            <w:shd w:val="clear" w:color="auto" w:fill="auto"/>
            <w:noWrap/>
          </w:tcPr>
          <w:p w14:paraId="31DFE5B6"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rPr>
              <w:t>AEEGSI</w:t>
            </w:r>
          </w:p>
        </w:tc>
      </w:tr>
      <w:tr w:rsidR="00B21480" w:rsidRPr="00D4207C" w14:paraId="1970CF0F"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8C28C26"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1A875DC1"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lang w:val="sr-Latn-RS"/>
              </w:rPr>
              <w:t>Cvetković</w:t>
            </w:r>
          </w:p>
        </w:tc>
        <w:tc>
          <w:tcPr>
            <w:tcW w:w="798" w:type="pct"/>
            <w:tcBorders>
              <w:top w:val="nil"/>
              <w:left w:val="nil"/>
              <w:bottom w:val="single" w:sz="4" w:space="0" w:color="auto"/>
              <w:right w:val="single" w:sz="4" w:space="0" w:color="auto"/>
            </w:tcBorders>
            <w:shd w:val="clear" w:color="auto" w:fill="auto"/>
            <w:noWrap/>
          </w:tcPr>
          <w:p w14:paraId="562487AF"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Mileva</w:t>
            </w:r>
          </w:p>
        </w:tc>
        <w:tc>
          <w:tcPr>
            <w:tcW w:w="2883" w:type="pct"/>
            <w:tcBorders>
              <w:top w:val="nil"/>
              <w:left w:val="nil"/>
              <w:bottom w:val="single" w:sz="4" w:space="0" w:color="auto"/>
              <w:right w:val="single" w:sz="4" w:space="0" w:color="auto"/>
            </w:tcBorders>
            <w:shd w:val="clear" w:color="auto" w:fill="auto"/>
            <w:noWrap/>
          </w:tcPr>
          <w:p w14:paraId="527624DB"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AERS</w:t>
            </w:r>
          </w:p>
        </w:tc>
      </w:tr>
      <w:tr w:rsidR="00B21480" w:rsidRPr="00D4207C" w14:paraId="501CADE1"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17C442B3"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F3F951B"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Denceva</w:t>
            </w:r>
          </w:p>
        </w:tc>
        <w:tc>
          <w:tcPr>
            <w:tcW w:w="798" w:type="pct"/>
            <w:tcBorders>
              <w:top w:val="nil"/>
              <w:left w:val="nil"/>
              <w:bottom w:val="single" w:sz="4" w:space="0" w:color="auto"/>
              <w:right w:val="single" w:sz="4" w:space="0" w:color="auto"/>
            </w:tcBorders>
            <w:shd w:val="clear" w:color="auto" w:fill="auto"/>
            <w:noWrap/>
          </w:tcPr>
          <w:p w14:paraId="254822F9"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Sirma</w:t>
            </w:r>
          </w:p>
        </w:tc>
        <w:tc>
          <w:tcPr>
            <w:tcW w:w="2883" w:type="pct"/>
            <w:tcBorders>
              <w:top w:val="nil"/>
              <w:left w:val="nil"/>
              <w:bottom w:val="single" w:sz="4" w:space="0" w:color="auto"/>
              <w:right w:val="single" w:sz="4" w:space="0" w:color="auto"/>
            </w:tcBorders>
            <w:shd w:val="clear" w:color="auto" w:fill="auto"/>
            <w:noWrap/>
          </w:tcPr>
          <w:p w14:paraId="5B726F17"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EWRC</w:t>
            </w:r>
          </w:p>
        </w:tc>
      </w:tr>
      <w:tr w:rsidR="00B21480" w:rsidRPr="00D4207C" w14:paraId="4F51B1D9"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7747797C"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C0C87B5"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 xml:space="preserve">Dimitrov </w:t>
            </w:r>
          </w:p>
        </w:tc>
        <w:tc>
          <w:tcPr>
            <w:tcW w:w="798" w:type="pct"/>
            <w:tcBorders>
              <w:top w:val="nil"/>
              <w:left w:val="nil"/>
              <w:bottom w:val="single" w:sz="4" w:space="0" w:color="auto"/>
              <w:right w:val="single" w:sz="4" w:space="0" w:color="auto"/>
            </w:tcBorders>
            <w:shd w:val="clear" w:color="auto" w:fill="auto"/>
            <w:noWrap/>
          </w:tcPr>
          <w:p w14:paraId="57BECF65"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Milen</w:t>
            </w:r>
          </w:p>
        </w:tc>
        <w:tc>
          <w:tcPr>
            <w:tcW w:w="2883" w:type="pct"/>
            <w:tcBorders>
              <w:top w:val="nil"/>
              <w:left w:val="nil"/>
              <w:bottom w:val="single" w:sz="4" w:space="0" w:color="auto"/>
              <w:right w:val="single" w:sz="4" w:space="0" w:color="auto"/>
            </w:tcBorders>
            <w:shd w:val="clear" w:color="auto" w:fill="auto"/>
            <w:noWrap/>
          </w:tcPr>
          <w:p w14:paraId="4E2728B6"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EWRC</w:t>
            </w:r>
          </w:p>
        </w:tc>
      </w:tr>
      <w:tr w:rsidR="00B21480" w:rsidRPr="00D4207C" w14:paraId="758CDE78"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0C20A29C"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B0AE6CE"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Flak</w:t>
            </w:r>
          </w:p>
        </w:tc>
        <w:tc>
          <w:tcPr>
            <w:tcW w:w="798" w:type="pct"/>
            <w:tcBorders>
              <w:top w:val="nil"/>
              <w:left w:val="nil"/>
              <w:bottom w:val="single" w:sz="4" w:space="0" w:color="auto"/>
              <w:right w:val="single" w:sz="4" w:space="0" w:color="auto"/>
            </w:tcBorders>
            <w:shd w:val="clear" w:color="auto" w:fill="auto"/>
            <w:noWrap/>
          </w:tcPr>
          <w:p w14:paraId="4C454626"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lang w:val="sr-Latn-RS"/>
              </w:rPr>
              <w:t>Katarzyna</w:t>
            </w:r>
          </w:p>
        </w:tc>
        <w:tc>
          <w:tcPr>
            <w:tcW w:w="2883" w:type="pct"/>
            <w:tcBorders>
              <w:top w:val="nil"/>
              <w:left w:val="nil"/>
              <w:bottom w:val="single" w:sz="4" w:space="0" w:color="auto"/>
              <w:right w:val="single" w:sz="4" w:space="0" w:color="auto"/>
            </w:tcBorders>
            <w:shd w:val="clear" w:color="auto" w:fill="auto"/>
            <w:noWrap/>
          </w:tcPr>
          <w:p w14:paraId="18A10D6D"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URE</w:t>
            </w:r>
          </w:p>
        </w:tc>
      </w:tr>
      <w:tr w:rsidR="00B21480" w:rsidRPr="00D4207C" w14:paraId="7DCCF256"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83F938F"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7A0CB96D"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Galletta</w:t>
            </w:r>
          </w:p>
        </w:tc>
        <w:tc>
          <w:tcPr>
            <w:tcW w:w="798" w:type="pct"/>
            <w:tcBorders>
              <w:top w:val="nil"/>
              <w:left w:val="nil"/>
              <w:bottom w:val="single" w:sz="4" w:space="0" w:color="auto"/>
              <w:right w:val="single" w:sz="4" w:space="0" w:color="auto"/>
            </w:tcBorders>
            <w:shd w:val="clear" w:color="auto" w:fill="auto"/>
            <w:noWrap/>
          </w:tcPr>
          <w:p w14:paraId="55327AB0"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Riccardo</w:t>
            </w:r>
          </w:p>
        </w:tc>
        <w:tc>
          <w:tcPr>
            <w:tcW w:w="2883" w:type="pct"/>
            <w:tcBorders>
              <w:top w:val="nil"/>
              <w:left w:val="nil"/>
              <w:bottom w:val="single" w:sz="4" w:space="0" w:color="auto"/>
              <w:right w:val="single" w:sz="4" w:space="0" w:color="auto"/>
            </w:tcBorders>
            <w:shd w:val="clear" w:color="auto" w:fill="auto"/>
            <w:noWrap/>
          </w:tcPr>
          <w:p w14:paraId="0C99A7F4"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ACER</w:t>
            </w:r>
          </w:p>
        </w:tc>
      </w:tr>
      <w:tr w:rsidR="00B21480" w:rsidRPr="00D4207C" w14:paraId="248CE909"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A79BE03"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6B7B3ACD"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lang w:val="sr-Latn-RS"/>
              </w:rPr>
              <w:t>Garcia-Gimenez</w:t>
            </w:r>
          </w:p>
        </w:tc>
        <w:tc>
          <w:tcPr>
            <w:tcW w:w="798" w:type="pct"/>
            <w:tcBorders>
              <w:top w:val="nil"/>
              <w:left w:val="nil"/>
              <w:bottom w:val="single" w:sz="4" w:space="0" w:color="auto"/>
              <w:right w:val="single" w:sz="4" w:space="0" w:color="auto"/>
            </w:tcBorders>
            <w:shd w:val="clear" w:color="auto" w:fill="auto"/>
            <w:noWrap/>
          </w:tcPr>
          <w:p w14:paraId="718BAFC6" w14:textId="77777777" w:rsidR="00B21480" w:rsidRPr="00D4207C" w:rsidRDefault="00B21480" w:rsidP="00B21480">
            <w:pPr>
              <w:jc w:val="center"/>
              <w:rPr>
                <w:rFonts w:ascii="Times New Roman" w:hAnsi="Times New Roman"/>
                <w:sz w:val="24"/>
                <w:szCs w:val="24"/>
                <w:lang w:val="sr-Latn-RS"/>
              </w:rPr>
            </w:pPr>
            <w:r w:rsidRPr="00D4207C">
              <w:rPr>
                <w:rFonts w:ascii="Times New Roman" w:hAnsi="Times New Roman"/>
                <w:sz w:val="24"/>
                <w:szCs w:val="24"/>
                <w:lang w:val="sr-Latn-RS"/>
              </w:rPr>
              <w:t>Joaquin</w:t>
            </w:r>
          </w:p>
        </w:tc>
        <w:tc>
          <w:tcPr>
            <w:tcW w:w="2883" w:type="pct"/>
            <w:tcBorders>
              <w:top w:val="nil"/>
              <w:left w:val="nil"/>
              <w:bottom w:val="single" w:sz="4" w:space="0" w:color="auto"/>
              <w:right w:val="single" w:sz="4" w:space="0" w:color="auto"/>
            </w:tcBorders>
            <w:shd w:val="clear" w:color="auto" w:fill="auto"/>
            <w:noWrap/>
          </w:tcPr>
          <w:p w14:paraId="16E32EF3"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ACER</w:t>
            </w:r>
          </w:p>
        </w:tc>
      </w:tr>
      <w:tr w:rsidR="00B21480" w:rsidRPr="00D4207C" w14:paraId="5EDDF41C"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4CD4C00E"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18D8C55C"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Gazi</w:t>
            </w:r>
          </w:p>
        </w:tc>
        <w:tc>
          <w:tcPr>
            <w:tcW w:w="798" w:type="pct"/>
            <w:tcBorders>
              <w:top w:val="nil"/>
              <w:left w:val="nil"/>
              <w:bottom w:val="single" w:sz="4" w:space="0" w:color="auto"/>
              <w:right w:val="single" w:sz="4" w:space="0" w:color="auto"/>
            </w:tcBorders>
            <w:shd w:val="clear" w:color="auto" w:fill="auto"/>
            <w:noWrap/>
          </w:tcPr>
          <w:p w14:paraId="4F181FF4"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lang w:val="sr-Latn-RS"/>
              </w:rPr>
              <w:t>Evanglia</w:t>
            </w:r>
          </w:p>
        </w:tc>
        <w:tc>
          <w:tcPr>
            <w:tcW w:w="2883" w:type="pct"/>
            <w:tcBorders>
              <w:top w:val="nil"/>
              <w:left w:val="nil"/>
              <w:bottom w:val="single" w:sz="4" w:space="0" w:color="auto"/>
              <w:right w:val="single" w:sz="4" w:space="0" w:color="auto"/>
            </w:tcBorders>
            <w:shd w:val="clear" w:color="auto" w:fill="auto"/>
            <w:noWrap/>
          </w:tcPr>
          <w:p w14:paraId="6B8EC30F"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RAE</w:t>
            </w:r>
          </w:p>
        </w:tc>
      </w:tr>
      <w:tr w:rsidR="00B21480" w:rsidRPr="00D4207C" w14:paraId="4336C47B"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03EAB21D"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DBFB124"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 xml:space="preserve">Grall </w:t>
            </w:r>
          </w:p>
        </w:tc>
        <w:tc>
          <w:tcPr>
            <w:tcW w:w="798" w:type="pct"/>
            <w:tcBorders>
              <w:top w:val="nil"/>
              <w:left w:val="nil"/>
              <w:bottom w:val="single" w:sz="4" w:space="0" w:color="auto"/>
              <w:right w:val="single" w:sz="4" w:space="0" w:color="auto"/>
            </w:tcBorders>
            <w:shd w:val="clear" w:color="auto" w:fill="auto"/>
            <w:noWrap/>
          </w:tcPr>
          <w:p w14:paraId="1DFB8B2C"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Nina</w:t>
            </w:r>
          </w:p>
        </w:tc>
        <w:tc>
          <w:tcPr>
            <w:tcW w:w="2883" w:type="pct"/>
            <w:tcBorders>
              <w:top w:val="nil"/>
              <w:left w:val="nil"/>
              <w:bottom w:val="single" w:sz="4" w:space="0" w:color="auto"/>
              <w:right w:val="single" w:sz="4" w:space="0" w:color="auto"/>
            </w:tcBorders>
            <w:shd w:val="clear" w:color="auto" w:fill="auto"/>
            <w:noWrap/>
          </w:tcPr>
          <w:p w14:paraId="5616C956"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sr-Latn-RS"/>
              </w:rPr>
              <w:t>EnC Secretariat</w:t>
            </w:r>
          </w:p>
        </w:tc>
      </w:tr>
      <w:tr w:rsidR="00B21480" w:rsidRPr="00D4207C" w14:paraId="19A36B74"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71C6D2A"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894ACDE"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Hesseling</w:t>
            </w:r>
          </w:p>
        </w:tc>
        <w:tc>
          <w:tcPr>
            <w:tcW w:w="798" w:type="pct"/>
            <w:tcBorders>
              <w:top w:val="nil"/>
              <w:left w:val="nil"/>
              <w:bottom w:val="single" w:sz="4" w:space="0" w:color="auto"/>
              <w:right w:val="single" w:sz="4" w:space="0" w:color="auto"/>
            </w:tcBorders>
            <w:shd w:val="clear" w:color="auto" w:fill="auto"/>
            <w:noWrap/>
          </w:tcPr>
          <w:p w14:paraId="4AB87480"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Dennis</w:t>
            </w:r>
          </w:p>
        </w:tc>
        <w:tc>
          <w:tcPr>
            <w:tcW w:w="2883" w:type="pct"/>
            <w:tcBorders>
              <w:top w:val="nil"/>
              <w:left w:val="nil"/>
              <w:bottom w:val="single" w:sz="4" w:space="0" w:color="auto"/>
              <w:right w:val="single" w:sz="4" w:space="0" w:color="auto"/>
            </w:tcBorders>
            <w:shd w:val="clear" w:color="auto" w:fill="auto"/>
            <w:noWrap/>
          </w:tcPr>
          <w:p w14:paraId="215A20A7"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ACER</w:t>
            </w:r>
          </w:p>
        </w:tc>
      </w:tr>
      <w:tr w:rsidR="00B21480" w:rsidRPr="00D4207C" w14:paraId="0E35F4CD"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D5E113E"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CC831AC"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Ischia</w:t>
            </w:r>
          </w:p>
        </w:tc>
        <w:tc>
          <w:tcPr>
            <w:tcW w:w="798" w:type="pct"/>
            <w:tcBorders>
              <w:top w:val="nil"/>
              <w:left w:val="nil"/>
              <w:bottom w:val="single" w:sz="4" w:space="0" w:color="auto"/>
              <w:right w:val="single" w:sz="4" w:space="0" w:color="auto"/>
            </w:tcBorders>
            <w:shd w:val="clear" w:color="auto" w:fill="auto"/>
            <w:noWrap/>
          </w:tcPr>
          <w:p w14:paraId="77264529"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Alessandro</w:t>
            </w:r>
          </w:p>
        </w:tc>
        <w:tc>
          <w:tcPr>
            <w:tcW w:w="2883" w:type="pct"/>
            <w:tcBorders>
              <w:top w:val="nil"/>
              <w:left w:val="nil"/>
              <w:bottom w:val="single" w:sz="4" w:space="0" w:color="auto"/>
              <w:right w:val="single" w:sz="4" w:space="0" w:color="auto"/>
            </w:tcBorders>
            <w:shd w:val="clear" w:color="auto" w:fill="auto"/>
            <w:noWrap/>
          </w:tcPr>
          <w:p w14:paraId="12382025"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E-Control</w:t>
            </w:r>
          </w:p>
        </w:tc>
      </w:tr>
      <w:tr w:rsidR="00B21480" w:rsidRPr="00D4207C" w14:paraId="584E393E"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46FD0948"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7459DA75"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Korosi</w:t>
            </w:r>
          </w:p>
        </w:tc>
        <w:tc>
          <w:tcPr>
            <w:tcW w:w="798" w:type="pct"/>
            <w:tcBorders>
              <w:top w:val="nil"/>
              <w:left w:val="nil"/>
              <w:bottom w:val="single" w:sz="4" w:space="0" w:color="auto"/>
              <w:right w:val="single" w:sz="4" w:space="0" w:color="auto"/>
            </w:tcBorders>
            <w:shd w:val="clear" w:color="auto" w:fill="auto"/>
            <w:noWrap/>
          </w:tcPr>
          <w:p w14:paraId="361EA966"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Tamás</w:t>
            </w:r>
          </w:p>
        </w:tc>
        <w:tc>
          <w:tcPr>
            <w:tcW w:w="2883" w:type="pct"/>
            <w:tcBorders>
              <w:top w:val="nil"/>
              <w:left w:val="nil"/>
              <w:bottom w:val="single" w:sz="4" w:space="0" w:color="auto"/>
              <w:right w:val="single" w:sz="4" w:space="0" w:color="auto"/>
            </w:tcBorders>
            <w:shd w:val="clear" w:color="auto" w:fill="auto"/>
            <w:noWrap/>
          </w:tcPr>
          <w:p w14:paraId="5155814D"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HEA</w:t>
            </w:r>
          </w:p>
        </w:tc>
      </w:tr>
      <w:tr w:rsidR="00B21480" w:rsidRPr="00D4207C" w14:paraId="626E5004"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4BF6EA4C"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A87393A"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Lont</w:t>
            </w:r>
          </w:p>
        </w:tc>
        <w:tc>
          <w:tcPr>
            <w:tcW w:w="798" w:type="pct"/>
            <w:tcBorders>
              <w:top w:val="nil"/>
              <w:left w:val="nil"/>
              <w:bottom w:val="single" w:sz="4" w:space="0" w:color="auto"/>
              <w:right w:val="single" w:sz="4" w:space="0" w:color="auto"/>
            </w:tcBorders>
            <w:shd w:val="clear" w:color="auto" w:fill="auto"/>
            <w:noWrap/>
          </w:tcPr>
          <w:p w14:paraId="10AB5B30"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Pawel</w:t>
            </w:r>
          </w:p>
        </w:tc>
        <w:tc>
          <w:tcPr>
            <w:tcW w:w="2883" w:type="pct"/>
            <w:tcBorders>
              <w:top w:val="nil"/>
              <w:left w:val="nil"/>
              <w:bottom w:val="single" w:sz="4" w:space="0" w:color="auto"/>
              <w:right w:val="single" w:sz="4" w:space="0" w:color="auto"/>
            </w:tcBorders>
            <w:shd w:val="clear" w:color="auto" w:fill="auto"/>
            <w:noWrap/>
          </w:tcPr>
          <w:p w14:paraId="18D5F03F"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EFET</w:t>
            </w:r>
          </w:p>
        </w:tc>
      </w:tr>
      <w:tr w:rsidR="00B21480" w:rsidRPr="00D4207C" w14:paraId="107F3288"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D008CF5"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92C753C"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Marsenic-Maksimović</w:t>
            </w:r>
          </w:p>
        </w:tc>
        <w:tc>
          <w:tcPr>
            <w:tcW w:w="798" w:type="pct"/>
            <w:tcBorders>
              <w:top w:val="nil"/>
              <w:left w:val="nil"/>
              <w:bottom w:val="single" w:sz="4" w:space="0" w:color="auto"/>
              <w:right w:val="single" w:sz="4" w:space="0" w:color="auto"/>
            </w:tcBorders>
            <w:shd w:val="clear" w:color="auto" w:fill="auto"/>
            <w:noWrap/>
          </w:tcPr>
          <w:p w14:paraId="199A5DA9"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Branislava</w:t>
            </w:r>
          </w:p>
        </w:tc>
        <w:tc>
          <w:tcPr>
            <w:tcW w:w="2883" w:type="pct"/>
            <w:tcBorders>
              <w:top w:val="nil"/>
              <w:left w:val="nil"/>
              <w:bottom w:val="single" w:sz="4" w:space="0" w:color="auto"/>
              <w:right w:val="single" w:sz="4" w:space="0" w:color="auto"/>
            </w:tcBorders>
            <w:shd w:val="clear" w:color="auto" w:fill="auto"/>
            <w:noWrap/>
          </w:tcPr>
          <w:p w14:paraId="5207CE39"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Energy Community Secretariat</w:t>
            </w:r>
          </w:p>
        </w:tc>
      </w:tr>
      <w:tr w:rsidR="00B21480" w:rsidRPr="00D4207C" w14:paraId="031AD58F"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7AC24C5E" w14:textId="77777777" w:rsidR="00B21480" w:rsidRPr="00D4207C" w:rsidRDefault="00B21480" w:rsidP="00B2148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AF89E80"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Maksimović</w:t>
            </w:r>
          </w:p>
        </w:tc>
        <w:tc>
          <w:tcPr>
            <w:tcW w:w="798" w:type="pct"/>
            <w:tcBorders>
              <w:top w:val="nil"/>
              <w:left w:val="nil"/>
              <w:bottom w:val="single" w:sz="4" w:space="0" w:color="auto"/>
              <w:right w:val="single" w:sz="4" w:space="0" w:color="auto"/>
            </w:tcBorders>
            <w:shd w:val="clear" w:color="auto" w:fill="auto"/>
            <w:noWrap/>
          </w:tcPr>
          <w:p w14:paraId="7EE53AC9" w14:textId="77777777" w:rsidR="00B21480" w:rsidRPr="00D4207C" w:rsidRDefault="00B21480" w:rsidP="00B21480">
            <w:pPr>
              <w:jc w:val="center"/>
              <w:rPr>
                <w:rFonts w:ascii="Times New Roman" w:hAnsi="Times New Roman"/>
                <w:sz w:val="24"/>
                <w:szCs w:val="24"/>
              </w:rPr>
            </w:pPr>
            <w:r w:rsidRPr="00D4207C">
              <w:rPr>
                <w:rFonts w:ascii="Times New Roman" w:hAnsi="Times New Roman"/>
                <w:sz w:val="24"/>
                <w:szCs w:val="24"/>
              </w:rPr>
              <w:t>Petar</w:t>
            </w:r>
          </w:p>
        </w:tc>
        <w:tc>
          <w:tcPr>
            <w:tcW w:w="2883" w:type="pct"/>
            <w:tcBorders>
              <w:top w:val="nil"/>
              <w:left w:val="nil"/>
              <w:bottom w:val="single" w:sz="4" w:space="0" w:color="auto"/>
              <w:right w:val="single" w:sz="4" w:space="0" w:color="auto"/>
            </w:tcBorders>
            <w:shd w:val="clear" w:color="auto" w:fill="auto"/>
            <w:noWrap/>
          </w:tcPr>
          <w:p w14:paraId="3B0D2A41" w14:textId="77777777" w:rsidR="00B21480" w:rsidRPr="00D4207C" w:rsidRDefault="00B21480" w:rsidP="00B21480">
            <w:pPr>
              <w:jc w:val="center"/>
              <w:rPr>
                <w:rFonts w:ascii="Times New Roman" w:hAnsi="Times New Roman"/>
                <w:sz w:val="24"/>
                <w:szCs w:val="24"/>
                <w:lang w:val="en-GB"/>
              </w:rPr>
            </w:pPr>
            <w:r w:rsidRPr="00D4207C">
              <w:rPr>
                <w:rFonts w:ascii="Times New Roman" w:hAnsi="Times New Roman"/>
                <w:sz w:val="24"/>
                <w:szCs w:val="24"/>
                <w:lang w:val="en-GB"/>
              </w:rPr>
              <w:t>AERS</w:t>
            </w:r>
          </w:p>
        </w:tc>
      </w:tr>
      <w:tr w:rsidR="00FF2690" w:rsidRPr="00D4207C" w14:paraId="414B0E97"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E0737A0"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65EDC333" w14:textId="53EE08AB" w:rsidR="00FF2690" w:rsidRPr="00D4207C" w:rsidRDefault="00FF2690" w:rsidP="00FF2690">
            <w:pPr>
              <w:jc w:val="center"/>
              <w:rPr>
                <w:rFonts w:ascii="Times New Roman" w:hAnsi="Times New Roman"/>
                <w:sz w:val="24"/>
                <w:szCs w:val="24"/>
              </w:rPr>
            </w:pPr>
            <w:r w:rsidRPr="00333283">
              <w:rPr>
                <w:rFonts w:ascii="Times New Roman" w:hAnsi="Times New Roman"/>
                <w:sz w:val="24"/>
                <w:szCs w:val="24"/>
              </w:rPr>
              <w:t>Nedeljko</w:t>
            </w:r>
          </w:p>
        </w:tc>
        <w:tc>
          <w:tcPr>
            <w:tcW w:w="798" w:type="pct"/>
            <w:tcBorders>
              <w:top w:val="nil"/>
              <w:left w:val="nil"/>
              <w:bottom w:val="single" w:sz="4" w:space="0" w:color="auto"/>
              <w:right w:val="single" w:sz="4" w:space="0" w:color="auto"/>
            </w:tcBorders>
            <w:shd w:val="clear" w:color="auto" w:fill="auto"/>
            <w:noWrap/>
          </w:tcPr>
          <w:p w14:paraId="6D665FB4" w14:textId="6DCF63E8" w:rsidR="00FF2690" w:rsidRPr="00D4207C" w:rsidRDefault="00FF2690" w:rsidP="00FF2690">
            <w:pPr>
              <w:jc w:val="center"/>
              <w:rPr>
                <w:rFonts w:ascii="Times New Roman" w:hAnsi="Times New Roman"/>
                <w:sz w:val="24"/>
                <w:szCs w:val="24"/>
              </w:rPr>
            </w:pPr>
            <w:r w:rsidRPr="00333283">
              <w:rPr>
                <w:rFonts w:ascii="Times New Roman" w:hAnsi="Times New Roman"/>
                <w:sz w:val="24"/>
                <w:szCs w:val="24"/>
              </w:rPr>
              <w:t>Vinko</w:t>
            </w:r>
          </w:p>
        </w:tc>
        <w:tc>
          <w:tcPr>
            <w:tcW w:w="2883" w:type="pct"/>
            <w:tcBorders>
              <w:top w:val="nil"/>
              <w:left w:val="nil"/>
              <w:bottom w:val="single" w:sz="4" w:space="0" w:color="auto"/>
              <w:right w:val="single" w:sz="4" w:space="0" w:color="auto"/>
            </w:tcBorders>
            <w:shd w:val="clear" w:color="auto" w:fill="auto"/>
            <w:noWrap/>
          </w:tcPr>
          <w:p w14:paraId="0B7276FA" w14:textId="4838A8AD" w:rsidR="00FF2690" w:rsidRPr="00D4207C" w:rsidRDefault="00FF2690" w:rsidP="00FF2690">
            <w:pPr>
              <w:jc w:val="center"/>
              <w:rPr>
                <w:rFonts w:ascii="Times New Roman" w:hAnsi="Times New Roman"/>
                <w:sz w:val="24"/>
                <w:szCs w:val="24"/>
                <w:lang w:val="en-GB"/>
              </w:rPr>
            </w:pPr>
            <w:r w:rsidRPr="00333283">
              <w:rPr>
                <w:rFonts w:ascii="Times New Roman" w:hAnsi="Times New Roman"/>
                <w:sz w:val="24"/>
                <w:szCs w:val="24"/>
                <w:lang w:val="en-GB"/>
              </w:rPr>
              <w:t>AGEN</w:t>
            </w:r>
          </w:p>
        </w:tc>
      </w:tr>
      <w:tr w:rsidR="00FF2690" w:rsidRPr="00D4207C" w14:paraId="3F6BDAB2"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377F8F8A"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33B26AA4"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Popadic</w:t>
            </w:r>
          </w:p>
        </w:tc>
        <w:tc>
          <w:tcPr>
            <w:tcW w:w="798" w:type="pct"/>
            <w:tcBorders>
              <w:top w:val="nil"/>
              <w:left w:val="nil"/>
              <w:bottom w:val="single" w:sz="4" w:space="0" w:color="auto"/>
              <w:right w:val="single" w:sz="4" w:space="0" w:color="auto"/>
            </w:tcBorders>
            <w:shd w:val="clear" w:color="auto" w:fill="auto"/>
            <w:noWrap/>
          </w:tcPr>
          <w:p w14:paraId="5EB1E753"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Aleksandar</w:t>
            </w:r>
          </w:p>
        </w:tc>
        <w:tc>
          <w:tcPr>
            <w:tcW w:w="2883" w:type="pct"/>
            <w:tcBorders>
              <w:top w:val="nil"/>
              <w:left w:val="nil"/>
              <w:bottom w:val="single" w:sz="4" w:space="0" w:color="auto"/>
              <w:right w:val="single" w:sz="4" w:space="0" w:color="auto"/>
            </w:tcBorders>
            <w:shd w:val="clear" w:color="auto" w:fill="auto"/>
            <w:noWrap/>
          </w:tcPr>
          <w:p w14:paraId="6A043B82"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AERS</w:t>
            </w:r>
          </w:p>
        </w:tc>
      </w:tr>
      <w:tr w:rsidR="00FF2690" w:rsidRPr="00D4207C" w14:paraId="354DE27D"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7B1AACB"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65F1F633"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Selavardeanu</w:t>
            </w:r>
          </w:p>
        </w:tc>
        <w:tc>
          <w:tcPr>
            <w:tcW w:w="798" w:type="pct"/>
            <w:tcBorders>
              <w:top w:val="nil"/>
              <w:left w:val="nil"/>
              <w:bottom w:val="single" w:sz="4" w:space="0" w:color="auto"/>
              <w:right w:val="single" w:sz="4" w:space="0" w:color="auto"/>
            </w:tcBorders>
            <w:shd w:val="clear" w:color="auto" w:fill="auto"/>
            <w:noWrap/>
          </w:tcPr>
          <w:p w14:paraId="0E7EF52C" w14:textId="77777777" w:rsidR="00FF2690" w:rsidRPr="00D4207C" w:rsidRDefault="00FF2690" w:rsidP="00FF2690">
            <w:pPr>
              <w:jc w:val="center"/>
              <w:rPr>
                <w:rFonts w:ascii="Times New Roman" w:hAnsi="Times New Roman"/>
                <w:sz w:val="24"/>
                <w:szCs w:val="24"/>
                <w:lang w:val="sr-Latn-RS"/>
              </w:rPr>
            </w:pPr>
            <w:r w:rsidRPr="00D4207C">
              <w:rPr>
                <w:rFonts w:ascii="Times New Roman" w:hAnsi="Times New Roman"/>
                <w:sz w:val="24"/>
                <w:szCs w:val="24"/>
              </w:rPr>
              <w:t>Cristian</w:t>
            </w:r>
          </w:p>
        </w:tc>
        <w:tc>
          <w:tcPr>
            <w:tcW w:w="2883" w:type="pct"/>
            <w:tcBorders>
              <w:top w:val="nil"/>
              <w:left w:val="nil"/>
              <w:bottom w:val="single" w:sz="4" w:space="0" w:color="auto"/>
              <w:right w:val="single" w:sz="4" w:space="0" w:color="auto"/>
            </w:tcBorders>
            <w:shd w:val="clear" w:color="auto" w:fill="auto"/>
            <w:noWrap/>
          </w:tcPr>
          <w:p w14:paraId="37904904"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ANRE</w:t>
            </w:r>
          </w:p>
        </w:tc>
      </w:tr>
      <w:tr w:rsidR="00FF2690" w:rsidRPr="00D4207C" w14:paraId="7A9DD8A9"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07F6AC8E"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1D468094"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 xml:space="preserve">Shuli </w:t>
            </w:r>
          </w:p>
        </w:tc>
        <w:tc>
          <w:tcPr>
            <w:tcW w:w="798" w:type="pct"/>
            <w:tcBorders>
              <w:top w:val="nil"/>
              <w:left w:val="nil"/>
              <w:bottom w:val="single" w:sz="4" w:space="0" w:color="auto"/>
              <w:right w:val="single" w:sz="4" w:space="0" w:color="auto"/>
            </w:tcBorders>
            <w:shd w:val="clear" w:color="auto" w:fill="auto"/>
            <w:noWrap/>
          </w:tcPr>
          <w:p w14:paraId="34BF8210"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Maksim</w:t>
            </w:r>
          </w:p>
        </w:tc>
        <w:tc>
          <w:tcPr>
            <w:tcW w:w="2883" w:type="pct"/>
            <w:tcBorders>
              <w:top w:val="nil"/>
              <w:left w:val="nil"/>
              <w:bottom w:val="single" w:sz="4" w:space="0" w:color="auto"/>
              <w:right w:val="single" w:sz="4" w:space="0" w:color="auto"/>
            </w:tcBorders>
            <w:shd w:val="clear" w:color="auto" w:fill="auto"/>
            <w:noWrap/>
          </w:tcPr>
          <w:p w14:paraId="31ED608D"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ERE</w:t>
            </w:r>
          </w:p>
        </w:tc>
      </w:tr>
      <w:tr w:rsidR="00FF2690" w:rsidRPr="00D4207C" w14:paraId="3D0FC64B"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148DCAA0"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1EA32016"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 xml:space="preserve">Smolović </w:t>
            </w:r>
          </w:p>
        </w:tc>
        <w:tc>
          <w:tcPr>
            <w:tcW w:w="798" w:type="pct"/>
            <w:tcBorders>
              <w:top w:val="nil"/>
              <w:left w:val="nil"/>
              <w:bottom w:val="single" w:sz="4" w:space="0" w:color="auto"/>
              <w:right w:val="single" w:sz="4" w:space="0" w:color="auto"/>
            </w:tcBorders>
            <w:shd w:val="clear" w:color="auto" w:fill="auto"/>
            <w:noWrap/>
          </w:tcPr>
          <w:p w14:paraId="7312BC2A"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Sonja</w:t>
            </w:r>
          </w:p>
        </w:tc>
        <w:tc>
          <w:tcPr>
            <w:tcW w:w="2883" w:type="pct"/>
            <w:tcBorders>
              <w:top w:val="nil"/>
              <w:left w:val="nil"/>
              <w:bottom w:val="single" w:sz="4" w:space="0" w:color="auto"/>
              <w:right w:val="single" w:sz="4" w:space="0" w:color="auto"/>
            </w:tcBorders>
            <w:shd w:val="clear" w:color="auto" w:fill="auto"/>
            <w:noWrap/>
          </w:tcPr>
          <w:p w14:paraId="30C97EBC"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REGAGEN</w:t>
            </w:r>
          </w:p>
        </w:tc>
      </w:tr>
      <w:tr w:rsidR="00FF2690" w:rsidRPr="00D4207C" w14:paraId="128742B5"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2136F67A"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549A67E2"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Spasić</w:t>
            </w:r>
          </w:p>
        </w:tc>
        <w:tc>
          <w:tcPr>
            <w:tcW w:w="798" w:type="pct"/>
            <w:tcBorders>
              <w:top w:val="nil"/>
              <w:left w:val="nil"/>
              <w:bottom w:val="single" w:sz="4" w:space="0" w:color="auto"/>
              <w:right w:val="single" w:sz="4" w:space="0" w:color="auto"/>
            </w:tcBorders>
            <w:shd w:val="clear" w:color="auto" w:fill="auto"/>
            <w:noWrap/>
          </w:tcPr>
          <w:p w14:paraId="42902078"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Ivana</w:t>
            </w:r>
          </w:p>
        </w:tc>
        <w:tc>
          <w:tcPr>
            <w:tcW w:w="2883" w:type="pct"/>
            <w:tcBorders>
              <w:top w:val="nil"/>
              <w:left w:val="nil"/>
              <w:bottom w:val="single" w:sz="4" w:space="0" w:color="auto"/>
              <w:right w:val="single" w:sz="4" w:space="0" w:color="auto"/>
            </w:tcBorders>
            <w:shd w:val="clear" w:color="auto" w:fill="auto"/>
            <w:noWrap/>
          </w:tcPr>
          <w:p w14:paraId="2E3A6D7E"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AERS</w:t>
            </w:r>
          </w:p>
        </w:tc>
      </w:tr>
      <w:tr w:rsidR="00FF2690" w:rsidRPr="00D4207C" w14:paraId="2F061FB7" w14:textId="77777777" w:rsidTr="00EF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14:paraId="6A16DB9D" w14:textId="77777777" w:rsidR="00FF2690" w:rsidRPr="00D4207C" w:rsidRDefault="00FF2690" w:rsidP="00FF2690">
            <w:pPr>
              <w:numPr>
                <w:ilvl w:val="0"/>
                <w:numId w:val="23"/>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14:paraId="09F40947"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Tubin-Mitrović</w:t>
            </w:r>
          </w:p>
        </w:tc>
        <w:tc>
          <w:tcPr>
            <w:tcW w:w="798" w:type="pct"/>
            <w:tcBorders>
              <w:top w:val="nil"/>
              <w:left w:val="nil"/>
              <w:bottom w:val="single" w:sz="4" w:space="0" w:color="auto"/>
              <w:right w:val="single" w:sz="4" w:space="0" w:color="auto"/>
            </w:tcBorders>
            <w:shd w:val="clear" w:color="auto" w:fill="auto"/>
            <w:noWrap/>
          </w:tcPr>
          <w:p w14:paraId="7214AA34" w14:textId="77777777" w:rsidR="00FF2690" w:rsidRPr="00D4207C" w:rsidRDefault="00FF2690" w:rsidP="00FF2690">
            <w:pPr>
              <w:jc w:val="center"/>
              <w:rPr>
                <w:rFonts w:ascii="Times New Roman" w:hAnsi="Times New Roman"/>
                <w:sz w:val="24"/>
                <w:szCs w:val="24"/>
              </w:rPr>
            </w:pPr>
            <w:r w:rsidRPr="00D4207C">
              <w:rPr>
                <w:rFonts w:ascii="Times New Roman" w:hAnsi="Times New Roman"/>
                <w:sz w:val="24"/>
                <w:szCs w:val="24"/>
              </w:rPr>
              <w:t>Branka</w:t>
            </w:r>
          </w:p>
        </w:tc>
        <w:tc>
          <w:tcPr>
            <w:tcW w:w="2883" w:type="pct"/>
            <w:tcBorders>
              <w:top w:val="nil"/>
              <w:left w:val="nil"/>
              <w:bottom w:val="single" w:sz="4" w:space="0" w:color="auto"/>
              <w:right w:val="single" w:sz="4" w:space="0" w:color="auto"/>
            </w:tcBorders>
            <w:shd w:val="clear" w:color="auto" w:fill="auto"/>
            <w:noWrap/>
          </w:tcPr>
          <w:p w14:paraId="1DD27CB0" w14:textId="77777777" w:rsidR="00FF2690" w:rsidRPr="00D4207C" w:rsidRDefault="00FF2690" w:rsidP="00FF2690">
            <w:pPr>
              <w:jc w:val="center"/>
              <w:rPr>
                <w:rFonts w:ascii="Times New Roman" w:hAnsi="Times New Roman"/>
                <w:sz w:val="24"/>
                <w:szCs w:val="24"/>
                <w:lang w:val="en-GB"/>
              </w:rPr>
            </w:pPr>
            <w:r w:rsidRPr="00D4207C">
              <w:rPr>
                <w:rFonts w:ascii="Times New Roman" w:hAnsi="Times New Roman"/>
                <w:sz w:val="24"/>
                <w:szCs w:val="24"/>
                <w:lang w:val="en-GB"/>
              </w:rPr>
              <w:t>AERS</w:t>
            </w:r>
          </w:p>
        </w:tc>
      </w:tr>
    </w:tbl>
    <w:p w14:paraId="18FB76AA" w14:textId="77777777" w:rsidR="00B21480" w:rsidRPr="000F6570" w:rsidRDefault="00B21480" w:rsidP="00B21480">
      <w:pPr>
        <w:jc w:val="center"/>
        <w:rPr>
          <w:rFonts w:cs="Arial"/>
          <w:lang w:val="en-GB"/>
        </w:rPr>
      </w:pPr>
    </w:p>
    <w:p w14:paraId="020420AB" w14:textId="77777777" w:rsidR="00BE43F3" w:rsidRDefault="00BE43F3">
      <w:pPr>
        <w:rPr>
          <w:rFonts w:ascii="Times New Roman" w:hAnsi="Times New Roman"/>
          <w:lang w:val="en-GB"/>
        </w:rPr>
      </w:pPr>
    </w:p>
    <w:p w14:paraId="7365E97B" w14:textId="77777777" w:rsidR="00EE6CF5" w:rsidRPr="00EE6CF5" w:rsidRDefault="00EE6CF5" w:rsidP="00EE6CF5">
      <w:pPr>
        <w:rPr>
          <w:rFonts w:ascii="Times New Roman" w:hAnsi="Times New Roman"/>
          <w:b/>
          <w:sz w:val="24"/>
          <w:szCs w:val="24"/>
          <w:lang w:val="en-GB"/>
        </w:rPr>
      </w:pPr>
      <w:r w:rsidRPr="00EE6CF5">
        <w:rPr>
          <w:rFonts w:ascii="Times New Roman" w:hAnsi="Times New Roman"/>
          <w:b/>
          <w:sz w:val="24"/>
          <w:szCs w:val="24"/>
          <w:lang w:val="en-GB"/>
        </w:rPr>
        <w:t xml:space="preserve">1. </w:t>
      </w:r>
      <w:r w:rsidR="001D7D7B" w:rsidRPr="001D7D7B">
        <w:rPr>
          <w:rFonts w:ascii="Times New Roman" w:hAnsi="Times New Roman"/>
          <w:b/>
          <w:sz w:val="24"/>
          <w:szCs w:val="24"/>
          <w:lang w:val="en-GB"/>
        </w:rPr>
        <w:t>Welcome; Approval of the Agenda</w:t>
      </w:r>
      <w:r w:rsidR="001D7D7B">
        <w:rPr>
          <w:rFonts w:ascii="Times New Roman" w:hAnsi="Times New Roman"/>
          <w:b/>
          <w:sz w:val="24"/>
          <w:szCs w:val="24"/>
          <w:lang w:val="en-GB"/>
        </w:rPr>
        <w:t xml:space="preserve"> and </w:t>
      </w:r>
      <w:r w:rsidR="001D7D7B" w:rsidRPr="001D7D7B">
        <w:rPr>
          <w:rFonts w:ascii="Times New Roman" w:hAnsi="Times New Roman"/>
          <w:b/>
          <w:sz w:val="24"/>
          <w:szCs w:val="24"/>
          <w:lang w:val="en-GB"/>
        </w:rPr>
        <w:t>Minutes</w:t>
      </w:r>
    </w:p>
    <w:p w14:paraId="27BAF7B8" w14:textId="77777777" w:rsidR="00A423DA" w:rsidRPr="00730847" w:rsidRDefault="00A423DA" w:rsidP="001D03F5">
      <w:pPr>
        <w:spacing w:before="0"/>
        <w:rPr>
          <w:rFonts w:ascii="Times New Roman" w:hAnsi="Times New Roman"/>
          <w:sz w:val="24"/>
          <w:szCs w:val="24"/>
          <w:lang w:val="en-GB"/>
        </w:rPr>
      </w:pPr>
      <w:r w:rsidRPr="00730847">
        <w:rPr>
          <w:rFonts w:ascii="Times New Roman" w:hAnsi="Times New Roman"/>
          <w:sz w:val="24"/>
          <w:szCs w:val="24"/>
          <w:lang w:val="en-GB"/>
        </w:rPr>
        <w:t>Co-chair Mr Popadic welcomed the participants on behalf of the organizer co-chair</w:t>
      </w:r>
      <w:r w:rsidR="005470AE">
        <w:rPr>
          <w:rFonts w:ascii="Times New Roman" w:hAnsi="Times New Roman"/>
          <w:sz w:val="24"/>
          <w:szCs w:val="24"/>
          <w:lang w:val="en-GB"/>
        </w:rPr>
        <w:t>s</w:t>
      </w:r>
      <w:r w:rsidRPr="00730847">
        <w:rPr>
          <w:rFonts w:ascii="Times New Roman" w:hAnsi="Times New Roman"/>
          <w:sz w:val="24"/>
          <w:szCs w:val="24"/>
          <w:lang w:val="en-GB"/>
        </w:rPr>
        <w:t xml:space="preserve"> AERS</w:t>
      </w:r>
      <w:r w:rsidR="005470AE">
        <w:rPr>
          <w:rFonts w:ascii="Times New Roman" w:hAnsi="Times New Roman"/>
          <w:sz w:val="24"/>
          <w:szCs w:val="24"/>
          <w:lang w:val="en-GB"/>
        </w:rPr>
        <w:t xml:space="preserve"> and HEA</w:t>
      </w:r>
      <w:r w:rsidRPr="00730847">
        <w:rPr>
          <w:rFonts w:ascii="Times New Roman" w:hAnsi="Times New Roman"/>
          <w:sz w:val="24"/>
          <w:szCs w:val="24"/>
          <w:lang w:val="en-GB"/>
        </w:rPr>
        <w:t xml:space="preserve">. </w:t>
      </w:r>
    </w:p>
    <w:p w14:paraId="4ABE04C4" w14:textId="77777777" w:rsidR="00A423DA" w:rsidRPr="00730847" w:rsidRDefault="00A423DA" w:rsidP="001D03F5">
      <w:pPr>
        <w:pStyle w:val="ListParagraph"/>
        <w:spacing w:before="0"/>
        <w:ind w:left="0"/>
        <w:rPr>
          <w:rFonts w:ascii="Times New Roman" w:hAnsi="Times New Roman"/>
          <w:sz w:val="24"/>
          <w:szCs w:val="24"/>
        </w:rPr>
      </w:pPr>
      <w:r w:rsidRPr="00730847">
        <w:rPr>
          <w:rFonts w:ascii="Times New Roman" w:hAnsi="Times New Roman"/>
          <w:sz w:val="24"/>
          <w:szCs w:val="24"/>
        </w:rPr>
        <w:t xml:space="preserve">Mr Hesseling from ACER welcomed all participants noting that this is the first ACER meeting in </w:t>
      </w:r>
      <w:r w:rsidR="00681405">
        <w:rPr>
          <w:rFonts w:ascii="Times New Roman" w:hAnsi="Times New Roman"/>
          <w:sz w:val="24"/>
          <w:szCs w:val="24"/>
        </w:rPr>
        <w:t xml:space="preserve">an </w:t>
      </w:r>
      <w:r w:rsidRPr="00730847">
        <w:rPr>
          <w:rFonts w:ascii="Times New Roman" w:hAnsi="Times New Roman"/>
          <w:sz w:val="24"/>
          <w:szCs w:val="24"/>
        </w:rPr>
        <w:t xml:space="preserve">Energy Community country. The topics to be discussed during the meeting were </w:t>
      </w:r>
      <w:r w:rsidR="00681405">
        <w:rPr>
          <w:rFonts w:ascii="Times New Roman" w:hAnsi="Times New Roman"/>
          <w:sz w:val="24"/>
          <w:szCs w:val="24"/>
        </w:rPr>
        <w:t xml:space="preserve">the </w:t>
      </w:r>
      <w:r w:rsidRPr="00730847">
        <w:rPr>
          <w:rFonts w:ascii="Times New Roman" w:hAnsi="Times New Roman"/>
          <w:sz w:val="24"/>
          <w:szCs w:val="24"/>
        </w:rPr>
        <w:t xml:space="preserve">main barriers to the trading in the region, what needs to be changed in order to overcome these barriers and </w:t>
      </w:r>
      <w:r w:rsidR="00681405">
        <w:rPr>
          <w:rFonts w:ascii="Times New Roman" w:hAnsi="Times New Roman"/>
          <w:sz w:val="24"/>
          <w:szCs w:val="24"/>
        </w:rPr>
        <w:t>the way</w:t>
      </w:r>
      <w:r w:rsidRPr="00730847">
        <w:rPr>
          <w:rFonts w:ascii="Times New Roman" w:hAnsi="Times New Roman"/>
          <w:sz w:val="24"/>
          <w:szCs w:val="24"/>
        </w:rPr>
        <w:t xml:space="preserve"> forward. </w:t>
      </w:r>
    </w:p>
    <w:p w14:paraId="76C9B282" w14:textId="77777777" w:rsidR="00871E20" w:rsidRPr="00730847" w:rsidRDefault="00272559" w:rsidP="001D03F5">
      <w:pPr>
        <w:spacing w:before="0"/>
        <w:rPr>
          <w:rFonts w:ascii="Times New Roman" w:hAnsi="Times New Roman"/>
          <w:sz w:val="24"/>
          <w:szCs w:val="24"/>
          <w:lang w:val="en-GB"/>
        </w:rPr>
      </w:pPr>
      <w:r w:rsidRPr="00730847">
        <w:rPr>
          <w:rFonts w:ascii="Times New Roman" w:hAnsi="Times New Roman"/>
          <w:sz w:val="24"/>
          <w:szCs w:val="24"/>
          <w:lang w:val="en-GB"/>
        </w:rPr>
        <w:t>T</w:t>
      </w:r>
      <w:r w:rsidR="00EE6CF5" w:rsidRPr="00730847">
        <w:rPr>
          <w:rFonts w:ascii="Times New Roman" w:hAnsi="Times New Roman"/>
          <w:sz w:val="24"/>
          <w:szCs w:val="24"/>
          <w:lang w:val="en-GB"/>
        </w:rPr>
        <w:t>he ag</w:t>
      </w:r>
      <w:r w:rsidR="00681405">
        <w:rPr>
          <w:rFonts w:ascii="Times New Roman" w:hAnsi="Times New Roman"/>
          <w:sz w:val="24"/>
          <w:szCs w:val="24"/>
          <w:lang w:val="en-GB"/>
        </w:rPr>
        <w:t>enda of the current meeting has</w:t>
      </w:r>
      <w:r w:rsidR="00EE6CF5" w:rsidRPr="00730847">
        <w:rPr>
          <w:rFonts w:ascii="Times New Roman" w:hAnsi="Times New Roman"/>
          <w:sz w:val="24"/>
          <w:szCs w:val="24"/>
          <w:lang w:val="en-GB"/>
        </w:rPr>
        <w:t xml:space="preserve"> been approved</w:t>
      </w:r>
      <w:r w:rsidR="00A423DA" w:rsidRPr="00730847">
        <w:rPr>
          <w:rFonts w:ascii="Times New Roman" w:hAnsi="Times New Roman"/>
          <w:sz w:val="24"/>
          <w:szCs w:val="24"/>
          <w:lang w:val="en-GB"/>
        </w:rPr>
        <w:t xml:space="preserve">. </w:t>
      </w:r>
    </w:p>
    <w:p w14:paraId="32D2273A" w14:textId="77777777" w:rsidR="00A423DA" w:rsidRPr="00730847" w:rsidRDefault="00A423DA" w:rsidP="00730847">
      <w:pPr>
        <w:pStyle w:val="ListParagraph"/>
        <w:spacing w:before="0" w:after="120"/>
        <w:ind w:left="0"/>
        <w:rPr>
          <w:rFonts w:ascii="Times New Roman" w:hAnsi="Times New Roman"/>
          <w:sz w:val="24"/>
          <w:szCs w:val="24"/>
        </w:rPr>
      </w:pPr>
      <w:r w:rsidRPr="00730847">
        <w:rPr>
          <w:rFonts w:ascii="Times New Roman" w:hAnsi="Times New Roman"/>
          <w:sz w:val="24"/>
          <w:szCs w:val="24"/>
        </w:rPr>
        <w:t xml:space="preserve">Proposed changes of the last meeting minutes were adopted. No </w:t>
      </w:r>
      <w:r w:rsidR="00730847" w:rsidRPr="00730847">
        <w:rPr>
          <w:rFonts w:ascii="Times New Roman" w:hAnsi="Times New Roman"/>
          <w:sz w:val="24"/>
          <w:szCs w:val="24"/>
        </w:rPr>
        <w:t>additional comments were given.</w:t>
      </w:r>
      <w:r w:rsidR="00681405">
        <w:rPr>
          <w:rFonts w:ascii="Times New Roman" w:hAnsi="Times New Roman"/>
          <w:sz w:val="24"/>
          <w:szCs w:val="24"/>
        </w:rPr>
        <w:t xml:space="preserve"> </w:t>
      </w:r>
      <w:r w:rsidR="00730847" w:rsidRPr="00730847">
        <w:rPr>
          <w:rFonts w:ascii="Times New Roman" w:hAnsi="Times New Roman"/>
          <w:sz w:val="24"/>
          <w:szCs w:val="24"/>
        </w:rPr>
        <w:t>M</w:t>
      </w:r>
      <w:r w:rsidRPr="00730847">
        <w:rPr>
          <w:rFonts w:ascii="Times New Roman" w:hAnsi="Times New Roman"/>
          <w:sz w:val="24"/>
          <w:szCs w:val="24"/>
        </w:rPr>
        <w:t xml:space="preserve">inutes are approved. </w:t>
      </w:r>
    </w:p>
    <w:p w14:paraId="4337BB9B" w14:textId="77777777" w:rsidR="005F4104" w:rsidRDefault="005F4104" w:rsidP="00EE6CE7">
      <w:pPr>
        <w:pStyle w:val="ListParagraph"/>
        <w:ind w:left="0"/>
        <w:rPr>
          <w:rFonts w:ascii="Times New Roman" w:hAnsi="Times New Roman"/>
          <w:b/>
          <w:sz w:val="24"/>
          <w:szCs w:val="24"/>
          <w:lang w:val="en-GB"/>
        </w:rPr>
      </w:pPr>
    </w:p>
    <w:p w14:paraId="4C24F37D" w14:textId="77777777" w:rsidR="00EE6CE7" w:rsidRPr="00EE6CE7" w:rsidRDefault="00EE6CE7" w:rsidP="00EE6CE7">
      <w:pPr>
        <w:pStyle w:val="ListParagraph"/>
        <w:ind w:left="0"/>
        <w:rPr>
          <w:rFonts w:ascii="Times New Roman" w:hAnsi="Times New Roman"/>
          <w:b/>
          <w:sz w:val="24"/>
          <w:szCs w:val="24"/>
          <w:lang w:val="en-GB"/>
        </w:rPr>
      </w:pPr>
      <w:r w:rsidRPr="00EE6CE7">
        <w:rPr>
          <w:rFonts w:ascii="Times New Roman" w:hAnsi="Times New Roman"/>
          <w:b/>
          <w:sz w:val="24"/>
          <w:szCs w:val="24"/>
          <w:lang w:val="en-GB"/>
        </w:rPr>
        <w:t>2. Briefing on recent developments at ACER level</w:t>
      </w:r>
    </w:p>
    <w:p w14:paraId="409DD582" w14:textId="77777777" w:rsidR="00EE6CE7" w:rsidRDefault="00EE6CE7" w:rsidP="00DD073A">
      <w:pPr>
        <w:suppressAutoHyphens/>
        <w:autoSpaceDE w:val="0"/>
        <w:snapToGrid w:val="0"/>
        <w:jc w:val="left"/>
        <w:rPr>
          <w:rFonts w:ascii="Times New Roman" w:hAnsi="Times New Roman"/>
          <w:b/>
          <w:sz w:val="24"/>
          <w:szCs w:val="24"/>
          <w:lang w:val="en-GB"/>
        </w:rPr>
      </w:pPr>
      <w:r w:rsidRPr="00EE6CE7">
        <w:rPr>
          <w:rFonts w:ascii="Times New Roman" w:hAnsi="Times New Roman"/>
          <w:b/>
          <w:sz w:val="24"/>
          <w:szCs w:val="24"/>
          <w:lang w:val="en-GB"/>
        </w:rPr>
        <w:t>2.1. Updates from Madrid Forum</w:t>
      </w:r>
    </w:p>
    <w:p w14:paraId="0214A091" w14:textId="77777777" w:rsidR="005F4104" w:rsidRPr="005F4104" w:rsidRDefault="005F4104" w:rsidP="00730847">
      <w:pPr>
        <w:pStyle w:val="ListParagraph"/>
        <w:spacing w:before="0" w:after="120"/>
        <w:ind w:left="0"/>
        <w:rPr>
          <w:rFonts w:ascii="Times New Roman" w:hAnsi="Times New Roman"/>
          <w:sz w:val="24"/>
          <w:szCs w:val="24"/>
        </w:rPr>
      </w:pPr>
      <w:r w:rsidRPr="005F4104">
        <w:rPr>
          <w:rFonts w:ascii="Times New Roman" w:hAnsi="Times New Roman"/>
          <w:sz w:val="24"/>
          <w:szCs w:val="24"/>
        </w:rPr>
        <w:t xml:space="preserve">Representative of ACER gave information about recent developments and activities of ACER. In Madrid forum EC announced change of Gas Directive, that could be small changes in the law but important for some pipelines. These changes will go to a regular procedure and they do not apply to upstream pipelines. ACER Market monitoring report is also available on their website. A focus is on barriers to trade in the region. EC in its process of </w:t>
      </w:r>
      <w:r w:rsidR="00165F2C">
        <w:rPr>
          <w:rFonts w:ascii="Times New Roman" w:hAnsi="Times New Roman"/>
          <w:sz w:val="24"/>
          <w:szCs w:val="24"/>
        </w:rPr>
        <w:t>evaluating</w:t>
      </w:r>
      <w:r w:rsidR="00165F2C" w:rsidRPr="005F4104">
        <w:rPr>
          <w:rFonts w:ascii="Times New Roman" w:hAnsi="Times New Roman"/>
          <w:sz w:val="24"/>
          <w:szCs w:val="24"/>
        </w:rPr>
        <w:t xml:space="preserve"> </w:t>
      </w:r>
      <w:r w:rsidRPr="005F4104">
        <w:rPr>
          <w:rFonts w:ascii="Times New Roman" w:hAnsi="Times New Roman"/>
          <w:sz w:val="24"/>
          <w:szCs w:val="24"/>
        </w:rPr>
        <w:t xml:space="preserve">the gas market model launched a Quo Vadis study, in order to envisage some of the future possible ways </w:t>
      </w:r>
      <w:r w:rsidR="00165F2C">
        <w:rPr>
          <w:rFonts w:ascii="Times New Roman" w:hAnsi="Times New Roman"/>
          <w:sz w:val="24"/>
          <w:szCs w:val="24"/>
        </w:rPr>
        <w:t>forward</w:t>
      </w:r>
      <w:r w:rsidRPr="005F4104">
        <w:rPr>
          <w:rFonts w:ascii="Times New Roman" w:hAnsi="Times New Roman"/>
          <w:sz w:val="24"/>
          <w:szCs w:val="24"/>
        </w:rPr>
        <w:t>. Consult</w:t>
      </w:r>
      <w:r w:rsidR="00730847">
        <w:rPr>
          <w:rFonts w:ascii="Times New Roman" w:hAnsi="Times New Roman"/>
          <w:sz w:val="24"/>
          <w:szCs w:val="24"/>
        </w:rPr>
        <w:t>ancy proposed several scenarios.</w:t>
      </w:r>
      <w:r w:rsidRPr="005F4104">
        <w:rPr>
          <w:rFonts w:ascii="Times New Roman" w:hAnsi="Times New Roman"/>
          <w:sz w:val="24"/>
          <w:szCs w:val="24"/>
        </w:rPr>
        <w:t xml:space="preserve"> </w:t>
      </w:r>
      <w:r w:rsidR="00165F2C">
        <w:rPr>
          <w:rFonts w:ascii="Times New Roman" w:hAnsi="Times New Roman"/>
          <w:sz w:val="24"/>
          <w:szCs w:val="24"/>
        </w:rPr>
        <w:t xml:space="preserve">One </w:t>
      </w:r>
      <w:r w:rsidR="00730847">
        <w:rPr>
          <w:rFonts w:ascii="Times New Roman" w:hAnsi="Times New Roman"/>
          <w:sz w:val="24"/>
          <w:szCs w:val="24"/>
        </w:rPr>
        <w:t>n</w:t>
      </w:r>
      <w:r w:rsidRPr="005F4104">
        <w:rPr>
          <w:rFonts w:ascii="Times New Roman" w:hAnsi="Times New Roman"/>
          <w:sz w:val="24"/>
          <w:szCs w:val="24"/>
        </w:rPr>
        <w:t xml:space="preserve">ew approach is </w:t>
      </w:r>
      <w:r w:rsidR="00730847">
        <w:rPr>
          <w:rFonts w:ascii="Times New Roman" w:hAnsi="Times New Roman"/>
          <w:sz w:val="24"/>
          <w:szCs w:val="24"/>
        </w:rPr>
        <w:t>simplification of transmission tariffs. T</w:t>
      </w:r>
      <w:r w:rsidRPr="005F4104">
        <w:rPr>
          <w:rFonts w:ascii="Times New Roman" w:hAnsi="Times New Roman"/>
          <w:sz w:val="24"/>
          <w:szCs w:val="24"/>
        </w:rPr>
        <w:t xml:space="preserve">he </w:t>
      </w:r>
      <w:r w:rsidR="00730847">
        <w:rPr>
          <w:rFonts w:ascii="Times New Roman" w:hAnsi="Times New Roman"/>
          <w:sz w:val="24"/>
          <w:szCs w:val="24"/>
        </w:rPr>
        <w:t xml:space="preserve">entry capacity </w:t>
      </w:r>
      <w:r w:rsidRPr="005F4104">
        <w:rPr>
          <w:rFonts w:ascii="Times New Roman" w:hAnsi="Times New Roman"/>
          <w:sz w:val="24"/>
          <w:szCs w:val="24"/>
        </w:rPr>
        <w:t>prices to be applicable at IPs at entry points to EU</w:t>
      </w:r>
      <w:r w:rsidR="00730847">
        <w:rPr>
          <w:rFonts w:ascii="Times New Roman" w:hAnsi="Times New Roman"/>
          <w:sz w:val="24"/>
          <w:szCs w:val="24"/>
        </w:rPr>
        <w:t xml:space="preserve"> and exit capacity price on exit from national transmission system to DSO or to final customer</w:t>
      </w:r>
      <w:r w:rsidRPr="005F4104">
        <w:rPr>
          <w:rFonts w:ascii="Times New Roman" w:hAnsi="Times New Roman"/>
          <w:sz w:val="24"/>
          <w:szCs w:val="24"/>
        </w:rPr>
        <w:t>. Proposed changes should be treated with caution. This Study is to be presented in Brussels 13</w:t>
      </w:r>
      <w:r w:rsidRPr="005F4104">
        <w:rPr>
          <w:rFonts w:ascii="Times New Roman" w:hAnsi="Times New Roman"/>
          <w:sz w:val="24"/>
          <w:szCs w:val="24"/>
          <w:vertAlign w:val="superscript"/>
        </w:rPr>
        <w:t>th</w:t>
      </w:r>
      <w:r w:rsidRPr="005F4104">
        <w:rPr>
          <w:rFonts w:ascii="Times New Roman" w:hAnsi="Times New Roman"/>
          <w:sz w:val="24"/>
          <w:szCs w:val="24"/>
        </w:rPr>
        <w:t xml:space="preserve"> of December. Regarding network codes</w:t>
      </w:r>
      <w:r w:rsidR="00681405">
        <w:rPr>
          <w:rFonts w:ascii="Times New Roman" w:hAnsi="Times New Roman"/>
          <w:sz w:val="24"/>
          <w:szCs w:val="24"/>
        </w:rPr>
        <w:t>,</w:t>
      </w:r>
      <w:r w:rsidRPr="005F4104">
        <w:rPr>
          <w:rFonts w:ascii="Times New Roman" w:hAnsi="Times New Roman"/>
          <w:sz w:val="24"/>
          <w:szCs w:val="24"/>
        </w:rPr>
        <w:t xml:space="preserve"> ACER</w:t>
      </w:r>
      <w:r w:rsidR="00681405">
        <w:rPr>
          <w:rFonts w:ascii="Times New Roman" w:hAnsi="Times New Roman"/>
          <w:sz w:val="24"/>
          <w:szCs w:val="24"/>
        </w:rPr>
        <w:t>‘s</w:t>
      </w:r>
      <w:r w:rsidRPr="005F4104">
        <w:rPr>
          <w:rFonts w:ascii="Times New Roman" w:hAnsi="Times New Roman"/>
          <w:sz w:val="24"/>
          <w:szCs w:val="24"/>
        </w:rPr>
        <w:t xml:space="preserve"> focus is </w:t>
      </w:r>
      <w:r w:rsidR="00165F2C">
        <w:rPr>
          <w:rFonts w:ascii="Times New Roman" w:hAnsi="Times New Roman"/>
          <w:sz w:val="24"/>
          <w:szCs w:val="24"/>
        </w:rPr>
        <w:t xml:space="preserve">currently </w:t>
      </w:r>
      <w:r w:rsidRPr="005F4104">
        <w:rPr>
          <w:rFonts w:ascii="Times New Roman" w:hAnsi="Times New Roman"/>
          <w:sz w:val="24"/>
          <w:szCs w:val="24"/>
        </w:rPr>
        <w:t>on balancing. ACER also had interesting exchange with ENSTO-G about data quality. They all are expecting better data in 201</w:t>
      </w:r>
      <w:r w:rsidR="00165F2C">
        <w:rPr>
          <w:rFonts w:ascii="Times New Roman" w:hAnsi="Times New Roman"/>
          <w:sz w:val="24"/>
          <w:szCs w:val="24"/>
        </w:rPr>
        <w:t>9</w:t>
      </w:r>
      <w:r w:rsidRPr="005F4104">
        <w:rPr>
          <w:rFonts w:ascii="Times New Roman" w:hAnsi="Times New Roman"/>
          <w:sz w:val="24"/>
          <w:szCs w:val="24"/>
        </w:rPr>
        <w:t>. Representative of AERS raised a question on proposing completely new tariff methodologies in situation when new NC TAR has just recently been adopted, which is a concern other stakeholders share as well. Consultants doing the study are just going to give their opinion which is not obligatory and after reviewing the results EC will de</w:t>
      </w:r>
      <w:r w:rsidR="00681405">
        <w:rPr>
          <w:rFonts w:ascii="Times New Roman" w:hAnsi="Times New Roman"/>
          <w:sz w:val="24"/>
          <w:szCs w:val="24"/>
        </w:rPr>
        <w:t>cide what to do. It might seem</w:t>
      </w:r>
      <w:r w:rsidRPr="005F4104">
        <w:rPr>
          <w:rFonts w:ascii="Times New Roman" w:hAnsi="Times New Roman"/>
          <w:sz w:val="24"/>
          <w:szCs w:val="24"/>
        </w:rPr>
        <w:t xml:space="preserve"> premature but they want to be ready if changes are needed but these proposals definitely do not need to be implemented as such.  </w:t>
      </w:r>
    </w:p>
    <w:p w14:paraId="6C6080F6" w14:textId="77777777" w:rsidR="005F4104" w:rsidRDefault="005F4104" w:rsidP="00EE6CE7">
      <w:pPr>
        <w:suppressAutoHyphens/>
        <w:autoSpaceDE w:val="0"/>
        <w:snapToGrid w:val="0"/>
        <w:jc w:val="left"/>
        <w:rPr>
          <w:rFonts w:ascii="Times New Roman" w:hAnsi="Times New Roman"/>
          <w:b/>
          <w:sz w:val="24"/>
          <w:szCs w:val="24"/>
          <w:lang w:val="en-GB"/>
        </w:rPr>
      </w:pPr>
    </w:p>
    <w:p w14:paraId="4D40569A" w14:textId="77777777" w:rsidR="00EE6CE7" w:rsidRDefault="00EE6CE7" w:rsidP="00DD073A">
      <w:pPr>
        <w:suppressAutoHyphens/>
        <w:autoSpaceDE w:val="0"/>
        <w:snapToGrid w:val="0"/>
        <w:jc w:val="left"/>
        <w:rPr>
          <w:rFonts w:ascii="Times New Roman" w:hAnsi="Times New Roman"/>
          <w:b/>
          <w:sz w:val="24"/>
          <w:szCs w:val="24"/>
          <w:lang w:val="en-GB"/>
        </w:rPr>
      </w:pPr>
      <w:r w:rsidRPr="00EE6CE7">
        <w:rPr>
          <w:rFonts w:ascii="Times New Roman" w:hAnsi="Times New Roman"/>
          <w:b/>
          <w:sz w:val="24"/>
          <w:szCs w:val="24"/>
          <w:lang w:val="en-GB"/>
        </w:rPr>
        <w:lastRenderedPageBreak/>
        <w:t>2.2. ACER GRI coordination group – updates</w:t>
      </w:r>
    </w:p>
    <w:p w14:paraId="38473ED1" w14:textId="77777777" w:rsidR="005F4104" w:rsidRPr="005F4104" w:rsidRDefault="005F4104" w:rsidP="001D03F5">
      <w:pPr>
        <w:pStyle w:val="ListParagraph"/>
        <w:spacing w:before="0"/>
        <w:ind w:left="0"/>
        <w:contextualSpacing w:val="0"/>
        <w:rPr>
          <w:rFonts w:ascii="Times New Roman" w:hAnsi="Times New Roman"/>
          <w:sz w:val="24"/>
          <w:szCs w:val="24"/>
        </w:rPr>
      </w:pPr>
      <w:r w:rsidRPr="005F4104">
        <w:rPr>
          <w:rFonts w:ascii="Times New Roman" w:hAnsi="Times New Roman"/>
          <w:sz w:val="24"/>
          <w:szCs w:val="24"/>
        </w:rPr>
        <w:t xml:space="preserve">ACER coordinates regional initiatives. </w:t>
      </w:r>
      <w:r w:rsidR="00730847">
        <w:rPr>
          <w:rFonts w:ascii="Times New Roman" w:hAnsi="Times New Roman"/>
          <w:sz w:val="24"/>
          <w:szCs w:val="24"/>
        </w:rPr>
        <w:t>Add</w:t>
      </w:r>
      <w:r w:rsidR="00681405">
        <w:rPr>
          <w:rFonts w:ascii="Times New Roman" w:hAnsi="Times New Roman"/>
          <w:sz w:val="24"/>
          <w:szCs w:val="24"/>
        </w:rPr>
        <w:t>i</w:t>
      </w:r>
      <w:r w:rsidR="00730847">
        <w:rPr>
          <w:rFonts w:ascii="Times New Roman" w:hAnsi="Times New Roman"/>
          <w:sz w:val="24"/>
          <w:szCs w:val="24"/>
        </w:rPr>
        <w:t xml:space="preserve">tionaly to SSE Europe region, </w:t>
      </w:r>
      <w:r w:rsidRPr="005F4104">
        <w:rPr>
          <w:rFonts w:ascii="Times New Roman" w:hAnsi="Times New Roman"/>
          <w:sz w:val="24"/>
          <w:szCs w:val="24"/>
        </w:rPr>
        <w:t xml:space="preserve">Portugal, Spain and France are south region and they prepared reports about infrastructure and their TSOs are very active in preparation of reports. Another region is Baltic region, which is </w:t>
      </w:r>
      <w:r w:rsidR="00F85C43">
        <w:rPr>
          <w:rFonts w:ascii="Times New Roman" w:hAnsi="Times New Roman"/>
          <w:sz w:val="24"/>
          <w:szCs w:val="24"/>
        </w:rPr>
        <w:t xml:space="preserve">an </w:t>
      </w:r>
      <w:r w:rsidRPr="005F4104">
        <w:rPr>
          <w:rFonts w:ascii="Times New Roman" w:hAnsi="Times New Roman"/>
          <w:sz w:val="24"/>
          <w:szCs w:val="24"/>
        </w:rPr>
        <w:t xml:space="preserve">unofficial region. </w:t>
      </w:r>
    </w:p>
    <w:p w14:paraId="2041AED8" w14:textId="77777777" w:rsidR="005F4104" w:rsidRDefault="00F85C43" w:rsidP="00730847">
      <w:pPr>
        <w:pStyle w:val="ListParagraph"/>
        <w:ind w:left="0"/>
        <w:rPr>
          <w:rFonts w:ascii="Times New Roman" w:hAnsi="Times New Roman"/>
          <w:sz w:val="24"/>
          <w:szCs w:val="24"/>
        </w:rPr>
      </w:pPr>
      <w:r>
        <w:rPr>
          <w:rFonts w:ascii="Times New Roman" w:hAnsi="Times New Roman"/>
          <w:sz w:val="24"/>
          <w:szCs w:val="24"/>
        </w:rPr>
        <w:t xml:space="preserve">Mr. </w:t>
      </w:r>
      <w:r w:rsidR="00165F2C">
        <w:rPr>
          <w:rFonts w:ascii="Times New Roman" w:hAnsi="Times New Roman"/>
          <w:sz w:val="24"/>
          <w:szCs w:val="24"/>
        </w:rPr>
        <w:t xml:space="preserve">Backes </w:t>
      </w:r>
      <w:r>
        <w:rPr>
          <w:rFonts w:ascii="Times New Roman" w:hAnsi="Times New Roman"/>
          <w:sz w:val="24"/>
          <w:szCs w:val="24"/>
        </w:rPr>
        <w:t>from EC</w:t>
      </w:r>
      <w:r w:rsidR="005F4104" w:rsidRPr="00467695">
        <w:rPr>
          <w:rFonts w:ascii="Times New Roman" w:hAnsi="Times New Roman"/>
          <w:sz w:val="24"/>
          <w:szCs w:val="24"/>
        </w:rPr>
        <w:t xml:space="preserve"> informed the </w:t>
      </w:r>
      <w:r>
        <w:rPr>
          <w:rFonts w:ascii="Times New Roman" w:hAnsi="Times New Roman"/>
          <w:sz w:val="24"/>
          <w:szCs w:val="24"/>
        </w:rPr>
        <w:t>participants</w:t>
      </w:r>
      <w:r w:rsidR="005F4104" w:rsidRPr="00467695">
        <w:rPr>
          <w:rFonts w:ascii="Times New Roman" w:hAnsi="Times New Roman"/>
          <w:sz w:val="24"/>
          <w:szCs w:val="24"/>
        </w:rPr>
        <w:t xml:space="preserve"> about the latest CESEC devel</w:t>
      </w:r>
      <w:r w:rsidR="00C53629">
        <w:rPr>
          <w:rFonts w:ascii="Times New Roman" w:hAnsi="Times New Roman"/>
          <w:sz w:val="24"/>
          <w:szCs w:val="24"/>
        </w:rPr>
        <w:t>opments at the end of September.</w:t>
      </w:r>
      <w:r w:rsidR="005F4104" w:rsidRPr="00467695">
        <w:rPr>
          <w:rFonts w:ascii="Times New Roman" w:hAnsi="Times New Roman"/>
          <w:sz w:val="24"/>
          <w:szCs w:val="24"/>
        </w:rPr>
        <w:t xml:space="preserve"> </w:t>
      </w:r>
      <w:r>
        <w:rPr>
          <w:rFonts w:ascii="Times New Roman" w:hAnsi="Times New Roman"/>
          <w:sz w:val="24"/>
          <w:szCs w:val="24"/>
        </w:rPr>
        <w:t>T</w:t>
      </w:r>
      <w:r w:rsidR="00C53629">
        <w:rPr>
          <w:rFonts w:ascii="Times New Roman" w:hAnsi="Times New Roman"/>
          <w:sz w:val="24"/>
          <w:szCs w:val="24"/>
        </w:rPr>
        <w:t xml:space="preserve">here </w:t>
      </w:r>
      <w:r w:rsidR="005F4104" w:rsidRPr="00467695">
        <w:rPr>
          <w:rFonts w:ascii="Times New Roman" w:hAnsi="Times New Roman"/>
          <w:sz w:val="24"/>
          <w:szCs w:val="24"/>
        </w:rPr>
        <w:t xml:space="preserve">was a conclusion </w:t>
      </w:r>
      <w:r>
        <w:rPr>
          <w:rFonts w:ascii="Times New Roman" w:hAnsi="Times New Roman"/>
          <w:sz w:val="24"/>
          <w:szCs w:val="24"/>
        </w:rPr>
        <w:t xml:space="preserve">from the meeting </w:t>
      </w:r>
      <w:r w:rsidR="00165F2C">
        <w:rPr>
          <w:rFonts w:ascii="Times New Roman" w:hAnsi="Times New Roman"/>
          <w:sz w:val="24"/>
          <w:szCs w:val="24"/>
        </w:rPr>
        <w:t>to discuss</w:t>
      </w:r>
      <w:r w:rsidR="00165F2C" w:rsidRPr="00467695">
        <w:rPr>
          <w:rFonts w:ascii="Times New Roman" w:hAnsi="Times New Roman"/>
          <w:sz w:val="24"/>
          <w:szCs w:val="24"/>
        </w:rPr>
        <w:t xml:space="preserve"> </w:t>
      </w:r>
      <w:r w:rsidR="005F4104" w:rsidRPr="00467695">
        <w:rPr>
          <w:rFonts w:ascii="Times New Roman" w:hAnsi="Times New Roman"/>
          <w:sz w:val="24"/>
          <w:szCs w:val="24"/>
        </w:rPr>
        <w:t>licensing</w:t>
      </w:r>
      <w:r w:rsidR="00C53629">
        <w:rPr>
          <w:rFonts w:ascii="Times New Roman" w:hAnsi="Times New Roman"/>
          <w:sz w:val="24"/>
          <w:szCs w:val="24"/>
        </w:rPr>
        <w:t xml:space="preserve"> process simplification</w:t>
      </w:r>
      <w:r w:rsidR="005F4104" w:rsidRPr="00467695">
        <w:rPr>
          <w:rFonts w:ascii="Times New Roman" w:hAnsi="Times New Roman"/>
          <w:sz w:val="24"/>
          <w:szCs w:val="24"/>
        </w:rPr>
        <w:t xml:space="preserve"> </w:t>
      </w:r>
      <w:r w:rsidR="00C53629">
        <w:rPr>
          <w:rFonts w:ascii="Times New Roman" w:hAnsi="Times New Roman"/>
          <w:sz w:val="24"/>
          <w:szCs w:val="24"/>
        </w:rPr>
        <w:t>which</w:t>
      </w:r>
      <w:r w:rsidR="005F4104" w:rsidRPr="00467695">
        <w:rPr>
          <w:rFonts w:ascii="Times New Roman" w:hAnsi="Times New Roman"/>
          <w:sz w:val="24"/>
          <w:szCs w:val="24"/>
        </w:rPr>
        <w:t xml:space="preserve"> received political support of ministries. EC is trying to link and support processes. Over the couple months</w:t>
      </w:r>
      <w:r>
        <w:rPr>
          <w:rFonts w:ascii="Times New Roman" w:hAnsi="Times New Roman"/>
          <w:sz w:val="24"/>
          <w:szCs w:val="24"/>
        </w:rPr>
        <w:t>,</w:t>
      </w:r>
      <w:r w:rsidR="005F4104" w:rsidRPr="00467695">
        <w:rPr>
          <w:rFonts w:ascii="Times New Roman" w:hAnsi="Times New Roman"/>
          <w:sz w:val="24"/>
          <w:szCs w:val="24"/>
        </w:rPr>
        <w:t xml:space="preserve"> </w:t>
      </w:r>
      <w:r w:rsidR="00C53629">
        <w:rPr>
          <w:rFonts w:ascii="Times New Roman" w:hAnsi="Times New Roman"/>
          <w:sz w:val="24"/>
          <w:szCs w:val="24"/>
        </w:rPr>
        <w:t>EC</w:t>
      </w:r>
      <w:r w:rsidR="005F4104" w:rsidRPr="00467695">
        <w:rPr>
          <w:rFonts w:ascii="Times New Roman" w:hAnsi="Times New Roman"/>
          <w:sz w:val="24"/>
          <w:szCs w:val="24"/>
        </w:rPr>
        <w:t xml:space="preserve"> organized N</w:t>
      </w:r>
      <w:r w:rsidR="00C53629">
        <w:rPr>
          <w:rFonts w:ascii="Times New Roman" w:hAnsi="Times New Roman"/>
          <w:sz w:val="24"/>
          <w:szCs w:val="24"/>
        </w:rPr>
        <w:t xml:space="preserve">etwork </w:t>
      </w:r>
      <w:r w:rsidR="005F4104" w:rsidRPr="00467695">
        <w:rPr>
          <w:rFonts w:ascii="Times New Roman" w:hAnsi="Times New Roman"/>
          <w:sz w:val="24"/>
          <w:szCs w:val="24"/>
        </w:rPr>
        <w:t>C</w:t>
      </w:r>
      <w:r w:rsidR="00C53629">
        <w:rPr>
          <w:rFonts w:ascii="Times New Roman" w:hAnsi="Times New Roman"/>
          <w:sz w:val="24"/>
          <w:szCs w:val="24"/>
        </w:rPr>
        <w:t>ode</w:t>
      </w:r>
      <w:r w:rsidR="005F4104" w:rsidRPr="00467695">
        <w:rPr>
          <w:rFonts w:ascii="Times New Roman" w:hAnsi="Times New Roman"/>
          <w:sz w:val="24"/>
          <w:szCs w:val="24"/>
        </w:rPr>
        <w:t xml:space="preserve"> implementation W</w:t>
      </w:r>
      <w:r w:rsidR="00C53629">
        <w:rPr>
          <w:rFonts w:ascii="Times New Roman" w:hAnsi="Times New Roman"/>
          <w:sz w:val="24"/>
          <w:szCs w:val="24"/>
        </w:rPr>
        <w:t>orkshops</w:t>
      </w:r>
      <w:r w:rsidR="005F4104" w:rsidRPr="00467695">
        <w:rPr>
          <w:rFonts w:ascii="Times New Roman" w:hAnsi="Times New Roman"/>
          <w:sz w:val="24"/>
          <w:szCs w:val="24"/>
        </w:rPr>
        <w:t xml:space="preserve"> in Bulgaria</w:t>
      </w:r>
      <w:r w:rsidR="00165F2C">
        <w:rPr>
          <w:rFonts w:ascii="Times New Roman" w:hAnsi="Times New Roman"/>
          <w:sz w:val="24"/>
          <w:szCs w:val="24"/>
        </w:rPr>
        <w:t>,</w:t>
      </w:r>
      <w:r w:rsidR="005F4104" w:rsidRPr="00467695">
        <w:rPr>
          <w:rFonts w:ascii="Times New Roman" w:hAnsi="Times New Roman"/>
          <w:sz w:val="24"/>
          <w:szCs w:val="24"/>
        </w:rPr>
        <w:t xml:space="preserve"> Romania</w:t>
      </w:r>
      <w:r w:rsidR="00165F2C">
        <w:rPr>
          <w:rFonts w:ascii="Times New Roman" w:hAnsi="Times New Roman"/>
          <w:sz w:val="24"/>
          <w:szCs w:val="24"/>
        </w:rPr>
        <w:t xml:space="preserve"> and Greece</w:t>
      </w:r>
      <w:r w:rsidR="005F4104" w:rsidRPr="00467695">
        <w:rPr>
          <w:rFonts w:ascii="Times New Roman" w:hAnsi="Times New Roman"/>
          <w:sz w:val="24"/>
          <w:szCs w:val="24"/>
        </w:rPr>
        <w:t xml:space="preserve"> to make sure that NCs in gas are really and smoothly implemented. Together ACER and ENTSO-G worked</w:t>
      </w:r>
      <w:r w:rsidR="00C53629">
        <w:rPr>
          <w:rFonts w:ascii="Times New Roman" w:hAnsi="Times New Roman"/>
          <w:sz w:val="24"/>
          <w:szCs w:val="24"/>
        </w:rPr>
        <w:t xml:space="preserve"> together</w:t>
      </w:r>
      <w:r w:rsidR="005F4104" w:rsidRPr="00467695">
        <w:rPr>
          <w:rFonts w:ascii="Times New Roman" w:hAnsi="Times New Roman"/>
          <w:sz w:val="24"/>
          <w:szCs w:val="24"/>
        </w:rPr>
        <w:t xml:space="preserve"> on entry-exit methodology in Romania, and on establishment of reverse flow in Transbalkan pipeline. </w:t>
      </w:r>
      <w:r w:rsidR="00C53629">
        <w:rPr>
          <w:rFonts w:ascii="Times New Roman" w:hAnsi="Times New Roman"/>
          <w:sz w:val="24"/>
          <w:szCs w:val="24"/>
        </w:rPr>
        <w:t>Western Balakan</w:t>
      </w:r>
      <w:r w:rsidR="005F4104" w:rsidRPr="00467695">
        <w:rPr>
          <w:rFonts w:ascii="Times New Roman" w:hAnsi="Times New Roman"/>
          <w:sz w:val="24"/>
          <w:szCs w:val="24"/>
        </w:rPr>
        <w:t xml:space="preserve"> is small </w:t>
      </w:r>
      <w:r w:rsidR="00C53629">
        <w:rPr>
          <w:rFonts w:ascii="Times New Roman" w:hAnsi="Times New Roman"/>
          <w:sz w:val="24"/>
          <w:szCs w:val="24"/>
        </w:rPr>
        <w:t xml:space="preserve">gas </w:t>
      </w:r>
      <w:r w:rsidR="005F4104" w:rsidRPr="00467695">
        <w:rPr>
          <w:rFonts w:ascii="Times New Roman" w:hAnsi="Times New Roman"/>
          <w:sz w:val="24"/>
          <w:szCs w:val="24"/>
        </w:rPr>
        <w:t xml:space="preserve">market and </w:t>
      </w:r>
      <w:r w:rsidR="00C53629">
        <w:rPr>
          <w:rFonts w:ascii="Times New Roman" w:hAnsi="Times New Roman"/>
          <w:sz w:val="24"/>
          <w:szCs w:val="24"/>
        </w:rPr>
        <w:t xml:space="preserve">transmission </w:t>
      </w:r>
      <w:r w:rsidR="005F4104" w:rsidRPr="00467695">
        <w:rPr>
          <w:rFonts w:ascii="Times New Roman" w:hAnsi="Times New Roman"/>
          <w:sz w:val="24"/>
          <w:szCs w:val="24"/>
        </w:rPr>
        <w:t xml:space="preserve">tariffs </w:t>
      </w:r>
      <w:r w:rsidR="00C53629">
        <w:rPr>
          <w:rFonts w:ascii="Times New Roman" w:hAnsi="Times New Roman"/>
          <w:sz w:val="24"/>
          <w:szCs w:val="24"/>
        </w:rPr>
        <w:t xml:space="preserve">could </w:t>
      </w:r>
      <w:r w:rsidR="005F4104" w:rsidRPr="00467695">
        <w:rPr>
          <w:rFonts w:ascii="Times New Roman" w:hAnsi="Times New Roman"/>
          <w:sz w:val="24"/>
          <w:szCs w:val="24"/>
        </w:rPr>
        <w:t>have very high impact. Within CESEC initiative</w:t>
      </w:r>
      <w:r>
        <w:rPr>
          <w:rFonts w:ascii="Times New Roman" w:hAnsi="Times New Roman"/>
          <w:sz w:val="24"/>
          <w:szCs w:val="24"/>
        </w:rPr>
        <w:t>, EC is fo</w:t>
      </w:r>
      <w:r w:rsidR="005F4104" w:rsidRPr="00467695">
        <w:rPr>
          <w:rFonts w:ascii="Times New Roman" w:hAnsi="Times New Roman"/>
          <w:sz w:val="24"/>
          <w:szCs w:val="24"/>
        </w:rPr>
        <w:t xml:space="preserve">llowing infrastructure projects like Bulgaria-Serbia interconnector. About the proposed amendment of </w:t>
      </w:r>
      <w:r w:rsidR="00C53629">
        <w:rPr>
          <w:rFonts w:ascii="Times New Roman" w:hAnsi="Times New Roman"/>
          <w:sz w:val="24"/>
          <w:szCs w:val="24"/>
        </w:rPr>
        <w:t>G</w:t>
      </w:r>
      <w:r w:rsidR="005F4104" w:rsidRPr="00467695">
        <w:rPr>
          <w:rFonts w:ascii="Times New Roman" w:hAnsi="Times New Roman"/>
          <w:sz w:val="24"/>
          <w:szCs w:val="24"/>
        </w:rPr>
        <w:t xml:space="preserve">as directive, some of the </w:t>
      </w:r>
      <w:r w:rsidR="00165F2C">
        <w:rPr>
          <w:rFonts w:ascii="Times New Roman" w:hAnsi="Times New Roman"/>
          <w:sz w:val="24"/>
          <w:szCs w:val="24"/>
        </w:rPr>
        <w:t>M</w:t>
      </w:r>
      <w:r w:rsidR="005F4104" w:rsidRPr="00467695">
        <w:rPr>
          <w:rFonts w:ascii="Times New Roman" w:hAnsi="Times New Roman"/>
          <w:sz w:val="24"/>
          <w:szCs w:val="24"/>
        </w:rPr>
        <w:t xml:space="preserve">ember </w:t>
      </w:r>
      <w:r w:rsidR="00165F2C">
        <w:rPr>
          <w:rFonts w:ascii="Times New Roman" w:hAnsi="Times New Roman"/>
          <w:sz w:val="24"/>
          <w:szCs w:val="24"/>
        </w:rPr>
        <w:t>S</w:t>
      </w:r>
      <w:r w:rsidR="005F4104" w:rsidRPr="00467695">
        <w:rPr>
          <w:rFonts w:ascii="Times New Roman" w:hAnsi="Times New Roman"/>
          <w:sz w:val="24"/>
          <w:szCs w:val="24"/>
        </w:rPr>
        <w:t>tates thought that they have to renegotiate agreements with third countries</w:t>
      </w:r>
      <w:r w:rsidR="00C53629">
        <w:rPr>
          <w:rFonts w:ascii="Times New Roman" w:hAnsi="Times New Roman"/>
          <w:sz w:val="24"/>
          <w:szCs w:val="24"/>
        </w:rPr>
        <w:t>.</w:t>
      </w:r>
      <w:r w:rsidR="005F4104" w:rsidRPr="00467695">
        <w:rPr>
          <w:rFonts w:ascii="Times New Roman" w:hAnsi="Times New Roman"/>
          <w:sz w:val="24"/>
          <w:szCs w:val="24"/>
        </w:rPr>
        <w:t xml:space="preserve"> </w:t>
      </w:r>
      <w:r w:rsidR="00C53629">
        <w:rPr>
          <w:rFonts w:ascii="Times New Roman" w:hAnsi="Times New Roman"/>
          <w:sz w:val="24"/>
          <w:szCs w:val="24"/>
        </w:rPr>
        <w:t>B</w:t>
      </w:r>
      <w:r w:rsidR="005F4104" w:rsidRPr="00467695">
        <w:rPr>
          <w:rFonts w:ascii="Times New Roman" w:hAnsi="Times New Roman"/>
          <w:sz w:val="24"/>
          <w:szCs w:val="24"/>
        </w:rPr>
        <w:t>ut there is not going to be need to renegotiate anything with third cou</w:t>
      </w:r>
      <w:r w:rsidR="00C53629">
        <w:rPr>
          <w:rFonts w:ascii="Times New Roman" w:hAnsi="Times New Roman"/>
          <w:sz w:val="24"/>
          <w:szCs w:val="24"/>
        </w:rPr>
        <w:t>ntries if pipelines are not offshore.</w:t>
      </w:r>
      <w:r w:rsidR="005F4104" w:rsidRPr="00467695">
        <w:rPr>
          <w:rFonts w:ascii="Times New Roman" w:hAnsi="Times New Roman"/>
          <w:sz w:val="24"/>
          <w:szCs w:val="24"/>
        </w:rPr>
        <w:t xml:space="preserve"> </w:t>
      </w:r>
      <w:r w:rsidR="00C53629">
        <w:rPr>
          <w:rFonts w:ascii="Times New Roman" w:hAnsi="Times New Roman"/>
          <w:sz w:val="24"/>
          <w:szCs w:val="24"/>
        </w:rPr>
        <w:t>F</w:t>
      </w:r>
      <w:r w:rsidR="005F4104" w:rsidRPr="00467695">
        <w:rPr>
          <w:rFonts w:ascii="Times New Roman" w:hAnsi="Times New Roman"/>
          <w:sz w:val="24"/>
          <w:szCs w:val="24"/>
        </w:rPr>
        <w:t xml:space="preserve">or onshore </w:t>
      </w:r>
      <w:r w:rsidR="00C53629">
        <w:rPr>
          <w:rFonts w:ascii="Times New Roman" w:hAnsi="Times New Roman"/>
          <w:sz w:val="24"/>
          <w:szCs w:val="24"/>
        </w:rPr>
        <w:t>pipelines</w:t>
      </w:r>
      <w:r>
        <w:rPr>
          <w:rFonts w:ascii="Times New Roman" w:hAnsi="Times New Roman"/>
          <w:sz w:val="24"/>
          <w:szCs w:val="24"/>
        </w:rPr>
        <w:t>,</w:t>
      </w:r>
      <w:r w:rsidR="00C53629">
        <w:rPr>
          <w:rFonts w:ascii="Times New Roman" w:hAnsi="Times New Roman"/>
          <w:sz w:val="24"/>
          <w:szCs w:val="24"/>
        </w:rPr>
        <w:t xml:space="preserve"> </w:t>
      </w:r>
      <w:r w:rsidR="005F4104" w:rsidRPr="00467695">
        <w:rPr>
          <w:rFonts w:ascii="Times New Roman" w:hAnsi="Times New Roman"/>
          <w:sz w:val="24"/>
          <w:szCs w:val="24"/>
        </w:rPr>
        <w:t xml:space="preserve">there is a clear cut. </w:t>
      </w:r>
    </w:p>
    <w:p w14:paraId="12DD62EC" w14:textId="77777777" w:rsidR="007443C7" w:rsidRPr="00467695" w:rsidRDefault="007443C7" w:rsidP="00730847">
      <w:pPr>
        <w:pStyle w:val="ListParagraph"/>
        <w:ind w:left="0"/>
        <w:rPr>
          <w:rFonts w:ascii="Times New Roman" w:hAnsi="Times New Roman"/>
          <w:sz w:val="24"/>
          <w:szCs w:val="24"/>
        </w:rPr>
      </w:pPr>
      <w:r>
        <w:rPr>
          <w:rFonts w:ascii="Times New Roman" w:hAnsi="Times New Roman"/>
          <w:sz w:val="24"/>
          <w:szCs w:val="24"/>
        </w:rPr>
        <w:t>Mr. Hesseling indicated that, due to the expected workload (mainly driven by the Tariff reviews) and the limited resourced the Agency has, the</w:t>
      </w:r>
      <w:r w:rsidR="003F132D">
        <w:rPr>
          <w:rFonts w:ascii="Times New Roman" w:hAnsi="Times New Roman"/>
          <w:sz w:val="24"/>
          <w:szCs w:val="24"/>
        </w:rPr>
        <w:t xml:space="preserve">y will only be able to support </w:t>
      </w:r>
      <w:r w:rsidR="003F132D">
        <w:rPr>
          <w:rFonts w:ascii="Times New Roman" w:hAnsi="Times New Roman"/>
          <w:sz w:val="24"/>
          <w:szCs w:val="24"/>
          <w:lang w:val="en-US"/>
        </w:rPr>
        <w:t>one</w:t>
      </w:r>
      <w:r>
        <w:rPr>
          <w:rFonts w:ascii="Times New Roman" w:hAnsi="Times New Roman"/>
          <w:sz w:val="24"/>
          <w:szCs w:val="24"/>
        </w:rPr>
        <w:t xml:space="preserve"> GRI SSE meeting in 2018. Of course, the region is free to organise more meetings, only that would be without ACER support. </w:t>
      </w:r>
    </w:p>
    <w:p w14:paraId="5228B207" w14:textId="77777777" w:rsidR="00EE6CE7" w:rsidRDefault="00EE6CE7" w:rsidP="005470AE">
      <w:pPr>
        <w:suppressAutoHyphens/>
        <w:autoSpaceDE w:val="0"/>
        <w:snapToGrid w:val="0"/>
        <w:jc w:val="left"/>
        <w:rPr>
          <w:rFonts w:ascii="Times New Roman" w:hAnsi="Times New Roman"/>
          <w:b/>
          <w:sz w:val="24"/>
          <w:szCs w:val="24"/>
          <w:lang w:val="en-GB"/>
        </w:rPr>
      </w:pPr>
      <w:r w:rsidRPr="00EE6CE7">
        <w:rPr>
          <w:rFonts w:ascii="Times New Roman" w:hAnsi="Times New Roman"/>
          <w:b/>
          <w:sz w:val="24"/>
          <w:szCs w:val="24"/>
          <w:lang w:val="en-GB"/>
        </w:rPr>
        <w:t xml:space="preserve">2.3. 2016 MMR analysis on barriers to gas wholesale trading </w:t>
      </w:r>
    </w:p>
    <w:p w14:paraId="7E429C84" w14:textId="77777777" w:rsidR="00B62E20" w:rsidRPr="00730847" w:rsidRDefault="00B62E20" w:rsidP="001D03F5">
      <w:pPr>
        <w:pStyle w:val="ListParagraph"/>
        <w:spacing w:before="0"/>
        <w:ind w:left="0"/>
        <w:contextualSpacing w:val="0"/>
        <w:rPr>
          <w:rFonts w:ascii="Times New Roman" w:hAnsi="Times New Roman"/>
          <w:sz w:val="24"/>
          <w:szCs w:val="24"/>
        </w:rPr>
      </w:pPr>
      <w:r w:rsidRPr="00730847">
        <w:rPr>
          <w:rFonts w:ascii="Times New Roman" w:hAnsi="Times New Roman"/>
          <w:sz w:val="24"/>
          <w:szCs w:val="24"/>
        </w:rPr>
        <w:t xml:space="preserve">According to ACER Market monitoring report for 2016 gas supply costs in EU continue to decrease and converge. The reasons </w:t>
      </w:r>
      <w:r w:rsidR="00781DBC" w:rsidRPr="00730847">
        <w:rPr>
          <w:rFonts w:ascii="Times New Roman" w:hAnsi="Times New Roman"/>
          <w:sz w:val="24"/>
          <w:szCs w:val="24"/>
        </w:rPr>
        <w:t>for these</w:t>
      </w:r>
      <w:r w:rsidRPr="00730847">
        <w:rPr>
          <w:rFonts w:ascii="Times New Roman" w:hAnsi="Times New Roman"/>
          <w:sz w:val="24"/>
          <w:szCs w:val="24"/>
        </w:rPr>
        <w:t xml:space="preserve"> are oil indexation, more competition in wholesale trading but also more competition in upstream part. Another conclusion is that markets have more favorable prices</w:t>
      </w:r>
      <w:r w:rsidR="00781DBC" w:rsidRPr="00730847">
        <w:rPr>
          <w:rFonts w:ascii="Times New Roman" w:hAnsi="Times New Roman"/>
          <w:sz w:val="24"/>
          <w:szCs w:val="24"/>
        </w:rPr>
        <w:t xml:space="preserve"> in 2016</w:t>
      </w:r>
      <w:r w:rsidRPr="00730847">
        <w:rPr>
          <w:rFonts w:ascii="Times New Roman" w:hAnsi="Times New Roman"/>
          <w:sz w:val="24"/>
          <w:szCs w:val="24"/>
        </w:rPr>
        <w:t xml:space="preserve"> because of oil indexation in gas prices. Retail price additional to wholesale prices ha</w:t>
      </w:r>
      <w:r w:rsidR="00781DBC" w:rsidRPr="00730847">
        <w:rPr>
          <w:rFonts w:ascii="Times New Roman" w:hAnsi="Times New Roman"/>
          <w:sz w:val="24"/>
          <w:szCs w:val="24"/>
        </w:rPr>
        <w:t>s</w:t>
      </w:r>
      <w:r w:rsidRPr="00730847">
        <w:rPr>
          <w:rFonts w:ascii="Times New Roman" w:hAnsi="Times New Roman"/>
          <w:sz w:val="24"/>
          <w:szCs w:val="24"/>
        </w:rPr>
        <w:t xml:space="preserve"> commodity taxations and network price included. </w:t>
      </w:r>
    </w:p>
    <w:p w14:paraId="5C7B7C52" w14:textId="77777777" w:rsidR="00B62E20" w:rsidRPr="00730847" w:rsidRDefault="00B62E20" w:rsidP="00730847">
      <w:pPr>
        <w:pStyle w:val="ListParagraph"/>
        <w:spacing w:before="0" w:after="120"/>
        <w:ind w:left="0"/>
        <w:rPr>
          <w:rFonts w:ascii="Times New Roman" w:hAnsi="Times New Roman"/>
          <w:sz w:val="24"/>
          <w:szCs w:val="24"/>
        </w:rPr>
      </w:pPr>
      <w:r w:rsidRPr="00730847">
        <w:rPr>
          <w:rFonts w:ascii="Times New Roman" w:hAnsi="Times New Roman"/>
          <w:sz w:val="24"/>
          <w:szCs w:val="24"/>
        </w:rPr>
        <w:t>Another analysis ACER performs is about the status of hubs in different member states. ACER analyses hub prices, avai</w:t>
      </w:r>
      <w:r w:rsidR="00F85C43">
        <w:rPr>
          <w:rFonts w:ascii="Times New Roman" w:hAnsi="Times New Roman"/>
          <w:sz w:val="24"/>
          <w:szCs w:val="24"/>
        </w:rPr>
        <w:t xml:space="preserve">lability of products, types of contracts. To sum up, </w:t>
      </w:r>
      <w:r w:rsidRPr="00730847">
        <w:rPr>
          <w:rFonts w:ascii="Times New Roman" w:hAnsi="Times New Roman"/>
          <w:sz w:val="24"/>
          <w:szCs w:val="24"/>
        </w:rPr>
        <w:t>there are two leading hubs - British and Dutch, and they are far away in front of others. They offer more liquid forward products. Another group of markets are Germany and France</w:t>
      </w:r>
      <w:r w:rsidR="00EF0A33" w:rsidRPr="00730847">
        <w:rPr>
          <w:rFonts w:ascii="Times New Roman" w:hAnsi="Times New Roman"/>
          <w:sz w:val="24"/>
          <w:szCs w:val="24"/>
        </w:rPr>
        <w:t>. In SSE Region</w:t>
      </w:r>
      <w:r w:rsidR="00781DBC" w:rsidRPr="00730847">
        <w:rPr>
          <w:rFonts w:ascii="Times New Roman" w:hAnsi="Times New Roman"/>
          <w:sz w:val="24"/>
          <w:szCs w:val="24"/>
        </w:rPr>
        <w:t>,</w:t>
      </w:r>
      <w:r w:rsidR="00EF0A33" w:rsidRPr="00730847">
        <w:rPr>
          <w:rFonts w:ascii="Times New Roman" w:hAnsi="Times New Roman"/>
          <w:sz w:val="24"/>
          <w:szCs w:val="24"/>
        </w:rPr>
        <w:t xml:space="preserve"> Italy, </w:t>
      </w:r>
      <w:r w:rsidRPr="00730847">
        <w:rPr>
          <w:rFonts w:ascii="Times New Roman" w:hAnsi="Times New Roman"/>
          <w:sz w:val="24"/>
          <w:szCs w:val="24"/>
        </w:rPr>
        <w:t xml:space="preserve">Austria and </w:t>
      </w:r>
      <w:r w:rsidR="00153C63" w:rsidRPr="00730847">
        <w:rPr>
          <w:rFonts w:ascii="Times New Roman" w:hAnsi="Times New Roman"/>
          <w:sz w:val="24"/>
          <w:szCs w:val="24"/>
        </w:rPr>
        <w:t xml:space="preserve">Czech </w:t>
      </w:r>
      <w:r w:rsidR="00DD073A" w:rsidRPr="00730847">
        <w:rPr>
          <w:rFonts w:ascii="Times New Roman" w:hAnsi="Times New Roman"/>
          <w:sz w:val="24"/>
          <w:szCs w:val="24"/>
        </w:rPr>
        <w:t xml:space="preserve">hub </w:t>
      </w:r>
      <w:r w:rsidR="00EF0A33" w:rsidRPr="00730847">
        <w:rPr>
          <w:rFonts w:ascii="Times New Roman" w:hAnsi="Times New Roman"/>
          <w:sz w:val="24"/>
          <w:szCs w:val="24"/>
        </w:rPr>
        <w:t>liquidity shows an upward trend. In Poland</w:t>
      </w:r>
      <w:r w:rsidR="00F85C43">
        <w:rPr>
          <w:rFonts w:ascii="Times New Roman" w:hAnsi="Times New Roman"/>
          <w:sz w:val="24"/>
          <w:szCs w:val="24"/>
        </w:rPr>
        <w:t>,</w:t>
      </w:r>
      <w:r w:rsidR="00EF0A33" w:rsidRPr="00730847">
        <w:rPr>
          <w:rFonts w:ascii="Times New Roman" w:hAnsi="Times New Roman"/>
          <w:sz w:val="24"/>
          <w:szCs w:val="24"/>
        </w:rPr>
        <w:t xml:space="preserve"> the hub shows some improving performance but most liquidity come</w:t>
      </w:r>
      <w:r w:rsidR="00F85C43">
        <w:rPr>
          <w:rFonts w:ascii="Times New Roman" w:hAnsi="Times New Roman"/>
          <w:sz w:val="24"/>
          <w:szCs w:val="24"/>
        </w:rPr>
        <w:t>s</w:t>
      </w:r>
      <w:r w:rsidR="00EF0A33" w:rsidRPr="00730847">
        <w:rPr>
          <w:rFonts w:ascii="Times New Roman" w:hAnsi="Times New Roman"/>
          <w:sz w:val="24"/>
          <w:szCs w:val="24"/>
        </w:rPr>
        <w:t xml:space="preserve"> from gas r</w:t>
      </w:r>
      <w:r w:rsidR="00C621BE" w:rsidRPr="00730847">
        <w:rPr>
          <w:rFonts w:ascii="Times New Roman" w:hAnsi="Times New Roman"/>
          <w:sz w:val="24"/>
          <w:szCs w:val="24"/>
        </w:rPr>
        <w:t>e</w:t>
      </w:r>
      <w:r w:rsidR="00EF0A33" w:rsidRPr="00730847">
        <w:rPr>
          <w:rFonts w:ascii="Times New Roman" w:hAnsi="Times New Roman"/>
          <w:sz w:val="24"/>
          <w:szCs w:val="24"/>
        </w:rPr>
        <w:t>leases</w:t>
      </w:r>
      <w:r w:rsidRPr="00730847">
        <w:rPr>
          <w:rFonts w:ascii="Times New Roman" w:hAnsi="Times New Roman"/>
          <w:sz w:val="24"/>
          <w:szCs w:val="24"/>
        </w:rPr>
        <w:t xml:space="preserve">. </w:t>
      </w:r>
      <w:r w:rsidR="00DD073A" w:rsidRPr="00730847">
        <w:rPr>
          <w:rFonts w:ascii="Times New Roman" w:hAnsi="Times New Roman"/>
          <w:sz w:val="24"/>
          <w:szCs w:val="24"/>
          <w:lang w:val="en-GB"/>
        </w:rPr>
        <w:t xml:space="preserve">In </w:t>
      </w:r>
      <w:r w:rsidR="00DD073A" w:rsidRPr="00730847">
        <w:rPr>
          <w:rFonts w:ascii="Times New Roman" w:hAnsi="Times New Roman"/>
          <w:bCs/>
          <w:sz w:val="24"/>
          <w:szCs w:val="24"/>
          <w:lang w:val="en-GB"/>
        </w:rPr>
        <w:t xml:space="preserve">Hungary </w:t>
      </w:r>
      <w:r w:rsidR="00DD073A" w:rsidRPr="00730847">
        <w:rPr>
          <w:rFonts w:ascii="Times New Roman" w:hAnsi="Times New Roman"/>
          <w:sz w:val="24"/>
          <w:szCs w:val="24"/>
          <w:lang w:val="en-GB"/>
        </w:rPr>
        <w:t xml:space="preserve">and </w:t>
      </w:r>
      <w:r w:rsidR="00DD073A" w:rsidRPr="00730847">
        <w:rPr>
          <w:rFonts w:ascii="Times New Roman" w:hAnsi="Times New Roman"/>
          <w:bCs/>
          <w:sz w:val="24"/>
          <w:szCs w:val="24"/>
          <w:lang w:val="en-GB"/>
        </w:rPr>
        <w:t>Slovakia</w:t>
      </w:r>
      <w:r w:rsidR="00DD073A" w:rsidRPr="00730847">
        <w:rPr>
          <w:rFonts w:ascii="Times New Roman" w:hAnsi="Times New Roman"/>
          <w:sz w:val="24"/>
          <w:szCs w:val="24"/>
          <w:lang w:val="en-GB"/>
        </w:rPr>
        <w:t>, traded volu</w:t>
      </w:r>
      <w:r w:rsidR="00F85C43">
        <w:rPr>
          <w:rFonts w:ascii="Times New Roman" w:hAnsi="Times New Roman"/>
          <w:sz w:val="24"/>
          <w:szCs w:val="24"/>
          <w:lang w:val="en-GB"/>
        </w:rPr>
        <w:t>mes surged year by</w:t>
      </w:r>
      <w:r w:rsidR="00DD073A" w:rsidRPr="00730847">
        <w:rPr>
          <w:rFonts w:ascii="Times New Roman" w:hAnsi="Times New Roman"/>
          <w:sz w:val="24"/>
          <w:szCs w:val="24"/>
          <w:lang w:val="en-GB"/>
        </w:rPr>
        <w:t xml:space="preserve"> year, albeit from a low base. </w:t>
      </w:r>
      <w:r w:rsidRPr="00730847">
        <w:rPr>
          <w:rFonts w:ascii="Times New Roman" w:hAnsi="Times New Roman"/>
          <w:sz w:val="24"/>
          <w:szCs w:val="24"/>
        </w:rPr>
        <w:t xml:space="preserve">The whole market model relies on hubs and this is why the level of their functioning and their operation is very important. The development of liquidity in hubs is a process. Balancing obligation in systems around the hubs is beneficial, this is why balancing regulation is good for the hubs. </w:t>
      </w:r>
    </w:p>
    <w:p w14:paraId="085D461C" w14:textId="77777777" w:rsidR="00DD073A" w:rsidRPr="00730847" w:rsidRDefault="00DD073A" w:rsidP="00DD073A">
      <w:pPr>
        <w:pStyle w:val="ListParagraph"/>
        <w:ind w:left="0"/>
        <w:rPr>
          <w:rFonts w:ascii="Times New Roman" w:hAnsi="Times New Roman"/>
          <w:sz w:val="24"/>
          <w:szCs w:val="24"/>
        </w:rPr>
      </w:pPr>
      <w:r w:rsidRPr="00730847">
        <w:rPr>
          <w:rFonts w:ascii="Times New Roman" w:hAnsi="Times New Roman"/>
          <w:sz w:val="24"/>
          <w:szCs w:val="24"/>
        </w:rPr>
        <w:t xml:space="preserve">ACER concluded that hub prices in </w:t>
      </w:r>
      <w:r w:rsidR="00165F2C">
        <w:rPr>
          <w:rFonts w:ascii="Times New Roman" w:hAnsi="Times New Roman"/>
          <w:sz w:val="24"/>
          <w:szCs w:val="24"/>
        </w:rPr>
        <w:t>N</w:t>
      </w:r>
      <w:r w:rsidRPr="00730847">
        <w:rPr>
          <w:rFonts w:ascii="Times New Roman" w:hAnsi="Times New Roman"/>
          <w:sz w:val="24"/>
          <w:szCs w:val="24"/>
        </w:rPr>
        <w:t xml:space="preserve">orth </w:t>
      </w:r>
      <w:r w:rsidR="00165F2C">
        <w:rPr>
          <w:rFonts w:ascii="Times New Roman" w:hAnsi="Times New Roman"/>
          <w:sz w:val="24"/>
          <w:szCs w:val="24"/>
        </w:rPr>
        <w:t xml:space="preserve">West </w:t>
      </w:r>
      <w:r w:rsidRPr="00730847">
        <w:rPr>
          <w:rFonts w:ascii="Times New Roman" w:hAnsi="Times New Roman"/>
          <w:sz w:val="24"/>
          <w:szCs w:val="24"/>
        </w:rPr>
        <w:t xml:space="preserve">region are more converging and they also correlate better. There are situations </w:t>
      </w:r>
      <w:r w:rsidR="00F85C43">
        <w:rPr>
          <w:rFonts w:ascii="Times New Roman" w:hAnsi="Times New Roman"/>
          <w:sz w:val="24"/>
          <w:szCs w:val="24"/>
        </w:rPr>
        <w:t>when</w:t>
      </w:r>
      <w:r w:rsidRPr="00730847">
        <w:rPr>
          <w:rFonts w:ascii="Times New Roman" w:hAnsi="Times New Roman"/>
          <w:sz w:val="24"/>
          <w:szCs w:val="24"/>
        </w:rPr>
        <w:t xml:space="preserve"> sometimes hub prices difference falls below transmission tariff. Price differences are influenced by transmission tariff but also by competition. </w:t>
      </w:r>
      <w:r w:rsidR="00F85C43">
        <w:rPr>
          <w:rFonts w:ascii="Times New Roman" w:hAnsi="Times New Roman"/>
          <w:sz w:val="24"/>
          <w:szCs w:val="24"/>
        </w:rPr>
        <w:t>There is</w:t>
      </w:r>
      <w:r w:rsidRPr="00730847">
        <w:rPr>
          <w:rFonts w:ascii="Times New Roman" w:hAnsi="Times New Roman"/>
          <w:sz w:val="24"/>
          <w:szCs w:val="24"/>
        </w:rPr>
        <w:t xml:space="preserve"> room for higher prices convergence as a conclusion. </w:t>
      </w:r>
    </w:p>
    <w:p w14:paraId="7D575E5C" w14:textId="77777777" w:rsidR="00DD073A" w:rsidRPr="00730847" w:rsidRDefault="00F85C43" w:rsidP="00DD073A">
      <w:pPr>
        <w:pStyle w:val="ListParagraph"/>
        <w:ind w:left="0"/>
        <w:rPr>
          <w:rFonts w:ascii="Times New Roman" w:hAnsi="Times New Roman"/>
          <w:sz w:val="24"/>
          <w:szCs w:val="24"/>
        </w:rPr>
      </w:pPr>
      <w:r>
        <w:rPr>
          <w:rFonts w:ascii="Times New Roman" w:hAnsi="Times New Roman"/>
          <w:sz w:val="24"/>
          <w:szCs w:val="24"/>
        </w:rPr>
        <w:t>L</w:t>
      </w:r>
      <w:r w:rsidR="00DD073A" w:rsidRPr="00730847">
        <w:rPr>
          <w:rFonts w:ascii="Times New Roman" w:hAnsi="Times New Roman"/>
          <w:sz w:val="24"/>
          <w:szCs w:val="24"/>
        </w:rPr>
        <w:t>ooking at hub</w:t>
      </w:r>
      <w:r w:rsidR="003A72F5">
        <w:rPr>
          <w:rFonts w:ascii="Times New Roman" w:hAnsi="Times New Roman"/>
          <w:sz w:val="24"/>
          <w:szCs w:val="24"/>
        </w:rPr>
        <w:t xml:space="preserve"> products</w:t>
      </w:r>
      <w:r>
        <w:rPr>
          <w:rFonts w:ascii="Times New Roman" w:hAnsi="Times New Roman"/>
          <w:sz w:val="24"/>
          <w:szCs w:val="24"/>
        </w:rPr>
        <w:t xml:space="preserve"> in general</w:t>
      </w:r>
      <w:r w:rsidR="003A72F5">
        <w:rPr>
          <w:rFonts w:ascii="Times New Roman" w:hAnsi="Times New Roman"/>
          <w:sz w:val="24"/>
          <w:szCs w:val="24"/>
        </w:rPr>
        <w:t>,</w:t>
      </w:r>
      <w:r w:rsidR="00DD073A" w:rsidRPr="00730847">
        <w:rPr>
          <w:rFonts w:ascii="Times New Roman" w:hAnsi="Times New Roman"/>
          <w:sz w:val="24"/>
          <w:szCs w:val="24"/>
        </w:rPr>
        <w:t xml:space="preserve"> month ahead is the mostly used hub product, it gives forward liquidity. </w:t>
      </w:r>
    </w:p>
    <w:p w14:paraId="1BCBE67C" w14:textId="77777777" w:rsidR="00DD073A" w:rsidRPr="00730847" w:rsidRDefault="00DD073A" w:rsidP="00DD073A">
      <w:pPr>
        <w:pStyle w:val="ListParagraph"/>
        <w:ind w:left="0"/>
        <w:rPr>
          <w:rFonts w:ascii="Times New Roman" w:hAnsi="Times New Roman"/>
          <w:sz w:val="24"/>
          <w:szCs w:val="24"/>
        </w:rPr>
      </w:pPr>
      <w:r w:rsidRPr="00730847">
        <w:rPr>
          <w:rFonts w:ascii="Times New Roman" w:hAnsi="Times New Roman"/>
          <w:sz w:val="24"/>
          <w:szCs w:val="24"/>
        </w:rPr>
        <w:t xml:space="preserve">ACER engaged consultants to conduct a study about market barriers. They also conducted interviews with 25 stakeholders. Barriers at some markets are more or less severe. Many of these barriers are connected to infrastructure issues and they reflect high multipliers of transmission tariffs. </w:t>
      </w:r>
    </w:p>
    <w:p w14:paraId="7855EEA5" w14:textId="77777777" w:rsidR="00B62E20" w:rsidRDefault="00B62E20" w:rsidP="005470AE">
      <w:pPr>
        <w:pStyle w:val="ListParagraph"/>
        <w:ind w:left="0"/>
        <w:rPr>
          <w:rFonts w:ascii="Times New Roman" w:hAnsi="Times New Roman"/>
          <w:sz w:val="24"/>
          <w:szCs w:val="24"/>
        </w:rPr>
      </w:pPr>
      <w:r w:rsidRPr="00730847">
        <w:rPr>
          <w:rFonts w:ascii="Times New Roman" w:hAnsi="Times New Roman"/>
          <w:sz w:val="24"/>
          <w:szCs w:val="24"/>
        </w:rPr>
        <w:t xml:space="preserve">ACER also analyzed market concentration levels. Analysis of </w:t>
      </w:r>
      <w:r w:rsidR="00F85C43">
        <w:rPr>
          <w:rFonts w:ascii="Times New Roman" w:hAnsi="Times New Roman"/>
          <w:sz w:val="24"/>
          <w:szCs w:val="24"/>
        </w:rPr>
        <w:t xml:space="preserve">the </w:t>
      </w:r>
      <w:r w:rsidRPr="00730847">
        <w:rPr>
          <w:rFonts w:ascii="Times New Roman" w:hAnsi="Times New Roman"/>
          <w:sz w:val="24"/>
          <w:szCs w:val="24"/>
        </w:rPr>
        <w:t>so</w:t>
      </w:r>
      <w:r w:rsidR="00F85C43">
        <w:rPr>
          <w:rFonts w:ascii="Times New Roman" w:hAnsi="Times New Roman"/>
          <w:sz w:val="24"/>
          <w:szCs w:val="24"/>
        </w:rPr>
        <w:t>-</w:t>
      </w:r>
      <w:r w:rsidRPr="00730847">
        <w:rPr>
          <w:rFonts w:ascii="Times New Roman" w:hAnsi="Times New Roman"/>
          <w:sz w:val="24"/>
          <w:szCs w:val="24"/>
        </w:rPr>
        <w:t xml:space="preserve">called healthy zone explains how the situation about market concentration can be improved and whether there should be a market coupling for instance for Slovenia or Bulgaria. </w:t>
      </w:r>
    </w:p>
    <w:p w14:paraId="33B592E2" w14:textId="77777777" w:rsidR="004344F8" w:rsidRPr="00730847" w:rsidRDefault="004344F8" w:rsidP="005470AE">
      <w:pPr>
        <w:pStyle w:val="ListParagraph"/>
        <w:ind w:left="0"/>
        <w:rPr>
          <w:rFonts w:ascii="Times New Roman" w:hAnsi="Times New Roman"/>
          <w:sz w:val="24"/>
          <w:szCs w:val="24"/>
        </w:rPr>
      </w:pPr>
    </w:p>
    <w:p w14:paraId="13B13AB6" w14:textId="77777777" w:rsidR="003F132D" w:rsidRDefault="003F132D" w:rsidP="005470AE">
      <w:pPr>
        <w:pStyle w:val="ListParagraph"/>
        <w:ind w:left="0"/>
        <w:rPr>
          <w:rFonts w:ascii="Times New Roman" w:hAnsi="Times New Roman"/>
          <w:b/>
          <w:sz w:val="24"/>
          <w:szCs w:val="24"/>
          <w:lang w:val="en-GB"/>
        </w:rPr>
      </w:pPr>
    </w:p>
    <w:p w14:paraId="3F6A2266" w14:textId="77777777" w:rsidR="001D03F5" w:rsidRDefault="001D03F5" w:rsidP="005470AE">
      <w:pPr>
        <w:pStyle w:val="ListParagraph"/>
        <w:ind w:left="0"/>
        <w:rPr>
          <w:rFonts w:ascii="Times New Roman" w:hAnsi="Times New Roman"/>
          <w:b/>
          <w:sz w:val="24"/>
          <w:szCs w:val="24"/>
          <w:lang w:val="en-GB"/>
        </w:rPr>
      </w:pPr>
    </w:p>
    <w:p w14:paraId="65B6879B" w14:textId="77777777" w:rsidR="001D03F5" w:rsidRDefault="001D03F5" w:rsidP="005470AE">
      <w:pPr>
        <w:pStyle w:val="ListParagraph"/>
        <w:ind w:left="0"/>
        <w:rPr>
          <w:rFonts w:ascii="Times New Roman" w:hAnsi="Times New Roman"/>
          <w:b/>
          <w:sz w:val="24"/>
          <w:szCs w:val="24"/>
          <w:lang w:val="en-GB"/>
        </w:rPr>
      </w:pPr>
    </w:p>
    <w:p w14:paraId="11261AE2" w14:textId="77777777" w:rsidR="00EE6CE7" w:rsidRDefault="00EE6CE7" w:rsidP="005470AE">
      <w:pPr>
        <w:pStyle w:val="ListParagraph"/>
        <w:ind w:left="0"/>
        <w:rPr>
          <w:rFonts w:ascii="Times New Roman" w:hAnsi="Times New Roman"/>
          <w:b/>
          <w:sz w:val="24"/>
          <w:szCs w:val="24"/>
          <w:lang w:val="en-GB"/>
        </w:rPr>
      </w:pPr>
      <w:r w:rsidRPr="00EE6CE7">
        <w:rPr>
          <w:rFonts w:ascii="Times New Roman" w:hAnsi="Times New Roman"/>
          <w:b/>
          <w:sz w:val="24"/>
          <w:szCs w:val="24"/>
          <w:lang w:val="en-GB"/>
        </w:rPr>
        <w:lastRenderedPageBreak/>
        <w:t>2.4. Reactions to barriers analysis</w:t>
      </w:r>
    </w:p>
    <w:p w14:paraId="7DE1FD81" w14:textId="06206271" w:rsidR="000C1080" w:rsidRPr="003A72F5" w:rsidRDefault="00F85C43" w:rsidP="001D03F5">
      <w:pPr>
        <w:pStyle w:val="ListParagraph"/>
        <w:spacing w:before="0"/>
        <w:ind w:left="0"/>
        <w:rPr>
          <w:rFonts w:ascii="Times New Roman" w:hAnsi="Times New Roman"/>
          <w:sz w:val="24"/>
          <w:szCs w:val="24"/>
        </w:rPr>
      </w:pPr>
      <w:r>
        <w:rPr>
          <w:rFonts w:ascii="Times New Roman" w:hAnsi="Times New Roman"/>
          <w:sz w:val="24"/>
          <w:szCs w:val="24"/>
        </w:rPr>
        <w:t>With reference to market concentration levels, the r</w:t>
      </w:r>
      <w:r w:rsidR="00DD073A" w:rsidRPr="003A72F5">
        <w:rPr>
          <w:rFonts w:ascii="Times New Roman" w:hAnsi="Times New Roman"/>
          <w:sz w:val="24"/>
          <w:szCs w:val="24"/>
        </w:rPr>
        <w:t xml:space="preserve">epresentative of Slovenia said that maybe they apply different methodology in calculating HHI because </w:t>
      </w:r>
      <w:r w:rsidR="00CB50FE">
        <w:rPr>
          <w:rFonts w:ascii="Times New Roman" w:hAnsi="Times New Roman"/>
          <w:sz w:val="24"/>
          <w:szCs w:val="24"/>
        </w:rPr>
        <w:t xml:space="preserve">they calculated HHI 35% lower than ACER. However, he agreed that the wholesale market in Slovenia is highly concentrated. </w:t>
      </w:r>
      <w:r w:rsidR="00D03ABB" w:rsidRPr="003A72F5">
        <w:rPr>
          <w:rFonts w:ascii="Times New Roman" w:hAnsi="Times New Roman"/>
          <w:sz w:val="24"/>
          <w:szCs w:val="24"/>
        </w:rPr>
        <w:t xml:space="preserve">There is no </w:t>
      </w:r>
      <w:r w:rsidR="00CB50FE">
        <w:rPr>
          <w:rFonts w:ascii="Times New Roman" w:hAnsi="Times New Roman"/>
          <w:sz w:val="24"/>
          <w:szCs w:val="24"/>
        </w:rPr>
        <w:t>exchange</w:t>
      </w:r>
      <w:r w:rsidR="00D03ABB" w:rsidRPr="003A72F5">
        <w:rPr>
          <w:rFonts w:ascii="Times New Roman" w:hAnsi="Times New Roman"/>
          <w:sz w:val="24"/>
          <w:szCs w:val="24"/>
        </w:rPr>
        <w:t xml:space="preserve"> in Slovenia</w:t>
      </w:r>
      <w:r w:rsidR="00CB50FE">
        <w:rPr>
          <w:rFonts w:ascii="Times New Roman" w:hAnsi="Times New Roman"/>
          <w:sz w:val="24"/>
          <w:szCs w:val="24"/>
        </w:rPr>
        <w:t>. Even if exchange would be established, liquidity would be very low</w:t>
      </w:r>
      <w:r w:rsidR="00D03ABB" w:rsidRPr="003A72F5">
        <w:rPr>
          <w:rFonts w:ascii="Times New Roman" w:hAnsi="Times New Roman"/>
          <w:sz w:val="24"/>
          <w:szCs w:val="24"/>
        </w:rPr>
        <w:t xml:space="preserve"> because the market is too small</w:t>
      </w:r>
      <w:r w:rsidR="00CB50FE">
        <w:rPr>
          <w:rFonts w:ascii="Times New Roman" w:hAnsi="Times New Roman"/>
          <w:sz w:val="24"/>
          <w:szCs w:val="24"/>
        </w:rPr>
        <w:t>.</w:t>
      </w:r>
      <w:r w:rsidR="00403E5C" w:rsidRPr="00403E5C">
        <w:rPr>
          <w:rFonts w:ascii="Times New Roman" w:hAnsi="Times New Roman"/>
          <w:sz w:val="24"/>
          <w:szCs w:val="24"/>
        </w:rPr>
        <w:t xml:space="preserve"> </w:t>
      </w:r>
      <w:r w:rsidR="00403E5C">
        <w:rPr>
          <w:rFonts w:ascii="Times New Roman" w:hAnsi="Times New Roman"/>
          <w:sz w:val="24"/>
          <w:szCs w:val="24"/>
        </w:rPr>
        <w:t xml:space="preserve">Slovenia has VTP and </w:t>
      </w:r>
      <w:r w:rsidR="00403E5C" w:rsidRPr="003A72F5">
        <w:rPr>
          <w:rFonts w:ascii="Times New Roman" w:hAnsi="Times New Roman"/>
          <w:sz w:val="24"/>
          <w:szCs w:val="24"/>
        </w:rPr>
        <w:t>trading platform but only 4</w:t>
      </w:r>
      <w:r w:rsidR="00403E5C" w:rsidRPr="003A72F5">
        <w:rPr>
          <w:rFonts w:ascii="Times New Roman" w:hAnsi="Times New Roman"/>
          <w:sz w:val="24"/>
          <w:szCs w:val="24"/>
          <w:lang w:val="sr-Latn-RS"/>
        </w:rPr>
        <w:t>-</w:t>
      </w:r>
      <w:r w:rsidR="00403E5C" w:rsidRPr="003A72F5">
        <w:rPr>
          <w:rFonts w:ascii="Times New Roman" w:hAnsi="Times New Roman"/>
          <w:sz w:val="24"/>
          <w:szCs w:val="24"/>
        </w:rPr>
        <w:t>6 players use it</w:t>
      </w:r>
      <w:r w:rsidR="00791A8C">
        <w:rPr>
          <w:rFonts w:ascii="Times New Roman" w:hAnsi="Times New Roman"/>
          <w:sz w:val="24"/>
          <w:szCs w:val="24"/>
        </w:rPr>
        <w:t>.</w:t>
      </w:r>
      <w:r w:rsidR="00D03ABB" w:rsidRPr="003A72F5">
        <w:rPr>
          <w:rFonts w:ascii="Times New Roman" w:hAnsi="Times New Roman"/>
          <w:sz w:val="24"/>
          <w:szCs w:val="24"/>
        </w:rPr>
        <w:t xml:space="preserve"> </w:t>
      </w:r>
      <w:r w:rsidR="00CB50FE">
        <w:rPr>
          <w:rFonts w:ascii="Times New Roman" w:hAnsi="Times New Roman"/>
          <w:sz w:val="24"/>
          <w:szCs w:val="24"/>
        </w:rPr>
        <w:t xml:space="preserve">One </w:t>
      </w:r>
      <w:r w:rsidR="00D03ABB" w:rsidRPr="003A72F5">
        <w:rPr>
          <w:rFonts w:ascii="Times New Roman" w:hAnsi="Times New Roman"/>
          <w:sz w:val="24"/>
          <w:szCs w:val="24"/>
        </w:rPr>
        <w:t xml:space="preserve">solution </w:t>
      </w:r>
      <w:r w:rsidR="00CB50FE">
        <w:rPr>
          <w:rFonts w:ascii="Times New Roman" w:hAnsi="Times New Roman"/>
          <w:sz w:val="24"/>
          <w:szCs w:val="24"/>
        </w:rPr>
        <w:t xml:space="preserve">might be </w:t>
      </w:r>
      <w:r w:rsidR="00403E5C">
        <w:rPr>
          <w:rFonts w:ascii="Times New Roman" w:hAnsi="Times New Roman"/>
          <w:sz w:val="24"/>
          <w:szCs w:val="24"/>
        </w:rPr>
        <w:t xml:space="preserve">the </w:t>
      </w:r>
      <w:r w:rsidR="00D03ABB" w:rsidRPr="003A72F5">
        <w:rPr>
          <w:rFonts w:ascii="Times New Roman" w:hAnsi="Times New Roman"/>
          <w:sz w:val="24"/>
          <w:szCs w:val="24"/>
        </w:rPr>
        <w:t xml:space="preserve">market integration. </w:t>
      </w:r>
      <w:r w:rsidR="00791A8C">
        <w:rPr>
          <w:rFonts w:ascii="Times New Roman" w:hAnsi="Times New Roman"/>
          <w:sz w:val="24"/>
          <w:szCs w:val="24"/>
        </w:rPr>
        <w:t xml:space="preserve">Thus the </w:t>
      </w:r>
      <w:r w:rsidR="00252CA9">
        <w:rPr>
          <w:rFonts w:ascii="Times New Roman" w:hAnsi="Times New Roman"/>
          <w:sz w:val="24"/>
          <w:szCs w:val="24"/>
        </w:rPr>
        <w:t xml:space="preserve">NRA </w:t>
      </w:r>
      <w:r w:rsidR="00403E5C">
        <w:rPr>
          <w:rFonts w:ascii="Times New Roman" w:hAnsi="Times New Roman"/>
          <w:sz w:val="24"/>
          <w:szCs w:val="24"/>
        </w:rPr>
        <w:t xml:space="preserve">launched </w:t>
      </w:r>
      <w:r w:rsidR="00791A8C">
        <w:rPr>
          <w:rFonts w:ascii="Times New Roman" w:hAnsi="Times New Roman"/>
          <w:sz w:val="24"/>
          <w:szCs w:val="24"/>
        </w:rPr>
        <w:t>the</w:t>
      </w:r>
      <w:r w:rsidR="00403E5C">
        <w:rPr>
          <w:rFonts w:ascii="Times New Roman" w:hAnsi="Times New Roman"/>
          <w:sz w:val="24"/>
          <w:szCs w:val="24"/>
        </w:rPr>
        <w:t xml:space="preserve"> </w:t>
      </w:r>
      <w:r w:rsidR="00252CA9">
        <w:rPr>
          <w:rFonts w:ascii="Times New Roman" w:hAnsi="Times New Roman"/>
          <w:sz w:val="24"/>
          <w:szCs w:val="24"/>
        </w:rPr>
        <w:t xml:space="preserve">self assessment study, one part of this study </w:t>
      </w:r>
      <w:r w:rsidR="00791A8C">
        <w:rPr>
          <w:rFonts w:ascii="Times New Roman" w:hAnsi="Times New Roman"/>
          <w:sz w:val="24"/>
          <w:szCs w:val="24"/>
        </w:rPr>
        <w:t>is</w:t>
      </w:r>
      <w:r w:rsidR="00252CA9">
        <w:rPr>
          <w:rFonts w:ascii="Times New Roman" w:hAnsi="Times New Roman"/>
          <w:sz w:val="24"/>
          <w:szCs w:val="24"/>
        </w:rPr>
        <w:t xml:space="preserve"> a study on possible </w:t>
      </w:r>
      <w:r w:rsidR="00DD073A" w:rsidRPr="003A72F5">
        <w:rPr>
          <w:rFonts w:ascii="Times New Roman" w:hAnsi="Times New Roman"/>
          <w:sz w:val="24"/>
          <w:szCs w:val="24"/>
        </w:rPr>
        <w:t xml:space="preserve">market </w:t>
      </w:r>
      <w:r w:rsidR="00252CA9">
        <w:rPr>
          <w:rFonts w:ascii="Times New Roman" w:hAnsi="Times New Roman"/>
          <w:sz w:val="24"/>
          <w:szCs w:val="24"/>
        </w:rPr>
        <w:t>integration</w:t>
      </w:r>
      <w:r w:rsidR="00791A8C">
        <w:rPr>
          <w:rFonts w:ascii="Times New Roman" w:hAnsi="Times New Roman"/>
          <w:sz w:val="24"/>
          <w:szCs w:val="24"/>
        </w:rPr>
        <w:t xml:space="preserve"> and was </w:t>
      </w:r>
      <w:r w:rsidR="00252CA9">
        <w:rPr>
          <w:rFonts w:ascii="Times New Roman" w:hAnsi="Times New Roman"/>
          <w:sz w:val="24"/>
          <w:szCs w:val="24"/>
        </w:rPr>
        <w:t>commissioned to REKK.</w:t>
      </w:r>
      <w:r w:rsidR="00DD073A" w:rsidRPr="003A72F5">
        <w:rPr>
          <w:rFonts w:ascii="Times New Roman" w:hAnsi="Times New Roman"/>
          <w:sz w:val="24"/>
          <w:szCs w:val="24"/>
        </w:rPr>
        <w:t xml:space="preserve"> Market integration options analyzed in the study are </w:t>
      </w:r>
      <w:r w:rsidR="00791A8C">
        <w:rPr>
          <w:rFonts w:ascii="Times New Roman" w:hAnsi="Times New Roman"/>
          <w:sz w:val="24"/>
          <w:szCs w:val="24"/>
        </w:rPr>
        <w:t>the</w:t>
      </w:r>
      <w:r w:rsidR="00DD073A" w:rsidRPr="003A72F5">
        <w:rPr>
          <w:rFonts w:ascii="Times New Roman" w:hAnsi="Times New Roman"/>
          <w:sz w:val="24"/>
          <w:szCs w:val="24"/>
        </w:rPr>
        <w:t xml:space="preserve"> market </w:t>
      </w:r>
      <w:r w:rsidR="00403E5C">
        <w:rPr>
          <w:rFonts w:ascii="Times New Roman" w:hAnsi="Times New Roman"/>
          <w:sz w:val="24"/>
          <w:szCs w:val="24"/>
        </w:rPr>
        <w:t xml:space="preserve">integration </w:t>
      </w:r>
      <w:r w:rsidR="00DD073A" w:rsidRPr="003A72F5">
        <w:rPr>
          <w:rFonts w:ascii="Times New Roman" w:hAnsi="Times New Roman"/>
          <w:sz w:val="24"/>
          <w:szCs w:val="24"/>
        </w:rPr>
        <w:t>with Austria, Italy, Croatia and Hungary.</w:t>
      </w:r>
      <w:r w:rsidR="00B31114" w:rsidRPr="003A72F5">
        <w:rPr>
          <w:rFonts w:ascii="Times New Roman" w:hAnsi="Times New Roman"/>
          <w:sz w:val="24"/>
          <w:szCs w:val="24"/>
        </w:rPr>
        <w:t xml:space="preserve"> New tariff code implementation will solve the </w:t>
      </w:r>
      <w:r w:rsidR="00DE4296">
        <w:rPr>
          <w:rFonts w:ascii="Times New Roman" w:hAnsi="Times New Roman"/>
          <w:sz w:val="24"/>
          <w:szCs w:val="24"/>
        </w:rPr>
        <w:t xml:space="preserve">market </w:t>
      </w:r>
      <w:r w:rsidR="00403E5C">
        <w:rPr>
          <w:rFonts w:ascii="Times New Roman" w:hAnsi="Times New Roman"/>
          <w:sz w:val="24"/>
          <w:szCs w:val="24"/>
        </w:rPr>
        <w:t>barrier</w:t>
      </w:r>
      <w:r w:rsidR="00791A8C">
        <w:rPr>
          <w:rFonts w:ascii="Times New Roman" w:hAnsi="Times New Roman"/>
          <w:sz w:val="24"/>
          <w:szCs w:val="24"/>
        </w:rPr>
        <w:t xml:space="preserve"> </w:t>
      </w:r>
      <w:r w:rsidR="00594AA6">
        <w:rPr>
          <w:rFonts w:ascii="Times New Roman" w:hAnsi="Times New Roman"/>
          <w:sz w:val="24"/>
          <w:szCs w:val="24"/>
        </w:rPr>
        <w:t>of</w:t>
      </w:r>
      <w:r w:rsidR="00403E5C">
        <w:rPr>
          <w:rFonts w:ascii="Times New Roman" w:hAnsi="Times New Roman"/>
          <w:sz w:val="24"/>
          <w:szCs w:val="24"/>
        </w:rPr>
        <w:t xml:space="preserve"> high short-term </w:t>
      </w:r>
      <w:r w:rsidR="00B31114" w:rsidRPr="003A72F5">
        <w:rPr>
          <w:rFonts w:ascii="Times New Roman" w:hAnsi="Times New Roman"/>
          <w:sz w:val="24"/>
          <w:szCs w:val="24"/>
        </w:rPr>
        <w:t xml:space="preserve">multipliers. </w:t>
      </w:r>
      <w:r w:rsidR="00DD073A" w:rsidRPr="003A72F5">
        <w:rPr>
          <w:rFonts w:ascii="Times New Roman" w:hAnsi="Times New Roman"/>
          <w:sz w:val="24"/>
          <w:szCs w:val="24"/>
        </w:rPr>
        <w:t xml:space="preserve"> </w:t>
      </w:r>
    </w:p>
    <w:p w14:paraId="61C740E9" w14:textId="236D2FDE" w:rsidR="000C1080" w:rsidRPr="003A72F5" w:rsidRDefault="000C1080"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Poland</w:t>
      </w:r>
      <w:r w:rsidR="00F85C43">
        <w:rPr>
          <w:rFonts w:ascii="Times New Roman" w:hAnsi="Times New Roman"/>
          <w:sz w:val="24"/>
          <w:szCs w:val="24"/>
        </w:rPr>
        <w:t>,</w:t>
      </w:r>
      <w:r w:rsidRPr="003A72F5">
        <w:rPr>
          <w:rFonts w:ascii="Times New Roman" w:hAnsi="Times New Roman"/>
          <w:sz w:val="24"/>
          <w:szCs w:val="24"/>
        </w:rPr>
        <w:t xml:space="preserve"> regulatory transparency can be improved </w:t>
      </w:r>
      <w:r w:rsidR="00165F2C">
        <w:rPr>
          <w:rFonts w:ascii="Times New Roman" w:hAnsi="Times New Roman"/>
          <w:sz w:val="24"/>
          <w:szCs w:val="24"/>
        </w:rPr>
        <w:t>al</w:t>
      </w:r>
      <w:r w:rsidRPr="003A72F5">
        <w:rPr>
          <w:rFonts w:ascii="Times New Roman" w:hAnsi="Times New Roman"/>
          <w:sz w:val="24"/>
          <w:szCs w:val="24"/>
        </w:rPr>
        <w:t xml:space="preserve">though some legislative changes have been done in past months. The number of market players has increased in the last period, and </w:t>
      </w:r>
      <w:r w:rsidR="00F85C43">
        <w:rPr>
          <w:rFonts w:ascii="Times New Roman" w:hAnsi="Times New Roman"/>
          <w:sz w:val="24"/>
          <w:szCs w:val="24"/>
        </w:rPr>
        <w:t xml:space="preserve">the </w:t>
      </w:r>
      <w:r w:rsidRPr="003A72F5">
        <w:rPr>
          <w:rFonts w:ascii="Times New Roman" w:hAnsi="Times New Roman"/>
          <w:sz w:val="24"/>
          <w:szCs w:val="24"/>
        </w:rPr>
        <w:t xml:space="preserve">number of licensees has increased significantly in </w:t>
      </w:r>
      <w:r w:rsidR="00F85C43">
        <w:rPr>
          <w:rFonts w:ascii="Times New Roman" w:hAnsi="Times New Roman"/>
          <w:sz w:val="24"/>
          <w:szCs w:val="24"/>
        </w:rPr>
        <w:t xml:space="preserve">the </w:t>
      </w:r>
      <w:r w:rsidRPr="003A72F5">
        <w:rPr>
          <w:rFonts w:ascii="Times New Roman" w:hAnsi="Times New Roman"/>
          <w:sz w:val="24"/>
          <w:szCs w:val="24"/>
        </w:rPr>
        <w:t xml:space="preserve">last 5 years. There are </w:t>
      </w:r>
      <w:r w:rsidR="00B360CC">
        <w:rPr>
          <w:rFonts w:ascii="Times New Roman" w:hAnsi="Times New Roman"/>
          <w:sz w:val="24"/>
          <w:szCs w:val="24"/>
        </w:rPr>
        <w:t>about</w:t>
      </w:r>
      <w:r w:rsidR="00B360CC" w:rsidRPr="003A72F5">
        <w:rPr>
          <w:rFonts w:ascii="Times New Roman" w:hAnsi="Times New Roman"/>
          <w:sz w:val="24"/>
          <w:szCs w:val="24"/>
        </w:rPr>
        <w:t xml:space="preserve"> </w:t>
      </w:r>
      <w:r w:rsidRPr="003A72F5">
        <w:rPr>
          <w:rFonts w:ascii="Times New Roman" w:hAnsi="Times New Roman"/>
          <w:sz w:val="24"/>
          <w:szCs w:val="24"/>
        </w:rPr>
        <w:t xml:space="preserve">200 license holders for domestic trade and </w:t>
      </w:r>
      <w:r w:rsidR="00B360CC">
        <w:rPr>
          <w:rFonts w:ascii="Times New Roman" w:hAnsi="Times New Roman"/>
          <w:sz w:val="24"/>
          <w:szCs w:val="24"/>
        </w:rPr>
        <w:t xml:space="preserve">more than 50 </w:t>
      </w:r>
      <w:r w:rsidR="003A72F5">
        <w:rPr>
          <w:rFonts w:ascii="Times New Roman" w:hAnsi="Times New Roman"/>
          <w:sz w:val="24"/>
          <w:szCs w:val="24"/>
        </w:rPr>
        <w:t xml:space="preserve">for </w:t>
      </w:r>
      <w:r w:rsidRPr="003A72F5">
        <w:rPr>
          <w:rFonts w:ascii="Times New Roman" w:hAnsi="Times New Roman"/>
          <w:sz w:val="24"/>
          <w:szCs w:val="24"/>
        </w:rPr>
        <w:t xml:space="preserve">distribution system operation, one big </w:t>
      </w:r>
      <w:r w:rsidR="00B360CC">
        <w:rPr>
          <w:rFonts w:ascii="Times New Roman" w:hAnsi="Times New Roman"/>
          <w:sz w:val="24"/>
          <w:szCs w:val="24"/>
        </w:rPr>
        <w:t>DSO</w:t>
      </w:r>
      <w:r w:rsidRPr="003A72F5">
        <w:rPr>
          <w:rFonts w:ascii="Times New Roman" w:hAnsi="Times New Roman"/>
          <w:sz w:val="24"/>
          <w:szCs w:val="24"/>
        </w:rPr>
        <w:t xml:space="preserve"> and 50 local and small scale.</w:t>
      </w:r>
    </w:p>
    <w:p w14:paraId="327B8B83" w14:textId="0FE19DA8" w:rsidR="00B360CC" w:rsidRPr="00753564" w:rsidRDefault="00B360CC" w:rsidP="001D03F5">
      <w:pPr>
        <w:pStyle w:val="ListParagraph"/>
        <w:spacing w:before="0"/>
        <w:ind w:left="0"/>
        <w:contextualSpacing w:val="0"/>
        <w:rPr>
          <w:rFonts w:ascii="Times New Roman" w:hAnsi="Times New Roman"/>
          <w:sz w:val="24"/>
          <w:szCs w:val="24"/>
          <w:lang w:val="en-GB"/>
        </w:rPr>
      </w:pPr>
      <w:proofErr w:type="spellStart"/>
      <w:r w:rsidRPr="00753564">
        <w:rPr>
          <w:rFonts w:ascii="Times New Roman" w:hAnsi="Times New Roman"/>
          <w:sz w:val="24"/>
          <w:szCs w:val="24"/>
          <w:lang w:val="en-GB"/>
        </w:rPr>
        <w:t>Мs</w:t>
      </w:r>
      <w:proofErr w:type="spellEnd"/>
      <w:r w:rsidRPr="00753564">
        <w:rPr>
          <w:rFonts w:ascii="Times New Roman" w:hAnsi="Times New Roman"/>
          <w:sz w:val="24"/>
          <w:szCs w:val="24"/>
          <w:lang w:val="en-GB"/>
        </w:rPr>
        <w:t>. Flak explained the basic rules of licensing regime in Poland in the field of gas trading. She said that the requirements for obtaining the license are stipulated in the law and President of ERO is obliged to obey this law. These requirements are t</w:t>
      </w:r>
      <w:r>
        <w:rPr>
          <w:rFonts w:ascii="Times New Roman" w:hAnsi="Times New Roman"/>
          <w:sz w:val="24"/>
          <w:szCs w:val="24"/>
          <w:lang w:val="en-GB"/>
        </w:rPr>
        <w:t>he same for all market players</w:t>
      </w:r>
      <w:r w:rsidRPr="00753564">
        <w:rPr>
          <w:rFonts w:ascii="Times New Roman" w:hAnsi="Times New Roman"/>
          <w:sz w:val="24"/>
          <w:szCs w:val="24"/>
          <w:lang w:val="en-GB"/>
        </w:rPr>
        <w:t>.</w:t>
      </w:r>
      <w:r w:rsidRPr="00BD07E9">
        <w:rPr>
          <w:lang w:val="en"/>
        </w:rPr>
        <w:t xml:space="preserve"> </w:t>
      </w:r>
      <w:r>
        <w:rPr>
          <w:rFonts w:ascii="Times New Roman" w:hAnsi="Times New Roman"/>
          <w:sz w:val="24"/>
          <w:szCs w:val="24"/>
          <w:lang w:val="en"/>
        </w:rPr>
        <w:t xml:space="preserve">Licenses </w:t>
      </w:r>
      <w:r w:rsidRPr="00BD07E9">
        <w:rPr>
          <w:rFonts w:ascii="Times New Roman" w:hAnsi="Times New Roman"/>
          <w:sz w:val="24"/>
          <w:szCs w:val="24"/>
          <w:lang w:val="en"/>
        </w:rPr>
        <w:t xml:space="preserve">are important because they </w:t>
      </w:r>
      <w:r>
        <w:rPr>
          <w:rFonts w:ascii="Times New Roman" w:hAnsi="Times New Roman"/>
          <w:sz w:val="24"/>
          <w:szCs w:val="24"/>
          <w:lang w:val="en"/>
        </w:rPr>
        <w:t>pose</w:t>
      </w:r>
      <w:r w:rsidRPr="00BD07E9">
        <w:rPr>
          <w:rFonts w:ascii="Times New Roman" w:hAnsi="Times New Roman"/>
          <w:sz w:val="24"/>
          <w:szCs w:val="24"/>
          <w:lang w:val="en"/>
        </w:rPr>
        <w:t xml:space="preserve"> a guarantee for other market participants and </w:t>
      </w:r>
      <w:r>
        <w:rPr>
          <w:rFonts w:ascii="Times New Roman" w:hAnsi="Times New Roman"/>
          <w:sz w:val="24"/>
          <w:szCs w:val="24"/>
          <w:lang w:val="en"/>
        </w:rPr>
        <w:t xml:space="preserve">consumers </w:t>
      </w:r>
      <w:r w:rsidRPr="00BD07E9">
        <w:rPr>
          <w:rFonts w:ascii="Times New Roman" w:hAnsi="Times New Roman"/>
          <w:sz w:val="24"/>
          <w:szCs w:val="24"/>
          <w:lang w:val="en"/>
        </w:rPr>
        <w:t>that only companies with stable financial standing will perform the given activity.</w:t>
      </w:r>
      <w:r w:rsidRPr="00753564">
        <w:rPr>
          <w:rFonts w:ascii="Times New Roman" w:hAnsi="Times New Roman"/>
          <w:sz w:val="24"/>
          <w:szCs w:val="24"/>
          <w:lang w:val="en-GB"/>
        </w:rPr>
        <w:t xml:space="preserve"> ACER suggests that this is maybe appropriate for retail but not wholesale. The regulation in Poland is such that if the financial </w:t>
      </w:r>
      <w:r>
        <w:rPr>
          <w:rFonts w:ascii="Times New Roman" w:hAnsi="Times New Roman"/>
          <w:sz w:val="24"/>
          <w:szCs w:val="24"/>
          <w:lang w:val="en-GB"/>
        </w:rPr>
        <w:t>situation</w:t>
      </w:r>
      <w:r w:rsidRPr="00753564">
        <w:rPr>
          <w:rFonts w:ascii="Times New Roman" w:hAnsi="Times New Roman"/>
          <w:sz w:val="24"/>
          <w:szCs w:val="24"/>
          <w:lang w:val="en-GB"/>
        </w:rPr>
        <w:t xml:space="preserve"> of company is bad, the regulator </w:t>
      </w:r>
      <w:r>
        <w:rPr>
          <w:rFonts w:ascii="Times New Roman" w:hAnsi="Times New Roman"/>
          <w:sz w:val="24"/>
          <w:szCs w:val="24"/>
          <w:lang w:val="en-GB"/>
        </w:rPr>
        <w:t>is obliged</w:t>
      </w:r>
      <w:r w:rsidRPr="00753564">
        <w:rPr>
          <w:rFonts w:ascii="Times New Roman" w:hAnsi="Times New Roman"/>
          <w:sz w:val="24"/>
          <w:szCs w:val="24"/>
          <w:lang w:val="en-GB"/>
        </w:rPr>
        <w:t xml:space="preserve"> to withdraw the license</w:t>
      </w:r>
      <w:r>
        <w:rPr>
          <w:rFonts w:ascii="Times New Roman" w:hAnsi="Times New Roman"/>
          <w:sz w:val="24"/>
          <w:szCs w:val="24"/>
          <w:lang w:val="en-GB"/>
        </w:rPr>
        <w:t>.</w:t>
      </w:r>
      <w:r w:rsidRPr="00753564">
        <w:rPr>
          <w:rFonts w:ascii="Times New Roman" w:hAnsi="Times New Roman"/>
          <w:sz w:val="24"/>
          <w:szCs w:val="24"/>
          <w:lang w:val="en-GB"/>
        </w:rPr>
        <w:t xml:space="preserve"> They consider licensing necessary as a way to check credibility of traders. </w:t>
      </w:r>
      <w:r>
        <w:rPr>
          <w:rFonts w:ascii="Times New Roman" w:hAnsi="Times New Roman"/>
          <w:sz w:val="24"/>
          <w:szCs w:val="24"/>
          <w:lang w:val="en-GB"/>
        </w:rPr>
        <w:t xml:space="preserve">In the licensing process URE has faced the number of dishonest companies attempting to manipulate financial data. </w:t>
      </w:r>
      <w:r w:rsidRPr="00753564">
        <w:rPr>
          <w:rFonts w:ascii="Times New Roman" w:hAnsi="Times New Roman"/>
          <w:sz w:val="24"/>
          <w:szCs w:val="24"/>
          <w:lang w:val="en-GB"/>
        </w:rPr>
        <w:t xml:space="preserve">For these reasons, it seems necessary to maintain the </w:t>
      </w:r>
      <w:r>
        <w:rPr>
          <w:rFonts w:ascii="Times New Roman" w:hAnsi="Times New Roman"/>
          <w:sz w:val="24"/>
          <w:szCs w:val="24"/>
          <w:lang w:val="en-GB"/>
        </w:rPr>
        <w:t xml:space="preserve">license </w:t>
      </w:r>
      <w:r w:rsidRPr="00753564">
        <w:rPr>
          <w:rFonts w:ascii="Times New Roman" w:hAnsi="Times New Roman"/>
          <w:sz w:val="24"/>
          <w:szCs w:val="24"/>
          <w:lang w:val="en-GB"/>
        </w:rPr>
        <w:t>obligation</w:t>
      </w:r>
      <w:r>
        <w:rPr>
          <w:rFonts w:ascii="Times New Roman" w:hAnsi="Times New Roman"/>
          <w:sz w:val="24"/>
          <w:szCs w:val="24"/>
          <w:lang w:val="en-GB"/>
        </w:rPr>
        <w:t>.</w:t>
      </w:r>
      <w:r w:rsidRPr="00753564">
        <w:rPr>
          <w:rFonts w:ascii="Times New Roman" w:hAnsi="Times New Roman"/>
          <w:sz w:val="24"/>
          <w:szCs w:val="24"/>
          <w:lang w:val="en-GB"/>
        </w:rPr>
        <w:t xml:space="preserve"> EC considers this as a matter of handling the risk, so they asked if there are other means to deal with risk aside licensing. Poland replied that </w:t>
      </w:r>
      <w:r>
        <w:rPr>
          <w:rFonts w:ascii="Times New Roman" w:hAnsi="Times New Roman"/>
          <w:sz w:val="24"/>
          <w:szCs w:val="24"/>
          <w:lang w:val="en-GB"/>
        </w:rPr>
        <w:t>changing of license regime requires comprehensive changes in Polish law and requires the involvement of certain ministers.</w:t>
      </w:r>
      <w:r w:rsidRPr="00753564">
        <w:rPr>
          <w:rFonts w:ascii="Times New Roman" w:hAnsi="Times New Roman"/>
          <w:sz w:val="24"/>
          <w:szCs w:val="24"/>
          <w:lang w:val="en-GB"/>
        </w:rPr>
        <w:t xml:space="preserve"> </w:t>
      </w:r>
      <w:r w:rsidRPr="000C62D5">
        <w:rPr>
          <w:rFonts w:ascii="Times New Roman" w:hAnsi="Times New Roman"/>
          <w:sz w:val="24"/>
          <w:szCs w:val="24"/>
          <w:lang w:val="en"/>
        </w:rPr>
        <w:t xml:space="preserve">In addition, </w:t>
      </w:r>
      <w:r>
        <w:rPr>
          <w:rFonts w:ascii="Times New Roman" w:hAnsi="Times New Roman"/>
          <w:sz w:val="24"/>
          <w:szCs w:val="24"/>
          <w:lang w:val="en"/>
        </w:rPr>
        <w:t xml:space="preserve">licenses are </w:t>
      </w:r>
      <w:r w:rsidRPr="000C62D5">
        <w:rPr>
          <w:rFonts w:ascii="Times New Roman" w:hAnsi="Times New Roman"/>
          <w:sz w:val="24"/>
          <w:szCs w:val="24"/>
          <w:lang w:val="en"/>
        </w:rPr>
        <w:t>an element of the state's economic policy</w:t>
      </w:r>
      <w:r>
        <w:rPr>
          <w:rFonts w:ascii="Times New Roman" w:hAnsi="Times New Roman"/>
          <w:sz w:val="24"/>
          <w:szCs w:val="24"/>
          <w:lang w:val="en"/>
        </w:rPr>
        <w:t>.</w:t>
      </w:r>
      <w:r w:rsidRPr="000C62D5">
        <w:rPr>
          <w:rFonts w:ascii="Times New Roman" w:hAnsi="Times New Roman"/>
          <w:sz w:val="24"/>
          <w:szCs w:val="24"/>
          <w:lang w:val="en-GB"/>
        </w:rPr>
        <w:t xml:space="preserve"> </w:t>
      </w:r>
      <w:r w:rsidRPr="00753564">
        <w:rPr>
          <w:rFonts w:ascii="Times New Roman" w:hAnsi="Times New Roman"/>
          <w:sz w:val="24"/>
          <w:szCs w:val="24"/>
          <w:lang w:val="en-GB"/>
        </w:rPr>
        <w:t xml:space="preserve">Regulator in Poland checks this credibility once, when license is issued, but if they receive the information that something has changed they are authorized to monitor and check credibility regularly. </w:t>
      </w:r>
      <w:r>
        <w:rPr>
          <w:rFonts w:ascii="Times New Roman" w:hAnsi="Times New Roman"/>
          <w:sz w:val="24"/>
          <w:szCs w:val="24"/>
          <w:lang w:val="en-GB"/>
        </w:rPr>
        <w:t xml:space="preserve">With reference to storage obligation </w:t>
      </w:r>
      <w:r w:rsidRPr="00753564">
        <w:rPr>
          <w:rFonts w:ascii="Times New Roman" w:hAnsi="Times New Roman"/>
          <w:sz w:val="24"/>
          <w:szCs w:val="24"/>
          <w:lang w:val="en-GB"/>
        </w:rPr>
        <w:t xml:space="preserve">Polish Regulator sent many comments and suggestions to Parliament in order to amend the Law, but they were not taken into account. </w:t>
      </w:r>
    </w:p>
    <w:p w14:paraId="363C6CF0" w14:textId="77777777" w:rsidR="00B31114" w:rsidRPr="003A72F5" w:rsidRDefault="00B31114"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Hungary, regulatory transparency should be improved</w:t>
      </w:r>
      <w:r w:rsidR="00F85C43" w:rsidRPr="00F85C43">
        <w:rPr>
          <w:rFonts w:ascii="Times New Roman" w:hAnsi="Times New Roman"/>
          <w:sz w:val="24"/>
          <w:szCs w:val="24"/>
        </w:rPr>
        <w:t xml:space="preserve"> </w:t>
      </w:r>
      <w:r w:rsidR="00F85C43" w:rsidRPr="003A72F5">
        <w:rPr>
          <w:rFonts w:ascii="Times New Roman" w:hAnsi="Times New Roman"/>
          <w:sz w:val="24"/>
          <w:szCs w:val="24"/>
        </w:rPr>
        <w:t>further</w:t>
      </w:r>
      <w:r w:rsidRPr="003A72F5">
        <w:rPr>
          <w:rFonts w:ascii="Times New Roman" w:hAnsi="Times New Roman"/>
          <w:sz w:val="24"/>
          <w:szCs w:val="24"/>
        </w:rPr>
        <w:t xml:space="preserve">. 60% of average consumer consumption at the beginning of heating season has to be kept on stocks for the SoS reasons. ACER suggests there might be other mechanisms to secure SoS because 60% constitutes financial burden. Taxation is not </w:t>
      </w:r>
      <w:r w:rsidR="00276A4A">
        <w:rPr>
          <w:rFonts w:ascii="Times New Roman" w:hAnsi="Times New Roman"/>
          <w:sz w:val="24"/>
          <w:szCs w:val="24"/>
        </w:rPr>
        <w:t xml:space="preserve">in </w:t>
      </w:r>
      <w:r w:rsidRPr="003A72F5">
        <w:rPr>
          <w:rFonts w:ascii="Times New Roman" w:hAnsi="Times New Roman"/>
          <w:sz w:val="24"/>
          <w:szCs w:val="24"/>
        </w:rPr>
        <w:t xml:space="preserve">the competence of the regulator, but they can make proposals to modify tax system. ACER noticed high multipliers for transmission tariffs, and regulator can consider this comment. </w:t>
      </w:r>
    </w:p>
    <w:p w14:paraId="472C0B87" w14:textId="77777777" w:rsidR="00B31114" w:rsidRPr="003A72F5" w:rsidRDefault="00B31114" w:rsidP="001D03F5">
      <w:pPr>
        <w:pStyle w:val="ListParagraph"/>
        <w:spacing w:before="0"/>
        <w:ind w:left="0"/>
        <w:rPr>
          <w:rFonts w:ascii="Times New Roman" w:hAnsi="Times New Roman"/>
          <w:sz w:val="24"/>
          <w:szCs w:val="24"/>
        </w:rPr>
      </w:pPr>
      <w:r w:rsidRPr="003A72F5">
        <w:rPr>
          <w:rFonts w:ascii="Times New Roman" w:hAnsi="Times New Roman"/>
          <w:sz w:val="24"/>
          <w:szCs w:val="24"/>
        </w:rPr>
        <w:t xml:space="preserve">In Romania, there is no proper functioning VTP and they already work on this topic. The access to VTP is possible </w:t>
      </w:r>
      <w:r w:rsidR="00165F2C">
        <w:rPr>
          <w:rFonts w:ascii="Times New Roman" w:hAnsi="Times New Roman"/>
          <w:sz w:val="24"/>
          <w:szCs w:val="24"/>
        </w:rPr>
        <w:t xml:space="preserve">only </w:t>
      </w:r>
      <w:r w:rsidRPr="003A72F5">
        <w:rPr>
          <w:rFonts w:ascii="Times New Roman" w:hAnsi="Times New Roman"/>
          <w:sz w:val="24"/>
          <w:szCs w:val="24"/>
        </w:rPr>
        <w:t>if transmission is contracted and this cond</w:t>
      </w:r>
      <w:r w:rsidR="00670A4C">
        <w:rPr>
          <w:rFonts w:ascii="Times New Roman" w:hAnsi="Times New Roman"/>
          <w:sz w:val="24"/>
          <w:szCs w:val="24"/>
        </w:rPr>
        <w:t>i</w:t>
      </w:r>
      <w:r w:rsidRPr="003A72F5">
        <w:rPr>
          <w:rFonts w:ascii="Times New Roman" w:hAnsi="Times New Roman"/>
          <w:sz w:val="24"/>
          <w:szCs w:val="24"/>
        </w:rPr>
        <w:t xml:space="preserve">tion should be removed. They are working on different interconnection projects with neighboring countries. ACER noticed that </w:t>
      </w:r>
      <w:r w:rsidR="00165F2C">
        <w:rPr>
          <w:rFonts w:ascii="Times New Roman" w:hAnsi="Times New Roman"/>
          <w:sz w:val="24"/>
          <w:szCs w:val="24"/>
        </w:rPr>
        <w:t xml:space="preserve">according to the study </w:t>
      </w:r>
      <w:r w:rsidRPr="003A72F5">
        <w:rPr>
          <w:rFonts w:ascii="Times New Roman" w:hAnsi="Times New Roman"/>
          <w:sz w:val="24"/>
          <w:szCs w:val="24"/>
        </w:rPr>
        <w:t>their tariffs are not transparent while regulator considers them transparent because their pricing methodologies are published. At the moment</w:t>
      </w:r>
      <w:r w:rsidR="00325730">
        <w:rPr>
          <w:rFonts w:ascii="Times New Roman" w:hAnsi="Times New Roman"/>
          <w:sz w:val="24"/>
          <w:szCs w:val="24"/>
        </w:rPr>
        <w:t>,</w:t>
      </w:r>
      <w:r w:rsidRPr="003A72F5">
        <w:rPr>
          <w:rFonts w:ascii="Times New Roman" w:hAnsi="Times New Roman"/>
          <w:sz w:val="24"/>
          <w:szCs w:val="24"/>
        </w:rPr>
        <w:t xml:space="preserve"> in Romania</w:t>
      </w:r>
      <w:r w:rsidR="00325730">
        <w:rPr>
          <w:rFonts w:ascii="Times New Roman" w:hAnsi="Times New Roman"/>
          <w:sz w:val="24"/>
          <w:szCs w:val="24"/>
        </w:rPr>
        <w:t>,</w:t>
      </w:r>
      <w:r w:rsidRPr="003A72F5">
        <w:rPr>
          <w:rFonts w:ascii="Times New Roman" w:hAnsi="Times New Roman"/>
          <w:sz w:val="24"/>
          <w:szCs w:val="24"/>
        </w:rPr>
        <w:t xml:space="preserve"> all entry points have the same tariff and all the exit points have the same tariff.</w:t>
      </w:r>
    </w:p>
    <w:p w14:paraId="7FC319CC" w14:textId="77777777" w:rsidR="00B31114" w:rsidRPr="003A72F5" w:rsidRDefault="00B31114"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Bulgaria</w:t>
      </w:r>
      <w:r w:rsidR="00325730">
        <w:rPr>
          <w:rFonts w:ascii="Times New Roman" w:hAnsi="Times New Roman"/>
          <w:sz w:val="24"/>
          <w:szCs w:val="24"/>
        </w:rPr>
        <w:t>,</w:t>
      </w:r>
      <w:r w:rsidRPr="003A72F5">
        <w:rPr>
          <w:rFonts w:ascii="Times New Roman" w:hAnsi="Times New Roman"/>
          <w:sz w:val="24"/>
          <w:szCs w:val="24"/>
        </w:rPr>
        <w:t xml:space="preserve"> there is also no proper functioning VTP. TSO established VTP, but there is one dominant shipper. From 1</w:t>
      </w:r>
      <w:r w:rsidRPr="003A72F5">
        <w:rPr>
          <w:rFonts w:ascii="Times New Roman" w:hAnsi="Times New Roman"/>
          <w:sz w:val="24"/>
          <w:szCs w:val="24"/>
          <w:vertAlign w:val="superscript"/>
        </w:rPr>
        <w:t>st</w:t>
      </w:r>
      <w:r w:rsidR="00325730">
        <w:rPr>
          <w:rFonts w:ascii="Times New Roman" w:hAnsi="Times New Roman"/>
          <w:sz w:val="24"/>
          <w:szCs w:val="24"/>
        </w:rPr>
        <w:t xml:space="preserve"> of October 2017,</w:t>
      </w:r>
      <w:r w:rsidRPr="003A72F5">
        <w:rPr>
          <w:rFonts w:ascii="Times New Roman" w:hAnsi="Times New Roman"/>
          <w:sz w:val="24"/>
          <w:szCs w:val="24"/>
        </w:rPr>
        <w:t xml:space="preserve"> they applied entry-exit tariffs.  Their Energy L</w:t>
      </w:r>
      <w:r w:rsidR="00325730">
        <w:rPr>
          <w:rFonts w:ascii="Times New Roman" w:hAnsi="Times New Roman"/>
          <w:sz w:val="24"/>
          <w:szCs w:val="24"/>
        </w:rPr>
        <w:t>aw does not require licensing for</w:t>
      </w:r>
      <w:r w:rsidRPr="003A72F5">
        <w:rPr>
          <w:rFonts w:ascii="Times New Roman" w:hAnsi="Times New Roman"/>
          <w:sz w:val="24"/>
          <w:szCs w:val="24"/>
        </w:rPr>
        <w:t xml:space="preserve"> trading. Mark</w:t>
      </w:r>
      <w:r w:rsidR="00325730">
        <w:rPr>
          <w:rFonts w:ascii="Times New Roman" w:hAnsi="Times New Roman"/>
          <w:sz w:val="24"/>
          <w:szCs w:val="24"/>
        </w:rPr>
        <w:t>et concentration exists</w:t>
      </w:r>
      <w:r w:rsidRPr="003A72F5">
        <w:rPr>
          <w:rFonts w:ascii="Times New Roman" w:hAnsi="Times New Roman"/>
          <w:sz w:val="24"/>
          <w:szCs w:val="24"/>
        </w:rPr>
        <w:t xml:space="preserve"> since they have one dominant shipper with 97% of market supplied by one shipper with gas coming from Russia. They have just interruptible capacity at IP BG-EL because of long term contract with Ga</w:t>
      </w:r>
      <w:r w:rsidR="007443C7">
        <w:rPr>
          <w:rFonts w:ascii="Times New Roman" w:hAnsi="Times New Roman"/>
          <w:sz w:val="24"/>
          <w:szCs w:val="24"/>
        </w:rPr>
        <w:t>z</w:t>
      </w:r>
      <w:r w:rsidRPr="003A72F5">
        <w:rPr>
          <w:rFonts w:ascii="Times New Roman" w:hAnsi="Times New Roman"/>
          <w:sz w:val="24"/>
          <w:szCs w:val="24"/>
        </w:rPr>
        <w:t>prom. TSO is offering daily products from January 1</w:t>
      </w:r>
      <w:r w:rsidRPr="003A72F5">
        <w:rPr>
          <w:rFonts w:ascii="Times New Roman" w:hAnsi="Times New Roman"/>
          <w:sz w:val="24"/>
          <w:szCs w:val="24"/>
          <w:vertAlign w:val="superscript"/>
        </w:rPr>
        <w:t>st</w:t>
      </w:r>
      <w:r w:rsidRPr="003A72F5">
        <w:rPr>
          <w:rFonts w:ascii="Times New Roman" w:hAnsi="Times New Roman"/>
          <w:sz w:val="24"/>
          <w:szCs w:val="24"/>
        </w:rPr>
        <w:t xml:space="preserve"> 2018. Pricing methodologies are public.</w:t>
      </w:r>
    </w:p>
    <w:p w14:paraId="7AC1AC8E" w14:textId="77777777" w:rsidR="00B31114" w:rsidRPr="003A72F5" w:rsidRDefault="00B31114"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Greece</w:t>
      </w:r>
      <w:r w:rsidR="00325730">
        <w:rPr>
          <w:rFonts w:ascii="Times New Roman" w:hAnsi="Times New Roman"/>
          <w:sz w:val="24"/>
          <w:szCs w:val="24"/>
        </w:rPr>
        <w:t>,</w:t>
      </w:r>
      <w:r w:rsidRPr="003A72F5">
        <w:rPr>
          <w:rFonts w:ascii="Times New Roman" w:hAnsi="Times New Roman"/>
          <w:sz w:val="24"/>
          <w:szCs w:val="24"/>
        </w:rPr>
        <w:t xml:space="preserve"> they expect to have VTP in next a few moths. They have reve</w:t>
      </w:r>
      <w:r w:rsidR="00325730">
        <w:rPr>
          <w:rFonts w:ascii="Times New Roman" w:hAnsi="Times New Roman"/>
          <w:sz w:val="24"/>
          <w:szCs w:val="24"/>
        </w:rPr>
        <w:t>rse flow with Bulgaria but it has</w:t>
      </w:r>
      <w:r w:rsidRPr="003A72F5">
        <w:rPr>
          <w:rFonts w:ascii="Times New Roman" w:hAnsi="Times New Roman"/>
          <w:sz w:val="24"/>
          <w:szCs w:val="24"/>
        </w:rPr>
        <w:t xml:space="preserve"> not </w:t>
      </w:r>
      <w:r w:rsidR="00325730">
        <w:rPr>
          <w:rFonts w:ascii="Times New Roman" w:hAnsi="Times New Roman"/>
          <w:sz w:val="24"/>
          <w:szCs w:val="24"/>
        </w:rPr>
        <w:t xml:space="preserve">been </w:t>
      </w:r>
      <w:r w:rsidRPr="003A72F5">
        <w:rPr>
          <w:rFonts w:ascii="Times New Roman" w:hAnsi="Times New Roman"/>
          <w:sz w:val="24"/>
          <w:szCs w:val="24"/>
        </w:rPr>
        <w:t xml:space="preserve">booked yet. Tariff methodology is clear, been through public hearing, so they do not </w:t>
      </w:r>
      <w:r w:rsidRPr="003A72F5">
        <w:rPr>
          <w:rFonts w:ascii="Times New Roman" w:hAnsi="Times New Roman"/>
          <w:sz w:val="24"/>
          <w:szCs w:val="24"/>
        </w:rPr>
        <w:lastRenderedPageBreak/>
        <w:t xml:space="preserve">understand the comment from </w:t>
      </w:r>
      <w:r w:rsidR="007443C7">
        <w:rPr>
          <w:rFonts w:ascii="Times New Roman" w:hAnsi="Times New Roman"/>
          <w:sz w:val="24"/>
          <w:szCs w:val="24"/>
        </w:rPr>
        <w:t>the study</w:t>
      </w:r>
      <w:r w:rsidR="007443C7" w:rsidRPr="003A72F5">
        <w:rPr>
          <w:rFonts w:ascii="Times New Roman" w:hAnsi="Times New Roman"/>
          <w:sz w:val="24"/>
          <w:szCs w:val="24"/>
        </w:rPr>
        <w:t xml:space="preserve"> </w:t>
      </w:r>
      <w:r w:rsidRPr="003A72F5">
        <w:rPr>
          <w:rFonts w:ascii="Times New Roman" w:hAnsi="Times New Roman"/>
          <w:sz w:val="24"/>
          <w:szCs w:val="24"/>
        </w:rPr>
        <w:t xml:space="preserve">about lack of information about tariff methodology applied by the NRA. According to </w:t>
      </w:r>
      <w:r w:rsidR="00325730">
        <w:rPr>
          <w:rFonts w:ascii="Times New Roman" w:hAnsi="Times New Roman"/>
          <w:sz w:val="24"/>
          <w:szCs w:val="24"/>
        </w:rPr>
        <w:t xml:space="preserve">the </w:t>
      </w:r>
      <w:r w:rsidRPr="003A72F5">
        <w:rPr>
          <w:rFonts w:ascii="Times New Roman" w:hAnsi="Times New Roman"/>
          <w:sz w:val="24"/>
          <w:szCs w:val="24"/>
        </w:rPr>
        <w:t>Greek Law</w:t>
      </w:r>
      <w:r w:rsidR="00325730">
        <w:rPr>
          <w:rFonts w:ascii="Times New Roman" w:hAnsi="Times New Roman"/>
          <w:sz w:val="24"/>
          <w:szCs w:val="24"/>
        </w:rPr>
        <w:t>,</w:t>
      </w:r>
      <w:r w:rsidRPr="003A72F5">
        <w:rPr>
          <w:rFonts w:ascii="Times New Roman" w:hAnsi="Times New Roman"/>
          <w:sz w:val="24"/>
          <w:szCs w:val="24"/>
        </w:rPr>
        <w:t xml:space="preserve"> 75% of costs of LNG is socialized to network users so the rest 25% is not comparable with entry points from Turkey and Bulgaria. The usage of LNG was very low, less than 20%, but they </w:t>
      </w:r>
      <w:r w:rsidR="005C02A6">
        <w:rPr>
          <w:rFonts w:ascii="Times New Roman" w:hAnsi="Times New Roman"/>
          <w:sz w:val="24"/>
          <w:szCs w:val="24"/>
        </w:rPr>
        <w:t xml:space="preserve">will start </w:t>
      </w:r>
      <w:r w:rsidRPr="003A72F5">
        <w:rPr>
          <w:rFonts w:ascii="Times New Roman" w:hAnsi="Times New Roman"/>
          <w:sz w:val="24"/>
          <w:szCs w:val="24"/>
        </w:rPr>
        <w:t>building a new LNG terminal</w:t>
      </w:r>
      <w:r w:rsidR="005C02A6">
        <w:rPr>
          <w:rFonts w:ascii="Times New Roman" w:hAnsi="Times New Roman"/>
          <w:sz w:val="24"/>
          <w:szCs w:val="24"/>
        </w:rPr>
        <w:t xml:space="preserve"> in</w:t>
      </w:r>
      <w:r w:rsidRPr="003A72F5">
        <w:rPr>
          <w:rFonts w:ascii="Times New Roman" w:hAnsi="Times New Roman"/>
          <w:sz w:val="24"/>
          <w:szCs w:val="24"/>
        </w:rPr>
        <w:t xml:space="preserve"> 2018. </w:t>
      </w:r>
    </w:p>
    <w:p w14:paraId="7305B0C1" w14:textId="77777777" w:rsidR="00B31114" w:rsidRPr="003A72F5" w:rsidRDefault="00B31114"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Austria, transmission tariffs are above market spreads but they consider them</w:t>
      </w:r>
      <w:r w:rsidR="00325730">
        <w:rPr>
          <w:rFonts w:ascii="Times New Roman" w:hAnsi="Times New Roman"/>
          <w:sz w:val="24"/>
          <w:szCs w:val="24"/>
        </w:rPr>
        <w:t>selves</w:t>
      </w:r>
      <w:r w:rsidRPr="003A72F5">
        <w:rPr>
          <w:rFonts w:ascii="Times New Roman" w:hAnsi="Times New Roman"/>
          <w:sz w:val="24"/>
          <w:szCs w:val="24"/>
        </w:rPr>
        <w:t xml:space="preserve"> as not the only one</w:t>
      </w:r>
      <w:r w:rsidR="00325730">
        <w:rPr>
          <w:rFonts w:ascii="Times New Roman" w:hAnsi="Times New Roman"/>
          <w:sz w:val="24"/>
          <w:szCs w:val="24"/>
        </w:rPr>
        <w:t>s</w:t>
      </w:r>
      <w:r w:rsidRPr="003A72F5">
        <w:rPr>
          <w:rFonts w:ascii="Times New Roman" w:hAnsi="Times New Roman"/>
          <w:sz w:val="24"/>
          <w:szCs w:val="24"/>
        </w:rPr>
        <w:t xml:space="preserve"> with this situation. They expect to go through the topic of balancing in the future.  Transparency on tariff methodologies and consultation mechanism has to be enhanced, they hope they will oblige </w:t>
      </w:r>
      <w:r w:rsidR="00325730">
        <w:rPr>
          <w:rFonts w:ascii="Times New Roman" w:hAnsi="Times New Roman"/>
          <w:sz w:val="24"/>
          <w:szCs w:val="24"/>
        </w:rPr>
        <w:t xml:space="preserve">the TSO to reveal information. </w:t>
      </w:r>
      <w:r w:rsidRPr="003A72F5">
        <w:rPr>
          <w:rFonts w:ascii="Times New Roman" w:hAnsi="Times New Roman"/>
          <w:sz w:val="24"/>
          <w:szCs w:val="24"/>
        </w:rPr>
        <w:t>Heavy reporting obligation could be the case in Austria</w:t>
      </w:r>
      <w:r w:rsidR="00325730">
        <w:rPr>
          <w:rFonts w:ascii="Times New Roman" w:hAnsi="Times New Roman"/>
          <w:sz w:val="24"/>
          <w:szCs w:val="24"/>
        </w:rPr>
        <w:t>,</w:t>
      </w:r>
      <w:r w:rsidRPr="003A72F5">
        <w:rPr>
          <w:rFonts w:ascii="Times New Roman" w:hAnsi="Times New Roman"/>
          <w:sz w:val="24"/>
          <w:szCs w:val="24"/>
        </w:rPr>
        <w:t xml:space="preserve"> but the regulator did not make any further comments on it. </w:t>
      </w:r>
    </w:p>
    <w:p w14:paraId="3C5ACEFB" w14:textId="77777777" w:rsidR="00B31114" w:rsidRDefault="00B31114" w:rsidP="001D03F5">
      <w:pPr>
        <w:pStyle w:val="ListParagraph"/>
        <w:spacing w:before="0"/>
        <w:ind w:left="0"/>
        <w:contextualSpacing w:val="0"/>
        <w:rPr>
          <w:rFonts w:ascii="Times New Roman" w:hAnsi="Times New Roman"/>
          <w:sz w:val="24"/>
          <w:szCs w:val="24"/>
        </w:rPr>
      </w:pPr>
      <w:r w:rsidRPr="003A72F5">
        <w:rPr>
          <w:rFonts w:ascii="Times New Roman" w:hAnsi="Times New Roman"/>
          <w:sz w:val="24"/>
          <w:szCs w:val="24"/>
        </w:rPr>
        <w:t>In Italy</w:t>
      </w:r>
      <w:r w:rsidR="00325730">
        <w:rPr>
          <w:rFonts w:ascii="Times New Roman" w:hAnsi="Times New Roman"/>
          <w:sz w:val="24"/>
          <w:szCs w:val="24"/>
        </w:rPr>
        <w:t>,</w:t>
      </w:r>
      <w:r w:rsidRPr="003A72F5">
        <w:rPr>
          <w:rFonts w:ascii="Times New Roman" w:hAnsi="Times New Roman"/>
          <w:sz w:val="24"/>
          <w:szCs w:val="24"/>
        </w:rPr>
        <w:t xml:space="preserve"> they hope liquidity corridor to solve the issue of transmission tariffs higher than market spread. They have high storage obligations. Difficulties in license obtaining exist but they do not consider it a barrier, because if requests are fulfilled everyone gets </w:t>
      </w:r>
      <w:r w:rsidR="00325730">
        <w:rPr>
          <w:rFonts w:ascii="Times New Roman" w:hAnsi="Times New Roman"/>
          <w:sz w:val="24"/>
          <w:szCs w:val="24"/>
        </w:rPr>
        <w:t xml:space="preserve">a </w:t>
      </w:r>
      <w:r w:rsidRPr="003A72F5">
        <w:rPr>
          <w:rFonts w:ascii="Times New Roman" w:hAnsi="Times New Roman"/>
          <w:sz w:val="24"/>
          <w:szCs w:val="24"/>
        </w:rPr>
        <w:t>license and the conditions are the same for everyone.</w:t>
      </w:r>
    </w:p>
    <w:p w14:paraId="02C33832" w14:textId="77777777" w:rsidR="004079C9" w:rsidRPr="003A72F5" w:rsidRDefault="004079C9" w:rsidP="00D03ABB">
      <w:pPr>
        <w:pStyle w:val="ListParagraph"/>
        <w:ind w:left="0"/>
        <w:contextualSpacing w:val="0"/>
        <w:rPr>
          <w:rFonts w:ascii="Times New Roman" w:hAnsi="Times New Roman"/>
          <w:sz w:val="24"/>
          <w:szCs w:val="24"/>
        </w:rPr>
      </w:pPr>
    </w:p>
    <w:p w14:paraId="164F94CF" w14:textId="77777777" w:rsidR="00683F74" w:rsidRDefault="00683F74" w:rsidP="00683F74">
      <w:pPr>
        <w:rPr>
          <w:rFonts w:ascii="Times New Roman" w:hAnsi="Times New Roman"/>
          <w:b/>
          <w:sz w:val="24"/>
          <w:szCs w:val="24"/>
          <w:lang w:val="en-GB"/>
        </w:rPr>
      </w:pPr>
      <w:r w:rsidRPr="00EE6CF5">
        <w:rPr>
          <w:rFonts w:ascii="Times New Roman" w:hAnsi="Times New Roman"/>
          <w:b/>
          <w:sz w:val="24"/>
          <w:szCs w:val="24"/>
          <w:lang w:val="en-GB"/>
        </w:rPr>
        <w:t xml:space="preserve">3. </w:t>
      </w:r>
      <w:r>
        <w:rPr>
          <w:rFonts w:ascii="Times New Roman" w:hAnsi="Times New Roman"/>
          <w:b/>
          <w:sz w:val="24"/>
          <w:szCs w:val="24"/>
          <w:lang w:val="en-GB"/>
        </w:rPr>
        <w:t>Updates on Gas Regional Initiative developments</w:t>
      </w:r>
    </w:p>
    <w:p w14:paraId="060C76FD" w14:textId="77777777" w:rsidR="00683F74" w:rsidRDefault="00683F74" w:rsidP="00D52DA0">
      <w:pPr>
        <w:pStyle w:val="ListParagraph"/>
        <w:ind w:left="0"/>
        <w:contextualSpacing w:val="0"/>
        <w:rPr>
          <w:rFonts w:ascii="Times New Roman" w:hAnsi="Times New Roman"/>
          <w:b/>
          <w:sz w:val="24"/>
          <w:szCs w:val="24"/>
          <w:lang w:val="en-GB"/>
        </w:rPr>
      </w:pPr>
      <w:r w:rsidRPr="00F4632C">
        <w:rPr>
          <w:rFonts w:ascii="Times New Roman" w:hAnsi="Times New Roman"/>
          <w:b/>
          <w:sz w:val="24"/>
          <w:szCs w:val="24"/>
          <w:lang w:val="en-GB"/>
        </w:rPr>
        <w:t>3.</w:t>
      </w:r>
      <w:r>
        <w:rPr>
          <w:rFonts w:ascii="Times New Roman" w:hAnsi="Times New Roman"/>
          <w:b/>
          <w:sz w:val="24"/>
          <w:szCs w:val="24"/>
          <w:lang w:val="en-GB"/>
        </w:rPr>
        <w:t>1</w:t>
      </w:r>
      <w:r w:rsidRPr="00F4632C">
        <w:rPr>
          <w:rFonts w:ascii="Times New Roman" w:hAnsi="Times New Roman"/>
          <w:b/>
          <w:sz w:val="24"/>
          <w:szCs w:val="24"/>
          <w:lang w:val="en-GB"/>
        </w:rPr>
        <w:t xml:space="preserve">. </w:t>
      </w:r>
      <w:r>
        <w:rPr>
          <w:rFonts w:ascii="Times New Roman" w:hAnsi="Times New Roman"/>
          <w:b/>
          <w:sz w:val="24"/>
          <w:szCs w:val="24"/>
          <w:lang w:val="en-GB"/>
        </w:rPr>
        <w:t>Update on recent national issues – round table</w:t>
      </w:r>
    </w:p>
    <w:p w14:paraId="273D6B5A"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Greece has a new balancing platform.</w:t>
      </w:r>
    </w:p>
    <w:p w14:paraId="7A4C324F"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Poland</w:t>
      </w:r>
      <w:r w:rsidR="00325730">
        <w:rPr>
          <w:rFonts w:ascii="Times New Roman" w:hAnsi="Times New Roman"/>
          <w:sz w:val="24"/>
          <w:szCs w:val="24"/>
        </w:rPr>
        <w:t xml:space="preserve">, </w:t>
      </w:r>
      <w:r w:rsidRPr="004079C9">
        <w:rPr>
          <w:rFonts w:ascii="Times New Roman" w:hAnsi="Times New Roman"/>
          <w:sz w:val="24"/>
          <w:szCs w:val="24"/>
        </w:rPr>
        <w:t xml:space="preserve">abolishment of regulated </w:t>
      </w:r>
      <w:r w:rsidR="004079C9">
        <w:rPr>
          <w:rFonts w:ascii="Times New Roman" w:hAnsi="Times New Roman"/>
          <w:sz w:val="24"/>
          <w:szCs w:val="24"/>
        </w:rPr>
        <w:t xml:space="preserve">retail </w:t>
      </w:r>
      <w:r w:rsidRPr="004079C9">
        <w:rPr>
          <w:rFonts w:ascii="Times New Roman" w:hAnsi="Times New Roman"/>
          <w:sz w:val="24"/>
          <w:szCs w:val="24"/>
        </w:rPr>
        <w:t>tariffs</w:t>
      </w:r>
      <w:r w:rsidR="00325730">
        <w:rPr>
          <w:rFonts w:ascii="Times New Roman" w:hAnsi="Times New Roman"/>
          <w:sz w:val="24"/>
          <w:szCs w:val="24"/>
        </w:rPr>
        <w:t xml:space="preserve"> is introduced</w:t>
      </w:r>
      <w:r w:rsidRPr="004079C9">
        <w:rPr>
          <w:rFonts w:ascii="Times New Roman" w:hAnsi="Times New Roman"/>
          <w:sz w:val="24"/>
          <w:szCs w:val="24"/>
        </w:rPr>
        <w:t xml:space="preserve">, </w:t>
      </w:r>
      <w:r w:rsidR="007443C7">
        <w:rPr>
          <w:rFonts w:ascii="Times New Roman" w:hAnsi="Times New Roman"/>
          <w:sz w:val="24"/>
          <w:szCs w:val="24"/>
        </w:rPr>
        <w:t>except</w:t>
      </w:r>
      <w:r w:rsidR="007443C7" w:rsidRPr="004079C9">
        <w:rPr>
          <w:rFonts w:ascii="Times New Roman" w:hAnsi="Times New Roman"/>
          <w:sz w:val="24"/>
          <w:szCs w:val="24"/>
        </w:rPr>
        <w:t xml:space="preserve"> </w:t>
      </w:r>
      <w:r w:rsidRPr="004079C9">
        <w:rPr>
          <w:rFonts w:ascii="Times New Roman" w:hAnsi="Times New Roman"/>
          <w:sz w:val="24"/>
          <w:szCs w:val="24"/>
        </w:rPr>
        <w:t xml:space="preserve">for households. They performed this gradually. There is </w:t>
      </w:r>
      <w:r w:rsidR="00325730">
        <w:rPr>
          <w:rFonts w:ascii="Times New Roman" w:hAnsi="Times New Roman"/>
          <w:sz w:val="24"/>
          <w:szCs w:val="24"/>
        </w:rPr>
        <w:t xml:space="preserve">an </w:t>
      </w:r>
      <w:r w:rsidRPr="004079C9">
        <w:rPr>
          <w:rFonts w:ascii="Times New Roman" w:hAnsi="Times New Roman"/>
          <w:sz w:val="24"/>
          <w:szCs w:val="24"/>
        </w:rPr>
        <w:t xml:space="preserve">Open season procedure for Baltic project and the result is positive- they had economic test done by TSO with </w:t>
      </w:r>
      <w:r w:rsidR="00325730">
        <w:rPr>
          <w:rFonts w:ascii="Times New Roman" w:hAnsi="Times New Roman"/>
          <w:sz w:val="24"/>
          <w:szCs w:val="24"/>
        </w:rPr>
        <w:t xml:space="preserve">a </w:t>
      </w:r>
      <w:r w:rsidRPr="004079C9">
        <w:rPr>
          <w:rFonts w:ascii="Times New Roman" w:hAnsi="Times New Roman"/>
          <w:sz w:val="24"/>
          <w:szCs w:val="24"/>
        </w:rPr>
        <w:t>positive result.</w:t>
      </w:r>
    </w:p>
    <w:p w14:paraId="58330000"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FYR Macedonia</w:t>
      </w:r>
      <w:r w:rsidR="00325730">
        <w:rPr>
          <w:rFonts w:ascii="Times New Roman" w:hAnsi="Times New Roman"/>
          <w:sz w:val="24"/>
          <w:szCs w:val="24"/>
        </w:rPr>
        <w:t>,</w:t>
      </w:r>
      <w:r w:rsidRPr="004079C9">
        <w:rPr>
          <w:rFonts w:ascii="Times New Roman" w:hAnsi="Times New Roman"/>
          <w:sz w:val="24"/>
          <w:szCs w:val="24"/>
        </w:rPr>
        <w:t xml:space="preserve"> they are preparing new Energy Law to</w:t>
      </w:r>
      <w:r w:rsidR="00325730">
        <w:rPr>
          <w:rFonts w:ascii="Times New Roman" w:hAnsi="Times New Roman"/>
          <w:sz w:val="24"/>
          <w:szCs w:val="24"/>
        </w:rPr>
        <w:t xml:space="preserve"> implement the Third Energy P</w:t>
      </w:r>
      <w:r w:rsidR="004079C9">
        <w:rPr>
          <w:rFonts w:ascii="Times New Roman" w:hAnsi="Times New Roman"/>
          <w:sz w:val="24"/>
          <w:szCs w:val="24"/>
        </w:rPr>
        <w:t>ackage.</w:t>
      </w:r>
      <w:r w:rsidRPr="004079C9">
        <w:rPr>
          <w:rFonts w:ascii="Times New Roman" w:hAnsi="Times New Roman"/>
          <w:sz w:val="24"/>
          <w:szCs w:val="24"/>
        </w:rPr>
        <w:t xml:space="preserve"> </w:t>
      </w:r>
      <w:r w:rsidR="004079C9">
        <w:rPr>
          <w:rFonts w:ascii="Times New Roman" w:hAnsi="Times New Roman"/>
          <w:sz w:val="24"/>
          <w:szCs w:val="24"/>
        </w:rPr>
        <w:t>T</w:t>
      </w:r>
      <w:r w:rsidRPr="004079C9">
        <w:rPr>
          <w:rFonts w:ascii="Times New Roman" w:hAnsi="Times New Roman"/>
          <w:sz w:val="24"/>
          <w:szCs w:val="24"/>
        </w:rPr>
        <w:t xml:space="preserve">hey hope it will be </w:t>
      </w:r>
      <w:r w:rsidR="007443C7">
        <w:rPr>
          <w:rFonts w:ascii="Times New Roman" w:hAnsi="Times New Roman"/>
          <w:sz w:val="24"/>
          <w:szCs w:val="24"/>
        </w:rPr>
        <w:t>finalised</w:t>
      </w:r>
      <w:r w:rsidR="007443C7" w:rsidRPr="004079C9">
        <w:rPr>
          <w:rFonts w:ascii="Times New Roman" w:hAnsi="Times New Roman"/>
          <w:sz w:val="24"/>
          <w:szCs w:val="24"/>
        </w:rPr>
        <w:t xml:space="preserve"> </w:t>
      </w:r>
      <w:r w:rsidRPr="004079C9">
        <w:rPr>
          <w:rFonts w:ascii="Times New Roman" w:hAnsi="Times New Roman"/>
          <w:sz w:val="24"/>
          <w:szCs w:val="24"/>
        </w:rPr>
        <w:t xml:space="preserve">this year and next year they will prepare secondary legislation. </w:t>
      </w:r>
    </w:p>
    <w:p w14:paraId="3793F138"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Albania</w:t>
      </w:r>
      <w:r w:rsidR="00325730">
        <w:rPr>
          <w:rFonts w:ascii="Times New Roman" w:hAnsi="Times New Roman"/>
          <w:sz w:val="24"/>
          <w:szCs w:val="24"/>
        </w:rPr>
        <w:t>,</w:t>
      </w:r>
      <w:r w:rsidRPr="004079C9">
        <w:rPr>
          <w:rFonts w:ascii="Times New Roman" w:hAnsi="Times New Roman"/>
          <w:sz w:val="24"/>
          <w:szCs w:val="24"/>
        </w:rPr>
        <w:t xml:space="preserve"> there is no market. T</w:t>
      </w:r>
      <w:r w:rsidR="00325730">
        <w:rPr>
          <w:rFonts w:ascii="Times New Roman" w:hAnsi="Times New Roman"/>
          <w:sz w:val="24"/>
          <w:szCs w:val="24"/>
        </w:rPr>
        <w:t>hey approved tariff methodology</w:t>
      </w:r>
      <w:r w:rsidRPr="004079C9">
        <w:rPr>
          <w:rFonts w:ascii="Times New Roman" w:hAnsi="Times New Roman"/>
          <w:sz w:val="24"/>
          <w:szCs w:val="24"/>
        </w:rPr>
        <w:t xml:space="preserve"> and finished certification. They are working on TAP network code. </w:t>
      </w:r>
    </w:p>
    <w:p w14:paraId="4199B66E"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Slovenia</w:t>
      </w:r>
      <w:r w:rsidR="00325730">
        <w:rPr>
          <w:rFonts w:ascii="Times New Roman" w:hAnsi="Times New Roman"/>
          <w:sz w:val="24"/>
          <w:szCs w:val="24"/>
        </w:rPr>
        <w:t>,</w:t>
      </w:r>
      <w:r w:rsidRPr="004079C9">
        <w:rPr>
          <w:rFonts w:ascii="Times New Roman" w:hAnsi="Times New Roman"/>
          <w:sz w:val="24"/>
          <w:szCs w:val="24"/>
        </w:rPr>
        <w:t xml:space="preserve"> market is concentrated and small. They are conducting a study about </w:t>
      </w:r>
      <w:r w:rsidR="007443C7">
        <w:rPr>
          <w:rFonts w:ascii="Times New Roman" w:hAnsi="Times New Roman"/>
          <w:sz w:val="24"/>
          <w:szCs w:val="24"/>
        </w:rPr>
        <w:t>regional</w:t>
      </w:r>
      <w:r w:rsidR="007443C7" w:rsidRPr="004079C9">
        <w:rPr>
          <w:rFonts w:ascii="Times New Roman" w:hAnsi="Times New Roman"/>
          <w:sz w:val="24"/>
          <w:szCs w:val="24"/>
        </w:rPr>
        <w:t xml:space="preserve"> </w:t>
      </w:r>
      <w:r w:rsidRPr="004079C9">
        <w:rPr>
          <w:rFonts w:ascii="Times New Roman" w:hAnsi="Times New Roman"/>
          <w:sz w:val="24"/>
          <w:szCs w:val="24"/>
        </w:rPr>
        <w:t>market</w:t>
      </w:r>
      <w:r w:rsidR="007443C7">
        <w:rPr>
          <w:rFonts w:ascii="Times New Roman" w:hAnsi="Times New Roman"/>
          <w:sz w:val="24"/>
          <w:szCs w:val="24"/>
        </w:rPr>
        <w:t xml:space="preserve"> integration</w:t>
      </w:r>
      <w:r w:rsidRPr="004079C9">
        <w:rPr>
          <w:rFonts w:ascii="Times New Roman" w:hAnsi="Times New Roman"/>
          <w:sz w:val="24"/>
          <w:szCs w:val="24"/>
        </w:rPr>
        <w:t xml:space="preserve">. </w:t>
      </w:r>
    </w:p>
    <w:p w14:paraId="40F85F92"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 xml:space="preserve">In Serbia, TSOs of Serbia, Bulgaria, Romania and Hungary are discussing possible interconnections. </w:t>
      </w:r>
    </w:p>
    <w:p w14:paraId="13773411"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Hungary, there are negotiations considering RO-HU-AT project. For HU-SLO interconnector</w:t>
      </w:r>
      <w:r w:rsidR="00325730">
        <w:rPr>
          <w:rFonts w:ascii="Times New Roman" w:hAnsi="Times New Roman"/>
          <w:sz w:val="24"/>
          <w:szCs w:val="24"/>
        </w:rPr>
        <w:t>,</w:t>
      </w:r>
      <w:r w:rsidRPr="004079C9">
        <w:rPr>
          <w:rFonts w:ascii="Times New Roman" w:hAnsi="Times New Roman"/>
          <w:sz w:val="24"/>
          <w:szCs w:val="24"/>
        </w:rPr>
        <w:t xml:space="preserve"> there are ongoing negotiations between two TSOs. Regarding new SoS regulation</w:t>
      </w:r>
      <w:r w:rsidR="00325730">
        <w:rPr>
          <w:rFonts w:ascii="Times New Roman" w:hAnsi="Times New Roman"/>
          <w:sz w:val="24"/>
          <w:szCs w:val="24"/>
        </w:rPr>
        <w:t>,</w:t>
      </w:r>
      <w:r w:rsidRPr="004079C9">
        <w:rPr>
          <w:rFonts w:ascii="Times New Roman" w:hAnsi="Times New Roman"/>
          <w:sz w:val="24"/>
          <w:szCs w:val="24"/>
        </w:rPr>
        <w:t xml:space="preserve"> they are working </w:t>
      </w:r>
      <w:r w:rsidR="00325730">
        <w:rPr>
          <w:rFonts w:ascii="Times New Roman" w:hAnsi="Times New Roman"/>
          <w:sz w:val="24"/>
          <w:szCs w:val="24"/>
        </w:rPr>
        <w:t>on legislation amendments, Gas L</w:t>
      </w:r>
      <w:r w:rsidRPr="004079C9">
        <w:rPr>
          <w:rFonts w:ascii="Times New Roman" w:hAnsi="Times New Roman"/>
          <w:sz w:val="24"/>
          <w:szCs w:val="24"/>
        </w:rPr>
        <w:t xml:space="preserve">aw and other legislation. </w:t>
      </w:r>
    </w:p>
    <w:p w14:paraId="5F15235A" w14:textId="77777777" w:rsidR="00D52DA0" w:rsidRPr="004079C9" w:rsidRDefault="00325730" w:rsidP="001D03F5">
      <w:pPr>
        <w:pStyle w:val="ListParagraph"/>
        <w:spacing w:before="0"/>
        <w:ind w:left="0"/>
        <w:contextualSpacing w:val="0"/>
        <w:rPr>
          <w:rFonts w:ascii="Times New Roman" w:hAnsi="Times New Roman"/>
          <w:sz w:val="24"/>
          <w:szCs w:val="24"/>
        </w:rPr>
      </w:pPr>
      <w:r>
        <w:rPr>
          <w:rFonts w:ascii="Times New Roman" w:hAnsi="Times New Roman"/>
          <w:sz w:val="24"/>
          <w:szCs w:val="24"/>
        </w:rPr>
        <w:t>In Montenegro, new Energy L</w:t>
      </w:r>
      <w:r w:rsidR="00D52DA0" w:rsidRPr="004079C9">
        <w:rPr>
          <w:rFonts w:ascii="Times New Roman" w:hAnsi="Times New Roman"/>
          <w:sz w:val="24"/>
          <w:szCs w:val="24"/>
        </w:rPr>
        <w:t xml:space="preserve">aw was adopted in 2016, </w:t>
      </w:r>
      <w:r>
        <w:rPr>
          <w:rFonts w:ascii="Times New Roman" w:hAnsi="Times New Roman"/>
          <w:sz w:val="24"/>
          <w:szCs w:val="24"/>
        </w:rPr>
        <w:t xml:space="preserve">it </w:t>
      </w:r>
      <w:r w:rsidR="00D52DA0" w:rsidRPr="004079C9">
        <w:rPr>
          <w:rFonts w:ascii="Times New Roman" w:hAnsi="Times New Roman"/>
          <w:sz w:val="24"/>
          <w:szCs w:val="24"/>
        </w:rPr>
        <w:t xml:space="preserve">includes all </w:t>
      </w:r>
      <w:r>
        <w:rPr>
          <w:rFonts w:ascii="Times New Roman" w:hAnsi="Times New Roman"/>
          <w:sz w:val="24"/>
          <w:szCs w:val="24"/>
        </w:rPr>
        <w:t xml:space="preserve">the provisions </w:t>
      </w:r>
      <w:r w:rsidR="00D52DA0" w:rsidRPr="004079C9">
        <w:rPr>
          <w:rFonts w:ascii="Times New Roman" w:hAnsi="Times New Roman"/>
          <w:sz w:val="24"/>
          <w:szCs w:val="24"/>
        </w:rPr>
        <w:t xml:space="preserve">from </w:t>
      </w:r>
      <w:r>
        <w:rPr>
          <w:rFonts w:ascii="Times New Roman" w:hAnsi="Times New Roman"/>
          <w:sz w:val="24"/>
          <w:szCs w:val="24"/>
        </w:rPr>
        <w:t>the Third Energy P</w:t>
      </w:r>
      <w:r w:rsidR="00D52DA0" w:rsidRPr="004079C9">
        <w:rPr>
          <w:rFonts w:ascii="Times New Roman" w:hAnsi="Times New Roman"/>
          <w:sz w:val="24"/>
          <w:szCs w:val="24"/>
        </w:rPr>
        <w:t xml:space="preserve">ackage. They work on secondary legislation with consultants. </w:t>
      </w:r>
    </w:p>
    <w:p w14:paraId="48FA0FDB"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Romania</w:t>
      </w:r>
      <w:r w:rsidR="00325730">
        <w:rPr>
          <w:rFonts w:ascii="Times New Roman" w:hAnsi="Times New Roman"/>
          <w:sz w:val="24"/>
          <w:szCs w:val="24"/>
        </w:rPr>
        <w:t>,</w:t>
      </w:r>
      <w:r w:rsidRPr="004079C9">
        <w:rPr>
          <w:rFonts w:ascii="Times New Roman" w:hAnsi="Times New Roman"/>
          <w:sz w:val="24"/>
          <w:szCs w:val="24"/>
        </w:rPr>
        <w:t xml:space="preserve"> they are changing gas day in line with CAM NC, now it is from 6 to 6 clock and it was from 7 to 7. ANRE will set methodology for neutrality charges. </w:t>
      </w:r>
    </w:p>
    <w:p w14:paraId="3C3F2E6F" w14:textId="77777777" w:rsidR="00D52DA0" w:rsidRPr="004079C9" w:rsidRDefault="00D52DA0" w:rsidP="001D03F5">
      <w:pPr>
        <w:pStyle w:val="ListParagraph"/>
        <w:spacing w:before="0"/>
        <w:ind w:left="0"/>
        <w:contextualSpacing w:val="0"/>
        <w:rPr>
          <w:rFonts w:ascii="Times New Roman" w:hAnsi="Times New Roman"/>
          <w:sz w:val="24"/>
          <w:szCs w:val="24"/>
        </w:rPr>
      </w:pPr>
      <w:r w:rsidRPr="004079C9">
        <w:rPr>
          <w:rFonts w:ascii="Times New Roman" w:hAnsi="Times New Roman"/>
          <w:sz w:val="24"/>
          <w:szCs w:val="24"/>
        </w:rPr>
        <w:t>In Italy</w:t>
      </w:r>
      <w:r w:rsidR="00325730">
        <w:rPr>
          <w:rFonts w:ascii="Times New Roman" w:hAnsi="Times New Roman"/>
          <w:sz w:val="24"/>
          <w:szCs w:val="24"/>
        </w:rPr>
        <w:t>,</w:t>
      </w:r>
      <w:r w:rsidRPr="004079C9">
        <w:rPr>
          <w:rFonts w:ascii="Times New Roman" w:hAnsi="Times New Roman"/>
          <w:sz w:val="24"/>
          <w:szCs w:val="24"/>
        </w:rPr>
        <w:t xml:space="preserve"> for the first time Italian regulator will approve TYNDP, next month.</w:t>
      </w:r>
    </w:p>
    <w:p w14:paraId="17CB3D91" w14:textId="56926FAA" w:rsidR="00683F74" w:rsidRDefault="00D52DA0" w:rsidP="001D03F5">
      <w:pPr>
        <w:pStyle w:val="ListParagraph"/>
        <w:spacing w:before="0" w:after="120"/>
        <w:ind w:left="0"/>
        <w:contextualSpacing w:val="0"/>
        <w:rPr>
          <w:rFonts w:ascii="Times New Roman" w:hAnsi="Times New Roman"/>
          <w:b/>
          <w:sz w:val="24"/>
          <w:szCs w:val="24"/>
          <w:lang w:val="en-GB"/>
        </w:rPr>
      </w:pPr>
      <w:r w:rsidRPr="004079C9">
        <w:rPr>
          <w:rFonts w:ascii="Times New Roman" w:hAnsi="Times New Roman"/>
          <w:sz w:val="24"/>
          <w:szCs w:val="24"/>
        </w:rPr>
        <w:t>In Bulgaria</w:t>
      </w:r>
      <w:r w:rsidR="00325730">
        <w:rPr>
          <w:rFonts w:ascii="Times New Roman" w:hAnsi="Times New Roman"/>
          <w:sz w:val="24"/>
          <w:szCs w:val="24"/>
        </w:rPr>
        <w:t>,</w:t>
      </w:r>
      <w:r w:rsidRPr="004079C9">
        <w:rPr>
          <w:rFonts w:ascii="Times New Roman" w:hAnsi="Times New Roman"/>
          <w:sz w:val="24"/>
          <w:szCs w:val="24"/>
        </w:rPr>
        <w:t xml:space="preserve"> interconnection agreements were signed. </w:t>
      </w:r>
    </w:p>
    <w:p w14:paraId="6B058EFB" w14:textId="77777777" w:rsidR="00683F74" w:rsidRDefault="00683F74" w:rsidP="001D03F5">
      <w:pPr>
        <w:pStyle w:val="ListParagraph"/>
        <w:spacing w:after="120"/>
        <w:ind w:left="0"/>
        <w:rPr>
          <w:rFonts w:ascii="Times New Roman" w:hAnsi="Times New Roman"/>
          <w:b/>
          <w:sz w:val="24"/>
          <w:szCs w:val="24"/>
          <w:lang w:val="en-GB"/>
        </w:rPr>
      </w:pPr>
      <w:r w:rsidRPr="00F4632C">
        <w:rPr>
          <w:rFonts w:ascii="Times New Roman" w:hAnsi="Times New Roman"/>
          <w:b/>
          <w:sz w:val="24"/>
          <w:szCs w:val="24"/>
          <w:lang w:val="en-GB"/>
        </w:rPr>
        <w:t>3.</w:t>
      </w:r>
      <w:r>
        <w:rPr>
          <w:rFonts w:ascii="Times New Roman" w:hAnsi="Times New Roman"/>
          <w:b/>
          <w:sz w:val="24"/>
          <w:szCs w:val="24"/>
          <w:lang w:val="en-GB"/>
        </w:rPr>
        <w:t>2</w:t>
      </w:r>
      <w:r w:rsidRPr="00F4632C">
        <w:rPr>
          <w:rFonts w:ascii="Times New Roman" w:hAnsi="Times New Roman"/>
          <w:b/>
          <w:sz w:val="24"/>
          <w:szCs w:val="24"/>
          <w:lang w:val="en-GB"/>
        </w:rPr>
        <w:t xml:space="preserve">. </w:t>
      </w:r>
      <w:r>
        <w:rPr>
          <w:rFonts w:ascii="Times New Roman" w:hAnsi="Times New Roman"/>
          <w:b/>
          <w:sz w:val="24"/>
          <w:szCs w:val="24"/>
          <w:lang w:val="en-GB"/>
        </w:rPr>
        <w:t>GRI Co-Chairmanship</w:t>
      </w:r>
    </w:p>
    <w:p w14:paraId="4F4B32F0" w14:textId="77777777" w:rsidR="00153C63" w:rsidRPr="004079C9" w:rsidRDefault="00153C63" w:rsidP="00153C63">
      <w:pPr>
        <w:pStyle w:val="ListParagraph"/>
        <w:ind w:left="0"/>
        <w:contextualSpacing w:val="0"/>
        <w:rPr>
          <w:rFonts w:ascii="Times New Roman" w:hAnsi="Times New Roman"/>
          <w:sz w:val="24"/>
          <w:szCs w:val="24"/>
        </w:rPr>
      </w:pPr>
      <w:r w:rsidRPr="004079C9">
        <w:rPr>
          <w:rFonts w:ascii="Times New Roman" w:hAnsi="Times New Roman"/>
          <w:sz w:val="24"/>
          <w:szCs w:val="24"/>
        </w:rPr>
        <w:t>Hungarian representative proposed that Hungarian chairmanship could be overtaken by Czech colleagues. It was not confirmed because of Czech colleagues</w:t>
      </w:r>
      <w:r w:rsidR="00325730">
        <w:rPr>
          <w:rFonts w:ascii="Times New Roman" w:hAnsi="Times New Roman"/>
          <w:sz w:val="24"/>
          <w:szCs w:val="24"/>
        </w:rPr>
        <w:t>‘</w:t>
      </w:r>
      <w:r w:rsidRPr="004079C9">
        <w:rPr>
          <w:rFonts w:ascii="Times New Roman" w:hAnsi="Times New Roman"/>
          <w:sz w:val="24"/>
          <w:szCs w:val="24"/>
        </w:rPr>
        <w:t xml:space="preserve"> absence.</w:t>
      </w:r>
    </w:p>
    <w:p w14:paraId="12EDEF7E" w14:textId="77777777" w:rsidR="004079C9" w:rsidRDefault="004079C9" w:rsidP="00EE6CF5">
      <w:pPr>
        <w:rPr>
          <w:rFonts w:ascii="Times New Roman" w:hAnsi="Times New Roman"/>
          <w:b/>
          <w:sz w:val="24"/>
          <w:szCs w:val="24"/>
          <w:lang w:val="en-GB"/>
        </w:rPr>
      </w:pPr>
    </w:p>
    <w:p w14:paraId="4D096121" w14:textId="77777777" w:rsidR="00EE6CF5" w:rsidRDefault="00D52DA0" w:rsidP="005470AE">
      <w:pPr>
        <w:rPr>
          <w:rFonts w:ascii="Times New Roman" w:hAnsi="Times New Roman"/>
          <w:b/>
          <w:sz w:val="24"/>
          <w:szCs w:val="24"/>
          <w:lang w:val="en-GB"/>
        </w:rPr>
      </w:pPr>
      <w:r>
        <w:rPr>
          <w:rFonts w:ascii="Times New Roman" w:hAnsi="Times New Roman"/>
          <w:b/>
          <w:sz w:val="24"/>
          <w:szCs w:val="24"/>
          <w:lang w:val="en-GB"/>
        </w:rPr>
        <w:t>4</w:t>
      </w:r>
      <w:r w:rsidR="00EE6CF5" w:rsidRPr="00EE6CF5">
        <w:rPr>
          <w:rFonts w:ascii="Times New Roman" w:hAnsi="Times New Roman"/>
          <w:b/>
          <w:sz w:val="24"/>
          <w:szCs w:val="24"/>
          <w:lang w:val="en-GB"/>
        </w:rPr>
        <w:t>. GRI SSE Work Plan 2015-2018</w:t>
      </w:r>
    </w:p>
    <w:p w14:paraId="7BE01D34" w14:textId="77777777" w:rsidR="00CE1FE1" w:rsidRDefault="00D52DA0" w:rsidP="00CE1FE1">
      <w:pPr>
        <w:pStyle w:val="ListParagraph"/>
        <w:ind w:left="0"/>
        <w:rPr>
          <w:rFonts w:ascii="Times New Roman" w:hAnsi="Times New Roman"/>
          <w:b/>
          <w:sz w:val="24"/>
          <w:szCs w:val="24"/>
          <w:lang w:val="en-GB"/>
        </w:rPr>
      </w:pPr>
      <w:r>
        <w:rPr>
          <w:rFonts w:ascii="Times New Roman" w:hAnsi="Times New Roman"/>
          <w:b/>
          <w:sz w:val="24"/>
          <w:szCs w:val="24"/>
          <w:lang w:val="en-GB"/>
        </w:rPr>
        <w:t>4</w:t>
      </w:r>
      <w:r w:rsidR="00CE1FE1" w:rsidRPr="00F4632C">
        <w:rPr>
          <w:rFonts w:ascii="Times New Roman" w:hAnsi="Times New Roman"/>
          <w:b/>
          <w:sz w:val="24"/>
          <w:szCs w:val="24"/>
          <w:lang w:val="en-GB"/>
        </w:rPr>
        <w:t>.</w:t>
      </w:r>
      <w:r w:rsidR="00CE1FE1">
        <w:rPr>
          <w:rFonts w:ascii="Times New Roman" w:hAnsi="Times New Roman"/>
          <w:b/>
          <w:sz w:val="24"/>
          <w:szCs w:val="24"/>
          <w:lang w:val="en-GB"/>
        </w:rPr>
        <w:t>1</w:t>
      </w:r>
      <w:r w:rsidR="00CE1FE1" w:rsidRPr="00F4632C">
        <w:rPr>
          <w:rFonts w:ascii="Times New Roman" w:hAnsi="Times New Roman"/>
          <w:b/>
          <w:sz w:val="24"/>
          <w:szCs w:val="24"/>
          <w:lang w:val="en-GB"/>
        </w:rPr>
        <w:t>. ROHU</w:t>
      </w:r>
      <w:r w:rsidR="00CE1FE1">
        <w:rPr>
          <w:rFonts w:ascii="Times New Roman" w:hAnsi="Times New Roman"/>
          <w:b/>
          <w:sz w:val="24"/>
          <w:szCs w:val="24"/>
          <w:lang w:val="en-GB"/>
        </w:rPr>
        <w:t xml:space="preserve"> </w:t>
      </w:r>
      <w:r w:rsidR="00CE1FE1">
        <w:rPr>
          <w:rFonts w:ascii="Times New Roman" w:hAnsi="Times New Roman"/>
          <w:b/>
          <w:sz w:val="24"/>
          <w:szCs w:val="24"/>
          <w:lang w:val="sr-Latn-RS"/>
        </w:rPr>
        <w:t>– (</w:t>
      </w:r>
      <w:r w:rsidR="00CE1FE1" w:rsidRPr="00F4632C">
        <w:rPr>
          <w:rFonts w:ascii="Times New Roman" w:hAnsi="Times New Roman"/>
          <w:b/>
          <w:sz w:val="24"/>
          <w:szCs w:val="24"/>
          <w:lang w:val="en-GB"/>
        </w:rPr>
        <w:t>AT</w:t>
      </w:r>
      <w:r w:rsidR="00CE1FE1">
        <w:rPr>
          <w:rFonts w:ascii="Times New Roman" w:hAnsi="Times New Roman"/>
          <w:b/>
          <w:sz w:val="24"/>
          <w:szCs w:val="24"/>
          <w:lang w:val="en-GB"/>
        </w:rPr>
        <w:t>)</w:t>
      </w:r>
      <w:r w:rsidR="00CE1FE1" w:rsidRPr="00F4632C">
        <w:rPr>
          <w:rFonts w:ascii="Times New Roman" w:hAnsi="Times New Roman"/>
          <w:b/>
          <w:sz w:val="24"/>
          <w:szCs w:val="24"/>
          <w:lang w:val="en-GB"/>
        </w:rPr>
        <w:t xml:space="preserve"> incremental capacity</w:t>
      </w:r>
    </w:p>
    <w:p w14:paraId="7E56385A" w14:textId="0DABDFEE" w:rsidR="00FF2690" w:rsidRPr="00625C79" w:rsidRDefault="00FF2690" w:rsidP="00FF2690">
      <w:pPr>
        <w:pStyle w:val="ListParagraph"/>
        <w:ind w:left="0"/>
        <w:contextualSpacing w:val="0"/>
        <w:rPr>
          <w:rFonts w:ascii="Times New Roman" w:hAnsi="Times New Roman"/>
          <w:sz w:val="24"/>
          <w:szCs w:val="24"/>
          <w:lang w:val="en-US"/>
        </w:rPr>
      </w:pPr>
      <w:r w:rsidRPr="004079C9">
        <w:rPr>
          <w:rFonts w:ascii="Times New Roman" w:hAnsi="Times New Roman"/>
          <w:sz w:val="24"/>
          <w:szCs w:val="24"/>
          <w:lang w:val="en-GB"/>
        </w:rPr>
        <w:t>Mr. Ischia (E-Control) explained the current status of ROHU-(AT) project.</w:t>
      </w:r>
      <w:r w:rsidRPr="00625C79">
        <w:rPr>
          <w:rFonts w:ascii="Times New Roman" w:hAnsi="Times New Roman"/>
          <w:sz w:val="24"/>
          <w:szCs w:val="24"/>
          <w:lang w:val="en-US"/>
        </w:rPr>
        <w:t xml:space="preserve"> RO-HU, HU-AT and HU-SKAT project demand assessment performed in June 2017 showed that shippers still have interest to </w:t>
      </w:r>
      <w:r>
        <w:rPr>
          <w:rFonts w:ascii="Times New Roman" w:hAnsi="Times New Roman"/>
          <w:sz w:val="24"/>
          <w:szCs w:val="24"/>
          <w:lang w:val="en-US"/>
        </w:rPr>
        <w:t xml:space="preserve">ship </w:t>
      </w:r>
      <w:r w:rsidRPr="00625C79">
        <w:rPr>
          <w:rFonts w:ascii="Times New Roman" w:hAnsi="Times New Roman"/>
          <w:sz w:val="24"/>
          <w:szCs w:val="24"/>
          <w:lang w:val="en-US"/>
        </w:rPr>
        <w:t xml:space="preserve"> gas from RO to AT. </w:t>
      </w:r>
      <w:r>
        <w:rPr>
          <w:rFonts w:ascii="Times New Roman" w:hAnsi="Times New Roman"/>
          <w:sz w:val="24"/>
          <w:szCs w:val="24"/>
          <w:lang w:val="en-US"/>
        </w:rPr>
        <w:t>Whilst</w:t>
      </w:r>
      <w:r w:rsidRPr="00625C79">
        <w:rPr>
          <w:rFonts w:ascii="Times New Roman" w:hAnsi="Times New Roman"/>
          <w:sz w:val="24"/>
          <w:szCs w:val="24"/>
          <w:lang w:val="en-US"/>
        </w:rPr>
        <w:t xml:space="preserve"> </w:t>
      </w:r>
      <w:r>
        <w:rPr>
          <w:rFonts w:ascii="Times New Roman" w:hAnsi="Times New Roman"/>
          <w:sz w:val="24"/>
          <w:szCs w:val="24"/>
          <w:lang w:val="en-US"/>
        </w:rPr>
        <w:t xml:space="preserve">the </w:t>
      </w:r>
      <w:r w:rsidRPr="00625C79">
        <w:rPr>
          <w:rFonts w:ascii="Times New Roman" w:hAnsi="Times New Roman"/>
          <w:sz w:val="24"/>
          <w:szCs w:val="24"/>
          <w:lang w:val="en-US"/>
        </w:rPr>
        <w:t xml:space="preserve">project RO-HU-AT was stopped, NRAs of Hungary and Austria started </w:t>
      </w:r>
      <w:r>
        <w:rPr>
          <w:rFonts w:ascii="Times New Roman" w:hAnsi="Times New Roman"/>
          <w:sz w:val="24"/>
          <w:szCs w:val="24"/>
          <w:lang w:val="en-US"/>
        </w:rPr>
        <w:t xml:space="preserve">the </w:t>
      </w:r>
      <w:r w:rsidRPr="00625C79">
        <w:rPr>
          <w:rFonts w:ascii="Times New Roman" w:hAnsi="Times New Roman"/>
          <w:sz w:val="24"/>
          <w:szCs w:val="24"/>
          <w:lang w:val="en-US"/>
        </w:rPr>
        <w:t xml:space="preserve">incremental capacity procedure </w:t>
      </w:r>
      <w:r>
        <w:rPr>
          <w:rFonts w:ascii="Times New Roman" w:hAnsi="Times New Roman"/>
          <w:sz w:val="24"/>
          <w:szCs w:val="24"/>
          <w:lang w:val="en-US"/>
        </w:rPr>
        <w:t>according to the provisions foreseen in the CAM NC</w:t>
      </w:r>
      <w:r w:rsidRPr="00625C79">
        <w:rPr>
          <w:rFonts w:ascii="Times New Roman" w:hAnsi="Times New Roman"/>
          <w:sz w:val="24"/>
          <w:szCs w:val="24"/>
          <w:lang w:val="en-US"/>
        </w:rPr>
        <w:t xml:space="preserve">. </w:t>
      </w:r>
      <w:r>
        <w:rPr>
          <w:rFonts w:ascii="Times New Roman" w:hAnsi="Times New Roman"/>
          <w:sz w:val="24"/>
          <w:szCs w:val="24"/>
          <w:lang w:val="en-US"/>
        </w:rPr>
        <w:t xml:space="preserve">In addition, in Q4 2017 a demand assessment report showed market interest for gas flowing from HU through SK to AT. This route will be subject to an alternative allocation procedure whereas </w:t>
      </w:r>
      <w:r w:rsidRPr="00625C79">
        <w:rPr>
          <w:rFonts w:ascii="Times New Roman" w:hAnsi="Times New Roman"/>
          <w:sz w:val="24"/>
          <w:szCs w:val="24"/>
          <w:lang w:val="en-US"/>
        </w:rPr>
        <w:t xml:space="preserve">HU-AT </w:t>
      </w:r>
      <w:r w:rsidRPr="00625C79">
        <w:rPr>
          <w:rFonts w:ascii="Times New Roman" w:hAnsi="Times New Roman"/>
          <w:sz w:val="24"/>
          <w:szCs w:val="24"/>
          <w:lang w:val="en-US"/>
        </w:rPr>
        <w:lastRenderedPageBreak/>
        <w:t>is incremental capacity project.</w:t>
      </w:r>
      <w:r>
        <w:rPr>
          <w:rFonts w:ascii="Times New Roman" w:hAnsi="Times New Roman"/>
          <w:sz w:val="24"/>
          <w:szCs w:val="24"/>
          <w:lang w:val="en-US"/>
        </w:rPr>
        <w:t xml:space="preserve"> The t</w:t>
      </w:r>
      <w:r w:rsidRPr="00625C79">
        <w:rPr>
          <w:rFonts w:ascii="Times New Roman" w:hAnsi="Times New Roman"/>
          <w:sz w:val="24"/>
          <w:szCs w:val="24"/>
          <w:lang w:val="en-US"/>
        </w:rPr>
        <w:t>iming</w:t>
      </w:r>
      <w:r>
        <w:rPr>
          <w:rFonts w:ascii="Times New Roman" w:hAnsi="Times New Roman"/>
          <w:sz w:val="24"/>
          <w:szCs w:val="24"/>
          <w:lang w:val="en-US"/>
        </w:rPr>
        <w:t xml:space="preserve"> for both projects</w:t>
      </w:r>
      <w:r w:rsidRPr="00625C79">
        <w:rPr>
          <w:rFonts w:ascii="Times New Roman" w:hAnsi="Times New Roman"/>
          <w:sz w:val="24"/>
          <w:szCs w:val="24"/>
          <w:lang w:val="en-US"/>
        </w:rPr>
        <w:t xml:space="preserve"> should enable shippers to align their bookings with the results of ROHU OS</w:t>
      </w:r>
      <w:r>
        <w:rPr>
          <w:rFonts w:ascii="Times New Roman" w:hAnsi="Times New Roman"/>
          <w:sz w:val="24"/>
          <w:szCs w:val="24"/>
          <w:lang w:val="en-US"/>
        </w:rPr>
        <w:t xml:space="preserve">. </w:t>
      </w:r>
      <w:r w:rsidRPr="00625C79">
        <w:rPr>
          <w:rFonts w:ascii="Times New Roman" w:hAnsi="Times New Roman"/>
          <w:sz w:val="24"/>
          <w:szCs w:val="24"/>
          <w:lang w:val="en-US"/>
        </w:rPr>
        <w:t>.</w:t>
      </w:r>
    </w:p>
    <w:p w14:paraId="643C81BC" w14:textId="77777777" w:rsidR="00CE1FE1" w:rsidRDefault="00D52DA0" w:rsidP="005470AE">
      <w:pPr>
        <w:pStyle w:val="ListParagraph"/>
        <w:ind w:left="0"/>
        <w:contextualSpacing w:val="0"/>
        <w:rPr>
          <w:rFonts w:ascii="Times New Roman" w:hAnsi="Times New Roman"/>
          <w:b/>
          <w:sz w:val="24"/>
          <w:szCs w:val="24"/>
          <w:lang w:val="en-GB"/>
        </w:rPr>
      </w:pPr>
      <w:r>
        <w:rPr>
          <w:rFonts w:ascii="Times New Roman" w:hAnsi="Times New Roman"/>
          <w:b/>
          <w:sz w:val="24"/>
          <w:szCs w:val="24"/>
          <w:lang w:val="en-GB"/>
        </w:rPr>
        <w:t>4</w:t>
      </w:r>
      <w:r w:rsidR="00CE1FE1" w:rsidRPr="00F4632C">
        <w:rPr>
          <w:rFonts w:ascii="Times New Roman" w:hAnsi="Times New Roman"/>
          <w:b/>
          <w:sz w:val="24"/>
          <w:szCs w:val="24"/>
          <w:lang w:val="en-GB"/>
        </w:rPr>
        <w:t>.</w:t>
      </w:r>
      <w:r w:rsidR="00CE1FE1">
        <w:rPr>
          <w:rFonts w:ascii="Times New Roman" w:hAnsi="Times New Roman"/>
          <w:b/>
          <w:sz w:val="24"/>
          <w:szCs w:val="24"/>
          <w:lang w:val="en-GB"/>
        </w:rPr>
        <w:t>2. AT-CZ market integration</w:t>
      </w:r>
    </w:p>
    <w:p w14:paraId="69120713" w14:textId="77777777" w:rsidR="00FF2690" w:rsidRPr="00625C79" w:rsidRDefault="00FF2690" w:rsidP="00FF2690">
      <w:pPr>
        <w:pStyle w:val="ListParagraph"/>
        <w:spacing w:before="0" w:after="120"/>
        <w:ind w:left="0"/>
        <w:contextualSpacing w:val="0"/>
        <w:rPr>
          <w:rFonts w:ascii="Times New Roman" w:hAnsi="Times New Roman"/>
          <w:sz w:val="24"/>
          <w:szCs w:val="24"/>
          <w:lang w:val="en-US"/>
        </w:rPr>
      </w:pPr>
      <w:bookmarkStart w:id="0" w:name="_Hlk503794775"/>
      <w:r w:rsidRPr="00625C79">
        <w:rPr>
          <w:rFonts w:ascii="Times New Roman" w:hAnsi="Times New Roman"/>
          <w:sz w:val="24"/>
          <w:szCs w:val="24"/>
          <w:lang w:val="en-US"/>
        </w:rPr>
        <w:t xml:space="preserve">There is no IP between AT and CZ. Joint working group between ERÚ and E-Control and the TSOs (Net4Gas, GCA and TAG) was established in 2014, and they analyzed different market integration models. Trading region upgrade </w:t>
      </w:r>
      <w:r>
        <w:rPr>
          <w:rFonts w:ascii="Times New Roman" w:hAnsi="Times New Roman"/>
          <w:sz w:val="24"/>
          <w:szCs w:val="24"/>
          <w:lang w:val="en-US"/>
        </w:rPr>
        <w:t xml:space="preserve">is a </w:t>
      </w:r>
      <w:r w:rsidRPr="00625C79">
        <w:rPr>
          <w:rFonts w:ascii="Times New Roman" w:hAnsi="Times New Roman"/>
          <w:sz w:val="24"/>
          <w:szCs w:val="24"/>
          <w:lang w:val="en-US"/>
        </w:rPr>
        <w:t xml:space="preserve"> hub-to-hub</w:t>
      </w:r>
      <w:r w:rsidRPr="00625C79">
        <w:rPr>
          <w:rFonts w:ascii="Times New Roman" w:hAnsi="Times New Roman"/>
          <w:b/>
          <w:bCs/>
          <w:sz w:val="24"/>
          <w:szCs w:val="24"/>
          <w:lang w:val="en-US"/>
        </w:rPr>
        <w:t xml:space="preserve"> </w:t>
      </w:r>
      <w:r w:rsidRPr="00625C79">
        <w:rPr>
          <w:rFonts w:ascii="Times New Roman" w:hAnsi="Times New Roman"/>
          <w:bCs/>
          <w:sz w:val="24"/>
          <w:szCs w:val="24"/>
          <w:lang w:val="en-US"/>
        </w:rPr>
        <w:t>product</w:t>
      </w:r>
      <w:r w:rsidRPr="00625C79">
        <w:rPr>
          <w:rFonts w:ascii="Times New Roman" w:hAnsi="Times New Roman"/>
          <w:sz w:val="24"/>
          <w:szCs w:val="24"/>
          <w:lang w:val="en-US"/>
        </w:rPr>
        <w:t xml:space="preserve"> </w:t>
      </w:r>
      <w:r>
        <w:rPr>
          <w:rFonts w:ascii="Times New Roman" w:hAnsi="Times New Roman"/>
          <w:sz w:val="24"/>
          <w:szCs w:val="24"/>
          <w:lang w:val="en-US"/>
        </w:rPr>
        <w:t xml:space="preserve">offered by the TSOs as a </w:t>
      </w:r>
      <w:r w:rsidRPr="00625C79">
        <w:rPr>
          <w:rFonts w:ascii="Times New Roman" w:hAnsi="Times New Roman"/>
          <w:sz w:val="24"/>
          <w:szCs w:val="24"/>
          <w:lang w:val="en-US"/>
        </w:rPr>
        <w:t xml:space="preserve">service that entitles system users to nominations for exit from the Austrian eastern market area and immediate matching entry into the Czech market area and vice versa. Product offered would be yearly capacity and discussed start of service </w:t>
      </w:r>
      <w:r>
        <w:rPr>
          <w:rFonts w:ascii="Times New Roman" w:hAnsi="Times New Roman"/>
          <w:sz w:val="24"/>
          <w:szCs w:val="24"/>
          <w:lang w:val="en-US"/>
        </w:rPr>
        <w:t>presumably</w:t>
      </w:r>
      <w:r w:rsidRPr="00262F63">
        <w:rPr>
          <w:rFonts w:ascii="Times New Roman" w:hAnsi="Times New Roman"/>
          <w:sz w:val="24"/>
          <w:szCs w:val="24"/>
          <w:lang w:val="en-US"/>
        </w:rPr>
        <w:t xml:space="preserve"> </w:t>
      </w:r>
      <w:r>
        <w:rPr>
          <w:rFonts w:ascii="Times New Roman" w:hAnsi="Times New Roman"/>
          <w:sz w:val="24"/>
          <w:szCs w:val="24"/>
          <w:lang w:val="en-US"/>
        </w:rPr>
        <w:t>on 1 January</w:t>
      </w:r>
      <w:r w:rsidRPr="00625C79">
        <w:rPr>
          <w:rFonts w:ascii="Times New Roman" w:hAnsi="Times New Roman"/>
          <w:sz w:val="24"/>
          <w:szCs w:val="24"/>
          <w:lang w:val="en-US"/>
        </w:rPr>
        <w:t xml:space="preserve"> 2018. </w:t>
      </w:r>
      <w:r>
        <w:rPr>
          <w:rFonts w:ascii="Times New Roman" w:hAnsi="Times New Roman"/>
          <w:sz w:val="24"/>
          <w:szCs w:val="24"/>
          <w:lang w:val="en-US"/>
        </w:rPr>
        <w:t>A very l</w:t>
      </w:r>
      <w:r w:rsidRPr="00625C79">
        <w:rPr>
          <w:rFonts w:ascii="Times New Roman" w:hAnsi="Times New Roman"/>
          <w:sz w:val="24"/>
          <w:szCs w:val="24"/>
          <w:lang w:val="en-US"/>
        </w:rPr>
        <w:t xml:space="preserve">imited </w:t>
      </w:r>
      <w:r>
        <w:rPr>
          <w:rFonts w:ascii="Times New Roman" w:hAnsi="Times New Roman"/>
          <w:sz w:val="24"/>
          <w:szCs w:val="24"/>
          <w:lang w:val="en-US"/>
        </w:rPr>
        <w:t xml:space="preserve">amount of </w:t>
      </w:r>
      <w:r w:rsidRPr="00625C79">
        <w:rPr>
          <w:rFonts w:ascii="Times New Roman" w:hAnsi="Times New Roman"/>
          <w:sz w:val="24"/>
          <w:szCs w:val="24"/>
          <w:lang w:val="en-US"/>
        </w:rPr>
        <w:t>capacity</w:t>
      </w:r>
      <w:r>
        <w:rPr>
          <w:rFonts w:ascii="Times New Roman" w:hAnsi="Times New Roman"/>
          <w:sz w:val="24"/>
          <w:szCs w:val="24"/>
          <w:lang w:val="en-US"/>
        </w:rPr>
        <w:t xml:space="preserve"> of about 10.000 Nm3/h will be offered in both direction</w:t>
      </w:r>
      <w:r w:rsidRPr="00625C79">
        <w:rPr>
          <w:rFonts w:ascii="Times New Roman" w:hAnsi="Times New Roman"/>
          <w:sz w:val="24"/>
          <w:szCs w:val="24"/>
          <w:lang w:val="en-US"/>
        </w:rPr>
        <w:t>.</w:t>
      </w:r>
      <w:bookmarkEnd w:id="0"/>
    </w:p>
    <w:p w14:paraId="31BA77ED" w14:textId="77777777" w:rsidR="00D52DA0" w:rsidRDefault="00D52DA0" w:rsidP="005470AE">
      <w:pPr>
        <w:pStyle w:val="ListParagraph"/>
        <w:ind w:left="0"/>
        <w:contextualSpacing w:val="0"/>
        <w:rPr>
          <w:rFonts w:ascii="Times New Roman" w:hAnsi="Times New Roman"/>
          <w:b/>
          <w:sz w:val="24"/>
          <w:szCs w:val="24"/>
          <w:lang w:val="en-GB"/>
        </w:rPr>
      </w:pPr>
      <w:r>
        <w:rPr>
          <w:rFonts w:ascii="Times New Roman" w:hAnsi="Times New Roman"/>
          <w:b/>
          <w:sz w:val="24"/>
          <w:szCs w:val="24"/>
          <w:lang w:val="en-GB"/>
        </w:rPr>
        <w:t>4</w:t>
      </w:r>
      <w:r w:rsidRPr="00F4632C">
        <w:rPr>
          <w:rFonts w:ascii="Times New Roman" w:hAnsi="Times New Roman"/>
          <w:b/>
          <w:sz w:val="24"/>
          <w:szCs w:val="24"/>
          <w:lang w:val="en-GB"/>
        </w:rPr>
        <w:t>.</w:t>
      </w:r>
      <w:r>
        <w:rPr>
          <w:rFonts w:ascii="Times New Roman" w:hAnsi="Times New Roman"/>
          <w:b/>
          <w:sz w:val="24"/>
          <w:szCs w:val="24"/>
          <w:lang w:val="en-GB"/>
        </w:rPr>
        <w:t xml:space="preserve">3. </w:t>
      </w:r>
      <w:r w:rsidRPr="00172484">
        <w:rPr>
          <w:rFonts w:ascii="Times New Roman" w:hAnsi="Times New Roman"/>
          <w:b/>
          <w:sz w:val="24"/>
          <w:szCs w:val="24"/>
          <w:lang w:val="en-GB"/>
        </w:rPr>
        <w:t>Concept paper on Licensing</w:t>
      </w:r>
    </w:p>
    <w:p w14:paraId="5997883A" w14:textId="77777777" w:rsidR="00153C63" w:rsidRPr="004079C9" w:rsidRDefault="00153C63" w:rsidP="00153C63">
      <w:pPr>
        <w:pStyle w:val="ListParagraph"/>
        <w:ind w:left="0"/>
        <w:rPr>
          <w:rFonts w:ascii="Times New Roman" w:hAnsi="Times New Roman"/>
          <w:sz w:val="24"/>
          <w:szCs w:val="24"/>
        </w:rPr>
      </w:pPr>
      <w:r w:rsidRPr="004079C9">
        <w:rPr>
          <w:rFonts w:ascii="Times New Roman" w:hAnsi="Times New Roman"/>
          <w:sz w:val="24"/>
          <w:szCs w:val="24"/>
        </w:rPr>
        <w:t>Project was initially envisaged to be developed between V4 countries. Objectives of the project are to develop a proposal of minimum criteria that can be supported by all regulatory regimes in the field of natural gas wholesale trade licensing in the GRI SSE region. The aim of the project is to minimize administrative burdens to cross-border wholesale trade and maintain sufficient regulatory supervision for all concerned NRAs. Mutual recognition of licenses requires necessary amendments of legal background and there is no general solution for this amendment a</w:t>
      </w:r>
      <w:r w:rsidR="00E30569">
        <w:rPr>
          <w:rFonts w:ascii="Times New Roman" w:hAnsi="Times New Roman"/>
          <w:sz w:val="24"/>
          <w:szCs w:val="24"/>
        </w:rPr>
        <w:t xml:space="preserve">ctions because of </w:t>
      </w:r>
      <w:r w:rsidRPr="004079C9">
        <w:rPr>
          <w:rFonts w:ascii="Times New Roman" w:hAnsi="Times New Roman"/>
          <w:sz w:val="24"/>
          <w:szCs w:val="24"/>
        </w:rPr>
        <w:t>different regulatory regimes. NRAs are not in the position to amend the national Acts and Decrees because that is the task of the Ministries.</w:t>
      </w:r>
      <w:r w:rsidR="007443C7">
        <w:rPr>
          <w:rFonts w:ascii="Times New Roman" w:hAnsi="Times New Roman"/>
          <w:sz w:val="24"/>
          <w:szCs w:val="24"/>
        </w:rPr>
        <w:t xml:space="preserve"> Project will be continued in cooperation with the Energy Community Secretariat under the CESEC banner, thus involving ministries as well. </w:t>
      </w:r>
    </w:p>
    <w:p w14:paraId="25520C16" w14:textId="77777777" w:rsidR="00CE1FE1" w:rsidRDefault="00153C63" w:rsidP="005470AE">
      <w:pPr>
        <w:pStyle w:val="ListParagraph"/>
        <w:tabs>
          <w:tab w:val="num" w:pos="720"/>
        </w:tabs>
        <w:ind w:left="0"/>
        <w:contextualSpacing w:val="0"/>
        <w:rPr>
          <w:rFonts w:ascii="Times New Roman" w:hAnsi="Times New Roman"/>
          <w:b/>
          <w:sz w:val="24"/>
          <w:szCs w:val="24"/>
          <w:lang w:val="en-GB"/>
        </w:rPr>
      </w:pPr>
      <w:r>
        <w:rPr>
          <w:rFonts w:ascii="Times New Roman" w:hAnsi="Times New Roman"/>
          <w:b/>
          <w:sz w:val="24"/>
          <w:szCs w:val="24"/>
          <w:lang w:val="en-GB"/>
        </w:rPr>
        <w:t>4</w:t>
      </w:r>
      <w:r w:rsidR="00CE1FE1" w:rsidRPr="00EE6CF5">
        <w:rPr>
          <w:rFonts w:ascii="Times New Roman" w:hAnsi="Times New Roman"/>
          <w:b/>
          <w:sz w:val="24"/>
          <w:szCs w:val="24"/>
          <w:lang w:val="en-GB"/>
        </w:rPr>
        <w:t>.4. Bundling of capacity at BG-GR IP</w:t>
      </w:r>
    </w:p>
    <w:p w14:paraId="57A67ADD" w14:textId="77777777" w:rsidR="00153C63" w:rsidRPr="004079C9" w:rsidRDefault="00153C63" w:rsidP="00153C63">
      <w:pPr>
        <w:pStyle w:val="ListParagraph"/>
        <w:ind w:left="0"/>
        <w:rPr>
          <w:rFonts w:ascii="Times New Roman" w:hAnsi="Times New Roman"/>
          <w:sz w:val="24"/>
          <w:szCs w:val="24"/>
        </w:rPr>
      </w:pPr>
      <w:r w:rsidRPr="004079C9">
        <w:rPr>
          <w:rFonts w:ascii="Times New Roman" w:hAnsi="Times New Roman"/>
          <w:sz w:val="24"/>
          <w:szCs w:val="24"/>
        </w:rPr>
        <w:t>Two TSOs decided jointly to use RBP platform in 2016 and</w:t>
      </w:r>
      <w:r w:rsidR="00E30569">
        <w:rPr>
          <w:rFonts w:ascii="Times New Roman" w:hAnsi="Times New Roman"/>
          <w:sz w:val="24"/>
          <w:szCs w:val="24"/>
        </w:rPr>
        <w:t>,</w:t>
      </w:r>
      <w:r w:rsidRPr="004079C9">
        <w:rPr>
          <w:rFonts w:ascii="Times New Roman" w:hAnsi="Times New Roman"/>
          <w:sz w:val="24"/>
          <w:szCs w:val="24"/>
        </w:rPr>
        <w:t xml:space="preserve"> that same year</w:t>
      </w:r>
      <w:r w:rsidR="00E30569">
        <w:rPr>
          <w:rFonts w:ascii="Times New Roman" w:hAnsi="Times New Roman"/>
          <w:sz w:val="24"/>
          <w:szCs w:val="24"/>
        </w:rPr>
        <w:t>,</w:t>
      </w:r>
      <w:r w:rsidRPr="004079C9">
        <w:rPr>
          <w:rFonts w:ascii="Times New Roman" w:hAnsi="Times New Roman"/>
          <w:sz w:val="24"/>
          <w:szCs w:val="24"/>
        </w:rPr>
        <w:t xml:space="preserve"> first auctions took place. In 2017</w:t>
      </w:r>
      <w:r w:rsidR="00E30569">
        <w:rPr>
          <w:rFonts w:ascii="Times New Roman" w:hAnsi="Times New Roman"/>
          <w:sz w:val="24"/>
          <w:szCs w:val="24"/>
        </w:rPr>
        <w:t>,</w:t>
      </w:r>
      <w:r w:rsidRPr="004079C9">
        <w:rPr>
          <w:rFonts w:ascii="Times New Roman" w:hAnsi="Times New Roman"/>
          <w:sz w:val="24"/>
          <w:szCs w:val="24"/>
        </w:rPr>
        <w:t xml:space="preserve"> reverse flow was offered and </w:t>
      </w:r>
      <w:r w:rsidR="00E30569">
        <w:rPr>
          <w:rFonts w:ascii="Times New Roman" w:hAnsi="Times New Roman"/>
          <w:sz w:val="24"/>
          <w:szCs w:val="24"/>
        </w:rPr>
        <w:t xml:space="preserve">the </w:t>
      </w:r>
      <w:r w:rsidRPr="004079C9">
        <w:rPr>
          <w:rFonts w:ascii="Times New Roman" w:hAnsi="Times New Roman"/>
          <w:sz w:val="24"/>
          <w:szCs w:val="24"/>
        </w:rPr>
        <w:t xml:space="preserve">second version of IA was signed. DESFA is the responsible party for the operation of the measurement and flow control equipment. BULGARTRANSGAZ is the initiating TSO and DESFA is the matching TSO. Methodology for calculation of interruptible capacity is published at DESFA website. The issues that still have to be aligned between the two TSOs are joint dynamic recalculation of technical capacity, compatible congestion management procedures (on </w:t>
      </w:r>
      <w:r w:rsidR="00E30569">
        <w:rPr>
          <w:rFonts w:ascii="Times New Roman" w:hAnsi="Times New Roman"/>
          <w:sz w:val="24"/>
          <w:szCs w:val="24"/>
        </w:rPr>
        <w:t xml:space="preserve">the </w:t>
      </w:r>
      <w:r w:rsidRPr="004079C9">
        <w:rPr>
          <w:rFonts w:ascii="Times New Roman" w:hAnsi="Times New Roman"/>
          <w:sz w:val="24"/>
          <w:szCs w:val="24"/>
        </w:rPr>
        <w:t>Bulgarian side just FDA UIOLI) and issues regarding interruptible capacity products.</w:t>
      </w:r>
    </w:p>
    <w:p w14:paraId="28C44614" w14:textId="77777777" w:rsidR="00CE1FE1" w:rsidRPr="00EE6CF5" w:rsidRDefault="00153C63" w:rsidP="005470AE">
      <w:pPr>
        <w:rPr>
          <w:rFonts w:ascii="Times New Roman" w:hAnsi="Times New Roman"/>
          <w:b/>
          <w:sz w:val="24"/>
          <w:szCs w:val="24"/>
          <w:lang w:val="en-GB"/>
        </w:rPr>
      </w:pPr>
      <w:r>
        <w:rPr>
          <w:rFonts w:ascii="Times New Roman" w:hAnsi="Times New Roman"/>
          <w:b/>
          <w:sz w:val="24"/>
          <w:szCs w:val="24"/>
          <w:lang w:val="en-GB"/>
        </w:rPr>
        <w:t>4</w:t>
      </w:r>
      <w:r w:rsidR="00CE1FE1" w:rsidRPr="00EE6CF5">
        <w:rPr>
          <w:rFonts w:ascii="Times New Roman" w:hAnsi="Times New Roman"/>
          <w:b/>
          <w:sz w:val="24"/>
          <w:szCs w:val="24"/>
          <w:lang w:val="en-GB"/>
        </w:rPr>
        <w:t xml:space="preserve">.5. </w:t>
      </w:r>
      <w:r w:rsidR="00CE1FE1">
        <w:rPr>
          <w:rFonts w:ascii="Times New Roman" w:hAnsi="Times New Roman"/>
          <w:b/>
          <w:sz w:val="24"/>
          <w:szCs w:val="24"/>
          <w:lang w:val="en-GB"/>
        </w:rPr>
        <w:t xml:space="preserve">Survey </w:t>
      </w:r>
      <w:r w:rsidR="00CE1FE1">
        <w:rPr>
          <w:rFonts w:ascii="Times New Roman" w:hAnsi="Times New Roman"/>
          <w:b/>
          <w:sz w:val="24"/>
          <w:szCs w:val="24"/>
          <w:lang w:val="en-US"/>
        </w:rPr>
        <w:t>on storage and LNG</w:t>
      </w:r>
    </w:p>
    <w:p w14:paraId="6DB209E7" w14:textId="6460A91D" w:rsidR="00871E20" w:rsidRDefault="00C85B0F" w:rsidP="001D03F5">
      <w:pPr>
        <w:tabs>
          <w:tab w:val="num" w:pos="720"/>
        </w:tabs>
        <w:spacing w:before="0"/>
        <w:rPr>
          <w:rFonts w:ascii="Times New Roman" w:hAnsi="Times New Roman"/>
          <w:sz w:val="24"/>
          <w:szCs w:val="24"/>
          <w:lang w:val="en-US"/>
        </w:rPr>
      </w:pPr>
      <w:r w:rsidRPr="00262F63">
        <w:rPr>
          <w:rFonts w:ascii="Times New Roman" w:hAnsi="Times New Roman"/>
          <w:sz w:val="24"/>
          <w:szCs w:val="24"/>
          <w:lang w:val="en-US"/>
        </w:rPr>
        <w:t>Representatives of AEEGSI and E-control presented the content of</w:t>
      </w:r>
      <w:r>
        <w:rPr>
          <w:rFonts w:ascii="Times New Roman" w:hAnsi="Times New Roman"/>
          <w:sz w:val="24"/>
          <w:szCs w:val="24"/>
          <w:lang w:val="en-US"/>
        </w:rPr>
        <w:t xml:space="preserve"> the draft </w:t>
      </w:r>
      <w:r w:rsidRPr="00262F63">
        <w:rPr>
          <w:rFonts w:ascii="Times New Roman" w:hAnsi="Times New Roman"/>
          <w:sz w:val="24"/>
          <w:szCs w:val="24"/>
          <w:lang w:val="en-US"/>
        </w:rPr>
        <w:t xml:space="preserve">questionnaire </w:t>
      </w:r>
      <w:r>
        <w:rPr>
          <w:rFonts w:ascii="Times New Roman" w:hAnsi="Times New Roman"/>
          <w:sz w:val="24"/>
          <w:szCs w:val="24"/>
          <w:lang w:val="en-US"/>
        </w:rPr>
        <w:t xml:space="preserve">structure </w:t>
      </w:r>
      <w:r w:rsidRPr="00262F63">
        <w:rPr>
          <w:rFonts w:ascii="Times New Roman" w:hAnsi="Times New Roman"/>
          <w:sz w:val="24"/>
          <w:szCs w:val="24"/>
          <w:lang w:val="en-US"/>
        </w:rPr>
        <w:t xml:space="preserve">that refers to LNG </w:t>
      </w:r>
      <w:r>
        <w:rPr>
          <w:rFonts w:ascii="Times New Roman" w:hAnsi="Times New Roman"/>
          <w:sz w:val="24"/>
          <w:szCs w:val="24"/>
          <w:lang w:val="en-US"/>
        </w:rPr>
        <w:t xml:space="preserve">and storages </w:t>
      </w:r>
      <w:r w:rsidRPr="00262F63">
        <w:rPr>
          <w:rFonts w:ascii="Times New Roman" w:hAnsi="Times New Roman"/>
          <w:sz w:val="24"/>
          <w:szCs w:val="24"/>
          <w:lang w:val="en-US"/>
        </w:rPr>
        <w:t>infrastructure</w:t>
      </w:r>
      <w:r>
        <w:rPr>
          <w:rFonts w:ascii="Times New Roman" w:hAnsi="Times New Roman"/>
          <w:sz w:val="24"/>
          <w:szCs w:val="24"/>
          <w:lang w:val="en-US"/>
        </w:rPr>
        <w:t xml:space="preserve">, </w:t>
      </w:r>
      <w:r w:rsidRPr="00262F63">
        <w:rPr>
          <w:rFonts w:ascii="Times New Roman" w:hAnsi="Times New Roman"/>
          <w:sz w:val="24"/>
          <w:szCs w:val="24"/>
          <w:lang w:val="en-US"/>
        </w:rPr>
        <w:t xml:space="preserve">services and </w:t>
      </w:r>
      <w:r>
        <w:rPr>
          <w:rFonts w:ascii="Times New Roman" w:hAnsi="Times New Roman"/>
          <w:sz w:val="24"/>
          <w:szCs w:val="24"/>
          <w:lang w:val="en-US"/>
        </w:rPr>
        <w:t xml:space="preserve">tariffs. The goal is to carry out the survey during the first quarter of 2018 and to present the outcomes at the next GRI SSE meeting. </w:t>
      </w:r>
    </w:p>
    <w:p w14:paraId="7E6AEF32" w14:textId="77777777" w:rsidR="004344F8" w:rsidRDefault="004344F8" w:rsidP="00EE6CF5">
      <w:pPr>
        <w:tabs>
          <w:tab w:val="num" w:pos="720"/>
        </w:tabs>
        <w:rPr>
          <w:rFonts w:ascii="Times New Roman" w:hAnsi="Times New Roman"/>
          <w:sz w:val="24"/>
          <w:szCs w:val="24"/>
          <w:lang w:val="en-GB"/>
        </w:rPr>
      </w:pPr>
    </w:p>
    <w:p w14:paraId="6232C346" w14:textId="77777777" w:rsidR="00CE1FE1" w:rsidRPr="004079C9" w:rsidRDefault="00153C63" w:rsidP="00CE1FE1">
      <w:pPr>
        <w:rPr>
          <w:rFonts w:ascii="Times New Roman" w:hAnsi="Times New Roman"/>
          <w:b/>
          <w:sz w:val="24"/>
          <w:szCs w:val="24"/>
          <w:lang w:val="sr-Latn-RS"/>
        </w:rPr>
      </w:pPr>
      <w:r w:rsidRPr="004079C9">
        <w:rPr>
          <w:rFonts w:ascii="Times New Roman" w:hAnsi="Times New Roman"/>
          <w:b/>
          <w:sz w:val="24"/>
          <w:szCs w:val="24"/>
          <w:lang w:val="en-GB"/>
        </w:rPr>
        <w:t>5</w:t>
      </w:r>
      <w:r w:rsidR="00CE1FE1" w:rsidRPr="004079C9">
        <w:rPr>
          <w:rFonts w:ascii="Times New Roman" w:hAnsi="Times New Roman"/>
          <w:b/>
          <w:sz w:val="24"/>
          <w:szCs w:val="24"/>
          <w:lang w:val="en-GB"/>
        </w:rPr>
        <w:t>. Progress update</w:t>
      </w:r>
      <w:r w:rsidR="00CE1FE1" w:rsidRPr="004079C9">
        <w:rPr>
          <w:rFonts w:ascii="Times New Roman" w:hAnsi="Times New Roman"/>
          <w:b/>
          <w:sz w:val="24"/>
          <w:szCs w:val="24"/>
          <w:lang w:val="sr-Latn-RS"/>
        </w:rPr>
        <w:t>: BAL NC Implementation in GRI SSE</w:t>
      </w:r>
    </w:p>
    <w:p w14:paraId="507A450C" w14:textId="77777777" w:rsidR="00CE1FE1" w:rsidRPr="004079C9" w:rsidRDefault="00153C63" w:rsidP="004079C9">
      <w:pPr>
        <w:rPr>
          <w:rFonts w:ascii="Times New Roman" w:hAnsi="Times New Roman"/>
          <w:b/>
          <w:sz w:val="24"/>
          <w:szCs w:val="24"/>
          <w:lang w:val="en-GB"/>
        </w:rPr>
      </w:pPr>
      <w:r w:rsidRPr="004079C9">
        <w:rPr>
          <w:rFonts w:ascii="Times New Roman" w:hAnsi="Times New Roman"/>
          <w:b/>
          <w:sz w:val="24"/>
          <w:szCs w:val="24"/>
          <w:lang w:val="en-GB"/>
        </w:rPr>
        <w:t>5</w:t>
      </w:r>
      <w:r w:rsidR="00CE1FE1" w:rsidRPr="004079C9">
        <w:rPr>
          <w:rFonts w:ascii="Times New Roman" w:hAnsi="Times New Roman"/>
          <w:b/>
          <w:sz w:val="24"/>
          <w:szCs w:val="24"/>
          <w:lang w:val="en-GB"/>
        </w:rPr>
        <w:t>.1 Presentation of BAL Implementation Monitoring report</w:t>
      </w:r>
    </w:p>
    <w:p w14:paraId="7DB7B76B" w14:textId="77777777" w:rsidR="00153C63" w:rsidRPr="004079C9" w:rsidRDefault="00153C63" w:rsidP="00FD1EC3">
      <w:pPr>
        <w:pStyle w:val="ListParagraph"/>
        <w:spacing w:before="0"/>
        <w:ind w:left="0"/>
        <w:rPr>
          <w:rFonts w:ascii="Times New Roman" w:hAnsi="Times New Roman"/>
          <w:sz w:val="24"/>
          <w:szCs w:val="24"/>
        </w:rPr>
      </w:pPr>
      <w:r w:rsidRPr="004079C9">
        <w:rPr>
          <w:rFonts w:ascii="Times New Roman" w:hAnsi="Times New Roman"/>
          <w:sz w:val="24"/>
          <w:szCs w:val="24"/>
        </w:rPr>
        <w:t xml:space="preserve">Analysis was conducted on 7 balancing zones to see if balancing regimes are functioning effectively, given the local circumstances. Daily data collected covered TSO’s balancing activities (volumes and </w:t>
      </w:r>
      <w:r w:rsidR="004079C9">
        <w:rPr>
          <w:rFonts w:ascii="Times New Roman" w:hAnsi="Times New Roman"/>
          <w:sz w:val="24"/>
          <w:szCs w:val="24"/>
        </w:rPr>
        <w:t>prices), users</w:t>
      </w:r>
      <w:r w:rsidRPr="004079C9">
        <w:rPr>
          <w:rFonts w:ascii="Times New Roman" w:hAnsi="Times New Roman"/>
          <w:sz w:val="24"/>
          <w:szCs w:val="24"/>
        </w:rPr>
        <w:t xml:space="preserve"> imbalances (volumes and prices), volumes of daily opening linepack w</w:t>
      </w:r>
      <w:r w:rsidR="00E30569">
        <w:rPr>
          <w:rFonts w:ascii="Times New Roman" w:hAnsi="Times New Roman"/>
          <w:sz w:val="24"/>
          <w:szCs w:val="24"/>
        </w:rPr>
        <w:t>here available. Analysis of these</w:t>
      </w:r>
      <w:r w:rsidRPr="004079C9">
        <w:rPr>
          <w:rFonts w:ascii="Times New Roman" w:hAnsi="Times New Roman"/>
          <w:sz w:val="24"/>
          <w:szCs w:val="24"/>
        </w:rPr>
        <w:t xml:space="preserve"> data revealed neutrality quantities, cashflows and net positions, linepack changes against cumulated commercial imbalance position changes. This assessment carried out in 2017 showed improved compliance at regional level and only in few cases the implementation level was considered insufficient. </w:t>
      </w:r>
      <w:r w:rsidR="004079C9" w:rsidRPr="004079C9">
        <w:rPr>
          <w:rFonts w:ascii="Times New Roman" w:hAnsi="Times New Roman"/>
          <w:sz w:val="24"/>
          <w:szCs w:val="24"/>
        </w:rPr>
        <w:t xml:space="preserve">GRI </w:t>
      </w:r>
      <w:r w:rsidRPr="004079C9">
        <w:rPr>
          <w:rFonts w:ascii="Times New Roman" w:hAnsi="Times New Roman"/>
          <w:sz w:val="24"/>
          <w:szCs w:val="24"/>
        </w:rPr>
        <w:t>SSE countries assessments showed progress compared to 2016. While some countries still apply interim measures</w:t>
      </w:r>
      <w:r w:rsidR="00B065BF">
        <w:rPr>
          <w:rFonts w:ascii="Times New Roman" w:hAnsi="Times New Roman"/>
          <w:sz w:val="24"/>
          <w:szCs w:val="24"/>
        </w:rPr>
        <w:t>,</w:t>
      </w:r>
      <w:r w:rsidRPr="004079C9">
        <w:rPr>
          <w:rFonts w:ascii="Times New Roman" w:hAnsi="Times New Roman"/>
          <w:sz w:val="24"/>
          <w:szCs w:val="24"/>
        </w:rPr>
        <w:t xml:space="preserve"> there is a risk not to meet the legal deadline (April 2019) if functioning platforms do not start operations soon. </w:t>
      </w:r>
    </w:p>
    <w:p w14:paraId="0C0490D1" w14:textId="77777777" w:rsidR="00CE1FE1" w:rsidRPr="004079C9" w:rsidRDefault="00153C63" w:rsidP="00CE1FE1">
      <w:pPr>
        <w:rPr>
          <w:rFonts w:ascii="Times New Roman" w:hAnsi="Times New Roman"/>
          <w:b/>
          <w:sz w:val="24"/>
          <w:szCs w:val="24"/>
          <w:lang w:val="en-GB"/>
        </w:rPr>
      </w:pPr>
      <w:r w:rsidRPr="004079C9">
        <w:rPr>
          <w:rFonts w:ascii="Times New Roman" w:hAnsi="Times New Roman"/>
          <w:b/>
          <w:sz w:val="24"/>
          <w:szCs w:val="24"/>
          <w:lang w:val="en-GB"/>
        </w:rPr>
        <w:t>5</w:t>
      </w:r>
      <w:r w:rsidR="00CE1FE1" w:rsidRPr="004079C9">
        <w:rPr>
          <w:rFonts w:ascii="Times New Roman" w:hAnsi="Times New Roman"/>
          <w:b/>
          <w:sz w:val="24"/>
          <w:szCs w:val="24"/>
          <w:lang w:val="en-GB"/>
        </w:rPr>
        <w:t>.2 Reactions on BAL Implementation Monitoring report</w:t>
      </w:r>
    </w:p>
    <w:p w14:paraId="263448AA" w14:textId="77777777" w:rsidR="00871E20" w:rsidRDefault="001827C7" w:rsidP="00FD1EC3">
      <w:pPr>
        <w:spacing w:before="0"/>
        <w:rPr>
          <w:rFonts w:ascii="Times New Roman" w:hAnsi="Times New Roman"/>
          <w:sz w:val="24"/>
          <w:szCs w:val="24"/>
          <w:lang w:val="en-GB"/>
        </w:rPr>
      </w:pPr>
      <w:r w:rsidRPr="004079C9">
        <w:rPr>
          <w:rFonts w:ascii="Times New Roman" w:hAnsi="Times New Roman"/>
          <w:sz w:val="24"/>
          <w:szCs w:val="24"/>
          <w:lang w:val="en-GB"/>
        </w:rPr>
        <w:t xml:space="preserve">It is agreed </w:t>
      </w:r>
      <w:r w:rsidR="00B065BF">
        <w:rPr>
          <w:rFonts w:ascii="Times New Roman" w:hAnsi="Times New Roman"/>
          <w:sz w:val="24"/>
          <w:szCs w:val="24"/>
          <w:lang w:val="en-GB"/>
        </w:rPr>
        <w:t xml:space="preserve">that the </w:t>
      </w:r>
      <w:r w:rsidRPr="004079C9">
        <w:rPr>
          <w:rFonts w:ascii="Times New Roman" w:hAnsi="Times New Roman"/>
          <w:sz w:val="24"/>
          <w:szCs w:val="24"/>
          <w:lang w:val="en-GB"/>
        </w:rPr>
        <w:t>reactions on BAL Implementation Monitoring report will be reported from NRAs</w:t>
      </w:r>
      <w:r w:rsidR="00B065BF">
        <w:rPr>
          <w:rFonts w:ascii="Times New Roman" w:hAnsi="Times New Roman"/>
          <w:sz w:val="24"/>
          <w:szCs w:val="24"/>
          <w:lang w:val="en-GB"/>
        </w:rPr>
        <w:t xml:space="preserve"> during tomorrow GRI SSE SG meeting since this is </w:t>
      </w:r>
      <w:r w:rsidRPr="004079C9">
        <w:rPr>
          <w:rFonts w:ascii="Times New Roman" w:hAnsi="Times New Roman"/>
          <w:sz w:val="24"/>
          <w:szCs w:val="24"/>
          <w:lang w:val="en-GB"/>
        </w:rPr>
        <w:t>behind schedule.</w:t>
      </w:r>
    </w:p>
    <w:p w14:paraId="57D0C037" w14:textId="77777777" w:rsidR="004344F8" w:rsidRDefault="004344F8" w:rsidP="00FD1EC3">
      <w:pPr>
        <w:spacing w:before="0"/>
        <w:rPr>
          <w:rFonts w:ascii="Times New Roman" w:hAnsi="Times New Roman"/>
          <w:sz w:val="24"/>
          <w:szCs w:val="24"/>
          <w:lang w:val="en-GB"/>
        </w:rPr>
      </w:pPr>
    </w:p>
    <w:p w14:paraId="3ED47813" w14:textId="77777777" w:rsidR="00EE6CF5" w:rsidRPr="004079C9" w:rsidRDefault="00153C63" w:rsidP="00EE6CF5">
      <w:pPr>
        <w:rPr>
          <w:rFonts w:ascii="Times New Roman" w:hAnsi="Times New Roman"/>
          <w:b/>
          <w:sz w:val="24"/>
          <w:szCs w:val="24"/>
          <w:lang w:val="en-GB"/>
        </w:rPr>
      </w:pPr>
      <w:r w:rsidRPr="004079C9">
        <w:rPr>
          <w:rFonts w:ascii="Times New Roman" w:hAnsi="Times New Roman"/>
          <w:b/>
          <w:sz w:val="24"/>
          <w:szCs w:val="24"/>
          <w:lang w:val="en-GB"/>
        </w:rPr>
        <w:t>6</w:t>
      </w:r>
      <w:r w:rsidR="00EE6CF5" w:rsidRPr="004079C9">
        <w:rPr>
          <w:rFonts w:ascii="Times New Roman" w:hAnsi="Times New Roman"/>
          <w:b/>
          <w:sz w:val="24"/>
          <w:szCs w:val="24"/>
          <w:lang w:val="en-GB"/>
        </w:rPr>
        <w:t>. Overview of gas developments in the Energy Community</w:t>
      </w:r>
    </w:p>
    <w:p w14:paraId="780F5454" w14:textId="77777777" w:rsidR="00871E20" w:rsidRPr="004079C9" w:rsidRDefault="00EE6CF5" w:rsidP="00EE6CF5">
      <w:pPr>
        <w:rPr>
          <w:rFonts w:ascii="Times New Roman" w:hAnsi="Times New Roman"/>
          <w:sz w:val="24"/>
          <w:szCs w:val="24"/>
          <w:lang w:val="en-GB"/>
        </w:rPr>
      </w:pPr>
      <w:r w:rsidRPr="004079C9">
        <w:rPr>
          <w:rFonts w:ascii="Times New Roman" w:hAnsi="Times New Roman"/>
          <w:sz w:val="24"/>
          <w:szCs w:val="24"/>
          <w:lang w:val="en-GB"/>
        </w:rPr>
        <w:t>Being behind schedule</w:t>
      </w:r>
      <w:r w:rsidR="00B065BF">
        <w:rPr>
          <w:rFonts w:ascii="Times New Roman" w:hAnsi="Times New Roman"/>
          <w:sz w:val="24"/>
          <w:szCs w:val="24"/>
          <w:lang w:val="en-GB"/>
        </w:rPr>
        <w:t>,</w:t>
      </w:r>
      <w:r w:rsidRPr="004079C9">
        <w:rPr>
          <w:rFonts w:ascii="Times New Roman" w:hAnsi="Times New Roman"/>
          <w:sz w:val="24"/>
          <w:szCs w:val="24"/>
          <w:lang w:val="en-GB"/>
        </w:rPr>
        <w:t xml:space="preserve"> Ms. </w:t>
      </w:r>
      <w:proofErr w:type="spellStart"/>
      <w:r w:rsidR="00CE1FE1" w:rsidRPr="004079C9">
        <w:rPr>
          <w:rFonts w:ascii="Times New Roman" w:hAnsi="Times New Roman"/>
          <w:sz w:val="24"/>
          <w:szCs w:val="24"/>
          <w:lang w:val="en-GB"/>
        </w:rPr>
        <w:t>Grall</w:t>
      </w:r>
      <w:proofErr w:type="spellEnd"/>
      <w:r w:rsidR="00CE1FE1" w:rsidRPr="004079C9">
        <w:rPr>
          <w:rFonts w:ascii="Times New Roman" w:hAnsi="Times New Roman"/>
          <w:sz w:val="24"/>
          <w:szCs w:val="24"/>
          <w:lang w:val="en-GB"/>
        </w:rPr>
        <w:t xml:space="preserve"> </w:t>
      </w:r>
      <w:r w:rsidR="005470AE">
        <w:rPr>
          <w:rFonts w:ascii="Times New Roman" w:hAnsi="Times New Roman"/>
          <w:sz w:val="24"/>
          <w:szCs w:val="24"/>
          <w:lang w:val="en-GB"/>
        </w:rPr>
        <w:t xml:space="preserve">from </w:t>
      </w:r>
      <w:r w:rsidRPr="004079C9">
        <w:rPr>
          <w:rFonts w:ascii="Times New Roman" w:hAnsi="Times New Roman"/>
          <w:sz w:val="24"/>
          <w:szCs w:val="24"/>
          <w:lang w:val="en-GB"/>
        </w:rPr>
        <w:t>Energy Community</w:t>
      </w:r>
      <w:r w:rsidR="005470AE">
        <w:rPr>
          <w:rFonts w:ascii="Times New Roman" w:hAnsi="Times New Roman"/>
          <w:sz w:val="24"/>
          <w:szCs w:val="24"/>
          <w:lang w:val="en-GB"/>
        </w:rPr>
        <w:t xml:space="preserve"> Secretariat </w:t>
      </w:r>
      <w:r w:rsidRPr="004079C9">
        <w:rPr>
          <w:rFonts w:ascii="Times New Roman" w:hAnsi="Times New Roman"/>
          <w:sz w:val="24"/>
          <w:szCs w:val="24"/>
          <w:lang w:val="en-GB"/>
        </w:rPr>
        <w:t xml:space="preserve">offered that she will hold her presentation on the stakeholder group meeting the following day. </w:t>
      </w:r>
    </w:p>
    <w:p w14:paraId="7F231C23" w14:textId="77777777" w:rsidR="004079C9" w:rsidRDefault="004079C9" w:rsidP="00EE6CF5">
      <w:pPr>
        <w:rPr>
          <w:rFonts w:ascii="Times New Roman" w:hAnsi="Times New Roman"/>
          <w:b/>
          <w:sz w:val="24"/>
          <w:szCs w:val="24"/>
          <w:lang w:val="en-GB"/>
        </w:rPr>
      </w:pPr>
    </w:p>
    <w:p w14:paraId="00FB7436" w14:textId="77777777" w:rsidR="00EE6CF5" w:rsidRPr="004079C9" w:rsidRDefault="00153C63" w:rsidP="00EE6CF5">
      <w:pPr>
        <w:rPr>
          <w:rFonts w:ascii="Times New Roman" w:hAnsi="Times New Roman"/>
          <w:b/>
          <w:sz w:val="24"/>
          <w:szCs w:val="24"/>
          <w:lang w:val="en-GB"/>
        </w:rPr>
      </w:pPr>
      <w:r w:rsidRPr="004079C9">
        <w:rPr>
          <w:rFonts w:ascii="Times New Roman" w:hAnsi="Times New Roman"/>
          <w:b/>
          <w:sz w:val="24"/>
          <w:szCs w:val="24"/>
          <w:lang w:val="en-GB"/>
        </w:rPr>
        <w:t>7</w:t>
      </w:r>
      <w:r w:rsidR="00EE6CF5" w:rsidRPr="004079C9">
        <w:rPr>
          <w:rFonts w:ascii="Times New Roman" w:hAnsi="Times New Roman"/>
          <w:b/>
          <w:sz w:val="24"/>
          <w:szCs w:val="24"/>
          <w:lang w:val="en-GB"/>
        </w:rPr>
        <w:t>. AOB</w:t>
      </w:r>
    </w:p>
    <w:p w14:paraId="49A5FB15" w14:textId="77777777" w:rsidR="00EE6CF5" w:rsidRPr="004079C9" w:rsidRDefault="00CE1FE1" w:rsidP="00EE6CF5">
      <w:pPr>
        <w:rPr>
          <w:rFonts w:ascii="Times New Roman" w:hAnsi="Times New Roman"/>
          <w:sz w:val="24"/>
          <w:szCs w:val="24"/>
          <w:lang w:val="en-GB"/>
        </w:rPr>
      </w:pPr>
      <w:r w:rsidRPr="004079C9">
        <w:rPr>
          <w:rFonts w:ascii="Times New Roman" w:hAnsi="Times New Roman"/>
          <w:sz w:val="24"/>
          <w:szCs w:val="24"/>
          <w:lang w:val="en-GB"/>
        </w:rPr>
        <w:t xml:space="preserve">Mr. </w:t>
      </w:r>
      <w:r w:rsidR="00D4207C" w:rsidRPr="004079C9">
        <w:rPr>
          <w:rFonts w:ascii="Times New Roman" w:hAnsi="Times New Roman"/>
          <w:sz w:val="24"/>
          <w:szCs w:val="24"/>
          <w:lang w:val="en-GB"/>
        </w:rPr>
        <w:t>Kőrösi</w:t>
      </w:r>
      <w:r w:rsidR="001827C7" w:rsidRPr="004079C9">
        <w:rPr>
          <w:rFonts w:ascii="Times New Roman" w:hAnsi="Times New Roman"/>
          <w:sz w:val="24"/>
          <w:szCs w:val="24"/>
          <w:lang w:val="en-GB"/>
        </w:rPr>
        <w:t xml:space="preserve"> inform</w:t>
      </w:r>
      <w:r w:rsidR="00B065BF">
        <w:rPr>
          <w:rFonts w:ascii="Times New Roman" w:hAnsi="Times New Roman"/>
          <w:sz w:val="24"/>
          <w:szCs w:val="24"/>
          <w:lang w:val="en-GB"/>
        </w:rPr>
        <w:t>ed the</w:t>
      </w:r>
      <w:r w:rsidR="001827C7" w:rsidRPr="004079C9">
        <w:rPr>
          <w:rFonts w:ascii="Times New Roman" w:hAnsi="Times New Roman"/>
          <w:sz w:val="24"/>
          <w:szCs w:val="24"/>
          <w:lang w:val="en-GB"/>
        </w:rPr>
        <w:t xml:space="preserve"> meeting participants about his retirement</w:t>
      </w:r>
      <w:r w:rsidR="004079C9">
        <w:rPr>
          <w:rFonts w:ascii="Times New Roman" w:hAnsi="Times New Roman"/>
          <w:sz w:val="24"/>
          <w:szCs w:val="24"/>
          <w:lang w:val="en-GB"/>
        </w:rPr>
        <w:t xml:space="preserve"> at the end of this year.</w:t>
      </w:r>
      <w:r w:rsidR="001827C7" w:rsidRPr="004079C9">
        <w:rPr>
          <w:rFonts w:ascii="Times New Roman" w:hAnsi="Times New Roman"/>
          <w:sz w:val="24"/>
          <w:szCs w:val="24"/>
          <w:lang w:val="en-GB"/>
        </w:rPr>
        <w:t xml:space="preserve"> </w:t>
      </w:r>
      <w:r w:rsidR="004079C9">
        <w:rPr>
          <w:rFonts w:ascii="Times New Roman" w:hAnsi="Times New Roman"/>
          <w:sz w:val="24"/>
          <w:szCs w:val="24"/>
          <w:lang w:val="en-GB"/>
        </w:rPr>
        <w:t xml:space="preserve">He will be </w:t>
      </w:r>
      <w:r w:rsidR="004079C9" w:rsidRPr="004079C9">
        <w:rPr>
          <w:rFonts w:ascii="Times New Roman" w:hAnsi="Times New Roman"/>
          <w:sz w:val="24"/>
          <w:szCs w:val="24"/>
          <w:lang w:val="en-GB"/>
        </w:rPr>
        <w:t>active</w:t>
      </w:r>
      <w:r w:rsidR="001827C7" w:rsidRPr="004079C9">
        <w:rPr>
          <w:rFonts w:ascii="Times New Roman" w:hAnsi="Times New Roman"/>
          <w:sz w:val="24"/>
          <w:szCs w:val="24"/>
          <w:lang w:val="en-US"/>
        </w:rPr>
        <w:t xml:space="preserve"> only in natural gas SOS area as a consultant. Mr. </w:t>
      </w:r>
      <w:r w:rsidR="001827C7" w:rsidRPr="004079C9">
        <w:rPr>
          <w:rFonts w:ascii="Times New Roman" w:hAnsi="Times New Roman"/>
          <w:sz w:val="24"/>
          <w:szCs w:val="24"/>
        </w:rPr>
        <w:t xml:space="preserve">Hesseling thanks </w:t>
      </w:r>
      <w:r w:rsidR="001827C7" w:rsidRPr="004079C9">
        <w:rPr>
          <w:rFonts w:ascii="Times New Roman" w:hAnsi="Times New Roman"/>
          <w:sz w:val="24"/>
          <w:szCs w:val="24"/>
          <w:lang w:val="en-GB"/>
        </w:rPr>
        <w:t xml:space="preserve">Mr. Kőrösi for </w:t>
      </w:r>
      <w:r w:rsidR="00B065BF">
        <w:rPr>
          <w:rFonts w:ascii="Times New Roman" w:hAnsi="Times New Roman"/>
          <w:sz w:val="24"/>
          <w:szCs w:val="24"/>
          <w:lang w:val="en-GB"/>
        </w:rPr>
        <w:t>his</w:t>
      </w:r>
      <w:r w:rsidR="001827C7" w:rsidRPr="004079C9">
        <w:rPr>
          <w:rFonts w:ascii="Times New Roman" w:hAnsi="Times New Roman"/>
          <w:sz w:val="24"/>
          <w:szCs w:val="24"/>
          <w:lang w:val="en-GB"/>
        </w:rPr>
        <w:t xml:space="preserve"> previous work in GRI SSE.</w:t>
      </w:r>
      <w:r w:rsidR="001827C7" w:rsidRPr="004079C9">
        <w:rPr>
          <w:rFonts w:ascii="Times New Roman" w:hAnsi="Times New Roman"/>
          <w:sz w:val="24"/>
          <w:szCs w:val="24"/>
          <w:lang w:val="en-US"/>
        </w:rPr>
        <w:t xml:space="preserve">  </w:t>
      </w:r>
      <w:r w:rsidR="001827C7" w:rsidRPr="004079C9">
        <w:rPr>
          <w:rFonts w:ascii="Times New Roman" w:hAnsi="Times New Roman"/>
          <w:sz w:val="24"/>
          <w:szCs w:val="24"/>
          <w:lang w:val="en-GB"/>
        </w:rPr>
        <w:t xml:space="preserve"> </w:t>
      </w:r>
    </w:p>
    <w:p w14:paraId="7F9E28B2" w14:textId="77777777" w:rsidR="00871E20" w:rsidRPr="004079C9" w:rsidRDefault="00871E20" w:rsidP="00EE6CF5">
      <w:pPr>
        <w:rPr>
          <w:rFonts w:ascii="Times New Roman" w:hAnsi="Times New Roman"/>
          <w:sz w:val="24"/>
          <w:szCs w:val="24"/>
          <w:lang w:val="en-GB"/>
        </w:rPr>
      </w:pPr>
      <w:bookmarkStart w:id="1" w:name="_GoBack"/>
      <w:bookmarkEnd w:id="1"/>
    </w:p>
    <w:p w14:paraId="718C38AF" w14:textId="77777777" w:rsidR="00EE6CF5" w:rsidRPr="004079C9" w:rsidRDefault="00153C63" w:rsidP="00EE6CF5">
      <w:pPr>
        <w:rPr>
          <w:rFonts w:ascii="Times New Roman" w:hAnsi="Times New Roman"/>
          <w:b/>
          <w:sz w:val="24"/>
          <w:szCs w:val="24"/>
          <w:lang w:val="en-GB"/>
        </w:rPr>
      </w:pPr>
      <w:r w:rsidRPr="004079C9">
        <w:rPr>
          <w:rFonts w:ascii="Times New Roman" w:hAnsi="Times New Roman"/>
          <w:b/>
          <w:sz w:val="24"/>
          <w:szCs w:val="24"/>
          <w:lang w:val="en-GB"/>
        </w:rPr>
        <w:t>8</w:t>
      </w:r>
      <w:r w:rsidR="00EE6CF5" w:rsidRPr="004079C9">
        <w:rPr>
          <w:rFonts w:ascii="Times New Roman" w:hAnsi="Times New Roman"/>
          <w:b/>
          <w:sz w:val="24"/>
          <w:szCs w:val="24"/>
          <w:lang w:val="en-GB"/>
        </w:rPr>
        <w:t>. Next meetings</w:t>
      </w:r>
    </w:p>
    <w:p w14:paraId="2B6793E0" w14:textId="77777777" w:rsidR="00CE1FE1" w:rsidRPr="004079C9" w:rsidRDefault="00CE1FE1" w:rsidP="00CE1FE1">
      <w:pPr>
        <w:rPr>
          <w:rFonts w:ascii="Times New Roman" w:hAnsi="Times New Roman"/>
          <w:sz w:val="24"/>
          <w:szCs w:val="24"/>
          <w:lang w:val="en-GB"/>
        </w:rPr>
      </w:pPr>
      <w:r w:rsidRPr="004079C9">
        <w:rPr>
          <w:rFonts w:ascii="Times New Roman" w:hAnsi="Times New Roman"/>
          <w:sz w:val="24"/>
          <w:szCs w:val="24"/>
          <w:lang w:val="en-GB"/>
        </w:rPr>
        <w:t>The next meeting will be held in May 2017. Meeting place will be defined lately.</w:t>
      </w:r>
    </w:p>
    <w:p w14:paraId="3FA0CD6B" w14:textId="77777777" w:rsidR="00DD3B74" w:rsidRPr="00CA236C" w:rsidRDefault="00DD3B74" w:rsidP="00EE6CF5">
      <w:pPr>
        <w:rPr>
          <w:rFonts w:ascii="Times New Roman" w:hAnsi="Times New Roman"/>
          <w:lang w:val="en-GB"/>
        </w:rPr>
      </w:pPr>
    </w:p>
    <w:sectPr w:rsidR="00DD3B74" w:rsidRPr="00CA236C" w:rsidSect="00D006A4">
      <w:headerReference w:type="default" r:id="rId9"/>
      <w:type w:val="continuous"/>
      <w:pgSz w:w="11906" w:h="16838" w:code="9"/>
      <w:pgMar w:top="1418"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AC818" w14:textId="77777777" w:rsidR="002B4FDB" w:rsidRDefault="002B4FDB">
      <w:r>
        <w:separator/>
      </w:r>
    </w:p>
  </w:endnote>
  <w:endnote w:type="continuationSeparator" w:id="0">
    <w:p w14:paraId="722AE144" w14:textId="77777777" w:rsidR="002B4FDB" w:rsidRDefault="002B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59B7B" w14:textId="77777777" w:rsidR="002B4FDB" w:rsidRDefault="002B4FDB">
      <w:r>
        <w:separator/>
      </w:r>
    </w:p>
  </w:footnote>
  <w:footnote w:type="continuationSeparator" w:id="0">
    <w:p w14:paraId="4982672C" w14:textId="77777777" w:rsidR="002B4FDB" w:rsidRDefault="002B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53FE" w14:textId="77777777" w:rsidR="00D006A4" w:rsidRDefault="00D00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68015CE"/>
    <w:multiLevelType w:val="multilevel"/>
    <w:tmpl w:val="356A906E"/>
    <w:lvl w:ilvl="0">
      <w:start w:val="1"/>
      <w:numFmt w:val="decimal"/>
      <w:lvlText w:val="%1."/>
      <w:lvlJc w:val="left"/>
      <w:pPr>
        <w:ind w:left="360" w:hanging="360"/>
      </w:pPr>
      <w:rPr>
        <w:rFonts w:hint="default"/>
        <w:b/>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5" w15:restartNumberingAfterBreak="0">
    <w:nsid w:val="0D051EA2"/>
    <w:multiLevelType w:val="multilevel"/>
    <w:tmpl w:val="E2FA32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7140ED7"/>
    <w:multiLevelType w:val="multilevel"/>
    <w:tmpl w:val="0D8650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9"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2C59B2"/>
    <w:multiLevelType w:val="hybridMultilevel"/>
    <w:tmpl w:val="91F8397E"/>
    <w:lvl w:ilvl="0" w:tplc="F8DEEFB6">
      <w:start w:val="1"/>
      <w:numFmt w:val="decimal"/>
      <w:lvlText w:val="%1."/>
      <w:lvlJc w:val="left"/>
      <w:pPr>
        <w:tabs>
          <w:tab w:val="num" w:pos="720"/>
        </w:tabs>
        <w:ind w:left="504"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2"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4"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5"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A300F38"/>
    <w:multiLevelType w:val="hybridMultilevel"/>
    <w:tmpl w:val="2E84FA12"/>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7" w15:restartNumberingAfterBreak="0">
    <w:nsid w:val="3A6E47FD"/>
    <w:multiLevelType w:val="hybridMultilevel"/>
    <w:tmpl w:val="0216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0"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3"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5"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6"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21"/>
  </w:num>
  <w:num w:numId="2">
    <w:abstractNumId w:val="2"/>
  </w:num>
  <w:num w:numId="3">
    <w:abstractNumId w:val="24"/>
  </w:num>
  <w:num w:numId="4">
    <w:abstractNumId w:val="20"/>
  </w:num>
  <w:num w:numId="5">
    <w:abstractNumId w:val="4"/>
  </w:num>
  <w:num w:numId="6">
    <w:abstractNumId w:val="22"/>
  </w:num>
  <w:num w:numId="7">
    <w:abstractNumId w:val="15"/>
  </w:num>
  <w:num w:numId="8">
    <w:abstractNumId w:val="13"/>
  </w:num>
  <w:num w:numId="9">
    <w:abstractNumId w:val="1"/>
  </w:num>
  <w:num w:numId="10">
    <w:abstractNumId w:val="14"/>
  </w:num>
  <w:num w:numId="11">
    <w:abstractNumId w:val="6"/>
  </w:num>
  <w:num w:numId="12">
    <w:abstractNumId w:val="26"/>
  </w:num>
  <w:num w:numId="13">
    <w:abstractNumId w:val="8"/>
  </w:num>
  <w:num w:numId="14">
    <w:abstractNumId w:val="19"/>
  </w:num>
  <w:num w:numId="15">
    <w:abstractNumId w:val="11"/>
  </w:num>
  <w:num w:numId="16">
    <w:abstractNumId w:val="23"/>
  </w:num>
  <w:num w:numId="17">
    <w:abstractNumId w:val="0"/>
  </w:num>
  <w:num w:numId="18">
    <w:abstractNumId w:val="12"/>
  </w:num>
  <w:num w:numId="19">
    <w:abstractNumId w:val="9"/>
  </w:num>
  <w:num w:numId="20">
    <w:abstractNumId w:val="16"/>
  </w:num>
  <w:num w:numId="21">
    <w:abstractNumId w:val="25"/>
  </w:num>
  <w:num w:numId="22">
    <w:abstractNumId w:val="18"/>
  </w:num>
  <w:num w:numId="23">
    <w:abstractNumId w:val="10"/>
  </w:num>
  <w:num w:numId="24">
    <w:abstractNumId w:val="3"/>
  </w:num>
  <w:num w:numId="25">
    <w:abstractNumId w:val="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60E8"/>
    <w:rsid w:val="00031976"/>
    <w:rsid w:val="00075DDF"/>
    <w:rsid w:val="0009116E"/>
    <w:rsid w:val="000A10AA"/>
    <w:rsid w:val="000B1BC7"/>
    <w:rsid w:val="000C0C42"/>
    <w:rsid w:val="000C1080"/>
    <w:rsid w:val="000C1FB0"/>
    <w:rsid w:val="000D1C95"/>
    <w:rsid w:val="000D7F31"/>
    <w:rsid w:val="000E344E"/>
    <w:rsid w:val="000E6683"/>
    <w:rsid w:val="000E6849"/>
    <w:rsid w:val="000E6914"/>
    <w:rsid w:val="000F26E7"/>
    <w:rsid w:val="000F66B3"/>
    <w:rsid w:val="001156D7"/>
    <w:rsid w:val="00134B40"/>
    <w:rsid w:val="00135BE3"/>
    <w:rsid w:val="00137DBA"/>
    <w:rsid w:val="00142551"/>
    <w:rsid w:val="00150502"/>
    <w:rsid w:val="00153C63"/>
    <w:rsid w:val="001542EE"/>
    <w:rsid w:val="00155B8B"/>
    <w:rsid w:val="00156F6D"/>
    <w:rsid w:val="00157329"/>
    <w:rsid w:val="00165F2C"/>
    <w:rsid w:val="001722BE"/>
    <w:rsid w:val="00174CF5"/>
    <w:rsid w:val="001827C7"/>
    <w:rsid w:val="00192CCC"/>
    <w:rsid w:val="00194998"/>
    <w:rsid w:val="00197913"/>
    <w:rsid w:val="001A5A7A"/>
    <w:rsid w:val="001B0F8C"/>
    <w:rsid w:val="001C3913"/>
    <w:rsid w:val="001D03F5"/>
    <w:rsid w:val="001D1003"/>
    <w:rsid w:val="001D5402"/>
    <w:rsid w:val="001D765C"/>
    <w:rsid w:val="001D7D7B"/>
    <w:rsid w:val="001E00CB"/>
    <w:rsid w:val="001E5A08"/>
    <w:rsid w:val="001F0695"/>
    <w:rsid w:val="00200390"/>
    <w:rsid w:val="0020446E"/>
    <w:rsid w:val="00204FB4"/>
    <w:rsid w:val="00212BE9"/>
    <w:rsid w:val="0022105F"/>
    <w:rsid w:val="00231137"/>
    <w:rsid w:val="0023141E"/>
    <w:rsid w:val="00237112"/>
    <w:rsid w:val="002410FA"/>
    <w:rsid w:val="0025109A"/>
    <w:rsid w:val="00251DDE"/>
    <w:rsid w:val="00252CA9"/>
    <w:rsid w:val="00254754"/>
    <w:rsid w:val="002637CC"/>
    <w:rsid w:val="00267EC9"/>
    <w:rsid w:val="00272559"/>
    <w:rsid w:val="00276A4A"/>
    <w:rsid w:val="002827C7"/>
    <w:rsid w:val="002917D3"/>
    <w:rsid w:val="00291D22"/>
    <w:rsid w:val="002A3118"/>
    <w:rsid w:val="002B4060"/>
    <w:rsid w:val="002B4FDB"/>
    <w:rsid w:val="002C165E"/>
    <w:rsid w:val="002C19BF"/>
    <w:rsid w:val="002C22CD"/>
    <w:rsid w:val="002C22D7"/>
    <w:rsid w:val="002D0BDA"/>
    <w:rsid w:val="002E67C7"/>
    <w:rsid w:val="002F5882"/>
    <w:rsid w:val="002F69BC"/>
    <w:rsid w:val="002F7CA8"/>
    <w:rsid w:val="00312A67"/>
    <w:rsid w:val="00316DF9"/>
    <w:rsid w:val="00325730"/>
    <w:rsid w:val="00340B1B"/>
    <w:rsid w:val="00351DDA"/>
    <w:rsid w:val="003633A0"/>
    <w:rsid w:val="00383F48"/>
    <w:rsid w:val="00390601"/>
    <w:rsid w:val="00390FD5"/>
    <w:rsid w:val="003A2DDE"/>
    <w:rsid w:val="003A554C"/>
    <w:rsid w:val="003A72F5"/>
    <w:rsid w:val="003B6077"/>
    <w:rsid w:val="003C1C76"/>
    <w:rsid w:val="003C5256"/>
    <w:rsid w:val="003C5D3D"/>
    <w:rsid w:val="003E11C6"/>
    <w:rsid w:val="003E75EE"/>
    <w:rsid w:val="003F132D"/>
    <w:rsid w:val="003F545B"/>
    <w:rsid w:val="004028F6"/>
    <w:rsid w:val="00403E5C"/>
    <w:rsid w:val="004079C9"/>
    <w:rsid w:val="00413A11"/>
    <w:rsid w:val="00416AA0"/>
    <w:rsid w:val="00416F11"/>
    <w:rsid w:val="00426954"/>
    <w:rsid w:val="00432C72"/>
    <w:rsid w:val="004344F8"/>
    <w:rsid w:val="00443C6A"/>
    <w:rsid w:val="0045030E"/>
    <w:rsid w:val="004522F8"/>
    <w:rsid w:val="00467695"/>
    <w:rsid w:val="00470654"/>
    <w:rsid w:val="004750EC"/>
    <w:rsid w:val="00482651"/>
    <w:rsid w:val="004843A0"/>
    <w:rsid w:val="00486F12"/>
    <w:rsid w:val="00491350"/>
    <w:rsid w:val="004A1F4D"/>
    <w:rsid w:val="004A2DA3"/>
    <w:rsid w:val="004A48AF"/>
    <w:rsid w:val="004A66FB"/>
    <w:rsid w:val="004B2338"/>
    <w:rsid w:val="004B5ABF"/>
    <w:rsid w:val="004B6828"/>
    <w:rsid w:val="004D6BFF"/>
    <w:rsid w:val="004E16EB"/>
    <w:rsid w:val="004E374F"/>
    <w:rsid w:val="004E5732"/>
    <w:rsid w:val="004E62EA"/>
    <w:rsid w:val="004E6B39"/>
    <w:rsid w:val="004E7170"/>
    <w:rsid w:val="004F1C64"/>
    <w:rsid w:val="00500120"/>
    <w:rsid w:val="00500184"/>
    <w:rsid w:val="0050554E"/>
    <w:rsid w:val="00510B27"/>
    <w:rsid w:val="005132DD"/>
    <w:rsid w:val="0052576C"/>
    <w:rsid w:val="005470AE"/>
    <w:rsid w:val="00555EAE"/>
    <w:rsid w:val="00560659"/>
    <w:rsid w:val="0056455A"/>
    <w:rsid w:val="00566FBF"/>
    <w:rsid w:val="005930C5"/>
    <w:rsid w:val="00594AA6"/>
    <w:rsid w:val="00596434"/>
    <w:rsid w:val="005A048E"/>
    <w:rsid w:val="005A2D0B"/>
    <w:rsid w:val="005A32C1"/>
    <w:rsid w:val="005A50EE"/>
    <w:rsid w:val="005B31AC"/>
    <w:rsid w:val="005B51FB"/>
    <w:rsid w:val="005C02A6"/>
    <w:rsid w:val="005E4D70"/>
    <w:rsid w:val="005F32AE"/>
    <w:rsid w:val="005F4104"/>
    <w:rsid w:val="00601C76"/>
    <w:rsid w:val="00603A5A"/>
    <w:rsid w:val="0060435A"/>
    <w:rsid w:val="006050D5"/>
    <w:rsid w:val="0061143A"/>
    <w:rsid w:val="0061342B"/>
    <w:rsid w:val="00615122"/>
    <w:rsid w:val="00617D2B"/>
    <w:rsid w:val="00644DA7"/>
    <w:rsid w:val="00647AE1"/>
    <w:rsid w:val="006512FD"/>
    <w:rsid w:val="00661E58"/>
    <w:rsid w:val="00670A4C"/>
    <w:rsid w:val="00675A3C"/>
    <w:rsid w:val="00681405"/>
    <w:rsid w:val="00683F74"/>
    <w:rsid w:val="00685A7A"/>
    <w:rsid w:val="0069028F"/>
    <w:rsid w:val="00691539"/>
    <w:rsid w:val="00695D1B"/>
    <w:rsid w:val="006A4C7B"/>
    <w:rsid w:val="006A707A"/>
    <w:rsid w:val="006C1FCE"/>
    <w:rsid w:val="006C4019"/>
    <w:rsid w:val="006E7690"/>
    <w:rsid w:val="006F5E98"/>
    <w:rsid w:val="007032BB"/>
    <w:rsid w:val="00704D78"/>
    <w:rsid w:val="00713B7D"/>
    <w:rsid w:val="007157AB"/>
    <w:rsid w:val="00716827"/>
    <w:rsid w:val="00716B68"/>
    <w:rsid w:val="007225BC"/>
    <w:rsid w:val="00723599"/>
    <w:rsid w:val="00730847"/>
    <w:rsid w:val="00736389"/>
    <w:rsid w:val="00737279"/>
    <w:rsid w:val="0074031A"/>
    <w:rsid w:val="007443C7"/>
    <w:rsid w:val="00745091"/>
    <w:rsid w:val="00745975"/>
    <w:rsid w:val="00750F52"/>
    <w:rsid w:val="007527A7"/>
    <w:rsid w:val="007538FE"/>
    <w:rsid w:val="00755E1C"/>
    <w:rsid w:val="00760307"/>
    <w:rsid w:val="00767307"/>
    <w:rsid w:val="00767C96"/>
    <w:rsid w:val="007723F6"/>
    <w:rsid w:val="00781DBC"/>
    <w:rsid w:val="007825E3"/>
    <w:rsid w:val="00782AB2"/>
    <w:rsid w:val="00783149"/>
    <w:rsid w:val="00784804"/>
    <w:rsid w:val="007851BD"/>
    <w:rsid w:val="00786244"/>
    <w:rsid w:val="00791A8C"/>
    <w:rsid w:val="00793B1F"/>
    <w:rsid w:val="007964E8"/>
    <w:rsid w:val="007A4CFD"/>
    <w:rsid w:val="007A63E5"/>
    <w:rsid w:val="007A72E9"/>
    <w:rsid w:val="007B6618"/>
    <w:rsid w:val="007C5E23"/>
    <w:rsid w:val="007D701C"/>
    <w:rsid w:val="007E13B5"/>
    <w:rsid w:val="007E311E"/>
    <w:rsid w:val="007E5AF8"/>
    <w:rsid w:val="007F6B89"/>
    <w:rsid w:val="007F7C5C"/>
    <w:rsid w:val="00802D67"/>
    <w:rsid w:val="00806631"/>
    <w:rsid w:val="0081248E"/>
    <w:rsid w:val="00812CA3"/>
    <w:rsid w:val="00821C1D"/>
    <w:rsid w:val="00823F5E"/>
    <w:rsid w:val="00844D4C"/>
    <w:rsid w:val="008533FA"/>
    <w:rsid w:val="00856650"/>
    <w:rsid w:val="00864CD7"/>
    <w:rsid w:val="00865E87"/>
    <w:rsid w:val="00871E20"/>
    <w:rsid w:val="008761B0"/>
    <w:rsid w:val="00893DB4"/>
    <w:rsid w:val="00894374"/>
    <w:rsid w:val="008A31EE"/>
    <w:rsid w:val="008D7F75"/>
    <w:rsid w:val="008F6222"/>
    <w:rsid w:val="00911A70"/>
    <w:rsid w:val="00917518"/>
    <w:rsid w:val="00917679"/>
    <w:rsid w:val="00920D6A"/>
    <w:rsid w:val="009263E0"/>
    <w:rsid w:val="009278EE"/>
    <w:rsid w:val="00941F4A"/>
    <w:rsid w:val="009464C5"/>
    <w:rsid w:val="00962BDA"/>
    <w:rsid w:val="00985D5B"/>
    <w:rsid w:val="00995439"/>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23DA"/>
    <w:rsid w:val="00A43638"/>
    <w:rsid w:val="00A54216"/>
    <w:rsid w:val="00A7471A"/>
    <w:rsid w:val="00A8100D"/>
    <w:rsid w:val="00A82D7F"/>
    <w:rsid w:val="00A95F90"/>
    <w:rsid w:val="00AA0457"/>
    <w:rsid w:val="00AA1B98"/>
    <w:rsid w:val="00AA2E97"/>
    <w:rsid w:val="00AB1298"/>
    <w:rsid w:val="00AB2A00"/>
    <w:rsid w:val="00AB5EC1"/>
    <w:rsid w:val="00AB78C8"/>
    <w:rsid w:val="00AD02F8"/>
    <w:rsid w:val="00B0099E"/>
    <w:rsid w:val="00B01726"/>
    <w:rsid w:val="00B02520"/>
    <w:rsid w:val="00B062AA"/>
    <w:rsid w:val="00B065BF"/>
    <w:rsid w:val="00B143C5"/>
    <w:rsid w:val="00B174ED"/>
    <w:rsid w:val="00B20F88"/>
    <w:rsid w:val="00B21480"/>
    <w:rsid w:val="00B31114"/>
    <w:rsid w:val="00B32472"/>
    <w:rsid w:val="00B360CC"/>
    <w:rsid w:val="00B47DF2"/>
    <w:rsid w:val="00B57161"/>
    <w:rsid w:val="00B62E20"/>
    <w:rsid w:val="00B63484"/>
    <w:rsid w:val="00B653C4"/>
    <w:rsid w:val="00B81CA1"/>
    <w:rsid w:val="00BA2FB7"/>
    <w:rsid w:val="00BA5923"/>
    <w:rsid w:val="00BB1399"/>
    <w:rsid w:val="00BB452E"/>
    <w:rsid w:val="00BC163F"/>
    <w:rsid w:val="00BD0209"/>
    <w:rsid w:val="00BD39CF"/>
    <w:rsid w:val="00BD3B5C"/>
    <w:rsid w:val="00BD41D7"/>
    <w:rsid w:val="00BE1FFC"/>
    <w:rsid w:val="00BE43F3"/>
    <w:rsid w:val="00BF36CF"/>
    <w:rsid w:val="00BF5522"/>
    <w:rsid w:val="00C02535"/>
    <w:rsid w:val="00C06041"/>
    <w:rsid w:val="00C36DCA"/>
    <w:rsid w:val="00C42D74"/>
    <w:rsid w:val="00C46C62"/>
    <w:rsid w:val="00C53629"/>
    <w:rsid w:val="00C54703"/>
    <w:rsid w:val="00C56EA4"/>
    <w:rsid w:val="00C6009F"/>
    <w:rsid w:val="00C621BE"/>
    <w:rsid w:val="00C624AA"/>
    <w:rsid w:val="00C63D11"/>
    <w:rsid w:val="00C71AB3"/>
    <w:rsid w:val="00C72BF1"/>
    <w:rsid w:val="00C7759E"/>
    <w:rsid w:val="00C85B0F"/>
    <w:rsid w:val="00C8769D"/>
    <w:rsid w:val="00C9142D"/>
    <w:rsid w:val="00C91FEA"/>
    <w:rsid w:val="00CA236C"/>
    <w:rsid w:val="00CA7D2C"/>
    <w:rsid w:val="00CB04F0"/>
    <w:rsid w:val="00CB2216"/>
    <w:rsid w:val="00CB50FE"/>
    <w:rsid w:val="00CD146D"/>
    <w:rsid w:val="00CE1FE1"/>
    <w:rsid w:val="00CE74F6"/>
    <w:rsid w:val="00CF3484"/>
    <w:rsid w:val="00D006A4"/>
    <w:rsid w:val="00D03ABB"/>
    <w:rsid w:val="00D05C5D"/>
    <w:rsid w:val="00D17D5B"/>
    <w:rsid w:val="00D214CD"/>
    <w:rsid w:val="00D2611B"/>
    <w:rsid w:val="00D323C1"/>
    <w:rsid w:val="00D37AD8"/>
    <w:rsid w:val="00D4207C"/>
    <w:rsid w:val="00D447C0"/>
    <w:rsid w:val="00D461DC"/>
    <w:rsid w:val="00D52685"/>
    <w:rsid w:val="00D52DA0"/>
    <w:rsid w:val="00D55910"/>
    <w:rsid w:val="00D641D2"/>
    <w:rsid w:val="00D643AF"/>
    <w:rsid w:val="00D730FB"/>
    <w:rsid w:val="00D76227"/>
    <w:rsid w:val="00D76CD0"/>
    <w:rsid w:val="00D9014F"/>
    <w:rsid w:val="00D94831"/>
    <w:rsid w:val="00DB094D"/>
    <w:rsid w:val="00DD073A"/>
    <w:rsid w:val="00DD3B74"/>
    <w:rsid w:val="00DE4296"/>
    <w:rsid w:val="00DF4E93"/>
    <w:rsid w:val="00DF5CF3"/>
    <w:rsid w:val="00E02FCC"/>
    <w:rsid w:val="00E257E2"/>
    <w:rsid w:val="00E30569"/>
    <w:rsid w:val="00E30D06"/>
    <w:rsid w:val="00E407FD"/>
    <w:rsid w:val="00E51F2B"/>
    <w:rsid w:val="00E54F52"/>
    <w:rsid w:val="00EB186E"/>
    <w:rsid w:val="00EB520C"/>
    <w:rsid w:val="00EB73BB"/>
    <w:rsid w:val="00EB7ED1"/>
    <w:rsid w:val="00EC0815"/>
    <w:rsid w:val="00EC5953"/>
    <w:rsid w:val="00EC6617"/>
    <w:rsid w:val="00EC7440"/>
    <w:rsid w:val="00ED5D44"/>
    <w:rsid w:val="00ED6F22"/>
    <w:rsid w:val="00EE1E3A"/>
    <w:rsid w:val="00EE4A54"/>
    <w:rsid w:val="00EE6CE7"/>
    <w:rsid w:val="00EE6CF5"/>
    <w:rsid w:val="00EF0A33"/>
    <w:rsid w:val="00EF16CF"/>
    <w:rsid w:val="00EF57A1"/>
    <w:rsid w:val="00F008E3"/>
    <w:rsid w:val="00F028F2"/>
    <w:rsid w:val="00F11D87"/>
    <w:rsid w:val="00F12854"/>
    <w:rsid w:val="00F21EF1"/>
    <w:rsid w:val="00F23906"/>
    <w:rsid w:val="00F24ED9"/>
    <w:rsid w:val="00F25786"/>
    <w:rsid w:val="00F27EB0"/>
    <w:rsid w:val="00F35260"/>
    <w:rsid w:val="00F36B59"/>
    <w:rsid w:val="00F41A80"/>
    <w:rsid w:val="00F520D1"/>
    <w:rsid w:val="00F524DE"/>
    <w:rsid w:val="00F66E77"/>
    <w:rsid w:val="00F823E4"/>
    <w:rsid w:val="00F85891"/>
    <w:rsid w:val="00F85C43"/>
    <w:rsid w:val="00F870AB"/>
    <w:rsid w:val="00FA0B8E"/>
    <w:rsid w:val="00FA350E"/>
    <w:rsid w:val="00FA41F2"/>
    <w:rsid w:val="00FA4F20"/>
    <w:rsid w:val="00FB4D25"/>
    <w:rsid w:val="00FB5884"/>
    <w:rsid w:val="00FB5A5C"/>
    <w:rsid w:val="00FC42AF"/>
    <w:rsid w:val="00FD1EC3"/>
    <w:rsid w:val="00FF06FB"/>
    <w:rsid w:val="00FF2690"/>
    <w:rsid w:val="00FF34A3"/>
    <w:rsid w:val="00FF37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6DB16"/>
  <w15:chartTrackingRefBased/>
  <w15:docId w15:val="{75779D31-670C-420F-8135-7A657C12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3"/>
        <w:tab w:val="right" w:pos="8505"/>
      </w:tabs>
    </w:pPr>
  </w:style>
  <w:style w:type="paragraph" w:styleId="Header">
    <w:name w:val="header"/>
    <w:basedOn w:val="Normal"/>
    <w:link w:val="HeaderChar"/>
    <w:uiPriority w:val="99"/>
    <w:pPr>
      <w:tabs>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pPr>
      <w:spacing w:before="120"/>
      <w:jc w:val="both"/>
    </w:pPr>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paragraph" w:styleId="PlainText">
    <w:name w:val="Plain Text"/>
    <w:basedOn w:val="Normal"/>
    <w:link w:val="PlainTextChar"/>
    <w:uiPriority w:val="99"/>
    <w:unhideWhenUsed/>
    <w:rsid w:val="00BE43F3"/>
    <w:pPr>
      <w:spacing w:before="0"/>
      <w:jc w:val="left"/>
    </w:pPr>
    <w:rPr>
      <w:rFonts w:ascii="Calibri" w:eastAsia="Calibri" w:hAnsi="Calibri"/>
      <w:szCs w:val="21"/>
      <w:lang w:val="pl-PL" w:eastAsia="en-US"/>
    </w:rPr>
  </w:style>
  <w:style w:type="character" w:customStyle="1" w:styleId="PlainTextChar">
    <w:name w:val="Plain Text Char"/>
    <w:link w:val="PlainText"/>
    <w:uiPriority w:val="99"/>
    <w:rsid w:val="00BE43F3"/>
    <w:rPr>
      <w:rFonts w:ascii="Calibri" w:eastAsia="Calibri" w:hAnsi="Calibri"/>
      <w:sz w:val="22"/>
      <w:szCs w:val="21"/>
      <w:lang w:val="pl-PL" w:eastAsia="en-US"/>
    </w:rPr>
  </w:style>
  <w:style w:type="paragraph" w:styleId="ListParagraph">
    <w:name w:val="List Paragraph"/>
    <w:basedOn w:val="Normal"/>
    <w:uiPriority w:val="34"/>
    <w:qFormat/>
    <w:rsid w:val="00EE6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402871112">
      <w:bodyDiv w:val="1"/>
      <w:marLeft w:val="0"/>
      <w:marRight w:val="0"/>
      <w:marTop w:val="0"/>
      <w:marBottom w:val="0"/>
      <w:divBdr>
        <w:top w:val="none" w:sz="0" w:space="0" w:color="auto"/>
        <w:left w:val="none" w:sz="0" w:space="0" w:color="auto"/>
        <w:bottom w:val="none" w:sz="0" w:space="0" w:color="auto"/>
        <w:right w:val="none" w:sz="0" w:space="0" w:color="auto"/>
      </w:divBdr>
    </w:div>
    <w:div w:id="630089172">
      <w:bodyDiv w:val="1"/>
      <w:marLeft w:val="0"/>
      <w:marRight w:val="0"/>
      <w:marTop w:val="0"/>
      <w:marBottom w:val="0"/>
      <w:divBdr>
        <w:top w:val="none" w:sz="0" w:space="0" w:color="auto"/>
        <w:left w:val="none" w:sz="0" w:space="0" w:color="auto"/>
        <w:bottom w:val="none" w:sz="0" w:space="0" w:color="auto"/>
        <w:right w:val="none" w:sz="0" w:space="0" w:color="auto"/>
      </w:divBdr>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r.europa.eu/Events/32st-Regional-Coordination-Committee-RCC-Meeting/default.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959629f6-9180-4649-86c0-30df3e78ac81">32 GRI SSE RCCmeeting final minutes.docx</AcerDocumentName>
    <ACER_Abstract xmlns="985daa2e-53d8-4475-82b8-9c7d25324e34" xsi:nil="true"/>
    <_dlc_DocId xmlns="985daa2e-53d8-4475-82b8-9c7d25324e34">ACER-2018-79129</_dlc_DocId>
    <_dlc_DocIdUrl xmlns="985daa2e-53d8-4475-82b8-9c7d25324e34">
      <Url>https://extranet.acer.europa.eu/Events/24th-Stakeholder-Group-Meeting/_layouts/15/DocIdRedir.aspx?ID=ACER-2018-79129</Url>
      <Description>ACER-2018-79129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8973875537543819112427E463607" ma:contentTypeVersion="20" ma:contentTypeDescription="Create a new document." ma:contentTypeScope="" ma:versionID="d80016635259354a3eaf806eb4d09c5e">
  <xsd:schema xmlns:xsd="http://www.w3.org/2001/XMLSchema" xmlns:xs="http://www.w3.org/2001/XMLSchema" xmlns:p="http://schemas.microsoft.com/office/2006/metadata/properties" xmlns:ns2="985daa2e-53d8-4475-82b8-9c7d25324e34" xmlns:ns3="959629f6-9180-4649-86c0-30df3e78ac81" targetNamespace="http://schemas.microsoft.com/office/2006/metadata/properties" ma:root="true" ma:fieldsID="4092f31a6356d37cdc8a95c017d03a1e" ns2:_="" ns3:_="">
    <xsd:import namespace="985daa2e-53d8-4475-82b8-9c7d25324e34"/>
    <xsd:import namespace="959629f6-9180-4649-86c0-30df3e78ac8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629f6-9180-4649-86c0-30df3e78ac8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91651-02B3-4726-9081-9231093BB03B}"/>
</file>

<file path=customXml/itemProps2.xml><?xml version="1.0" encoding="utf-8"?>
<ds:datastoreItem xmlns:ds="http://schemas.openxmlformats.org/officeDocument/2006/customXml" ds:itemID="{B7B0FCE1-2465-4104-B640-98FF9AE94C26}"/>
</file>

<file path=customXml/itemProps3.xml><?xml version="1.0" encoding="utf-8"?>
<ds:datastoreItem xmlns:ds="http://schemas.openxmlformats.org/officeDocument/2006/customXml" ds:itemID="{FCDCA207-0184-41AB-AD2B-21ADDBA31FD0}"/>
</file>

<file path=customXml/itemProps4.xml><?xml version="1.0" encoding="utf-8"?>
<ds:datastoreItem xmlns:ds="http://schemas.openxmlformats.org/officeDocument/2006/customXml" ds:itemID="{C0D4F43A-F554-4A10-A644-F73166A1806A}"/>
</file>

<file path=customXml/itemProps5.xml><?xml version="1.0" encoding="utf-8"?>
<ds:datastoreItem xmlns:ds="http://schemas.openxmlformats.org/officeDocument/2006/customXml" ds:itemID="{69A305DE-441B-4561-A8A2-FDD12CB5210E}"/>
</file>

<file path=docProps/app.xml><?xml version="1.0" encoding="utf-8"?>
<Properties xmlns="http://schemas.openxmlformats.org/officeDocument/2006/extended-properties" xmlns:vt="http://schemas.openxmlformats.org/officeDocument/2006/docPropsVTypes">
  <Template>Normal</Template>
  <TotalTime>7</TotalTime>
  <Pages>7</Pages>
  <Words>3040</Words>
  <Characters>17328</Characters>
  <Application>Microsoft Office Word</Application>
  <DocSecurity>0</DocSecurity>
  <Lines>144</Lines>
  <Paragraphs>40</Paragraphs>
  <ScaleCrop>false</ScaleCrop>
  <HeadingPairs>
    <vt:vector size="10" baseType="variant">
      <vt:variant>
        <vt:lpstr>Title</vt:lpstr>
      </vt:variant>
      <vt:variant>
        <vt:i4>1</vt:i4>
      </vt:variant>
      <vt:variant>
        <vt:lpstr>Naslov</vt:lpstr>
      </vt:variant>
      <vt:variant>
        <vt:i4>1</vt:i4>
      </vt:variant>
      <vt:variant>
        <vt:lpstr>Cím</vt:lpstr>
      </vt:variant>
      <vt:variant>
        <vt:i4>1</vt:i4>
      </vt:variant>
      <vt:variant>
        <vt:lpstr>Tytuł</vt:lpstr>
      </vt:variant>
      <vt:variant>
        <vt:i4>1</vt:i4>
      </vt:variant>
      <vt:variant>
        <vt:lpstr>Titolo</vt:lpstr>
      </vt:variant>
      <vt:variant>
        <vt:i4>1</vt:i4>
      </vt:variant>
    </vt:vector>
  </HeadingPairs>
  <TitlesOfParts>
    <vt:vector size="5" baseType="lpstr">
      <vt:lpstr>12th Stakeholder Group Meeting</vt:lpstr>
      <vt:lpstr>12th Stakeholder Group Meeting</vt:lpstr>
      <vt:lpstr>12th Stakeholder Group Meeting</vt:lpstr>
      <vt:lpstr>12th Stakeholder Group Meeting</vt:lpstr>
      <vt:lpstr>12th Stakeholder Group Meeting</vt:lpstr>
    </vt:vector>
  </TitlesOfParts>
  <Company>e-control</Company>
  <LinksUpToDate>false</LinksUpToDate>
  <CharactersWithSpaces>20328</CharactersWithSpaces>
  <SharedDoc>false</SharedDoc>
  <HLinks>
    <vt:vector size="6" baseType="variant">
      <vt:variant>
        <vt:i4>6619191</vt:i4>
      </vt:variant>
      <vt:variant>
        <vt:i4>0</vt:i4>
      </vt:variant>
      <vt:variant>
        <vt:i4>0</vt:i4>
      </vt:variant>
      <vt:variant>
        <vt:i4>5</vt:i4>
      </vt:variant>
      <vt:variant>
        <vt:lpwstr>http://www.acer.europa.eu/Events/32st-Regional-Coordination-Committee-RCC-Meeting/default.aspx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12th Stakeholder Group Meeting</dc:title>
  <dc:subject/>
  <dc:creator>K Steinbacher</dc:creator>
  <cp:keywords/>
  <cp:lastModifiedBy>Aleksandar Popadic</cp:lastModifiedBy>
  <cp:revision>4</cp:revision>
  <cp:lastPrinted>2018-01-15T14:17:00Z</cp:lastPrinted>
  <dcterms:created xsi:type="dcterms:W3CDTF">2018-02-09T15:10:00Z</dcterms:created>
  <dcterms:modified xsi:type="dcterms:W3CDTF">2018-02-12T13:00:00Z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0x0101000168973875537543819112427E463607</vt:lpwstr>
  </property>
  <property fmtid="{D5CDD505-2E9C-101B-9397-08002B2CF9AE}" pid="3" name="_dlc_DocIdItemGuid">
    <vt:lpwstr>881014ff-8005-4024-9d55-1cd54d1a6033</vt:lpwstr>
  </property>
</Properties>
</file>