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B7" w:rsidRPr="00EA4642" w:rsidRDefault="0029515A" w:rsidP="00EA4642">
      <w:pPr>
        <w:pStyle w:val="Body10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Report on the a</w:t>
      </w:r>
      <w:r w:rsidR="00584DB7" w:rsidRPr="00EA4642">
        <w:rPr>
          <w:rFonts w:ascii="Arial" w:hAnsi="Arial" w:cs="Arial"/>
          <w:b/>
          <w:bCs/>
          <w:sz w:val="24"/>
          <w:szCs w:val="24"/>
          <w:lang w:val="en-US"/>
        </w:rPr>
        <w:t>ssessment of the</w:t>
      </w:r>
      <w:r w:rsidR="001F53CE" w:rsidRPr="00EA4642">
        <w:rPr>
          <w:rFonts w:ascii="Arial" w:hAnsi="Arial" w:cs="Arial"/>
          <w:b/>
          <w:bCs/>
          <w:sz w:val="24"/>
          <w:szCs w:val="24"/>
          <w:lang w:val="en-US"/>
        </w:rPr>
        <w:t xml:space="preserve"> use of interconnections </w:t>
      </w:r>
      <w:r w:rsidR="00EA4642">
        <w:rPr>
          <w:rFonts w:ascii="Arial" w:hAnsi="Arial" w:cs="Arial"/>
          <w:b/>
          <w:bCs/>
          <w:sz w:val="24"/>
          <w:szCs w:val="24"/>
          <w:lang w:val="en-US"/>
        </w:rPr>
        <w:t>in the SGRI in the period</w:t>
      </w:r>
      <w:r w:rsidR="001F53CE" w:rsidRPr="00EA464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="001F53CE" w:rsidRPr="00EA4642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1F53CE" w:rsidRPr="00EA4642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st</w:t>
      </w:r>
      <w:proofErr w:type="gramEnd"/>
      <w:r w:rsidR="001F53CE" w:rsidRPr="00EA464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84DB7" w:rsidRPr="00EA4642">
        <w:rPr>
          <w:rFonts w:ascii="Arial" w:hAnsi="Arial" w:cs="Arial"/>
          <w:b/>
          <w:bCs/>
          <w:sz w:val="24"/>
          <w:szCs w:val="24"/>
          <w:lang w:val="en-US"/>
        </w:rPr>
        <w:t>October 2016 to 30</w:t>
      </w:r>
      <w:r w:rsidR="00584DB7" w:rsidRPr="00EA4642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584DB7" w:rsidRPr="00EA4642">
        <w:rPr>
          <w:rFonts w:ascii="Arial" w:hAnsi="Arial" w:cs="Arial"/>
          <w:b/>
          <w:bCs/>
          <w:sz w:val="24"/>
          <w:szCs w:val="24"/>
          <w:lang w:val="en-US"/>
        </w:rPr>
        <w:t xml:space="preserve"> September 2019</w:t>
      </w:r>
      <w:r w:rsidR="00EA464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1F53CE" w:rsidRPr="00EA4642" w:rsidRDefault="001F53CE" w:rsidP="00EA4642">
      <w:pPr>
        <w:pStyle w:val="Body10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EA4642">
        <w:rPr>
          <w:rFonts w:ascii="Arial" w:hAnsi="Arial" w:cs="Arial"/>
          <w:b/>
          <w:bCs/>
          <w:sz w:val="24"/>
          <w:szCs w:val="24"/>
          <w:u w:val="single"/>
          <w:lang w:val="en-US"/>
        </w:rPr>
        <w:t>Detailed index</w:t>
      </w:r>
    </w:p>
    <w:p w:rsidR="00584DB7" w:rsidRDefault="00584DB7" w:rsidP="00584DB7">
      <w:pPr>
        <w:pStyle w:val="Body10"/>
        <w:numPr>
          <w:ilvl w:val="0"/>
          <w:numId w:val="1"/>
        </w:numPr>
        <w:spacing w:before="100" w:beforeAutospacing="1" w:after="100" w:afterAutospacing="1" w:line="240" w:lineRule="auto"/>
        <w:outlineLvl w:val="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The current situation of gas interconnections capacity in the Region.</w:t>
      </w:r>
    </w:p>
    <w:p w:rsidR="00584DB7" w:rsidRPr="00A66E65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 w:rsidRPr="000A50A1">
        <w:rPr>
          <w:rFonts w:ascii="Arial" w:hAnsi="Arial" w:cs="Arial"/>
          <w:bCs/>
          <w:lang w:val="en-US"/>
        </w:rPr>
        <w:t>Technical capacities (bundled/unbundled</w:t>
      </w:r>
      <w:r>
        <w:rPr>
          <w:rFonts w:ascii="Arial" w:hAnsi="Arial" w:cs="Arial"/>
          <w:bCs/>
          <w:lang w:val="en-US"/>
        </w:rPr>
        <w:t>, firm/interruptible</w:t>
      </w:r>
      <w:r w:rsidR="0029515A">
        <w:rPr>
          <w:rFonts w:ascii="Arial" w:hAnsi="Arial" w:cs="Arial"/>
          <w:bCs/>
          <w:lang w:val="en-US"/>
        </w:rPr>
        <w:t>…</w:t>
      </w:r>
      <w:r w:rsidRPr="000A50A1">
        <w:rPr>
          <w:rFonts w:ascii="Arial" w:hAnsi="Arial" w:cs="Arial"/>
          <w:bCs/>
          <w:lang w:val="en-US"/>
        </w:rPr>
        <w:t>)</w:t>
      </w:r>
    </w:p>
    <w:p w:rsidR="00584DB7" w:rsidRPr="000A50A1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</w:rPr>
      </w:pPr>
      <w:r w:rsidRPr="000A50A1">
        <w:rPr>
          <w:rFonts w:ascii="Arial" w:hAnsi="Arial" w:cs="Arial"/>
          <w:bCs/>
          <w:lang w:val="en-US"/>
        </w:rPr>
        <w:t xml:space="preserve">Capacity calculation methodology </w:t>
      </w:r>
    </w:p>
    <w:p w:rsidR="00584DB7" w:rsidRPr="000A50A1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 w:rsidRPr="000A50A1">
        <w:rPr>
          <w:rFonts w:ascii="Arial" w:hAnsi="Arial" w:cs="Arial"/>
          <w:bCs/>
          <w:lang w:val="en-US"/>
        </w:rPr>
        <w:t>Ca</w:t>
      </w:r>
      <w:r w:rsidR="0029515A">
        <w:rPr>
          <w:rFonts w:ascii="Arial" w:hAnsi="Arial" w:cs="Arial"/>
          <w:bCs/>
          <w:lang w:val="en-US"/>
        </w:rPr>
        <w:t xml:space="preserve">pacity set aside for the next 15 years </w:t>
      </w:r>
      <w:r>
        <w:rPr>
          <w:rFonts w:ascii="Arial" w:hAnsi="Arial" w:cs="Arial"/>
          <w:bCs/>
          <w:lang w:val="en-US"/>
        </w:rPr>
        <w:t xml:space="preserve">(VIP </w:t>
      </w:r>
      <w:proofErr w:type="spellStart"/>
      <w:r>
        <w:rPr>
          <w:rFonts w:ascii="Arial" w:hAnsi="Arial" w:cs="Arial"/>
          <w:bCs/>
          <w:lang w:val="en-US"/>
        </w:rPr>
        <w:t>Pirineos</w:t>
      </w:r>
      <w:proofErr w:type="spellEnd"/>
      <w:r>
        <w:rPr>
          <w:rFonts w:ascii="Arial" w:hAnsi="Arial" w:cs="Arial"/>
          <w:bCs/>
          <w:lang w:val="en-US"/>
        </w:rPr>
        <w:t>)/</w:t>
      </w:r>
      <w:r w:rsidR="0029515A">
        <w:rPr>
          <w:rFonts w:ascii="Arial" w:hAnsi="Arial" w:cs="Arial"/>
          <w:bCs/>
          <w:lang w:val="en-US"/>
        </w:rPr>
        <w:t xml:space="preserve"> five years (</w:t>
      </w:r>
      <w:r>
        <w:rPr>
          <w:rFonts w:ascii="Arial" w:hAnsi="Arial" w:cs="Arial"/>
          <w:bCs/>
          <w:lang w:val="en-US"/>
        </w:rPr>
        <w:t xml:space="preserve">VIP </w:t>
      </w:r>
      <w:proofErr w:type="spellStart"/>
      <w:r>
        <w:rPr>
          <w:rFonts w:ascii="Arial" w:hAnsi="Arial" w:cs="Arial"/>
          <w:bCs/>
          <w:lang w:val="en-US"/>
        </w:rPr>
        <w:t>Ibérico</w:t>
      </w:r>
      <w:proofErr w:type="spellEnd"/>
      <w:r w:rsidR="0029515A">
        <w:rPr>
          <w:rFonts w:ascii="Arial" w:hAnsi="Arial" w:cs="Arial"/>
          <w:bCs/>
          <w:lang w:val="en-US"/>
        </w:rPr>
        <w:t>)</w:t>
      </w:r>
      <w:r w:rsidRPr="000A50A1">
        <w:rPr>
          <w:rFonts w:ascii="Arial" w:hAnsi="Arial" w:cs="Arial"/>
          <w:bCs/>
          <w:lang w:val="en-US"/>
        </w:rPr>
        <w:t xml:space="preserve"> (art. 8 CAM)</w:t>
      </w:r>
    </w:p>
    <w:p w:rsidR="00584DB7" w:rsidRPr="0029515A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 w:rsidRPr="000A50A1">
        <w:rPr>
          <w:rFonts w:ascii="Arial" w:hAnsi="Arial" w:cs="Arial"/>
          <w:bCs/>
          <w:lang w:val="en-US"/>
        </w:rPr>
        <w:t>LT contracts</w:t>
      </w:r>
      <w:r w:rsidR="0029515A">
        <w:rPr>
          <w:rFonts w:ascii="Arial" w:hAnsi="Arial" w:cs="Arial"/>
          <w:bCs/>
          <w:lang w:val="en-US"/>
        </w:rPr>
        <w:t>: capacity bookings and expiration calendar</w:t>
      </w:r>
    </w:p>
    <w:p w:rsidR="00584DB7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 w:rsidRPr="000A50A1">
        <w:rPr>
          <w:rFonts w:ascii="Arial" w:hAnsi="Arial" w:cs="Arial"/>
          <w:bCs/>
          <w:lang w:val="en-US"/>
        </w:rPr>
        <w:t>Available capacity to be auctioned in PRISMA</w:t>
      </w:r>
    </w:p>
    <w:p w:rsidR="00584DB7" w:rsidRPr="00AB380F" w:rsidRDefault="00584DB7" w:rsidP="00584DB7">
      <w:pPr>
        <w:pStyle w:val="Body10"/>
        <w:spacing w:before="100" w:beforeAutospacing="1" w:after="100" w:afterAutospacing="1"/>
        <w:rPr>
          <w:rFonts w:ascii="Arial" w:hAnsi="Arial" w:cs="Arial"/>
          <w:b/>
          <w:bCs/>
          <w:i/>
          <w:iCs/>
          <w:lang w:val="en-US"/>
        </w:rPr>
      </w:pPr>
      <w:r w:rsidRPr="00AB380F">
        <w:rPr>
          <w:rFonts w:ascii="Arial" w:hAnsi="Arial" w:cs="Arial"/>
          <w:b/>
          <w:bCs/>
          <w:i/>
          <w:iCs/>
          <w:lang w:val="en-US"/>
        </w:rPr>
        <w:t>Description of technical capacities (bundled/unbundled, firm/interruptible), capacity calculation methodology, bundled/unbundled/interruptible products offered at both sides of the IPs</w:t>
      </w:r>
      <w:r>
        <w:rPr>
          <w:rFonts w:ascii="Arial" w:hAnsi="Arial" w:cs="Arial"/>
          <w:b/>
          <w:bCs/>
          <w:i/>
          <w:iCs/>
          <w:lang w:val="en-US"/>
        </w:rPr>
        <w:t xml:space="preserve"> (under each</w:t>
      </w:r>
      <w:r w:rsidR="00F04D86">
        <w:rPr>
          <w:rFonts w:ascii="Arial" w:hAnsi="Arial" w:cs="Arial"/>
          <w:b/>
          <w:bCs/>
          <w:i/>
          <w:iCs/>
          <w:lang w:val="en-US"/>
        </w:rPr>
        <w:t xml:space="preserve"> time</w:t>
      </w:r>
      <w:r>
        <w:rPr>
          <w:rFonts w:ascii="Arial" w:hAnsi="Arial" w:cs="Arial"/>
          <w:b/>
          <w:bCs/>
          <w:i/>
          <w:iCs/>
          <w:lang w:val="en-US"/>
        </w:rPr>
        <w:t xml:space="preserve"> horizon)</w:t>
      </w:r>
      <w:r w:rsidRPr="00AB380F">
        <w:rPr>
          <w:rFonts w:ascii="Arial" w:hAnsi="Arial" w:cs="Arial"/>
          <w:b/>
          <w:bCs/>
          <w:i/>
          <w:iCs/>
          <w:lang w:val="en-US"/>
        </w:rPr>
        <w:t>, LT contracts currently in force –OS- (booked capacity, expiration dates, bundling arrangements (art 20</w:t>
      </w:r>
      <w:r>
        <w:rPr>
          <w:rFonts w:ascii="Arial" w:hAnsi="Arial" w:cs="Arial"/>
          <w:b/>
          <w:bCs/>
          <w:i/>
          <w:iCs/>
          <w:lang w:val="en-US"/>
        </w:rPr>
        <w:t xml:space="preserve"> CAM</w:t>
      </w:r>
      <w:r w:rsidRPr="00AB380F">
        <w:rPr>
          <w:rFonts w:ascii="Arial" w:hAnsi="Arial" w:cs="Arial"/>
          <w:b/>
          <w:bCs/>
          <w:i/>
          <w:iCs/>
          <w:lang w:val="en-US"/>
        </w:rPr>
        <w:t>)…), capacity set aside for future auctions (art.8 CAM) and available capacity for PRISMA auctions. Analysis and recommendations.</w:t>
      </w:r>
    </w:p>
    <w:p w:rsidR="00584DB7" w:rsidRDefault="00584DB7" w:rsidP="00584DB7">
      <w:pPr>
        <w:pStyle w:val="Body10"/>
        <w:numPr>
          <w:ilvl w:val="0"/>
          <w:numId w:val="2"/>
        </w:numPr>
        <w:spacing w:before="100" w:beforeAutospacing="1" w:after="100" w:afterAutospacing="1" w:line="240" w:lineRule="auto"/>
        <w:outlineLvl w:val="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Assessment of capacity bookings.</w:t>
      </w:r>
    </w:p>
    <w:p w:rsidR="00584DB7" w:rsidRPr="003C62BA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 w:rsidRPr="003C62BA">
        <w:rPr>
          <w:rFonts w:ascii="Arial" w:hAnsi="Arial" w:cs="Arial"/>
          <w:bCs/>
          <w:lang w:val="en-US"/>
        </w:rPr>
        <w:t>Capacity bookings in PRISMA by product and time horizon (bundled/unbundled/interruptible….yearly, quarterly…) and LT contracts.</w:t>
      </w:r>
    </w:p>
    <w:p w:rsidR="00584DB7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 w:rsidRPr="003C62BA">
        <w:rPr>
          <w:rFonts w:ascii="Arial" w:hAnsi="Arial" w:cs="Arial"/>
          <w:bCs/>
          <w:lang w:val="en-US"/>
        </w:rPr>
        <w:t>Secondary market capacity trade (res</w:t>
      </w:r>
      <w:r>
        <w:rPr>
          <w:rFonts w:ascii="Arial" w:hAnsi="Arial" w:cs="Arial"/>
          <w:bCs/>
          <w:lang w:val="en-US"/>
        </w:rPr>
        <w:t>elling of</w:t>
      </w:r>
      <w:r w:rsidRPr="003C62BA">
        <w:rPr>
          <w:rFonts w:ascii="Arial" w:hAnsi="Arial" w:cs="Arial"/>
          <w:bCs/>
          <w:lang w:val="en-US"/>
        </w:rPr>
        <w:t xml:space="preserve"> capacity</w:t>
      </w:r>
      <w:r>
        <w:rPr>
          <w:rFonts w:ascii="Arial" w:hAnsi="Arial" w:cs="Arial"/>
          <w:bCs/>
          <w:lang w:val="en-US"/>
        </w:rPr>
        <w:t>/</w:t>
      </w:r>
      <w:r w:rsidRPr="003C62BA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transfer of use</w:t>
      </w:r>
      <w:r w:rsidRPr="003C62BA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rules </w:t>
      </w:r>
      <w:r w:rsidRPr="003C62BA">
        <w:rPr>
          <w:rFonts w:ascii="Arial" w:hAnsi="Arial" w:cs="Arial"/>
          <w:bCs/>
          <w:lang w:val="en-US"/>
        </w:rPr>
        <w:t>at each sides of the VIPs)</w:t>
      </w:r>
    </w:p>
    <w:p w:rsidR="00584DB7" w:rsidRPr="003C62BA" w:rsidRDefault="00F04D86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Trades on</w:t>
      </w:r>
      <w:r w:rsidR="00584DB7">
        <w:rPr>
          <w:rFonts w:ascii="Arial" w:hAnsi="Arial" w:cs="Arial"/>
          <w:bCs/>
          <w:lang w:val="en-US"/>
        </w:rPr>
        <w:t xml:space="preserve"> secondary market</w:t>
      </w:r>
    </w:p>
    <w:p w:rsidR="00584DB7" w:rsidRPr="003C62BA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 w:rsidRPr="003C62BA">
        <w:rPr>
          <w:rFonts w:ascii="Arial" w:hAnsi="Arial" w:cs="Arial"/>
          <w:bCs/>
          <w:lang w:val="en-US"/>
        </w:rPr>
        <w:t>Nomination/</w:t>
      </w:r>
      <w:proofErr w:type="spellStart"/>
      <w:r w:rsidRPr="003C62BA">
        <w:rPr>
          <w:rFonts w:ascii="Arial" w:hAnsi="Arial" w:cs="Arial"/>
          <w:bCs/>
          <w:lang w:val="en-US"/>
        </w:rPr>
        <w:t>renominations</w:t>
      </w:r>
      <w:proofErr w:type="spellEnd"/>
      <w:r w:rsidRPr="003C62BA">
        <w:rPr>
          <w:rFonts w:ascii="Arial" w:hAnsi="Arial" w:cs="Arial"/>
          <w:bCs/>
          <w:lang w:val="en-US"/>
        </w:rPr>
        <w:t xml:space="preserve"> procedures</w:t>
      </w:r>
    </w:p>
    <w:p w:rsidR="00584DB7" w:rsidRPr="004D37F9" w:rsidRDefault="00584DB7" w:rsidP="00584DB7">
      <w:pPr>
        <w:pStyle w:val="Body10"/>
        <w:spacing w:before="100" w:beforeAutospacing="1" w:after="100" w:afterAutospacing="1"/>
        <w:rPr>
          <w:rFonts w:ascii="Arial" w:hAnsi="Arial" w:cs="Arial"/>
          <w:b/>
          <w:bCs/>
          <w:i/>
          <w:iCs/>
          <w:lang w:val="en-US"/>
        </w:rPr>
      </w:pPr>
      <w:r w:rsidRPr="004D37F9">
        <w:rPr>
          <w:rFonts w:ascii="Arial" w:hAnsi="Arial" w:cs="Arial"/>
          <w:b/>
          <w:bCs/>
          <w:i/>
          <w:iCs/>
          <w:lang w:val="en-US"/>
        </w:rPr>
        <w:t xml:space="preserve">Capacity bookings by contract (bundled/unbundled/interruptible/LT contracts), secondary markets (description of reselling </w:t>
      </w:r>
      <w:r>
        <w:rPr>
          <w:rFonts w:ascii="Arial" w:hAnsi="Arial" w:cs="Arial"/>
          <w:b/>
          <w:bCs/>
          <w:i/>
          <w:iCs/>
          <w:lang w:val="en-US"/>
        </w:rPr>
        <w:t xml:space="preserve">of </w:t>
      </w:r>
      <w:r w:rsidRPr="004D37F9">
        <w:rPr>
          <w:rFonts w:ascii="Arial" w:hAnsi="Arial" w:cs="Arial"/>
          <w:b/>
          <w:bCs/>
          <w:i/>
          <w:iCs/>
          <w:lang w:val="en-US"/>
        </w:rPr>
        <w:t xml:space="preserve">capacity or </w:t>
      </w:r>
      <w:r>
        <w:rPr>
          <w:rFonts w:ascii="Arial" w:hAnsi="Arial" w:cs="Arial"/>
          <w:b/>
          <w:bCs/>
          <w:i/>
          <w:iCs/>
          <w:lang w:val="en-US"/>
        </w:rPr>
        <w:t xml:space="preserve">transfer of use rules in place </w:t>
      </w:r>
      <w:r w:rsidRPr="004D37F9">
        <w:rPr>
          <w:rFonts w:ascii="Arial" w:hAnsi="Arial" w:cs="Arial"/>
          <w:b/>
          <w:bCs/>
          <w:i/>
          <w:iCs/>
          <w:lang w:val="en-US"/>
        </w:rPr>
        <w:t>(time horizons in which is allowed) at both sides of the VIP, secondary market trade figures, nomination/</w:t>
      </w:r>
      <w:proofErr w:type="spellStart"/>
      <w:r w:rsidRPr="004D37F9">
        <w:rPr>
          <w:rFonts w:ascii="Arial" w:hAnsi="Arial" w:cs="Arial"/>
          <w:b/>
          <w:bCs/>
          <w:i/>
          <w:iCs/>
          <w:lang w:val="en-US"/>
        </w:rPr>
        <w:t>renomination</w:t>
      </w:r>
      <w:proofErr w:type="spellEnd"/>
      <w:r w:rsidRPr="004D37F9">
        <w:rPr>
          <w:rFonts w:ascii="Arial" w:hAnsi="Arial" w:cs="Arial"/>
          <w:b/>
          <w:bCs/>
          <w:i/>
          <w:iCs/>
          <w:lang w:val="en-US"/>
        </w:rPr>
        <w:t xml:space="preserve"> procedures, available capacities after total bookings (total bookings: LT contracts and PRISMA). Analysis and recommendations (issues such as preferences of the users with regard to contracting capacity in different time horizons, coordination between TSOs</w:t>
      </w:r>
      <w:proofErr w:type="gramStart"/>
      <w:r>
        <w:rPr>
          <w:rFonts w:ascii="Arial" w:hAnsi="Arial" w:cs="Arial"/>
          <w:b/>
          <w:bCs/>
          <w:i/>
          <w:iCs/>
          <w:lang w:val="en-US"/>
        </w:rPr>
        <w:t>,..</w:t>
      </w:r>
      <w:r w:rsidRPr="004D37F9">
        <w:rPr>
          <w:rFonts w:ascii="Arial" w:hAnsi="Arial" w:cs="Arial"/>
          <w:b/>
          <w:bCs/>
          <w:i/>
          <w:iCs/>
          <w:lang w:val="en-US"/>
        </w:rPr>
        <w:t>.</w:t>
      </w:r>
      <w:proofErr w:type="gramEnd"/>
      <w:r w:rsidRPr="004D37F9">
        <w:rPr>
          <w:rFonts w:ascii="Arial" w:hAnsi="Arial" w:cs="Arial"/>
          <w:b/>
          <w:bCs/>
          <w:i/>
          <w:iCs/>
          <w:lang w:val="en-US"/>
        </w:rPr>
        <w:t>).</w:t>
      </w:r>
    </w:p>
    <w:p w:rsidR="00584DB7" w:rsidRDefault="00584DB7" w:rsidP="00584DB7">
      <w:pPr>
        <w:pStyle w:val="Body10"/>
        <w:numPr>
          <w:ilvl w:val="0"/>
          <w:numId w:val="2"/>
        </w:numPr>
        <w:spacing w:before="100" w:beforeAutospacing="1" w:after="100" w:afterAutospacing="1" w:line="240" w:lineRule="auto"/>
        <w:outlineLvl w:val="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Assessment of the use of the interconnections oct16-sept19.</w:t>
      </w:r>
    </w:p>
    <w:p w:rsidR="00584DB7" w:rsidRDefault="00584DB7" w:rsidP="00584DB7">
      <w:pPr>
        <w:pStyle w:val="Body10"/>
        <w:spacing w:before="100" w:beforeAutospacing="1" w:after="100" w:afterAutospacing="1"/>
        <w:rPr>
          <w:rFonts w:ascii="Arial" w:hAnsi="Arial" w:cs="Arial"/>
          <w:b/>
          <w:bCs/>
          <w:i/>
          <w:iCs/>
          <w:lang w:val="en-US"/>
        </w:rPr>
      </w:pPr>
      <w:r w:rsidRPr="009E172A">
        <w:rPr>
          <w:rFonts w:ascii="Arial" w:hAnsi="Arial" w:cs="Arial"/>
          <w:b/>
          <w:bCs/>
          <w:i/>
          <w:iCs/>
          <w:lang w:val="en-US"/>
        </w:rPr>
        <w:t xml:space="preserve">TSO </w:t>
      </w:r>
      <w:proofErr w:type="gramStart"/>
      <w:r>
        <w:rPr>
          <w:rFonts w:ascii="Arial" w:hAnsi="Arial" w:cs="Arial"/>
          <w:b/>
          <w:bCs/>
          <w:i/>
          <w:iCs/>
          <w:lang w:val="en-US"/>
        </w:rPr>
        <w:t>are invited</w:t>
      </w:r>
      <w:proofErr w:type="gramEnd"/>
      <w:r>
        <w:rPr>
          <w:rFonts w:ascii="Arial" w:hAnsi="Arial" w:cs="Arial"/>
          <w:b/>
          <w:bCs/>
          <w:i/>
          <w:iCs/>
          <w:lang w:val="en-US"/>
        </w:rPr>
        <w:t xml:space="preserve"> to </w:t>
      </w:r>
      <w:r w:rsidRPr="009E172A">
        <w:rPr>
          <w:rFonts w:ascii="Arial" w:hAnsi="Arial" w:cs="Arial"/>
          <w:b/>
          <w:bCs/>
          <w:i/>
          <w:iCs/>
          <w:lang w:val="en-US"/>
        </w:rPr>
        <w:t>assess</w:t>
      </w:r>
      <w:r>
        <w:rPr>
          <w:rFonts w:ascii="Arial" w:hAnsi="Arial" w:cs="Arial"/>
          <w:b/>
          <w:bCs/>
          <w:i/>
          <w:iCs/>
          <w:lang w:val="en-US"/>
        </w:rPr>
        <w:t xml:space="preserve"> in particular</w:t>
      </w:r>
      <w:r w:rsidRPr="009E172A">
        <w:rPr>
          <w:rFonts w:ascii="Arial" w:hAnsi="Arial" w:cs="Arial"/>
          <w:b/>
          <w:bCs/>
          <w:i/>
          <w:iCs/>
          <w:lang w:val="en-US"/>
        </w:rPr>
        <w:t xml:space="preserve">: </w:t>
      </w:r>
    </w:p>
    <w:p w:rsidR="00584DB7" w:rsidRPr="009038CB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  <w:lang w:val="en-US"/>
        </w:rPr>
      </w:pPr>
      <w:r w:rsidRPr="009038CB">
        <w:rPr>
          <w:rFonts w:ascii="Arial" w:hAnsi="Arial" w:cs="Arial"/>
          <w:b/>
          <w:bCs/>
          <w:i/>
          <w:iCs/>
          <w:lang w:val="en-US"/>
        </w:rPr>
        <w:t>Relation</w:t>
      </w:r>
      <w:r>
        <w:rPr>
          <w:rFonts w:ascii="Arial" w:hAnsi="Arial" w:cs="Arial"/>
          <w:b/>
          <w:bCs/>
          <w:i/>
          <w:iCs/>
          <w:lang w:val="en-US"/>
        </w:rPr>
        <w:t>ship among</w:t>
      </w:r>
      <w:r w:rsidRPr="009038CB">
        <w:rPr>
          <w:rFonts w:ascii="Arial" w:hAnsi="Arial" w:cs="Arial"/>
          <w:b/>
          <w:bCs/>
          <w:i/>
          <w:iCs/>
          <w:lang w:val="en-US"/>
        </w:rPr>
        <w:t xml:space="preserve"> between technical </w:t>
      </w:r>
      <w:proofErr w:type="gramStart"/>
      <w:r w:rsidRPr="009038CB">
        <w:rPr>
          <w:rFonts w:ascii="Arial" w:hAnsi="Arial" w:cs="Arial"/>
          <w:b/>
          <w:bCs/>
          <w:i/>
          <w:iCs/>
          <w:lang w:val="en-US"/>
        </w:rPr>
        <w:t>capacity</w:t>
      </w:r>
      <w:proofErr w:type="gramEnd"/>
      <w:r>
        <w:rPr>
          <w:rFonts w:ascii="Arial" w:hAnsi="Arial" w:cs="Arial"/>
          <w:b/>
          <w:bCs/>
          <w:i/>
          <w:iCs/>
          <w:lang w:val="en-US"/>
        </w:rPr>
        <w:t>,</w:t>
      </w:r>
      <w:r w:rsidRPr="009038CB">
        <w:rPr>
          <w:rFonts w:ascii="Arial" w:hAnsi="Arial" w:cs="Arial"/>
          <w:b/>
          <w:bCs/>
          <w:i/>
          <w:iCs/>
          <w:lang w:val="en-US"/>
        </w:rPr>
        <w:t xml:space="preserve"> capacity bookings, use of capacity contracts and flows.</w:t>
      </w:r>
    </w:p>
    <w:p w:rsidR="00584DB7" w:rsidRPr="009038CB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  <w:lang w:val="en-US"/>
        </w:rPr>
      </w:pPr>
      <w:r w:rsidRPr="009038CB">
        <w:rPr>
          <w:rFonts w:ascii="Arial" w:hAnsi="Arial" w:cs="Arial"/>
          <w:b/>
          <w:bCs/>
          <w:i/>
          <w:iCs/>
          <w:lang w:val="en-US"/>
        </w:rPr>
        <w:t xml:space="preserve">Relation between used capacity and time horizon: how the capacity contracted is effectively used by </w:t>
      </w:r>
      <w:r>
        <w:rPr>
          <w:rFonts w:ascii="Arial" w:hAnsi="Arial" w:cs="Arial"/>
          <w:b/>
          <w:bCs/>
          <w:i/>
          <w:iCs/>
          <w:lang w:val="en-US"/>
        </w:rPr>
        <w:t xml:space="preserve">kind of </w:t>
      </w:r>
      <w:r w:rsidRPr="009038CB">
        <w:rPr>
          <w:rFonts w:ascii="Arial" w:hAnsi="Arial" w:cs="Arial"/>
          <w:b/>
          <w:bCs/>
          <w:i/>
          <w:iCs/>
          <w:lang w:val="en-US"/>
        </w:rPr>
        <w:t xml:space="preserve">contract </w:t>
      </w:r>
      <w:r>
        <w:rPr>
          <w:rFonts w:ascii="Arial" w:hAnsi="Arial" w:cs="Arial"/>
          <w:b/>
          <w:bCs/>
          <w:i/>
          <w:iCs/>
          <w:lang w:val="en-US"/>
        </w:rPr>
        <w:t>(</w:t>
      </w:r>
      <w:proofErr w:type="gramStart"/>
      <w:r>
        <w:rPr>
          <w:rFonts w:ascii="Arial" w:hAnsi="Arial" w:cs="Arial"/>
          <w:b/>
          <w:bCs/>
          <w:i/>
          <w:iCs/>
          <w:lang w:val="en-US"/>
        </w:rPr>
        <w:t>%</w:t>
      </w:r>
      <w:proofErr w:type="gramEnd"/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Pr="009038CB">
        <w:rPr>
          <w:rFonts w:ascii="Arial" w:hAnsi="Arial" w:cs="Arial"/>
          <w:b/>
          <w:bCs/>
          <w:i/>
          <w:iCs/>
          <w:lang w:val="en-US"/>
        </w:rPr>
        <w:t>used</w:t>
      </w:r>
      <w:r>
        <w:rPr>
          <w:rFonts w:ascii="Arial" w:hAnsi="Arial" w:cs="Arial"/>
          <w:b/>
          <w:bCs/>
          <w:i/>
          <w:iCs/>
          <w:lang w:val="en-US"/>
        </w:rPr>
        <w:t>/contracted</w:t>
      </w:r>
      <w:r w:rsidRPr="009038CB">
        <w:rPr>
          <w:rFonts w:ascii="Arial" w:hAnsi="Arial" w:cs="Arial"/>
          <w:b/>
          <w:bCs/>
          <w:i/>
          <w:iCs/>
          <w:lang w:val="en-US"/>
        </w:rPr>
        <w:t xml:space="preserve"> capacity).</w:t>
      </w:r>
    </w:p>
    <w:p w:rsidR="00584DB7" w:rsidRPr="009E172A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</w:rPr>
      </w:pPr>
      <w:r w:rsidRPr="009E172A">
        <w:rPr>
          <w:rFonts w:ascii="Arial" w:hAnsi="Arial" w:cs="Arial"/>
          <w:b/>
          <w:bCs/>
          <w:i/>
          <w:iCs/>
          <w:lang w:val="en-US"/>
        </w:rPr>
        <w:lastRenderedPageBreak/>
        <w:t xml:space="preserve">Differences </w:t>
      </w:r>
      <w:r>
        <w:rPr>
          <w:rFonts w:ascii="Arial" w:hAnsi="Arial" w:cs="Arial"/>
          <w:b/>
          <w:bCs/>
          <w:i/>
          <w:iCs/>
          <w:lang w:val="en-US"/>
        </w:rPr>
        <w:t xml:space="preserve">in use/interest in contracting capacity </w:t>
      </w:r>
      <w:r w:rsidRPr="009E172A">
        <w:rPr>
          <w:rFonts w:ascii="Arial" w:hAnsi="Arial" w:cs="Arial"/>
          <w:b/>
          <w:bCs/>
          <w:i/>
          <w:iCs/>
          <w:lang w:val="en-US"/>
        </w:rPr>
        <w:t xml:space="preserve">between winter/summer </w:t>
      </w:r>
      <w:r>
        <w:rPr>
          <w:rFonts w:ascii="Arial" w:hAnsi="Arial" w:cs="Arial"/>
          <w:b/>
          <w:bCs/>
          <w:i/>
          <w:iCs/>
          <w:lang w:val="en-US"/>
        </w:rPr>
        <w:t>period by products</w:t>
      </w:r>
      <w:r w:rsidRPr="009E172A">
        <w:rPr>
          <w:rFonts w:ascii="Arial" w:hAnsi="Arial" w:cs="Arial"/>
          <w:b/>
          <w:bCs/>
          <w:i/>
          <w:iCs/>
          <w:lang w:val="en-US"/>
        </w:rPr>
        <w:t xml:space="preserve"> (seasonal use) and any other issue affecting the interest for contracting capacity (US injection periods, spread</w:t>
      </w:r>
      <w:r>
        <w:rPr>
          <w:rFonts w:ascii="Arial" w:hAnsi="Arial" w:cs="Arial"/>
          <w:b/>
          <w:bCs/>
          <w:i/>
          <w:iCs/>
          <w:lang w:val="en-US"/>
        </w:rPr>
        <w:t>s of</w:t>
      </w:r>
      <w:r w:rsidRPr="009E172A">
        <w:rPr>
          <w:rFonts w:ascii="Arial" w:hAnsi="Arial" w:cs="Arial"/>
          <w:b/>
          <w:bCs/>
          <w:i/>
          <w:iCs/>
          <w:lang w:val="en-US"/>
        </w:rPr>
        <w:t xml:space="preserve"> prices/demand increasing/any other issue </w:t>
      </w:r>
      <w:r>
        <w:rPr>
          <w:rFonts w:ascii="Arial" w:hAnsi="Arial" w:cs="Arial"/>
          <w:b/>
          <w:bCs/>
          <w:i/>
          <w:iCs/>
          <w:lang w:val="en-US"/>
        </w:rPr>
        <w:t xml:space="preserve">observed </w:t>
      </w:r>
      <w:r w:rsidRPr="009E172A">
        <w:rPr>
          <w:rFonts w:ascii="Arial" w:hAnsi="Arial" w:cs="Arial"/>
          <w:b/>
          <w:bCs/>
          <w:i/>
          <w:iCs/>
          <w:lang w:val="en-US"/>
        </w:rPr>
        <w:t>triggering capacity bookings</w:t>
      </w:r>
      <w:r>
        <w:rPr>
          <w:rFonts w:ascii="Arial" w:hAnsi="Arial" w:cs="Arial"/>
          <w:b/>
          <w:bCs/>
          <w:i/>
          <w:iCs/>
          <w:lang w:val="en-US"/>
        </w:rPr>
        <w:t>/use</w:t>
      </w:r>
      <w:r w:rsidRPr="009E172A">
        <w:rPr>
          <w:rFonts w:ascii="Arial" w:hAnsi="Arial" w:cs="Arial"/>
          <w:b/>
          <w:bCs/>
          <w:i/>
          <w:iCs/>
          <w:lang w:val="en-US"/>
        </w:rPr>
        <w:t>…) .</w:t>
      </w:r>
    </w:p>
    <w:p w:rsidR="00584DB7" w:rsidRPr="009E172A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  <w:lang w:val="en-US"/>
        </w:rPr>
      </w:pPr>
      <w:r w:rsidRPr="009E172A">
        <w:rPr>
          <w:rFonts w:ascii="Arial" w:hAnsi="Arial" w:cs="Arial"/>
          <w:b/>
          <w:bCs/>
          <w:i/>
          <w:iCs/>
          <w:lang w:val="en-US"/>
        </w:rPr>
        <w:t xml:space="preserve">Interaction between allocation of capacity at VIP </w:t>
      </w:r>
      <w:proofErr w:type="spellStart"/>
      <w:r w:rsidRPr="009E172A">
        <w:rPr>
          <w:rFonts w:ascii="Arial" w:hAnsi="Arial" w:cs="Arial"/>
          <w:b/>
          <w:bCs/>
          <w:i/>
          <w:iCs/>
          <w:lang w:val="en-US"/>
        </w:rPr>
        <w:t>Pirineos</w:t>
      </w:r>
      <w:proofErr w:type="spellEnd"/>
      <w:r w:rsidRPr="009E172A">
        <w:rPr>
          <w:rFonts w:ascii="Arial" w:hAnsi="Arial" w:cs="Arial"/>
          <w:b/>
          <w:bCs/>
          <w:i/>
          <w:iCs/>
          <w:lang w:val="en-US"/>
        </w:rPr>
        <w:t xml:space="preserve"> and VIP </w:t>
      </w:r>
      <w:proofErr w:type="spellStart"/>
      <w:r w:rsidRPr="009E172A">
        <w:rPr>
          <w:rFonts w:ascii="Arial" w:hAnsi="Arial" w:cs="Arial"/>
          <w:b/>
          <w:bCs/>
          <w:i/>
          <w:iCs/>
          <w:lang w:val="en-US"/>
        </w:rPr>
        <w:t>Ibérico</w:t>
      </w:r>
      <w:proofErr w:type="spellEnd"/>
      <w:r w:rsidRPr="009E172A">
        <w:rPr>
          <w:rFonts w:ascii="Arial" w:hAnsi="Arial" w:cs="Arial"/>
          <w:b/>
          <w:bCs/>
          <w:i/>
          <w:iCs/>
          <w:lang w:val="en-US"/>
        </w:rPr>
        <w:t xml:space="preserve"> and networks operated by other TSOs (</w:t>
      </w:r>
      <w:proofErr w:type="spellStart"/>
      <w:r w:rsidRPr="009E172A">
        <w:rPr>
          <w:rFonts w:ascii="Arial" w:hAnsi="Arial" w:cs="Arial"/>
          <w:b/>
          <w:bCs/>
          <w:i/>
          <w:iCs/>
          <w:lang w:val="en-US"/>
        </w:rPr>
        <w:t>Reganosa</w:t>
      </w:r>
      <w:proofErr w:type="spellEnd"/>
      <w:r w:rsidRPr="009E172A">
        <w:rPr>
          <w:rFonts w:ascii="Arial" w:hAnsi="Arial" w:cs="Arial"/>
          <w:b/>
          <w:bCs/>
          <w:i/>
          <w:iCs/>
          <w:lang w:val="en-US"/>
        </w:rPr>
        <w:t xml:space="preserve"> and </w:t>
      </w:r>
      <w:proofErr w:type="spellStart"/>
      <w:r w:rsidRPr="009E172A">
        <w:rPr>
          <w:rFonts w:ascii="Arial" w:hAnsi="Arial" w:cs="Arial"/>
          <w:b/>
          <w:bCs/>
          <w:i/>
          <w:iCs/>
          <w:lang w:val="en-US"/>
        </w:rPr>
        <w:t>GRTgaz</w:t>
      </w:r>
      <w:proofErr w:type="spellEnd"/>
      <w:r w:rsidRPr="009E172A">
        <w:rPr>
          <w:rFonts w:ascii="Arial" w:hAnsi="Arial" w:cs="Arial"/>
          <w:b/>
          <w:bCs/>
          <w:i/>
          <w:iCs/>
          <w:lang w:val="en-US"/>
        </w:rPr>
        <w:t>).</w:t>
      </w:r>
    </w:p>
    <w:p w:rsidR="00584DB7" w:rsidRPr="009E172A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  <w:lang w:val="en-US"/>
        </w:rPr>
      </w:pPr>
      <w:r w:rsidRPr="009E172A">
        <w:rPr>
          <w:rFonts w:ascii="Arial" w:hAnsi="Arial" w:cs="Arial"/>
          <w:b/>
          <w:bCs/>
          <w:i/>
          <w:iCs/>
          <w:lang w:val="en-US"/>
        </w:rPr>
        <w:t xml:space="preserve">Areas where further coordination/cooperation between TSOs </w:t>
      </w:r>
      <w:proofErr w:type="gramStart"/>
      <w:r>
        <w:rPr>
          <w:rFonts w:ascii="Arial" w:hAnsi="Arial" w:cs="Arial"/>
          <w:b/>
          <w:bCs/>
          <w:i/>
          <w:iCs/>
          <w:lang w:val="en-US"/>
        </w:rPr>
        <w:t>may be</w:t>
      </w:r>
      <w:r w:rsidRPr="009E172A">
        <w:rPr>
          <w:rFonts w:ascii="Arial" w:hAnsi="Arial" w:cs="Arial"/>
          <w:b/>
          <w:bCs/>
          <w:i/>
          <w:iCs/>
          <w:lang w:val="en-US"/>
        </w:rPr>
        <w:t xml:space="preserve"> needed</w:t>
      </w:r>
      <w:proofErr w:type="gramEnd"/>
      <w:r w:rsidRPr="009E172A">
        <w:rPr>
          <w:rFonts w:ascii="Arial" w:hAnsi="Arial" w:cs="Arial"/>
          <w:b/>
          <w:bCs/>
          <w:i/>
          <w:iCs/>
          <w:lang w:val="en-US"/>
        </w:rPr>
        <w:t>.</w:t>
      </w:r>
    </w:p>
    <w:p w:rsidR="00584DB7" w:rsidRPr="00DC2825" w:rsidRDefault="00584DB7" w:rsidP="00FE4CD1">
      <w:pPr>
        <w:pStyle w:val="Body10"/>
        <w:numPr>
          <w:ilvl w:val="1"/>
          <w:numId w:val="2"/>
        </w:numPr>
        <w:spacing w:before="0" w:after="0" w:line="360" w:lineRule="auto"/>
        <w:ind w:left="0"/>
        <w:outlineLvl w:val="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lang w:val="en-US"/>
        </w:rPr>
        <w:t>A</w:t>
      </w:r>
      <w:r w:rsidRPr="009E172A">
        <w:rPr>
          <w:rFonts w:ascii="Arial" w:hAnsi="Arial" w:cs="Arial"/>
          <w:b/>
          <w:bCs/>
          <w:i/>
          <w:iCs/>
          <w:lang w:val="en-US"/>
        </w:rPr>
        <w:t>nalysis and recommendations.</w:t>
      </w:r>
    </w:p>
    <w:p w:rsidR="00584DB7" w:rsidRPr="00DC2825" w:rsidRDefault="00584DB7" w:rsidP="00FE4CD1">
      <w:pPr>
        <w:pStyle w:val="Body10"/>
        <w:spacing w:before="0" w:after="0" w:line="360" w:lineRule="auto"/>
        <w:rPr>
          <w:rFonts w:ascii="Arial" w:hAnsi="Arial" w:cs="Arial"/>
          <w:b/>
          <w:bCs/>
        </w:rPr>
      </w:pPr>
    </w:p>
    <w:p w:rsidR="00584DB7" w:rsidRDefault="00584DB7" w:rsidP="00FE4CD1">
      <w:pPr>
        <w:pStyle w:val="Body10"/>
        <w:numPr>
          <w:ilvl w:val="0"/>
          <w:numId w:val="2"/>
        </w:numPr>
        <w:spacing w:before="0" w:after="0" w:line="360" w:lineRule="auto"/>
        <w:ind w:left="0"/>
        <w:outlineLvl w:val="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Assessment of the gas flows and the congestion status.</w:t>
      </w:r>
    </w:p>
    <w:p w:rsidR="00584DB7" w:rsidRDefault="00584DB7" w:rsidP="00FE4CD1">
      <w:pPr>
        <w:pStyle w:val="Body10"/>
        <w:numPr>
          <w:ilvl w:val="1"/>
          <w:numId w:val="2"/>
        </w:numPr>
        <w:spacing w:before="100" w:beforeAutospacing="1" w:after="100" w:afterAutospacing="1" w:line="360" w:lineRule="auto"/>
        <w:ind w:left="0"/>
        <w:outlineLvl w:val="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Analysis of congestion status in the VIPs.</w:t>
      </w:r>
    </w:p>
    <w:p w:rsidR="00584DB7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Use of anti-hoarding mechanisms in the </w:t>
      </w:r>
      <w:r w:rsidR="00B6789C">
        <w:rPr>
          <w:rFonts w:ascii="Arial" w:hAnsi="Arial" w:cs="Arial"/>
          <w:bCs/>
          <w:lang w:val="en-US"/>
        </w:rPr>
        <w:t>R</w:t>
      </w:r>
      <w:r>
        <w:rPr>
          <w:rFonts w:ascii="Arial" w:hAnsi="Arial" w:cs="Arial"/>
          <w:bCs/>
          <w:lang w:val="en-US"/>
        </w:rPr>
        <w:t>egion.</w:t>
      </w:r>
    </w:p>
    <w:p w:rsidR="00584DB7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Assessment of the CMP implementation.</w:t>
      </w:r>
    </w:p>
    <w:p w:rsidR="00584DB7" w:rsidRDefault="00584DB7" w:rsidP="00584DB7">
      <w:pPr>
        <w:pStyle w:val="Body10"/>
        <w:spacing w:before="100" w:beforeAutospacing="1" w:after="100" w:afterAutospacing="1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Every TSOs </w:t>
      </w:r>
      <w:proofErr w:type="gramStart"/>
      <w:r>
        <w:rPr>
          <w:rFonts w:ascii="Arial" w:hAnsi="Arial" w:cs="Arial"/>
          <w:b/>
          <w:bCs/>
          <w:lang w:val="en-US"/>
        </w:rPr>
        <w:t>are asked</w:t>
      </w:r>
      <w:proofErr w:type="gramEnd"/>
      <w:r>
        <w:rPr>
          <w:rFonts w:ascii="Arial" w:hAnsi="Arial" w:cs="Arial"/>
          <w:b/>
          <w:bCs/>
          <w:lang w:val="en-US"/>
        </w:rPr>
        <w:t xml:space="preserve"> to: </w:t>
      </w:r>
    </w:p>
    <w:p w:rsidR="00584DB7" w:rsidRPr="007A23B7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D</w:t>
      </w:r>
      <w:r w:rsidRPr="007A23B7">
        <w:rPr>
          <w:rFonts w:ascii="Arial" w:hAnsi="Arial" w:cs="Arial"/>
          <w:b/>
          <w:bCs/>
          <w:i/>
          <w:iCs/>
          <w:lang w:val="en-US"/>
        </w:rPr>
        <w:t xml:space="preserve">escribe CMP in place in </w:t>
      </w:r>
      <w:r w:rsidR="00B6789C">
        <w:rPr>
          <w:rFonts w:ascii="Arial" w:hAnsi="Arial" w:cs="Arial"/>
          <w:b/>
          <w:bCs/>
          <w:i/>
          <w:iCs/>
          <w:lang w:val="en-US"/>
        </w:rPr>
        <w:t>both</w:t>
      </w:r>
      <w:r w:rsidRPr="007A23B7">
        <w:rPr>
          <w:rFonts w:ascii="Arial" w:hAnsi="Arial" w:cs="Arial"/>
          <w:b/>
          <w:bCs/>
          <w:i/>
          <w:iCs/>
          <w:lang w:val="en-US"/>
        </w:rPr>
        <w:t xml:space="preserve"> VIPs (detailed rules at each side of the IPs).</w:t>
      </w:r>
    </w:p>
    <w:p w:rsidR="00584DB7" w:rsidRPr="007A23B7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  <w:i/>
          <w:iCs/>
          <w:lang w:val="en-US"/>
        </w:rPr>
      </w:pPr>
      <w:r w:rsidRPr="007A23B7">
        <w:rPr>
          <w:rFonts w:ascii="Arial" w:hAnsi="Arial" w:cs="Arial"/>
          <w:b/>
          <w:bCs/>
          <w:i/>
          <w:iCs/>
          <w:lang w:val="en-US"/>
        </w:rPr>
        <w:t>Evaluation of the application of CMP mechanisms (assessment of use of contracts and CMP application, CMP application data in the period….).</w:t>
      </w:r>
    </w:p>
    <w:p w:rsidR="00584DB7" w:rsidRPr="007A23B7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  <w:i/>
          <w:iCs/>
          <w:lang w:val="en-US"/>
        </w:rPr>
      </w:pPr>
      <w:r w:rsidRPr="007A23B7">
        <w:rPr>
          <w:rFonts w:ascii="Arial" w:hAnsi="Arial" w:cs="Arial"/>
          <w:b/>
          <w:bCs/>
          <w:i/>
          <w:iCs/>
          <w:lang w:val="en-US"/>
        </w:rPr>
        <w:t>Potential improvem</w:t>
      </w:r>
      <w:r>
        <w:rPr>
          <w:rFonts w:ascii="Arial" w:hAnsi="Arial" w:cs="Arial"/>
          <w:b/>
          <w:bCs/>
          <w:i/>
          <w:iCs/>
          <w:lang w:val="en-US"/>
        </w:rPr>
        <w:t>ents/clarification of CMP rules.</w:t>
      </w:r>
    </w:p>
    <w:p w:rsidR="00584DB7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  <w:i/>
          <w:iCs/>
          <w:lang w:val="en-US"/>
        </w:rPr>
      </w:pPr>
      <w:r w:rsidRPr="007A23B7">
        <w:rPr>
          <w:rFonts w:ascii="Arial" w:hAnsi="Arial" w:cs="Arial"/>
          <w:b/>
          <w:bCs/>
          <w:i/>
          <w:iCs/>
          <w:lang w:val="en-US"/>
        </w:rPr>
        <w:t>Areas where further coordination/cooperation between TSOs</w:t>
      </w:r>
      <w:r w:rsidR="001544BD">
        <w:rPr>
          <w:rFonts w:ascii="Arial" w:hAnsi="Arial" w:cs="Arial"/>
          <w:b/>
          <w:bCs/>
          <w:i/>
          <w:iCs/>
          <w:lang w:val="en-US"/>
        </w:rPr>
        <w:t xml:space="preserve"> </w:t>
      </w:r>
      <w:proofErr w:type="gramStart"/>
      <w:r w:rsidR="001544BD">
        <w:rPr>
          <w:rFonts w:ascii="Arial" w:hAnsi="Arial" w:cs="Arial"/>
          <w:b/>
          <w:bCs/>
          <w:i/>
          <w:iCs/>
          <w:lang w:val="en-US"/>
        </w:rPr>
        <w:t>is needed</w:t>
      </w:r>
      <w:bookmarkStart w:id="0" w:name="_GoBack"/>
      <w:bookmarkEnd w:id="0"/>
      <w:proofErr w:type="gramEnd"/>
      <w:r w:rsidRPr="007A23B7">
        <w:rPr>
          <w:rFonts w:ascii="Arial" w:hAnsi="Arial" w:cs="Arial"/>
          <w:b/>
          <w:bCs/>
          <w:i/>
          <w:iCs/>
          <w:lang w:val="en-US"/>
        </w:rPr>
        <w:t>.</w:t>
      </w:r>
    </w:p>
    <w:p w:rsidR="00584DB7" w:rsidRPr="00250CDD" w:rsidRDefault="00584DB7" w:rsidP="00584DB7">
      <w:pPr>
        <w:pStyle w:val="Body10"/>
        <w:numPr>
          <w:ilvl w:val="1"/>
          <w:numId w:val="2"/>
        </w:numPr>
        <w:spacing w:before="100" w:beforeAutospacing="1" w:after="100" w:afterAutospacing="1"/>
        <w:outlineLvl w:val="9"/>
        <w:rPr>
          <w:rFonts w:ascii="Arial" w:hAnsi="Arial" w:cs="Arial"/>
          <w:b/>
          <w:bCs/>
        </w:rPr>
      </w:pPr>
      <w:r w:rsidRPr="007A23B7">
        <w:rPr>
          <w:rFonts w:ascii="Arial" w:hAnsi="Arial" w:cs="Arial"/>
          <w:b/>
          <w:bCs/>
          <w:i/>
          <w:iCs/>
          <w:lang w:val="en-US"/>
        </w:rPr>
        <w:t>Analysis and recommendations.</w:t>
      </w:r>
    </w:p>
    <w:p w:rsidR="00584DB7" w:rsidRPr="003C64E8" w:rsidRDefault="00584DB7" w:rsidP="00584DB7">
      <w:pPr>
        <w:pStyle w:val="Body10"/>
        <w:numPr>
          <w:ilvl w:val="0"/>
          <w:numId w:val="2"/>
        </w:numPr>
        <w:spacing w:before="100" w:beforeAutospacing="1" w:after="100" w:afterAutospacing="1" w:line="240" w:lineRule="auto"/>
        <w:outlineLvl w:val="9"/>
        <w:rPr>
          <w:rFonts w:ascii="Arial" w:hAnsi="Arial" w:cs="Arial"/>
          <w:bCs/>
          <w:lang w:val="en-US"/>
        </w:rPr>
      </w:pPr>
      <w:r w:rsidRPr="003C64E8">
        <w:rPr>
          <w:rFonts w:ascii="Arial" w:hAnsi="Arial" w:cs="Arial"/>
          <w:bCs/>
          <w:lang w:val="en-US"/>
        </w:rPr>
        <w:t>Conclusions and recommendations</w:t>
      </w:r>
    </w:p>
    <w:p w:rsidR="00584DB7" w:rsidRDefault="00584DB7" w:rsidP="00584DB7">
      <w:pPr>
        <w:pStyle w:val="Body10"/>
        <w:spacing w:before="100" w:beforeAutospacing="1" w:after="100" w:afterAutospacing="1"/>
        <w:rPr>
          <w:rFonts w:ascii="Arial" w:hAnsi="Arial" w:cs="Arial"/>
          <w:b/>
          <w:bCs/>
          <w:i/>
          <w:iCs/>
          <w:lang w:val="en-US"/>
        </w:rPr>
      </w:pPr>
      <w:r w:rsidRPr="003C64E8">
        <w:rPr>
          <w:rFonts w:ascii="Arial" w:hAnsi="Arial" w:cs="Arial"/>
          <w:b/>
          <w:bCs/>
          <w:i/>
          <w:iCs/>
          <w:lang w:val="en-US"/>
        </w:rPr>
        <w:t>Main conclusions of the assessment with regard to</w:t>
      </w:r>
      <w:r>
        <w:rPr>
          <w:rFonts w:ascii="Arial" w:hAnsi="Arial" w:cs="Arial"/>
          <w:b/>
          <w:bCs/>
          <w:i/>
          <w:iCs/>
          <w:lang w:val="en-US"/>
        </w:rPr>
        <w:t xml:space="preserve"> the</w:t>
      </w:r>
      <w:r w:rsidRPr="003C64E8">
        <w:rPr>
          <w:rFonts w:ascii="Arial" w:hAnsi="Arial" w:cs="Arial"/>
          <w:b/>
          <w:bCs/>
          <w:i/>
          <w:iCs/>
          <w:lang w:val="en-US"/>
        </w:rPr>
        <w:t xml:space="preserve"> available capacity, capaci</w:t>
      </w:r>
      <w:r>
        <w:rPr>
          <w:rFonts w:ascii="Arial" w:hAnsi="Arial" w:cs="Arial"/>
          <w:b/>
          <w:bCs/>
          <w:i/>
          <w:iCs/>
          <w:lang w:val="en-US"/>
        </w:rPr>
        <w:t>ty allocation, use of capacity and</w:t>
      </w:r>
      <w:r w:rsidRPr="003C64E8">
        <w:rPr>
          <w:rFonts w:ascii="Arial" w:hAnsi="Arial" w:cs="Arial"/>
          <w:b/>
          <w:bCs/>
          <w:i/>
          <w:iCs/>
          <w:lang w:val="en-US"/>
        </w:rPr>
        <w:t xml:space="preserve"> flows and CMP</w:t>
      </w:r>
      <w:r>
        <w:rPr>
          <w:rFonts w:ascii="Arial" w:hAnsi="Arial" w:cs="Arial"/>
          <w:b/>
          <w:bCs/>
          <w:i/>
          <w:iCs/>
          <w:lang w:val="en-US"/>
        </w:rPr>
        <w:t xml:space="preserve">. </w:t>
      </w:r>
    </w:p>
    <w:p w:rsidR="00584DB7" w:rsidRPr="003C64E8" w:rsidRDefault="00584DB7" w:rsidP="00584DB7">
      <w:pPr>
        <w:pStyle w:val="Body10"/>
        <w:spacing w:before="100" w:beforeAutospacing="1" w:after="100" w:afterAutospacing="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R</w:t>
      </w:r>
      <w:r w:rsidRPr="003C64E8">
        <w:rPr>
          <w:rFonts w:ascii="Arial" w:hAnsi="Arial" w:cs="Arial"/>
          <w:b/>
          <w:bCs/>
          <w:i/>
          <w:iCs/>
          <w:lang w:val="en-US"/>
        </w:rPr>
        <w:t>ecommendations.</w:t>
      </w:r>
    </w:p>
    <w:p w:rsidR="00584DB7" w:rsidRDefault="00584DB7" w:rsidP="00584DB7">
      <w:pPr>
        <w:pStyle w:val="Body10"/>
        <w:spacing w:before="100" w:beforeAutospacing="1" w:after="100" w:afterAutospacing="1" w:line="240" w:lineRule="auto"/>
        <w:rPr>
          <w:rFonts w:ascii="Arial" w:hAnsi="Arial" w:cs="Arial"/>
          <w:b/>
          <w:bCs/>
          <w:lang w:val="en-US"/>
        </w:rPr>
      </w:pPr>
    </w:p>
    <w:p w:rsidR="00584DB7" w:rsidRDefault="00584DB7" w:rsidP="00584DB7">
      <w:pPr>
        <w:pStyle w:val="Body10"/>
        <w:spacing w:before="100" w:beforeAutospacing="1" w:after="100" w:afterAutospacing="1" w:line="240" w:lineRule="auto"/>
        <w:rPr>
          <w:rFonts w:ascii="Arial" w:hAnsi="Arial" w:cs="Arial"/>
          <w:b/>
          <w:bCs/>
          <w:lang w:val="en-US"/>
        </w:rPr>
      </w:pPr>
    </w:p>
    <w:p w:rsidR="00584DB7" w:rsidRDefault="00584DB7" w:rsidP="00584DB7">
      <w:pPr>
        <w:pStyle w:val="Body10"/>
        <w:spacing w:before="100" w:beforeAutospacing="1" w:after="100" w:afterAutospacing="1" w:line="240" w:lineRule="auto"/>
        <w:ind w:left="720"/>
        <w:rPr>
          <w:rFonts w:ascii="Arial" w:hAnsi="Arial" w:cs="Arial"/>
          <w:bCs/>
          <w:lang w:val="en-US"/>
        </w:rPr>
      </w:pPr>
    </w:p>
    <w:p w:rsidR="00584DB7" w:rsidRDefault="00584DB7" w:rsidP="00584DB7"/>
    <w:p w:rsidR="00584DB7" w:rsidRPr="00553773" w:rsidRDefault="00584DB7" w:rsidP="00584DB7"/>
    <w:sectPr w:rsidR="00584DB7" w:rsidRPr="00553773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96" w:rsidRDefault="00985696">
      <w:r>
        <w:separator/>
      </w:r>
    </w:p>
  </w:endnote>
  <w:endnote w:type="continuationSeparator" w:id="0">
    <w:p w:rsidR="00985696" w:rsidRDefault="0098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Pr="00FB5E50" w:rsidRDefault="0073237E" w:rsidP="0073237E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jc w:val="right"/>
      <w:rPr>
        <w:rFonts w:cs="Arial"/>
      </w:rPr>
    </w:pPr>
    <w:r>
      <w:rPr>
        <w:rFonts w:cs="Arial"/>
        <w:snapToGrid w:val="0"/>
      </w:rPr>
      <w:t xml:space="preserve">  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1544BD">
      <w:rPr>
        <w:rFonts w:cs="Arial"/>
        <w:noProof/>
        <w:snapToGrid w:val="0"/>
      </w:rPr>
      <w:t>2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1544BD">
      <w:rPr>
        <w:rStyle w:val="Nmerodepgina"/>
        <w:noProof/>
      </w:rPr>
      <w:t>2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96" w:rsidRDefault="00985696">
      <w:r>
        <w:separator/>
      </w:r>
    </w:p>
  </w:footnote>
  <w:footnote w:type="continuationSeparator" w:id="0">
    <w:p w:rsidR="00985696" w:rsidRDefault="0098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24C4C4D" wp14:editId="74180787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B7372"/>
    <w:multiLevelType w:val="hybridMultilevel"/>
    <w:tmpl w:val="6A34A642"/>
    <w:lvl w:ilvl="0" w:tplc="8D488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1AA97A">
      <w:start w:val="5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D9E569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9683E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3CA22A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4B6D53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60B82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526C36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B4B1CEC"/>
    <w:multiLevelType w:val="hybridMultilevel"/>
    <w:tmpl w:val="6D96938A"/>
    <w:lvl w:ilvl="0" w:tplc="8D488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1C641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51AA97A">
      <w:start w:val="5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D9E569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9683E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3CA22A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4B6D53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60B82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526C36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23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0B7C"/>
    <w:rsid w:val="000855E3"/>
    <w:rsid w:val="00091D70"/>
    <w:rsid w:val="000926BB"/>
    <w:rsid w:val="00093048"/>
    <w:rsid w:val="00093430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17E0E"/>
    <w:rsid w:val="0012490D"/>
    <w:rsid w:val="00124AE3"/>
    <w:rsid w:val="001255E9"/>
    <w:rsid w:val="00130837"/>
    <w:rsid w:val="00130A6C"/>
    <w:rsid w:val="00133EE6"/>
    <w:rsid w:val="00134BDF"/>
    <w:rsid w:val="00146BA0"/>
    <w:rsid w:val="00152CF2"/>
    <w:rsid w:val="001539CC"/>
    <w:rsid w:val="001544BD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23BC"/>
    <w:rsid w:val="001D4BF0"/>
    <w:rsid w:val="001E3B7F"/>
    <w:rsid w:val="001E544A"/>
    <w:rsid w:val="001F14E7"/>
    <w:rsid w:val="001F2600"/>
    <w:rsid w:val="001F53CE"/>
    <w:rsid w:val="001F7E98"/>
    <w:rsid w:val="00204991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7047"/>
    <w:rsid w:val="00282A4B"/>
    <w:rsid w:val="00287C41"/>
    <w:rsid w:val="0029515A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03DB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37AB"/>
    <w:rsid w:val="0036536E"/>
    <w:rsid w:val="003661B1"/>
    <w:rsid w:val="00384E65"/>
    <w:rsid w:val="00385624"/>
    <w:rsid w:val="003907A0"/>
    <w:rsid w:val="00395AAA"/>
    <w:rsid w:val="003A1101"/>
    <w:rsid w:val="003A32E8"/>
    <w:rsid w:val="003B2097"/>
    <w:rsid w:val="003B4911"/>
    <w:rsid w:val="003B4BFF"/>
    <w:rsid w:val="003B7CF3"/>
    <w:rsid w:val="003C23BD"/>
    <w:rsid w:val="003C3892"/>
    <w:rsid w:val="003C5503"/>
    <w:rsid w:val="003D684D"/>
    <w:rsid w:val="003D7F4A"/>
    <w:rsid w:val="003F031E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A70D6"/>
    <w:rsid w:val="004B1D1C"/>
    <w:rsid w:val="004B340C"/>
    <w:rsid w:val="004B45AF"/>
    <w:rsid w:val="004B68E9"/>
    <w:rsid w:val="004C082B"/>
    <w:rsid w:val="004C4806"/>
    <w:rsid w:val="004C51F3"/>
    <w:rsid w:val="004C58B5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46B34"/>
    <w:rsid w:val="0055197F"/>
    <w:rsid w:val="00560959"/>
    <w:rsid w:val="00561583"/>
    <w:rsid w:val="00562E4C"/>
    <w:rsid w:val="00563A20"/>
    <w:rsid w:val="00564B9F"/>
    <w:rsid w:val="00570F73"/>
    <w:rsid w:val="00571E37"/>
    <w:rsid w:val="00573DF3"/>
    <w:rsid w:val="00584DB7"/>
    <w:rsid w:val="00586535"/>
    <w:rsid w:val="00586966"/>
    <w:rsid w:val="00592E58"/>
    <w:rsid w:val="00595D78"/>
    <w:rsid w:val="005A423B"/>
    <w:rsid w:val="005A7C3A"/>
    <w:rsid w:val="005B0B85"/>
    <w:rsid w:val="005B5F2B"/>
    <w:rsid w:val="005B6147"/>
    <w:rsid w:val="005C0AF9"/>
    <w:rsid w:val="005C0F46"/>
    <w:rsid w:val="005C2616"/>
    <w:rsid w:val="005C3603"/>
    <w:rsid w:val="005C534A"/>
    <w:rsid w:val="005D1D37"/>
    <w:rsid w:val="005D2DA4"/>
    <w:rsid w:val="005E34E1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2536"/>
    <w:rsid w:val="007134D6"/>
    <w:rsid w:val="00713BC3"/>
    <w:rsid w:val="00717BA6"/>
    <w:rsid w:val="00725BD5"/>
    <w:rsid w:val="00730B97"/>
    <w:rsid w:val="0073237E"/>
    <w:rsid w:val="00732CCC"/>
    <w:rsid w:val="0073467E"/>
    <w:rsid w:val="00735D43"/>
    <w:rsid w:val="00737417"/>
    <w:rsid w:val="00741916"/>
    <w:rsid w:val="00756FE1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38E9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908"/>
    <w:rsid w:val="00881D54"/>
    <w:rsid w:val="008837B9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F0787"/>
    <w:rsid w:val="008F386A"/>
    <w:rsid w:val="008F4D37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85696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E3268"/>
    <w:rsid w:val="009F5CBD"/>
    <w:rsid w:val="009F7FAC"/>
    <w:rsid w:val="00A001D8"/>
    <w:rsid w:val="00A05861"/>
    <w:rsid w:val="00A058BD"/>
    <w:rsid w:val="00A06515"/>
    <w:rsid w:val="00A106AE"/>
    <w:rsid w:val="00A17F68"/>
    <w:rsid w:val="00A229B2"/>
    <w:rsid w:val="00A351D5"/>
    <w:rsid w:val="00A372BF"/>
    <w:rsid w:val="00A4036A"/>
    <w:rsid w:val="00A45490"/>
    <w:rsid w:val="00A45DF1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879AC"/>
    <w:rsid w:val="00A9321E"/>
    <w:rsid w:val="00A95F20"/>
    <w:rsid w:val="00A975A4"/>
    <w:rsid w:val="00AA1387"/>
    <w:rsid w:val="00AB1956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E1090"/>
    <w:rsid w:val="00AE3A95"/>
    <w:rsid w:val="00AE7DAD"/>
    <w:rsid w:val="00AF15C0"/>
    <w:rsid w:val="00AF2288"/>
    <w:rsid w:val="00AF2988"/>
    <w:rsid w:val="00AF5A5C"/>
    <w:rsid w:val="00AF77CE"/>
    <w:rsid w:val="00B001E2"/>
    <w:rsid w:val="00B0198F"/>
    <w:rsid w:val="00B13E34"/>
    <w:rsid w:val="00B15AE0"/>
    <w:rsid w:val="00B22196"/>
    <w:rsid w:val="00B3095C"/>
    <w:rsid w:val="00B31D31"/>
    <w:rsid w:val="00B345DC"/>
    <w:rsid w:val="00B3586E"/>
    <w:rsid w:val="00B377A8"/>
    <w:rsid w:val="00B4243D"/>
    <w:rsid w:val="00B4290C"/>
    <w:rsid w:val="00B438DA"/>
    <w:rsid w:val="00B62265"/>
    <w:rsid w:val="00B6789C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265DD"/>
    <w:rsid w:val="00C35383"/>
    <w:rsid w:val="00C354D5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90C05"/>
    <w:rsid w:val="00C91A7B"/>
    <w:rsid w:val="00C9341B"/>
    <w:rsid w:val="00C940EE"/>
    <w:rsid w:val="00C94BBA"/>
    <w:rsid w:val="00C96584"/>
    <w:rsid w:val="00CA242F"/>
    <w:rsid w:val="00CA43BC"/>
    <w:rsid w:val="00CA63D1"/>
    <w:rsid w:val="00CA797E"/>
    <w:rsid w:val="00CA7EEE"/>
    <w:rsid w:val="00CB5901"/>
    <w:rsid w:val="00CB6FB6"/>
    <w:rsid w:val="00CD3D5D"/>
    <w:rsid w:val="00CD601B"/>
    <w:rsid w:val="00CE19FD"/>
    <w:rsid w:val="00CE4E15"/>
    <w:rsid w:val="00CF06D0"/>
    <w:rsid w:val="00CF4E31"/>
    <w:rsid w:val="00D00A96"/>
    <w:rsid w:val="00D0104C"/>
    <w:rsid w:val="00D0585C"/>
    <w:rsid w:val="00D106EB"/>
    <w:rsid w:val="00D10EAE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3E18"/>
    <w:rsid w:val="00E74379"/>
    <w:rsid w:val="00E75C9E"/>
    <w:rsid w:val="00E82374"/>
    <w:rsid w:val="00E841CF"/>
    <w:rsid w:val="00EA4398"/>
    <w:rsid w:val="00EA4642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4CA5"/>
    <w:rsid w:val="00ED7B0B"/>
    <w:rsid w:val="00EE27E9"/>
    <w:rsid w:val="00EE2CAB"/>
    <w:rsid w:val="00EE3DAB"/>
    <w:rsid w:val="00EF23C6"/>
    <w:rsid w:val="00F000B2"/>
    <w:rsid w:val="00F04D86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0424"/>
    <w:rsid w:val="00FC307B"/>
    <w:rsid w:val="00FC665F"/>
    <w:rsid w:val="00FD198F"/>
    <w:rsid w:val="00FE2DC6"/>
    <w:rsid w:val="00FE4CD1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7061089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7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e6046117-bfc4-43a7-a249-50c8f2b8e5fc">Draft index_ Report on the use of interconnections in the Region oct16_sept19.docx</AcerDocumentName>
    <ACER_Abstract xmlns="985daa2e-53d8-4475-82b8-9c7d25324e34" xsi:nil="true"/>
    <_dlc_DocId xmlns="985daa2e-53d8-4475-82b8-9c7d25324e34">ACER-2019-87467</_dlc_DocId>
    <_dlc_DocIdUrl xmlns="985daa2e-53d8-4475-82b8-9c7d25324e34">
      <Url>https://extranet.acer.europa.eu/Events/51st-IG-Meeting/_layouts/15/DocIdRedir.aspx?ID=ACER-2019-87467</Url>
      <Description>ACER-2019-87467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574207135F3418C71BC0A7994059A" ma:contentTypeVersion="20" ma:contentTypeDescription="Create a new document." ma:contentTypeScope="" ma:versionID="0deff0a5cc443311d66fc18ae41db815">
  <xsd:schema xmlns:xsd="http://www.w3.org/2001/XMLSchema" xmlns:xs="http://www.w3.org/2001/XMLSchema" xmlns:p="http://schemas.microsoft.com/office/2006/metadata/properties" xmlns:ns2="985daa2e-53d8-4475-82b8-9c7d25324e34" xmlns:ns3="e6046117-bfc4-43a7-a249-50c8f2b8e5fc" targetNamespace="http://schemas.microsoft.com/office/2006/metadata/properties" ma:root="true" ma:fieldsID="45a8c2095f1ea68e50711845bca10265" ns2:_="" ns3:_="">
    <xsd:import namespace="985daa2e-53d8-4475-82b8-9c7d25324e34"/>
    <xsd:import namespace="e6046117-bfc4-43a7-a249-50c8f2b8e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117-bfc4-43a7-a249-50c8f2b8e5fc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75362706-9623-442D-B550-73DAC0D80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FAA3D-7EB3-4BBE-BB05-A5007D729DC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90E952-27F4-4631-9AE1-5B4C010A8BFE}"/>
</file>

<file path=customXml/itemProps4.xml><?xml version="1.0" encoding="utf-8"?>
<ds:datastoreItem xmlns:ds="http://schemas.openxmlformats.org/officeDocument/2006/customXml" ds:itemID="{F1B91C58-BE90-4550-BDB1-6DA4EA49AE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5DB5D7-27A8-4CCA-A0B5-79A0B9521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470</Words>
  <Characters>3004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9</cp:revision>
  <cp:lastPrinted>2018-10-11T11:00:00Z</cp:lastPrinted>
  <dcterms:created xsi:type="dcterms:W3CDTF">2019-06-17T12:43:00Z</dcterms:created>
  <dcterms:modified xsi:type="dcterms:W3CDTF">2019-08-28T08:32:00Z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0x010100DDD574207135F3418C71BC0A7994059A</vt:lpwstr>
  </property>
  <property fmtid="{D5CDD505-2E9C-101B-9397-08002B2CF9AE}" pid="3" name="_dlc_DocIdItemGuid">
    <vt:lpwstr>39883165-372a-475e-9d1a-32cea293fc19</vt:lpwstr>
  </property>
</Properties>
</file>