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rawings/drawing1.xml" ContentType="application/vnd.openxmlformats-officedocument.drawingml.chartshapes+xml"/>
  <Override PartName="/word/drawings/drawing3.xml" ContentType="application/vnd.openxmlformats-officedocument.drawingml.chartshapes+xml"/>
  <Override PartName="/word/drawings/drawing2.xml" ContentType="application/vnd.openxmlformats-officedocument.drawingml.chartshapes+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chart8.xml" ContentType="application/vnd.openxmlformats-officedocument.drawingml.chart+xml"/>
  <Override PartName="/word/charts/chart6.xml" ContentType="application/vnd.openxmlformats-officedocument.drawingml.chart+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style9.xml" ContentType="application/vnd.ms-office.chartstyle+xml"/>
  <Override PartName="/word/charts/style10.xml" ContentType="application/vnd.ms-office.chartstyle+xml"/>
  <Override PartName="/word/charts/chart10.xml" ContentType="application/vnd.openxmlformats-officedocument.drawingml.chart+xml"/>
  <Override PartName="/word/theme/theme1.xml" ContentType="application/vnd.openxmlformats-officedocument.theme+xml"/>
  <Override PartName="/word/charts/colors10.xml" ContentType="application/vnd.ms-office.chartcolorstyle+xml"/>
  <Override PartName="/word/charts/colors9.xml" ContentType="application/vnd.ms-office.chartcolorstyle+xml"/>
  <Override PartName="/word/charts/style6.xml" ContentType="application/vnd.ms-office.chartstyle+xml"/>
  <Override PartName="/word/charts/chart1.xml" ContentType="application/vnd.openxmlformats-officedocument.drawingml.chart+xml"/>
  <Override PartName="/word/charts/style1.xml" ContentType="application/vnd.ms-office.chartstyle+xml"/>
  <Override PartName="/word/charts/colors3.xml" ContentType="application/vnd.ms-office.chartcolorstyle+xml"/>
  <Override PartName="/word/charts/chart5.xml" ContentType="application/vnd.openxmlformats-officedocument.drawingml.chart+xml"/>
  <Override PartName="/word/charts/colors4.xml" ContentType="application/vnd.ms-office.chartcolorstyle+xml"/>
  <Override PartName="/word/charts/style4.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3.xml" ContentType="application/vnd.ms-office.chartstyle+xml"/>
  <Override PartName="/word/charts/chart4.xml" ContentType="application/vnd.openxmlformats-officedocument.drawingml.chart+xml"/>
  <Override PartName="/word/charts/style5.xml" ContentType="application/vnd.ms-office.chart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olors5.xml" ContentType="application/vnd.ms-office.chartcolorstyl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18D" w:rsidRDefault="00DD018D" w:rsidP="00DD018D">
      <w:pPr>
        <w:jc w:val="center"/>
        <w:rPr>
          <w:b/>
          <w:color w:val="FF0000"/>
          <w:sz w:val="32"/>
          <w:lang w:val="en-GB"/>
        </w:rPr>
      </w:pPr>
    </w:p>
    <w:p w:rsidR="00CD28AA" w:rsidRDefault="00CD28AA" w:rsidP="00DD018D">
      <w:pPr>
        <w:jc w:val="center"/>
        <w:rPr>
          <w:b/>
          <w:color w:val="FF0000"/>
          <w:sz w:val="32"/>
          <w:lang w:val="en-GB"/>
        </w:rPr>
      </w:pPr>
    </w:p>
    <w:p w:rsidR="00CD28AA" w:rsidRDefault="00CD28AA" w:rsidP="00DD018D">
      <w:pPr>
        <w:jc w:val="center"/>
        <w:rPr>
          <w:b/>
          <w:color w:val="FF0000"/>
          <w:sz w:val="32"/>
          <w:lang w:val="en-GB"/>
        </w:rPr>
      </w:pPr>
    </w:p>
    <w:p w:rsidR="00CD28AA" w:rsidRDefault="00CD28AA" w:rsidP="00DD018D">
      <w:pPr>
        <w:jc w:val="center"/>
        <w:rPr>
          <w:b/>
          <w:color w:val="FF0000"/>
          <w:sz w:val="32"/>
          <w:lang w:val="en-GB"/>
        </w:rPr>
      </w:pPr>
    </w:p>
    <w:p w:rsidR="00C03133" w:rsidRDefault="00C03133" w:rsidP="00DD018D">
      <w:pPr>
        <w:jc w:val="center"/>
        <w:rPr>
          <w:b/>
          <w:color w:val="FF0000"/>
          <w:sz w:val="32"/>
          <w:lang w:val="en-GB"/>
        </w:rPr>
      </w:pPr>
    </w:p>
    <w:p w:rsidR="00C03133" w:rsidRDefault="00997D25" w:rsidP="00DD018D">
      <w:pPr>
        <w:jc w:val="center"/>
        <w:rPr>
          <w:b/>
          <w:color w:val="FF0000"/>
          <w:sz w:val="32"/>
          <w:lang w:val="en-GB"/>
        </w:rPr>
      </w:pPr>
      <w:r>
        <w:rPr>
          <w:b/>
          <w:color w:val="FF0000"/>
          <w:sz w:val="32"/>
          <w:lang w:val="en-GB"/>
        </w:rPr>
        <w:t>South Gas Regional Initiative</w:t>
      </w:r>
    </w:p>
    <w:p w:rsidR="00DD018D" w:rsidRDefault="00DD018D" w:rsidP="00DD018D">
      <w:pPr>
        <w:rPr>
          <w:lang w:val="en-GB"/>
        </w:rPr>
      </w:pPr>
    </w:p>
    <w:p w:rsidR="00DD018D" w:rsidRPr="00E37F9F" w:rsidRDefault="00535033" w:rsidP="00DD018D">
      <w:pPr>
        <w:jc w:val="center"/>
        <w:rPr>
          <w:rFonts w:cs="Arial"/>
          <w:b/>
          <w:bCs/>
          <w:color w:val="264D74"/>
          <w:sz w:val="44"/>
          <w:szCs w:val="44"/>
          <w:lang w:val="en-GB"/>
        </w:rPr>
      </w:pPr>
      <w:r>
        <w:rPr>
          <w:rFonts w:cs="Arial"/>
          <w:b/>
          <w:bCs/>
          <w:color w:val="264D74"/>
          <w:sz w:val="44"/>
          <w:szCs w:val="44"/>
          <w:lang w:val="en-GB"/>
        </w:rPr>
        <w:t>Balancing regime in the Region</w:t>
      </w:r>
    </w:p>
    <w:p w:rsidR="00997D25" w:rsidRPr="003F7A1A" w:rsidRDefault="003F7A1A" w:rsidP="00DD018D">
      <w:pPr>
        <w:tabs>
          <w:tab w:val="left" w:pos="2310"/>
          <w:tab w:val="left" w:pos="5910"/>
        </w:tabs>
        <w:spacing w:after="240"/>
        <w:jc w:val="center"/>
        <w:rPr>
          <w:rFonts w:cs="Arial"/>
          <w:b/>
          <w:color w:val="9CB700"/>
          <w:sz w:val="32"/>
          <w:szCs w:val="32"/>
          <w:lang w:val="en-GB"/>
        </w:rPr>
      </w:pPr>
      <w:r>
        <w:rPr>
          <w:rFonts w:cs="Arial"/>
          <w:b/>
          <w:color w:val="9CB700"/>
          <w:sz w:val="32"/>
          <w:szCs w:val="32"/>
          <w:lang w:val="en-GB"/>
        </w:rPr>
        <w:t xml:space="preserve">From </w:t>
      </w:r>
      <w:r w:rsidR="00535033" w:rsidRPr="003F7A1A">
        <w:rPr>
          <w:rFonts w:cs="Arial"/>
          <w:b/>
          <w:color w:val="9CB700"/>
          <w:sz w:val="32"/>
          <w:szCs w:val="32"/>
          <w:lang w:val="en-GB"/>
        </w:rPr>
        <w:t>October 2015 to September 2017</w:t>
      </w:r>
    </w:p>
    <w:p w:rsidR="00DD018D" w:rsidRDefault="00DD018D" w:rsidP="00DD018D">
      <w:pPr>
        <w:rPr>
          <w:lang w:val="en-GB"/>
        </w:rPr>
      </w:pPr>
    </w:p>
    <w:p w:rsidR="002964CC" w:rsidRDefault="002964CC" w:rsidP="00DD018D">
      <w:pPr>
        <w:rPr>
          <w:lang w:val="en-GB"/>
        </w:rPr>
      </w:pPr>
    </w:p>
    <w:p w:rsidR="00DD018D" w:rsidRDefault="00DD018D" w:rsidP="00DD018D">
      <w:pPr>
        <w:rPr>
          <w:lang w:val="en-GB"/>
        </w:rPr>
      </w:pPr>
    </w:p>
    <w:p w:rsidR="00DD018D" w:rsidRDefault="00DD018D" w:rsidP="00DD018D">
      <w:pPr>
        <w:rPr>
          <w:lang w:val="en-GB"/>
        </w:rPr>
      </w:pPr>
    </w:p>
    <w:p w:rsidR="00DD018D" w:rsidRDefault="00A90EBB" w:rsidP="00DD018D">
      <w:pPr>
        <w:pStyle w:val="Normalpersonal"/>
        <w:spacing w:before="0"/>
        <w:jc w:val="center"/>
        <w:rPr>
          <w:rFonts w:ascii="Arial" w:hAnsi="Arial" w:cs="Arial"/>
          <w:color w:val="004E55"/>
          <w:sz w:val="28"/>
          <w:lang w:val="en-GB"/>
        </w:rPr>
      </w:pPr>
      <w:r>
        <w:rPr>
          <w:rFonts w:ascii="Arial" w:hAnsi="Arial" w:cs="Arial"/>
          <w:color w:val="004E55"/>
          <w:sz w:val="28"/>
          <w:lang w:val="en-GB"/>
        </w:rPr>
        <w:t>15 June</w:t>
      </w:r>
      <w:r w:rsidR="00405FC1">
        <w:rPr>
          <w:rFonts w:ascii="Arial" w:hAnsi="Arial" w:cs="Arial"/>
          <w:color w:val="004E55"/>
          <w:sz w:val="28"/>
          <w:lang w:val="en-GB"/>
        </w:rPr>
        <w:t xml:space="preserve"> 2018</w:t>
      </w:r>
    </w:p>
    <w:p w:rsidR="008F0384" w:rsidRPr="008C1192" w:rsidRDefault="002752CF" w:rsidP="008C1192">
      <w:pPr>
        <w:rPr>
          <w:rFonts w:cs="Arial"/>
          <w:bCs/>
          <w:color w:val="000000" w:themeColor="text1"/>
          <w:szCs w:val="22"/>
        </w:rPr>
      </w:pPr>
      <w:r w:rsidRPr="008C1192">
        <w:rPr>
          <w:rFonts w:cs="Arial"/>
          <w:color w:val="000000" w:themeColor="text1"/>
          <w:szCs w:val="22"/>
        </w:rPr>
        <w:br w:type="page"/>
      </w:r>
    </w:p>
    <w:p w:rsidR="008F0384" w:rsidRPr="001E5F6D" w:rsidRDefault="008F0384" w:rsidP="00CC6BDF">
      <w:pPr>
        <w:pStyle w:val="Textoindependiente3"/>
        <w:pageBreakBefore/>
        <w:jc w:val="center"/>
        <w:rPr>
          <w:rFonts w:cs="Arial"/>
          <w:b/>
          <w:smallCaps/>
          <w:color w:val="000000" w:themeColor="text1"/>
          <w:sz w:val="32"/>
          <w:szCs w:val="22"/>
        </w:rPr>
      </w:pPr>
      <w:r w:rsidRPr="001E5F6D">
        <w:rPr>
          <w:rFonts w:cs="Arial"/>
          <w:b/>
          <w:smallCaps/>
          <w:color w:val="000000" w:themeColor="text1"/>
          <w:sz w:val="32"/>
          <w:szCs w:val="22"/>
        </w:rPr>
        <w:lastRenderedPageBreak/>
        <w:t>INDEX</w:t>
      </w:r>
    </w:p>
    <w:p w:rsidR="00F4103D" w:rsidRDefault="00510CE2" w:rsidP="00F4103D">
      <w:pPr>
        <w:pStyle w:val="TDC1"/>
        <w:spacing w:before="240"/>
        <w:rPr>
          <w:rFonts w:asciiTheme="minorHAnsi" w:eastAsiaTheme="minorEastAsia" w:hAnsiTheme="minorHAnsi" w:cstheme="minorBidi"/>
          <w:noProof/>
          <w:szCs w:val="22"/>
          <w:lang w:val="es-ES" w:eastAsia="es-ES"/>
        </w:rPr>
      </w:pPr>
      <w:r>
        <w:rPr>
          <w:rFonts w:cs="Arial"/>
          <w:b/>
          <w:color w:val="000000" w:themeColor="text1"/>
          <w:szCs w:val="22"/>
          <w:lang w:val="en-GB"/>
        </w:rPr>
        <w:fldChar w:fldCharType="begin"/>
      </w:r>
      <w:r>
        <w:rPr>
          <w:rFonts w:cs="Arial"/>
          <w:b/>
          <w:color w:val="000000" w:themeColor="text1"/>
          <w:szCs w:val="22"/>
          <w:lang w:val="en-GB"/>
        </w:rPr>
        <w:instrText xml:space="preserve"> TOC \o "1-2" \h \z \u </w:instrText>
      </w:r>
      <w:r>
        <w:rPr>
          <w:rFonts w:cs="Arial"/>
          <w:b/>
          <w:color w:val="000000" w:themeColor="text1"/>
          <w:szCs w:val="22"/>
          <w:lang w:val="en-GB"/>
        </w:rPr>
        <w:fldChar w:fldCharType="separate"/>
      </w:r>
      <w:hyperlink w:anchor="_Toc516823934" w:history="1">
        <w:r w:rsidR="00F4103D" w:rsidRPr="00B41810">
          <w:rPr>
            <w:rStyle w:val="Hipervnculo"/>
            <w:noProof/>
            <w:lang w:val="en-US"/>
          </w:rPr>
          <w:t>1</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Background</w:t>
        </w:r>
        <w:r w:rsidR="00F4103D">
          <w:rPr>
            <w:noProof/>
            <w:webHidden/>
          </w:rPr>
          <w:tab/>
        </w:r>
        <w:r w:rsidR="00F4103D">
          <w:rPr>
            <w:noProof/>
            <w:webHidden/>
          </w:rPr>
          <w:fldChar w:fldCharType="begin"/>
        </w:r>
        <w:r w:rsidR="00F4103D">
          <w:rPr>
            <w:noProof/>
            <w:webHidden/>
          </w:rPr>
          <w:instrText xml:space="preserve"> PAGEREF _Toc516823934 \h </w:instrText>
        </w:r>
        <w:r w:rsidR="00F4103D">
          <w:rPr>
            <w:noProof/>
            <w:webHidden/>
          </w:rPr>
        </w:r>
        <w:r w:rsidR="00F4103D">
          <w:rPr>
            <w:noProof/>
            <w:webHidden/>
          </w:rPr>
          <w:fldChar w:fldCharType="separate"/>
        </w:r>
        <w:r w:rsidR="00F4103D">
          <w:rPr>
            <w:noProof/>
            <w:webHidden/>
          </w:rPr>
          <w:t>3</w:t>
        </w:r>
        <w:r w:rsidR="00F4103D">
          <w:rPr>
            <w:noProof/>
            <w:webHidden/>
          </w:rPr>
          <w:fldChar w:fldCharType="end"/>
        </w:r>
      </w:hyperlink>
    </w:p>
    <w:p w:rsidR="00F4103D" w:rsidRDefault="007D2C40" w:rsidP="00F4103D">
      <w:pPr>
        <w:pStyle w:val="TDC1"/>
        <w:spacing w:before="240"/>
        <w:rPr>
          <w:rFonts w:asciiTheme="minorHAnsi" w:eastAsiaTheme="minorEastAsia" w:hAnsiTheme="minorHAnsi" w:cstheme="minorBidi"/>
          <w:noProof/>
          <w:szCs w:val="22"/>
          <w:lang w:val="es-ES" w:eastAsia="es-ES"/>
        </w:rPr>
      </w:pPr>
      <w:hyperlink w:anchor="_Toc516823935" w:history="1">
        <w:r w:rsidR="00F4103D" w:rsidRPr="00B41810">
          <w:rPr>
            <w:rStyle w:val="Hipervnculo"/>
            <w:noProof/>
            <w:lang w:val="en-US"/>
          </w:rPr>
          <w:t>2</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Description of the balancing regimes in place</w:t>
        </w:r>
        <w:r w:rsidR="00F4103D">
          <w:rPr>
            <w:noProof/>
            <w:webHidden/>
          </w:rPr>
          <w:tab/>
        </w:r>
        <w:r w:rsidR="00F4103D">
          <w:rPr>
            <w:noProof/>
            <w:webHidden/>
          </w:rPr>
          <w:fldChar w:fldCharType="begin"/>
        </w:r>
        <w:r w:rsidR="00F4103D">
          <w:rPr>
            <w:noProof/>
            <w:webHidden/>
          </w:rPr>
          <w:instrText xml:space="preserve"> PAGEREF _Toc516823935 \h </w:instrText>
        </w:r>
        <w:r w:rsidR="00F4103D">
          <w:rPr>
            <w:noProof/>
            <w:webHidden/>
          </w:rPr>
        </w:r>
        <w:r w:rsidR="00F4103D">
          <w:rPr>
            <w:noProof/>
            <w:webHidden/>
          </w:rPr>
          <w:fldChar w:fldCharType="separate"/>
        </w:r>
        <w:r w:rsidR="00F4103D">
          <w:rPr>
            <w:noProof/>
            <w:webHidden/>
          </w:rPr>
          <w:t>4</w:t>
        </w:r>
        <w:r w:rsidR="00F4103D">
          <w:rPr>
            <w:noProof/>
            <w:webHidden/>
          </w:rPr>
          <w:fldChar w:fldCharType="end"/>
        </w:r>
      </w:hyperlink>
    </w:p>
    <w:p w:rsidR="00F4103D" w:rsidRDefault="007D2C40" w:rsidP="00F4103D">
      <w:pPr>
        <w:pStyle w:val="TDC2"/>
        <w:spacing w:line="240" w:lineRule="auto"/>
        <w:rPr>
          <w:rFonts w:asciiTheme="minorHAnsi" w:eastAsiaTheme="minorEastAsia" w:hAnsiTheme="minorHAnsi" w:cstheme="minorBidi"/>
          <w:noProof/>
          <w:szCs w:val="22"/>
          <w:lang w:val="es-ES" w:eastAsia="es-ES"/>
        </w:rPr>
      </w:pPr>
      <w:hyperlink w:anchor="_Toc516823936" w:history="1">
        <w:r w:rsidR="00F4103D" w:rsidRPr="00B41810">
          <w:rPr>
            <w:rStyle w:val="Hipervnculo"/>
            <w:noProof/>
            <w:lang w:val="en-US"/>
          </w:rPr>
          <w:t>2.1</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General principles</w:t>
        </w:r>
        <w:r w:rsidR="00F4103D">
          <w:rPr>
            <w:noProof/>
            <w:webHidden/>
          </w:rPr>
          <w:tab/>
        </w:r>
        <w:r w:rsidR="00F4103D">
          <w:rPr>
            <w:noProof/>
            <w:webHidden/>
          </w:rPr>
          <w:fldChar w:fldCharType="begin"/>
        </w:r>
        <w:r w:rsidR="00F4103D">
          <w:rPr>
            <w:noProof/>
            <w:webHidden/>
          </w:rPr>
          <w:instrText xml:space="preserve"> PAGEREF _Toc516823936 \h </w:instrText>
        </w:r>
        <w:r w:rsidR="00F4103D">
          <w:rPr>
            <w:noProof/>
            <w:webHidden/>
          </w:rPr>
        </w:r>
        <w:r w:rsidR="00F4103D">
          <w:rPr>
            <w:noProof/>
            <w:webHidden/>
          </w:rPr>
          <w:fldChar w:fldCharType="separate"/>
        </w:r>
        <w:r w:rsidR="00F4103D">
          <w:rPr>
            <w:noProof/>
            <w:webHidden/>
          </w:rPr>
          <w:t>7</w:t>
        </w:r>
        <w:r w:rsidR="00F4103D">
          <w:rPr>
            <w:noProof/>
            <w:webHidden/>
          </w:rPr>
          <w:fldChar w:fldCharType="end"/>
        </w:r>
      </w:hyperlink>
    </w:p>
    <w:p w:rsidR="00F4103D" w:rsidRDefault="007D2C40" w:rsidP="00F4103D">
      <w:pPr>
        <w:pStyle w:val="TDC2"/>
        <w:spacing w:line="240" w:lineRule="auto"/>
        <w:jc w:val="right"/>
        <w:rPr>
          <w:rFonts w:asciiTheme="minorHAnsi" w:eastAsiaTheme="minorEastAsia" w:hAnsiTheme="minorHAnsi" w:cstheme="minorBidi"/>
          <w:noProof/>
          <w:szCs w:val="22"/>
          <w:lang w:val="es-ES" w:eastAsia="es-ES"/>
        </w:rPr>
      </w:pPr>
      <w:hyperlink w:anchor="_Toc516823937" w:history="1">
        <w:r w:rsidR="00F4103D" w:rsidRPr="00B41810">
          <w:rPr>
            <w:rStyle w:val="Hipervnculo"/>
            <w:noProof/>
            <w:lang w:val="en-US"/>
          </w:rPr>
          <w:t>2.2</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Virtual trading point</w:t>
        </w:r>
        <w:r w:rsidR="00F4103D">
          <w:rPr>
            <w:noProof/>
            <w:webHidden/>
          </w:rPr>
          <w:tab/>
        </w:r>
        <w:r w:rsidR="00F4103D">
          <w:rPr>
            <w:noProof/>
            <w:webHidden/>
          </w:rPr>
          <w:fldChar w:fldCharType="begin"/>
        </w:r>
        <w:r w:rsidR="00F4103D">
          <w:rPr>
            <w:noProof/>
            <w:webHidden/>
          </w:rPr>
          <w:instrText xml:space="preserve"> PAGEREF _Toc516823937 \h </w:instrText>
        </w:r>
        <w:r w:rsidR="00F4103D">
          <w:rPr>
            <w:noProof/>
            <w:webHidden/>
          </w:rPr>
        </w:r>
        <w:r w:rsidR="00F4103D">
          <w:rPr>
            <w:noProof/>
            <w:webHidden/>
          </w:rPr>
          <w:fldChar w:fldCharType="separate"/>
        </w:r>
        <w:r w:rsidR="00F4103D">
          <w:rPr>
            <w:noProof/>
            <w:webHidden/>
          </w:rPr>
          <w:t>9</w:t>
        </w:r>
        <w:r w:rsidR="00F4103D">
          <w:rPr>
            <w:noProof/>
            <w:webHidden/>
          </w:rPr>
          <w:fldChar w:fldCharType="end"/>
        </w:r>
      </w:hyperlink>
    </w:p>
    <w:p w:rsidR="00F4103D" w:rsidRDefault="007D2C40" w:rsidP="00F4103D">
      <w:pPr>
        <w:pStyle w:val="TDC2"/>
        <w:spacing w:line="240" w:lineRule="auto"/>
        <w:rPr>
          <w:rFonts w:asciiTheme="minorHAnsi" w:eastAsiaTheme="minorEastAsia" w:hAnsiTheme="minorHAnsi" w:cstheme="minorBidi"/>
          <w:noProof/>
          <w:szCs w:val="22"/>
          <w:lang w:val="es-ES" w:eastAsia="es-ES"/>
        </w:rPr>
      </w:pPr>
      <w:hyperlink w:anchor="_Toc516823938" w:history="1">
        <w:r w:rsidR="00F4103D" w:rsidRPr="00B41810">
          <w:rPr>
            <w:rStyle w:val="Hipervnculo"/>
            <w:noProof/>
            <w:lang w:val="en-US"/>
          </w:rPr>
          <w:t>2.3</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Trading platform.</w:t>
        </w:r>
        <w:r w:rsidR="00F4103D">
          <w:rPr>
            <w:noProof/>
            <w:webHidden/>
          </w:rPr>
          <w:tab/>
        </w:r>
        <w:r w:rsidR="00F4103D">
          <w:rPr>
            <w:noProof/>
            <w:webHidden/>
          </w:rPr>
          <w:fldChar w:fldCharType="begin"/>
        </w:r>
        <w:r w:rsidR="00F4103D">
          <w:rPr>
            <w:noProof/>
            <w:webHidden/>
          </w:rPr>
          <w:instrText xml:space="preserve"> PAGEREF _Toc516823938 \h </w:instrText>
        </w:r>
        <w:r w:rsidR="00F4103D">
          <w:rPr>
            <w:noProof/>
            <w:webHidden/>
          </w:rPr>
        </w:r>
        <w:r w:rsidR="00F4103D">
          <w:rPr>
            <w:noProof/>
            <w:webHidden/>
          </w:rPr>
          <w:fldChar w:fldCharType="separate"/>
        </w:r>
        <w:r w:rsidR="00F4103D">
          <w:rPr>
            <w:noProof/>
            <w:webHidden/>
          </w:rPr>
          <w:t>10</w:t>
        </w:r>
        <w:r w:rsidR="00F4103D">
          <w:rPr>
            <w:noProof/>
            <w:webHidden/>
          </w:rPr>
          <w:fldChar w:fldCharType="end"/>
        </w:r>
      </w:hyperlink>
    </w:p>
    <w:p w:rsidR="00F4103D" w:rsidRDefault="007D2C40" w:rsidP="00F4103D">
      <w:pPr>
        <w:pStyle w:val="TDC2"/>
        <w:spacing w:line="240" w:lineRule="auto"/>
        <w:rPr>
          <w:rFonts w:asciiTheme="minorHAnsi" w:eastAsiaTheme="minorEastAsia" w:hAnsiTheme="minorHAnsi" w:cstheme="minorBidi"/>
          <w:noProof/>
          <w:szCs w:val="22"/>
          <w:lang w:val="es-ES" w:eastAsia="es-ES"/>
        </w:rPr>
      </w:pPr>
      <w:hyperlink w:anchor="_Toc516823939" w:history="1">
        <w:r w:rsidR="00F4103D" w:rsidRPr="00B41810">
          <w:rPr>
            <w:rStyle w:val="Hipervnculo"/>
            <w:noProof/>
            <w:lang w:val="en-US"/>
          </w:rPr>
          <w:t>2.4</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Notifications.</w:t>
        </w:r>
        <w:r w:rsidR="00F4103D">
          <w:rPr>
            <w:noProof/>
            <w:webHidden/>
          </w:rPr>
          <w:tab/>
        </w:r>
        <w:r w:rsidR="00F4103D">
          <w:rPr>
            <w:noProof/>
            <w:webHidden/>
          </w:rPr>
          <w:fldChar w:fldCharType="begin"/>
        </w:r>
        <w:r w:rsidR="00F4103D">
          <w:rPr>
            <w:noProof/>
            <w:webHidden/>
          </w:rPr>
          <w:instrText xml:space="preserve"> PAGEREF _Toc516823939 \h </w:instrText>
        </w:r>
        <w:r w:rsidR="00F4103D">
          <w:rPr>
            <w:noProof/>
            <w:webHidden/>
          </w:rPr>
        </w:r>
        <w:r w:rsidR="00F4103D">
          <w:rPr>
            <w:noProof/>
            <w:webHidden/>
          </w:rPr>
          <w:fldChar w:fldCharType="separate"/>
        </w:r>
        <w:r w:rsidR="00F4103D">
          <w:rPr>
            <w:noProof/>
            <w:webHidden/>
          </w:rPr>
          <w:t>11</w:t>
        </w:r>
        <w:r w:rsidR="00F4103D">
          <w:rPr>
            <w:noProof/>
            <w:webHidden/>
          </w:rPr>
          <w:fldChar w:fldCharType="end"/>
        </w:r>
      </w:hyperlink>
    </w:p>
    <w:p w:rsidR="00F4103D" w:rsidRDefault="007D2C40" w:rsidP="00F4103D">
      <w:pPr>
        <w:pStyle w:val="TDC2"/>
        <w:spacing w:line="240" w:lineRule="auto"/>
        <w:rPr>
          <w:rFonts w:asciiTheme="minorHAnsi" w:eastAsiaTheme="minorEastAsia" w:hAnsiTheme="minorHAnsi" w:cstheme="minorBidi"/>
          <w:noProof/>
          <w:szCs w:val="22"/>
          <w:lang w:val="es-ES" w:eastAsia="es-ES"/>
        </w:rPr>
      </w:pPr>
      <w:hyperlink w:anchor="_Toc516823940" w:history="1">
        <w:r w:rsidR="00F4103D" w:rsidRPr="00B41810">
          <w:rPr>
            <w:rStyle w:val="Hipervnculo"/>
            <w:noProof/>
            <w:lang w:val="en-US"/>
          </w:rPr>
          <w:t>2.5</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Balancing actions and system flexibility</w:t>
        </w:r>
        <w:r w:rsidR="00F4103D">
          <w:rPr>
            <w:noProof/>
            <w:webHidden/>
          </w:rPr>
          <w:tab/>
        </w:r>
        <w:r w:rsidR="00F4103D">
          <w:rPr>
            <w:noProof/>
            <w:webHidden/>
          </w:rPr>
          <w:fldChar w:fldCharType="begin"/>
        </w:r>
        <w:r w:rsidR="00F4103D">
          <w:rPr>
            <w:noProof/>
            <w:webHidden/>
          </w:rPr>
          <w:instrText xml:space="preserve"> PAGEREF _Toc516823940 \h </w:instrText>
        </w:r>
        <w:r w:rsidR="00F4103D">
          <w:rPr>
            <w:noProof/>
            <w:webHidden/>
          </w:rPr>
        </w:r>
        <w:r w:rsidR="00F4103D">
          <w:rPr>
            <w:noProof/>
            <w:webHidden/>
          </w:rPr>
          <w:fldChar w:fldCharType="separate"/>
        </w:r>
        <w:r w:rsidR="00F4103D">
          <w:rPr>
            <w:noProof/>
            <w:webHidden/>
          </w:rPr>
          <w:t>12</w:t>
        </w:r>
        <w:r w:rsidR="00F4103D">
          <w:rPr>
            <w:noProof/>
            <w:webHidden/>
          </w:rPr>
          <w:fldChar w:fldCharType="end"/>
        </w:r>
      </w:hyperlink>
    </w:p>
    <w:p w:rsidR="00F4103D" w:rsidRDefault="007D2C40" w:rsidP="00F4103D">
      <w:pPr>
        <w:pStyle w:val="TDC2"/>
        <w:spacing w:line="240" w:lineRule="auto"/>
        <w:rPr>
          <w:rFonts w:asciiTheme="minorHAnsi" w:eastAsiaTheme="minorEastAsia" w:hAnsiTheme="minorHAnsi" w:cstheme="minorBidi"/>
          <w:noProof/>
          <w:szCs w:val="22"/>
          <w:lang w:val="es-ES" w:eastAsia="es-ES"/>
        </w:rPr>
      </w:pPr>
      <w:hyperlink w:anchor="_Toc516823941" w:history="1">
        <w:r w:rsidR="00F4103D" w:rsidRPr="00B41810">
          <w:rPr>
            <w:rStyle w:val="Hipervnculo"/>
            <w:noProof/>
            <w:lang w:val="en-US"/>
          </w:rPr>
          <w:t>2.6</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Nominations and renominations</w:t>
        </w:r>
        <w:r w:rsidR="00F4103D">
          <w:rPr>
            <w:noProof/>
            <w:webHidden/>
          </w:rPr>
          <w:tab/>
        </w:r>
        <w:r w:rsidR="00F4103D">
          <w:rPr>
            <w:noProof/>
            <w:webHidden/>
          </w:rPr>
          <w:fldChar w:fldCharType="begin"/>
        </w:r>
        <w:r w:rsidR="00F4103D">
          <w:rPr>
            <w:noProof/>
            <w:webHidden/>
          </w:rPr>
          <w:instrText xml:space="preserve"> PAGEREF _Toc516823941 \h </w:instrText>
        </w:r>
        <w:r w:rsidR="00F4103D">
          <w:rPr>
            <w:noProof/>
            <w:webHidden/>
          </w:rPr>
        </w:r>
        <w:r w:rsidR="00F4103D">
          <w:rPr>
            <w:noProof/>
            <w:webHidden/>
          </w:rPr>
          <w:fldChar w:fldCharType="separate"/>
        </w:r>
        <w:r w:rsidR="00F4103D">
          <w:rPr>
            <w:noProof/>
            <w:webHidden/>
          </w:rPr>
          <w:t>19</w:t>
        </w:r>
        <w:r w:rsidR="00F4103D">
          <w:rPr>
            <w:noProof/>
            <w:webHidden/>
          </w:rPr>
          <w:fldChar w:fldCharType="end"/>
        </w:r>
      </w:hyperlink>
    </w:p>
    <w:p w:rsidR="00F4103D" w:rsidRDefault="007D2C40" w:rsidP="00F4103D">
      <w:pPr>
        <w:pStyle w:val="TDC2"/>
        <w:spacing w:line="240" w:lineRule="auto"/>
        <w:rPr>
          <w:rFonts w:asciiTheme="minorHAnsi" w:eastAsiaTheme="minorEastAsia" w:hAnsiTheme="minorHAnsi" w:cstheme="minorBidi"/>
          <w:noProof/>
          <w:szCs w:val="22"/>
          <w:lang w:val="es-ES" w:eastAsia="es-ES"/>
        </w:rPr>
      </w:pPr>
      <w:hyperlink w:anchor="_Toc516823942" w:history="1">
        <w:r w:rsidR="00F4103D" w:rsidRPr="00B41810">
          <w:rPr>
            <w:rStyle w:val="Hipervnculo"/>
            <w:noProof/>
            <w:lang w:val="en-US"/>
          </w:rPr>
          <w:t>2.7</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Information provision</w:t>
        </w:r>
        <w:r w:rsidR="00F4103D">
          <w:rPr>
            <w:noProof/>
            <w:webHidden/>
          </w:rPr>
          <w:tab/>
        </w:r>
        <w:r w:rsidR="00F4103D">
          <w:rPr>
            <w:noProof/>
            <w:webHidden/>
          </w:rPr>
          <w:fldChar w:fldCharType="begin"/>
        </w:r>
        <w:r w:rsidR="00F4103D">
          <w:rPr>
            <w:noProof/>
            <w:webHidden/>
          </w:rPr>
          <w:instrText xml:space="preserve"> PAGEREF _Toc516823942 \h </w:instrText>
        </w:r>
        <w:r w:rsidR="00F4103D">
          <w:rPr>
            <w:noProof/>
            <w:webHidden/>
          </w:rPr>
        </w:r>
        <w:r w:rsidR="00F4103D">
          <w:rPr>
            <w:noProof/>
            <w:webHidden/>
          </w:rPr>
          <w:fldChar w:fldCharType="separate"/>
        </w:r>
        <w:r w:rsidR="00F4103D">
          <w:rPr>
            <w:noProof/>
            <w:webHidden/>
          </w:rPr>
          <w:t>24</w:t>
        </w:r>
        <w:r w:rsidR="00F4103D">
          <w:rPr>
            <w:noProof/>
            <w:webHidden/>
          </w:rPr>
          <w:fldChar w:fldCharType="end"/>
        </w:r>
      </w:hyperlink>
    </w:p>
    <w:p w:rsidR="00F4103D" w:rsidRDefault="007D2C40" w:rsidP="00F4103D">
      <w:pPr>
        <w:pStyle w:val="TDC2"/>
        <w:spacing w:line="240" w:lineRule="auto"/>
        <w:rPr>
          <w:rFonts w:asciiTheme="minorHAnsi" w:eastAsiaTheme="minorEastAsia" w:hAnsiTheme="minorHAnsi" w:cstheme="minorBidi"/>
          <w:noProof/>
          <w:szCs w:val="22"/>
          <w:lang w:val="es-ES" w:eastAsia="es-ES"/>
        </w:rPr>
      </w:pPr>
      <w:hyperlink w:anchor="_Toc516823943" w:history="1">
        <w:r w:rsidR="00F4103D" w:rsidRPr="00B41810">
          <w:rPr>
            <w:rStyle w:val="Hipervnculo"/>
            <w:noProof/>
            <w:lang w:val="en-US"/>
          </w:rPr>
          <w:t>2.8</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Imbalances charges</w:t>
        </w:r>
        <w:r w:rsidR="00F4103D">
          <w:rPr>
            <w:noProof/>
            <w:webHidden/>
          </w:rPr>
          <w:tab/>
        </w:r>
        <w:r w:rsidR="00F4103D">
          <w:rPr>
            <w:noProof/>
            <w:webHidden/>
          </w:rPr>
          <w:fldChar w:fldCharType="begin"/>
        </w:r>
        <w:r w:rsidR="00F4103D">
          <w:rPr>
            <w:noProof/>
            <w:webHidden/>
          </w:rPr>
          <w:instrText xml:space="preserve"> PAGEREF _Toc516823943 \h </w:instrText>
        </w:r>
        <w:r w:rsidR="00F4103D">
          <w:rPr>
            <w:noProof/>
            <w:webHidden/>
          </w:rPr>
        </w:r>
        <w:r w:rsidR="00F4103D">
          <w:rPr>
            <w:noProof/>
            <w:webHidden/>
          </w:rPr>
          <w:fldChar w:fldCharType="separate"/>
        </w:r>
        <w:r w:rsidR="00F4103D">
          <w:rPr>
            <w:noProof/>
            <w:webHidden/>
          </w:rPr>
          <w:t>27</w:t>
        </w:r>
        <w:r w:rsidR="00F4103D">
          <w:rPr>
            <w:noProof/>
            <w:webHidden/>
          </w:rPr>
          <w:fldChar w:fldCharType="end"/>
        </w:r>
      </w:hyperlink>
    </w:p>
    <w:p w:rsidR="00F4103D" w:rsidRDefault="007D2C40" w:rsidP="00F4103D">
      <w:pPr>
        <w:pStyle w:val="TDC2"/>
        <w:spacing w:line="240" w:lineRule="auto"/>
        <w:rPr>
          <w:rFonts w:asciiTheme="minorHAnsi" w:eastAsiaTheme="minorEastAsia" w:hAnsiTheme="minorHAnsi" w:cstheme="minorBidi"/>
          <w:noProof/>
          <w:szCs w:val="22"/>
          <w:lang w:val="es-ES" w:eastAsia="es-ES"/>
        </w:rPr>
      </w:pPr>
      <w:hyperlink w:anchor="_Toc516823944" w:history="1">
        <w:r w:rsidR="00F4103D" w:rsidRPr="00B41810">
          <w:rPr>
            <w:rStyle w:val="Hipervnculo"/>
            <w:noProof/>
            <w:lang w:val="en-US"/>
          </w:rPr>
          <w:t>2.9</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Financial neutrality of the Transmission System Manager: allocation of balancing actions costs</w:t>
        </w:r>
        <w:r w:rsidR="00F4103D">
          <w:rPr>
            <w:noProof/>
            <w:webHidden/>
          </w:rPr>
          <w:tab/>
        </w:r>
        <w:r w:rsidR="00F4103D">
          <w:rPr>
            <w:noProof/>
            <w:webHidden/>
          </w:rPr>
          <w:fldChar w:fldCharType="begin"/>
        </w:r>
        <w:r w:rsidR="00F4103D">
          <w:rPr>
            <w:noProof/>
            <w:webHidden/>
          </w:rPr>
          <w:instrText xml:space="preserve"> PAGEREF _Toc516823944 \h </w:instrText>
        </w:r>
        <w:r w:rsidR="00F4103D">
          <w:rPr>
            <w:noProof/>
            <w:webHidden/>
          </w:rPr>
        </w:r>
        <w:r w:rsidR="00F4103D">
          <w:rPr>
            <w:noProof/>
            <w:webHidden/>
          </w:rPr>
          <w:fldChar w:fldCharType="separate"/>
        </w:r>
        <w:r w:rsidR="00F4103D">
          <w:rPr>
            <w:noProof/>
            <w:webHidden/>
          </w:rPr>
          <w:t>31</w:t>
        </w:r>
        <w:r w:rsidR="00F4103D">
          <w:rPr>
            <w:noProof/>
            <w:webHidden/>
          </w:rPr>
          <w:fldChar w:fldCharType="end"/>
        </w:r>
      </w:hyperlink>
    </w:p>
    <w:p w:rsidR="00F4103D" w:rsidRDefault="007D2C40" w:rsidP="00F4103D">
      <w:pPr>
        <w:pStyle w:val="TDC2"/>
        <w:spacing w:line="240" w:lineRule="auto"/>
        <w:rPr>
          <w:rFonts w:asciiTheme="minorHAnsi" w:eastAsiaTheme="minorEastAsia" w:hAnsiTheme="minorHAnsi" w:cstheme="minorBidi"/>
          <w:noProof/>
          <w:szCs w:val="22"/>
          <w:lang w:val="es-ES" w:eastAsia="es-ES"/>
        </w:rPr>
      </w:pPr>
      <w:hyperlink w:anchor="_Toc516823945" w:history="1">
        <w:r w:rsidR="00F4103D" w:rsidRPr="00B41810">
          <w:rPr>
            <w:rStyle w:val="Hipervnculo"/>
            <w:noProof/>
            <w:lang w:val="es-ES"/>
          </w:rPr>
          <w:t>2.10</w:t>
        </w:r>
        <w:r w:rsidR="00F4103D">
          <w:rPr>
            <w:rFonts w:asciiTheme="minorHAnsi" w:eastAsiaTheme="minorEastAsia" w:hAnsiTheme="minorHAnsi" w:cstheme="minorBidi"/>
            <w:noProof/>
            <w:szCs w:val="22"/>
            <w:lang w:val="es-ES" w:eastAsia="es-ES"/>
          </w:rPr>
          <w:tab/>
        </w:r>
        <w:r w:rsidR="00F4103D" w:rsidRPr="00B41810">
          <w:rPr>
            <w:rStyle w:val="Hipervnculo"/>
            <w:noProof/>
            <w:lang w:val="es-ES"/>
          </w:rPr>
          <w:t>Transmission System Manager incentives</w:t>
        </w:r>
        <w:r w:rsidR="00F4103D">
          <w:rPr>
            <w:noProof/>
            <w:webHidden/>
          </w:rPr>
          <w:tab/>
        </w:r>
        <w:r w:rsidR="00F4103D">
          <w:rPr>
            <w:noProof/>
            <w:webHidden/>
          </w:rPr>
          <w:fldChar w:fldCharType="begin"/>
        </w:r>
        <w:r w:rsidR="00F4103D">
          <w:rPr>
            <w:noProof/>
            <w:webHidden/>
          </w:rPr>
          <w:instrText xml:space="preserve"> PAGEREF _Toc516823945 \h </w:instrText>
        </w:r>
        <w:r w:rsidR="00F4103D">
          <w:rPr>
            <w:noProof/>
            <w:webHidden/>
          </w:rPr>
        </w:r>
        <w:r w:rsidR="00F4103D">
          <w:rPr>
            <w:noProof/>
            <w:webHidden/>
          </w:rPr>
          <w:fldChar w:fldCharType="separate"/>
        </w:r>
        <w:r w:rsidR="00F4103D">
          <w:rPr>
            <w:noProof/>
            <w:webHidden/>
          </w:rPr>
          <w:t>34</w:t>
        </w:r>
        <w:r w:rsidR="00F4103D">
          <w:rPr>
            <w:noProof/>
            <w:webHidden/>
          </w:rPr>
          <w:fldChar w:fldCharType="end"/>
        </w:r>
      </w:hyperlink>
    </w:p>
    <w:p w:rsidR="00F4103D" w:rsidRDefault="007D2C40" w:rsidP="00F4103D">
      <w:pPr>
        <w:pStyle w:val="TDC1"/>
        <w:spacing w:before="240"/>
        <w:rPr>
          <w:rFonts w:asciiTheme="minorHAnsi" w:eastAsiaTheme="minorEastAsia" w:hAnsiTheme="minorHAnsi" w:cstheme="minorBidi"/>
          <w:noProof/>
          <w:szCs w:val="22"/>
          <w:lang w:val="es-ES" w:eastAsia="es-ES"/>
        </w:rPr>
      </w:pPr>
      <w:hyperlink w:anchor="_Toc516823946" w:history="1">
        <w:r w:rsidR="00F4103D" w:rsidRPr="00B41810">
          <w:rPr>
            <w:rStyle w:val="Hipervnculo"/>
            <w:noProof/>
            <w:lang w:val="en-US"/>
          </w:rPr>
          <w:t>3</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Functioning of the balancing schemes since its application (1st October 2015 in France and 1st October 2016 in Portugal and Spain) to 30th September 2017</w:t>
        </w:r>
        <w:r w:rsidR="00F4103D">
          <w:rPr>
            <w:noProof/>
            <w:webHidden/>
          </w:rPr>
          <w:tab/>
        </w:r>
        <w:r w:rsidR="00F4103D">
          <w:rPr>
            <w:noProof/>
            <w:webHidden/>
          </w:rPr>
          <w:fldChar w:fldCharType="begin"/>
        </w:r>
        <w:r w:rsidR="00F4103D">
          <w:rPr>
            <w:noProof/>
            <w:webHidden/>
          </w:rPr>
          <w:instrText xml:space="preserve"> PAGEREF _Toc516823946 \h </w:instrText>
        </w:r>
        <w:r w:rsidR="00F4103D">
          <w:rPr>
            <w:noProof/>
            <w:webHidden/>
          </w:rPr>
        </w:r>
        <w:r w:rsidR="00F4103D">
          <w:rPr>
            <w:noProof/>
            <w:webHidden/>
          </w:rPr>
          <w:fldChar w:fldCharType="separate"/>
        </w:r>
        <w:r w:rsidR="00F4103D">
          <w:rPr>
            <w:noProof/>
            <w:webHidden/>
          </w:rPr>
          <w:t>35</w:t>
        </w:r>
        <w:r w:rsidR="00F4103D">
          <w:rPr>
            <w:noProof/>
            <w:webHidden/>
          </w:rPr>
          <w:fldChar w:fldCharType="end"/>
        </w:r>
      </w:hyperlink>
    </w:p>
    <w:p w:rsidR="00F4103D" w:rsidRDefault="007D2C40" w:rsidP="00F4103D">
      <w:pPr>
        <w:pStyle w:val="TDC1"/>
        <w:spacing w:before="240"/>
        <w:rPr>
          <w:rFonts w:asciiTheme="minorHAnsi" w:eastAsiaTheme="minorEastAsia" w:hAnsiTheme="minorHAnsi" w:cstheme="minorBidi"/>
          <w:noProof/>
          <w:szCs w:val="22"/>
          <w:lang w:val="es-ES" w:eastAsia="es-ES"/>
        </w:rPr>
      </w:pPr>
      <w:hyperlink w:anchor="_Toc516823947" w:history="1">
        <w:r w:rsidR="00F4103D" w:rsidRPr="00B41810">
          <w:rPr>
            <w:rStyle w:val="Hipervnculo"/>
            <w:noProof/>
            <w:lang w:val="en-US"/>
          </w:rPr>
          <w:t>4</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Potential for application of cross-border balancing</w:t>
        </w:r>
        <w:r w:rsidR="00F4103D">
          <w:rPr>
            <w:noProof/>
            <w:webHidden/>
          </w:rPr>
          <w:tab/>
        </w:r>
        <w:r w:rsidR="00F4103D">
          <w:rPr>
            <w:noProof/>
            <w:webHidden/>
          </w:rPr>
          <w:fldChar w:fldCharType="begin"/>
        </w:r>
        <w:r w:rsidR="00F4103D">
          <w:rPr>
            <w:noProof/>
            <w:webHidden/>
          </w:rPr>
          <w:instrText xml:space="preserve"> PAGEREF _Toc516823947 \h </w:instrText>
        </w:r>
        <w:r w:rsidR="00F4103D">
          <w:rPr>
            <w:noProof/>
            <w:webHidden/>
          </w:rPr>
        </w:r>
        <w:r w:rsidR="00F4103D">
          <w:rPr>
            <w:noProof/>
            <w:webHidden/>
          </w:rPr>
          <w:fldChar w:fldCharType="separate"/>
        </w:r>
        <w:r w:rsidR="00F4103D">
          <w:rPr>
            <w:noProof/>
            <w:webHidden/>
          </w:rPr>
          <w:t>61</w:t>
        </w:r>
        <w:r w:rsidR="00F4103D">
          <w:rPr>
            <w:noProof/>
            <w:webHidden/>
          </w:rPr>
          <w:fldChar w:fldCharType="end"/>
        </w:r>
      </w:hyperlink>
    </w:p>
    <w:p w:rsidR="00F4103D" w:rsidRDefault="007D2C40" w:rsidP="00F4103D">
      <w:pPr>
        <w:pStyle w:val="TDC1"/>
        <w:spacing w:before="240"/>
        <w:rPr>
          <w:rFonts w:asciiTheme="minorHAnsi" w:eastAsiaTheme="minorEastAsia" w:hAnsiTheme="minorHAnsi" w:cstheme="minorBidi"/>
          <w:noProof/>
          <w:szCs w:val="22"/>
          <w:lang w:val="es-ES" w:eastAsia="es-ES"/>
        </w:rPr>
      </w:pPr>
      <w:hyperlink w:anchor="_Toc516823948" w:history="1">
        <w:r w:rsidR="00F4103D" w:rsidRPr="00B41810">
          <w:rPr>
            <w:rStyle w:val="Hipervnculo"/>
            <w:noProof/>
            <w:lang w:val="en-US"/>
          </w:rPr>
          <w:t>5</w:t>
        </w:r>
        <w:r w:rsidR="00F4103D">
          <w:rPr>
            <w:rFonts w:asciiTheme="minorHAnsi" w:eastAsiaTheme="minorEastAsia" w:hAnsiTheme="minorHAnsi" w:cstheme="minorBidi"/>
            <w:noProof/>
            <w:szCs w:val="22"/>
            <w:lang w:val="es-ES" w:eastAsia="es-ES"/>
          </w:rPr>
          <w:tab/>
        </w:r>
        <w:r w:rsidR="00F4103D" w:rsidRPr="00B41810">
          <w:rPr>
            <w:rStyle w:val="Hipervnculo"/>
            <w:noProof/>
            <w:lang w:val="en-US"/>
          </w:rPr>
          <w:t>Conclusions and recommendations</w:t>
        </w:r>
        <w:r w:rsidR="00F4103D">
          <w:rPr>
            <w:noProof/>
            <w:webHidden/>
          </w:rPr>
          <w:tab/>
        </w:r>
        <w:r w:rsidR="00F4103D">
          <w:rPr>
            <w:noProof/>
            <w:webHidden/>
          </w:rPr>
          <w:fldChar w:fldCharType="begin"/>
        </w:r>
        <w:r w:rsidR="00F4103D">
          <w:rPr>
            <w:noProof/>
            <w:webHidden/>
          </w:rPr>
          <w:instrText xml:space="preserve"> PAGEREF _Toc516823948 \h </w:instrText>
        </w:r>
        <w:r w:rsidR="00F4103D">
          <w:rPr>
            <w:noProof/>
            <w:webHidden/>
          </w:rPr>
        </w:r>
        <w:r w:rsidR="00F4103D">
          <w:rPr>
            <w:noProof/>
            <w:webHidden/>
          </w:rPr>
          <w:fldChar w:fldCharType="separate"/>
        </w:r>
        <w:r w:rsidR="00F4103D">
          <w:rPr>
            <w:noProof/>
            <w:webHidden/>
          </w:rPr>
          <w:t>62</w:t>
        </w:r>
        <w:r w:rsidR="00F4103D">
          <w:rPr>
            <w:noProof/>
            <w:webHidden/>
          </w:rPr>
          <w:fldChar w:fldCharType="end"/>
        </w:r>
      </w:hyperlink>
    </w:p>
    <w:p w:rsidR="008F0384" w:rsidRPr="008C1192" w:rsidRDefault="00510CE2" w:rsidP="00605788">
      <w:pPr>
        <w:rPr>
          <w:rFonts w:cs="Arial"/>
          <w:color w:val="000000" w:themeColor="text1"/>
          <w:szCs w:val="22"/>
          <w:lang w:val="en-GB"/>
        </w:rPr>
      </w:pPr>
      <w:r>
        <w:rPr>
          <w:rFonts w:cs="Arial"/>
          <w:b/>
          <w:bCs/>
          <w:color w:val="000000" w:themeColor="text1"/>
          <w:szCs w:val="22"/>
          <w:lang w:val="en-GB"/>
        </w:rPr>
        <w:fldChar w:fldCharType="end"/>
      </w:r>
    </w:p>
    <w:p w:rsidR="008F0384" w:rsidRPr="008C1192" w:rsidRDefault="008F0384" w:rsidP="008C1192">
      <w:pPr>
        <w:rPr>
          <w:rFonts w:cs="Arial"/>
          <w:color w:val="000000" w:themeColor="text1"/>
          <w:szCs w:val="22"/>
          <w:lang w:val="en-GB"/>
        </w:rPr>
      </w:pPr>
    </w:p>
    <w:p w:rsidR="001906DF" w:rsidRDefault="001906DF">
      <w:pPr>
        <w:rPr>
          <w:rFonts w:cs="Arial"/>
          <w:b/>
          <w:bCs/>
        </w:rPr>
      </w:pPr>
      <w:bookmarkStart w:id="0" w:name="_Toc327532077"/>
      <w:bookmarkStart w:id="1" w:name="_Toc223439017"/>
      <w:bookmarkStart w:id="2" w:name="_Toc223439308"/>
      <w:bookmarkStart w:id="3" w:name="_Toc223439424"/>
      <w:bookmarkStart w:id="4" w:name="_Toc223439520"/>
      <w:bookmarkStart w:id="5" w:name="_Ref224019136"/>
      <w:bookmarkStart w:id="6" w:name="_Ref224019144"/>
      <w:bookmarkStart w:id="7" w:name="_Ref224019147"/>
      <w:bookmarkStart w:id="8" w:name="_Ref259614426"/>
      <w:bookmarkStart w:id="9" w:name="_Ref259638295"/>
      <w:bookmarkStart w:id="10" w:name="_Ref259638301"/>
      <w:bookmarkStart w:id="11" w:name="_Toc260755812"/>
      <w:r>
        <w:br w:type="page"/>
      </w:r>
    </w:p>
    <w:p w:rsidR="008F0384" w:rsidRPr="00C72042" w:rsidRDefault="008F0384" w:rsidP="00C72042">
      <w:pPr>
        <w:pStyle w:val="Ttulo1"/>
        <w:rPr>
          <w:sz w:val="26"/>
          <w:szCs w:val="26"/>
          <w:lang w:val="en-US"/>
        </w:rPr>
      </w:pPr>
      <w:bookmarkStart w:id="12" w:name="_Ref327381027"/>
      <w:bookmarkStart w:id="13" w:name="_Toc327532078"/>
      <w:bookmarkStart w:id="14" w:name="_Toc516823934"/>
      <w:bookmarkEnd w:id="0"/>
      <w:r w:rsidRPr="00C72042">
        <w:rPr>
          <w:sz w:val="26"/>
          <w:szCs w:val="26"/>
          <w:lang w:val="en-US"/>
        </w:rPr>
        <w:t>Background</w:t>
      </w:r>
      <w:bookmarkEnd w:id="1"/>
      <w:bookmarkEnd w:id="2"/>
      <w:bookmarkEnd w:id="3"/>
      <w:bookmarkEnd w:id="4"/>
      <w:bookmarkEnd w:id="5"/>
      <w:bookmarkEnd w:id="6"/>
      <w:bookmarkEnd w:id="7"/>
      <w:bookmarkEnd w:id="8"/>
      <w:bookmarkEnd w:id="9"/>
      <w:bookmarkEnd w:id="10"/>
      <w:bookmarkEnd w:id="11"/>
      <w:bookmarkEnd w:id="12"/>
      <w:bookmarkEnd w:id="13"/>
      <w:bookmarkEnd w:id="14"/>
    </w:p>
    <w:p w:rsidR="00364999" w:rsidRDefault="00864362" w:rsidP="00364999">
      <w:pPr>
        <w:rPr>
          <w:lang w:val="en-US"/>
        </w:rPr>
      </w:pPr>
      <w:bookmarkStart w:id="15" w:name="OLE_LINK3"/>
      <w:r>
        <w:rPr>
          <w:lang w:val="en-US"/>
        </w:rPr>
        <w:t xml:space="preserve">The South Gas Regional Initiative </w:t>
      </w:r>
      <w:r w:rsidR="00C4381B">
        <w:rPr>
          <w:lang w:val="en-US"/>
        </w:rPr>
        <w:t xml:space="preserve">(`SGRI`) </w:t>
      </w:r>
      <w:r>
        <w:rPr>
          <w:lang w:val="en-US"/>
        </w:rPr>
        <w:t>has developed Work Plans since 2011 in order to facilitate the compliance with the provisions of the EU 3rd Package and to promote the early implementation of Network Codes.</w:t>
      </w:r>
      <w:r w:rsidR="00951856">
        <w:rPr>
          <w:lang w:val="en-US"/>
        </w:rPr>
        <w:t xml:space="preserve"> </w:t>
      </w:r>
      <w:r w:rsidR="00364999">
        <w:rPr>
          <w:lang w:val="en-US"/>
        </w:rPr>
        <w:t xml:space="preserve">The Work Plan for 2017-2018 focuses its attention on monitoring the implementation </w:t>
      </w:r>
      <w:r w:rsidR="00405FC1">
        <w:rPr>
          <w:lang w:val="en-US"/>
        </w:rPr>
        <w:t xml:space="preserve">and </w:t>
      </w:r>
      <w:r w:rsidR="009A3929">
        <w:rPr>
          <w:lang w:val="en-US"/>
        </w:rPr>
        <w:t xml:space="preserve">performance </w:t>
      </w:r>
      <w:r w:rsidR="00405FC1">
        <w:rPr>
          <w:lang w:val="en-US"/>
        </w:rPr>
        <w:t xml:space="preserve">supervision </w:t>
      </w:r>
      <w:r w:rsidR="00364999">
        <w:rPr>
          <w:lang w:val="en-US"/>
        </w:rPr>
        <w:t>of Network Codes</w:t>
      </w:r>
      <w:r w:rsidR="00E35EBC">
        <w:rPr>
          <w:lang w:val="en-US"/>
        </w:rPr>
        <w:t xml:space="preserve"> (‘NC’)</w:t>
      </w:r>
      <w:r w:rsidR="00364999">
        <w:rPr>
          <w:lang w:val="en-US"/>
        </w:rPr>
        <w:t>, in particular, the balancing NC.</w:t>
      </w:r>
    </w:p>
    <w:p w:rsidR="00A17BB0" w:rsidRDefault="00C80C05" w:rsidP="00864362">
      <w:pPr>
        <w:rPr>
          <w:lang w:val="en-US"/>
        </w:rPr>
      </w:pPr>
      <w:r>
        <w:rPr>
          <w:lang w:val="en-US"/>
        </w:rPr>
        <w:t>The European Commission adopted the Commission Regulation (EU) No 312/2014 of 26 March 2014 establishing a Network Code on Gas Balancing of Transmission Networks</w:t>
      </w:r>
      <w:r w:rsidR="00B90FA7">
        <w:rPr>
          <w:lang w:val="en-US"/>
        </w:rPr>
        <w:t xml:space="preserve">. The balancing NC </w:t>
      </w:r>
      <w:r>
        <w:rPr>
          <w:lang w:val="en-US"/>
        </w:rPr>
        <w:t>set</w:t>
      </w:r>
      <w:r w:rsidR="00B90FA7">
        <w:rPr>
          <w:lang w:val="en-US"/>
        </w:rPr>
        <w:t>s</w:t>
      </w:r>
      <w:r>
        <w:rPr>
          <w:lang w:val="en-US"/>
        </w:rPr>
        <w:t xml:space="preserve"> out gas balancing rules, </w:t>
      </w:r>
      <w:r w:rsidRPr="00C80C05">
        <w:rPr>
          <w:lang w:val="en-US"/>
        </w:rPr>
        <w:t>including network-related rules on nomination procedures, imbalance charges, settlement processes associated with the daily imbalance charge and operational balancing between transmission system operators’ networks.</w:t>
      </w:r>
      <w:r w:rsidR="00B90FA7">
        <w:rPr>
          <w:lang w:val="en-US"/>
        </w:rPr>
        <w:t xml:space="preserve"> </w:t>
      </w:r>
    </w:p>
    <w:p w:rsidR="00C80C05" w:rsidRPr="006D446E" w:rsidRDefault="00B90FA7" w:rsidP="00864362">
      <w:pPr>
        <w:rPr>
          <w:lang w:val="en-US"/>
        </w:rPr>
      </w:pPr>
      <w:r>
        <w:rPr>
          <w:lang w:val="en-US"/>
        </w:rPr>
        <w:t xml:space="preserve">The Code seeks to improve the economic efficiency </w:t>
      </w:r>
      <w:r w:rsidR="000B55B0">
        <w:rPr>
          <w:lang w:val="en-US"/>
        </w:rPr>
        <w:t xml:space="preserve">by </w:t>
      </w:r>
      <w:r>
        <w:rPr>
          <w:lang w:val="en-US"/>
        </w:rPr>
        <w:t xml:space="preserve">shifting the responsibility of balancing </w:t>
      </w:r>
      <w:r w:rsidRPr="006D446E">
        <w:rPr>
          <w:lang w:val="en-US"/>
        </w:rPr>
        <w:t xml:space="preserve">from monopoly agents, namely </w:t>
      </w:r>
      <w:r w:rsidR="00CD1389" w:rsidRPr="006D446E">
        <w:rPr>
          <w:lang w:val="en-US"/>
        </w:rPr>
        <w:t>the Technical System Manager</w:t>
      </w:r>
      <w:r>
        <w:rPr>
          <w:lang w:val="en-US"/>
        </w:rPr>
        <w:t xml:space="preserve">, to individual network users and developing the corresponding market-based mechanisms. </w:t>
      </w:r>
    </w:p>
    <w:p w:rsidR="00951856" w:rsidRDefault="00951856" w:rsidP="00864362">
      <w:pPr>
        <w:rPr>
          <w:lang w:val="en-US"/>
        </w:rPr>
      </w:pPr>
      <w:r>
        <w:rPr>
          <w:lang w:val="en-US"/>
        </w:rPr>
        <w:t>Th</w:t>
      </w:r>
      <w:r w:rsidR="00B90FA7">
        <w:rPr>
          <w:lang w:val="en-US"/>
        </w:rPr>
        <w:t>e present r</w:t>
      </w:r>
      <w:r>
        <w:rPr>
          <w:lang w:val="en-US"/>
        </w:rPr>
        <w:t>eport</w:t>
      </w:r>
      <w:r w:rsidR="00D5193E">
        <w:rPr>
          <w:lang w:val="en-US"/>
        </w:rPr>
        <w:t xml:space="preserve">, which </w:t>
      </w:r>
      <w:r>
        <w:rPr>
          <w:lang w:val="en-US"/>
        </w:rPr>
        <w:t>is</w:t>
      </w:r>
      <w:r w:rsidR="00D5193E">
        <w:rPr>
          <w:lang w:val="en-US"/>
        </w:rPr>
        <w:t xml:space="preserve"> the second target of</w:t>
      </w:r>
      <w:r>
        <w:rPr>
          <w:lang w:val="en-US"/>
        </w:rPr>
        <w:t xml:space="preserve"> the Work Plan 2017-2018</w:t>
      </w:r>
      <w:r w:rsidR="00D5193E">
        <w:rPr>
          <w:lang w:val="en-US"/>
        </w:rPr>
        <w:t>,</w:t>
      </w:r>
      <w:r>
        <w:rPr>
          <w:lang w:val="en-US"/>
        </w:rPr>
        <w:t xml:space="preserve"> aims </w:t>
      </w:r>
      <w:r w:rsidR="00364999">
        <w:rPr>
          <w:lang w:val="en-US"/>
        </w:rPr>
        <w:t>at</w:t>
      </w:r>
      <w:r>
        <w:rPr>
          <w:lang w:val="en-US"/>
        </w:rPr>
        <w:t xml:space="preserve"> describ</w:t>
      </w:r>
      <w:r w:rsidR="00364999">
        <w:rPr>
          <w:lang w:val="en-US"/>
        </w:rPr>
        <w:t>ing</w:t>
      </w:r>
      <w:r>
        <w:rPr>
          <w:lang w:val="en-US"/>
        </w:rPr>
        <w:t>, assess</w:t>
      </w:r>
      <w:r w:rsidR="00364999">
        <w:rPr>
          <w:lang w:val="en-US"/>
        </w:rPr>
        <w:t>ing</w:t>
      </w:r>
      <w:r>
        <w:rPr>
          <w:lang w:val="en-US"/>
        </w:rPr>
        <w:t xml:space="preserve"> and draw</w:t>
      </w:r>
      <w:r w:rsidR="00364999">
        <w:rPr>
          <w:lang w:val="en-US"/>
        </w:rPr>
        <w:t>ing</w:t>
      </w:r>
      <w:r>
        <w:rPr>
          <w:lang w:val="en-US"/>
        </w:rPr>
        <w:t xml:space="preserve"> learnings from the </w:t>
      </w:r>
      <w:r w:rsidR="00C80C05">
        <w:rPr>
          <w:lang w:val="en-US"/>
        </w:rPr>
        <w:t xml:space="preserve">implementation of the balancing NC in the three countries of the Region. </w:t>
      </w:r>
      <w:r w:rsidR="00811096">
        <w:rPr>
          <w:lang w:val="en-US"/>
        </w:rPr>
        <w:t>The timeframe of analysis covers from the entry into force of the regulation of balancing in each country of the South Region to September 2017, namely, from 1</w:t>
      </w:r>
      <w:r w:rsidR="00811096" w:rsidRPr="00811096">
        <w:rPr>
          <w:vertAlign w:val="superscript"/>
          <w:lang w:val="en-US"/>
        </w:rPr>
        <w:t>st</w:t>
      </w:r>
      <w:r w:rsidR="00811096">
        <w:rPr>
          <w:lang w:val="en-US"/>
        </w:rPr>
        <w:t xml:space="preserve"> </w:t>
      </w:r>
      <w:r w:rsidR="001E24AD">
        <w:rPr>
          <w:lang w:val="en-US"/>
        </w:rPr>
        <w:t xml:space="preserve">of </w:t>
      </w:r>
      <w:r w:rsidR="00811096">
        <w:rPr>
          <w:lang w:val="en-US"/>
        </w:rPr>
        <w:t>October 2015 to 30</w:t>
      </w:r>
      <w:r w:rsidR="00811096" w:rsidRPr="00811096">
        <w:rPr>
          <w:vertAlign w:val="superscript"/>
          <w:lang w:val="en-US"/>
        </w:rPr>
        <w:t>th</w:t>
      </w:r>
      <w:r w:rsidR="00811096">
        <w:rPr>
          <w:lang w:val="en-US"/>
        </w:rPr>
        <w:t xml:space="preserve"> </w:t>
      </w:r>
      <w:r w:rsidR="001E24AD">
        <w:rPr>
          <w:lang w:val="en-US"/>
        </w:rPr>
        <w:t xml:space="preserve">of </w:t>
      </w:r>
      <w:r w:rsidR="00811096">
        <w:rPr>
          <w:lang w:val="en-US"/>
        </w:rPr>
        <w:t>September 2017 in France and from 1</w:t>
      </w:r>
      <w:r w:rsidR="00811096" w:rsidRPr="00811096">
        <w:rPr>
          <w:vertAlign w:val="superscript"/>
          <w:lang w:val="en-US"/>
        </w:rPr>
        <w:t>st</w:t>
      </w:r>
      <w:r w:rsidR="00811096">
        <w:rPr>
          <w:lang w:val="en-US"/>
        </w:rPr>
        <w:t xml:space="preserve"> </w:t>
      </w:r>
      <w:r w:rsidR="001E24AD">
        <w:rPr>
          <w:lang w:val="en-US"/>
        </w:rPr>
        <w:t xml:space="preserve">of </w:t>
      </w:r>
      <w:r w:rsidR="00811096">
        <w:rPr>
          <w:lang w:val="en-US"/>
        </w:rPr>
        <w:t>October 2016 to 30</w:t>
      </w:r>
      <w:r w:rsidR="00811096" w:rsidRPr="00811096">
        <w:rPr>
          <w:vertAlign w:val="superscript"/>
          <w:lang w:val="en-US"/>
        </w:rPr>
        <w:t>th</w:t>
      </w:r>
      <w:r w:rsidR="00811096">
        <w:rPr>
          <w:lang w:val="en-US"/>
        </w:rPr>
        <w:t xml:space="preserve"> </w:t>
      </w:r>
      <w:r w:rsidR="001E24AD">
        <w:rPr>
          <w:lang w:val="en-US"/>
        </w:rPr>
        <w:t xml:space="preserve">of </w:t>
      </w:r>
      <w:r w:rsidR="00811096">
        <w:rPr>
          <w:lang w:val="en-US"/>
        </w:rPr>
        <w:t>September 2017 in Portugal and Spain.</w:t>
      </w:r>
    </w:p>
    <w:p w:rsidR="002D6F04" w:rsidRDefault="00CC7761" w:rsidP="002D6F04">
      <w:pPr>
        <w:rPr>
          <w:color w:val="2E75B6"/>
          <w:lang w:val="en-GB"/>
        </w:rPr>
      </w:pPr>
      <w:r w:rsidRPr="00CC7761">
        <w:rPr>
          <w:lang w:val="en-US"/>
        </w:rPr>
        <w:t>The aim</w:t>
      </w:r>
      <w:r w:rsidR="008E4AD8">
        <w:rPr>
          <w:lang w:val="en-US"/>
        </w:rPr>
        <w:t xml:space="preserve"> of the report</w:t>
      </w:r>
      <w:r w:rsidRPr="00CC7761">
        <w:rPr>
          <w:lang w:val="en-US"/>
        </w:rPr>
        <w:t xml:space="preserve"> is to provide an in</w:t>
      </w:r>
      <w:r w:rsidR="00B301EB">
        <w:rPr>
          <w:lang w:val="en-US"/>
        </w:rPr>
        <w:t>-</w:t>
      </w:r>
      <w:r w:rsidRPr="00CC7761">
        <w:rPr>
          <w:lang w:val="en-US"/>
        </w:rPr>
        <w:t>depth</w:t>
      </w:r>
      <w:r w:rsidR="00797657">
        <w:rPr>
          <w:lang w:val="en-US"/>
        </w:rPr>
        <w:t xml:space="preserve"> </w:t>
      </w:r>
      <w:r w:rsidR="00797657" w:rsidRPr="00CC7761">
        <w:rPr>
          <w:lang w:val="en-US"/>
        </w:rPr>
        <w:t>analysis</w:t>
      </w:r>
      <w:r w:rsidRPr="00CC7761">
        <w:rPr>
          <w:lang w:val="en-US"/>
        </w:rPr>
        <w:t xml:space="preserve"> of the functioning of balancing regimes </w:t>
      </w:r>
      <w:r w:rsidR="00797657">
        <w:rPr>
          <w:lang w:val="en-US"/>
        </w:rPr>
        <w:t>i</w:t>
      </w:r>
      <w:r w:rsidRPr="00CC7761">
        <w:rPr>
          <w:lang w:val="en-US"/>
        </w:rPr>
        <w:t>n the three countries encompassed in South Region</w:t>
      </w:r>
      <w:r w:rsidR="00797657">
        <w:rPr>
          <w:lang w:val="en-US"/>
        </w:rPr>
        <w:t>,</w:t>
      </w:r>
      <w:r w:rsidRPr="00CC7761">
        <w:rPr>
          <w:lang w:val="en-US"/>
        </w:rPr>
        <w:t xml:space="preserve"> taking into account the particularities of each country and assessing if there is room for further cross-border cooperation in the implementation.</w:t>
      </w:r>
      <w:r w:rsidR="00644A12">
        <w:rPr>
          <w:lang w:val="en-US"/>
        </w:rPr>
        <w:t xml:space="preserve"> In no case</w:t>
      </w:r>
      <w:r w:rsidR="0017202D">
        <w:rPr>
          <w:lang w:val="en-US"/>
        </w:rPr>
        <w:t>,</w:t>
      </w:r>
      <w:r w:rsidR="00644A12">
        <w:rPr>
          <w:lang w:val="en-US"/>
        </w:rPr>
        <w:t xml:space="preserve"> </w:t>
      </w:r>
      <w:r w:rsidR="00797657">
        <w:rPr>
          <w:lang w:val="en-US"/>
        </w:rPr>
        <w:t xml:space="preserve">it </w:t>
      </w:r>
      <w:r w:rsidR="00644A12">
        <w:rPr>
          <w:lang w:val="en-US"/>
        </w:rPr>
        <w:t>tr</w:t>
      </w:r>
      <w:r w:rsidR="00797657">
        <w:rPr>
          <w:lang w:val="en-US"/>
        </w:rPr>
        <w:t>ies</w:t>
      </w:r>
      <w:r w:rsidR="00644A12">
        <w:rPr>
          <w:lang w:val="en-US"/>
        </w:rPr>
        <w:t xml:space="preserve"> to duplicate the content of the </w:t>
      </w:r>
      <w:r w:rsidR="00644A12" w:rsidRPr="00C72042">
        <w:rPr>
          <w:lang w:val="en-GB"/>
        </w:rPr>
        <w:t>ACER IMR on balancing report.</w:t>
      </w:r>
      <w:r w:rsidR="00644A12">
        <w:rPr>
          <w:lang w:val="en-GB"/>
        </w:rPr>
        <w:t xml:space="preserve"> On the contrary, </w:t>
      </w:r>
      <w:r w:rsidR="00644A12" w:rsidRPr="00C72042">
        <w:rPr>
          <w:lang w:val="en-GB"/>
        </w:rPr>
        <w:t>it seeks to a</w:t>
      </w:r>
      <w:r w:rsidR="002D6F04" w:rsidRPr="00C72042">
        <w:rPr>
          <w:lang w:val="en-GB"/>
        </w:rPr>
        <w:t>lign conclusions</w:t>
      </w:r>
      <w:r w:rsidR="00644A12" w:rsidRPr="00C72042">
        <w:rPr>
          <w:lang w:val="en-GB"/>
        </w:rPr>
        <w:t xml:space="preserve"> and finding</w:t>
      </w:r>
      <w:r w:rsidR="00644A12">
        <w:rPr>
          <w:lang w:val="en-GB"/>
        </w:rPr>
        <w:t>s</w:t>
      </w:r>
      <w:r w:rsidR="00644A12" w:rsidRPr="00C72042">
        <w:rPr>
          <w:lang w:val="en-GB"/>
        </w:rPr>
        <w:t xml:space="preserve"> with the ACER IMRs and</w:t>
      </w:r>
      <w:r w:rsidR="002D6F04" w:rsidRPr="00C72042">
        <w:rPr>
          <w:lang w:val="en-GB"/>
        </w:rPr>
        <w:t xml:space="preserve"> deepen knowledge o</w:t>
      </w:r>
      <w:r w:rsidR="00797657">
        <w:rPr>
          <w:lang w:val="en-GB"/>
        </w:rPr>
        <w:t>f</w:t>
      </w:r>
      <w:r w:rsidR="002D6F04" w:rsidRPr="00C72042">
        <w:rPr>
          <w:lang w:val="en-GB"/>
        </w:rPr>
        <w:t xml:space="preserve"> those regulatory areas</w:t>
      </w:r>
      <w:r w:rsidR="002D6F04">
        <w:rPr>
          <w:color w:val="2E75B6"/>
          <w:lang w:val="en-GB"/>
        </w:rPr>
        <w:t>.</w:t>
      </w:r>
    </w:p>
    <w:p w:rsidR="001906DF" w:rsidRPr="001E24AD" w:rsidRDefault="009B063B">
      <w:pPr>
        <w:rPr>
          <w:rFonts w:cs="Arial"/>
          <w:color w:val="000000" w:themeColor="text1"/>
          <w:szCs w:val="22"/>
          <w:lang w:val="en-GB"/>
        </w:rPr>
      </w:pPr>
      <w:r w:rsidRPr="001E24AD">
        <w:rPr>
          <w:color w:val="000000" w:themeColor="text1"/>
          <w:lang w:val="en-GB"/>
        </w:rPr>
        <w:t xml:space="preserve">This report has been done </w:t>
      </w:r>
      <w:r w:rsidR="001E24AD" w:rsidRPr="001E24AD">
        <w:rPr>
          <w:color w:val="000000" w:themeColor="text1"/>
          <w:lang w:val="en-GB"/>
        </w:rPr>
        <w:t xml:space="preserve">jointly </w:t>
      </w:r>
      <w:r w:rsidRPr="001E24AD">
        <w:rPr>
          <w:color w:val="000000" w:themeColor="text1"/>
          <w:lang w:val="en-GB"/>
        </w:rPr>
        <w:t xml:space="preserve">by the </w:t>
      </w:r>
      <w:r w:rsidR="009A3929">
        <w:rPr>
          <w:color w:val="000000" w:themeColor="text1"/>
          <w:lang w:val="en-GB"/>
        </w:rPr>
        <w:t>National Regulatory Authorities:</w:t>
      </w:r>
      <w:r w:rsidRPr="001E24AD">
        <w:rPr>
          <w:color w:val="000000" w:themeColor="text1"/>
          <w:lang w:val="en-GB"/>
        </w:rPr>
        <w:t xml:space="preserve"> Comisión Nacional de los Mercados y la Competencia (CNMC), Commission de Régulation de l’Energie (CRE) and Entidade Reguladora dos Serviços Energéticos (ERSE); and </w:t>
      </w:r>
      <w:r w:rsidR="009A3929">
        <w:rPr>
          <w:color w:val="000000" w:themeColor="text1"/>
          <w:lang w:val="en-GB"/>
        </w:rPr>
        <w:t xml:space="preserve">the </w:t>
      </w:r>
      <w:r w:rsidRPr="001E24AD">
        <w:rPr>
          <w:color w:val="000000" w:themeColor="text1"/>
          <w:lang w:val="en-GB"/>
        </w:rPr>
        <w:t>Transmission System Operators: ENAGAS, Teréga (former TIGF), GRTgaz and REN.</w:t>
      </w:r>
      <w:bookmarkStart w:id="16" w:name="_Toc325629569"/>
      <w:bookmarkStart w:id="17" w:name="_Toc325629571"/>
      <w:bookmarkStart w:id="18" w:name="_Toc325629572"/>
      <w:bookmarkStart w:id="19" w:name="_Ref326186821"/>
      <w:bookmarkStart w:id="20" w:name="_Ref326186831"/>
      <w:bookmarkStart w:id="21" w:name="_Toc327532079"/>
      <w:bookmarkEnd w:id="15"/>
      <w:bookmarkEnd w:id="16"/>
      <w:bookmarkEnd w:id="17"/>
      <w:bookmarkEnd w:id="18"/>
      <w:r w:rsidR="001906DF" w:rsidRPr="004B4238">
        <w:rPr>
          <w:lang w:val="en-GB"/>
        </w:rPr>
        <w:br w:type="page"/>
      </w:r>
    </w:p>
    <w:p w:rsidR="008F0384" w:rsidRPr="00C72042" w:rsidRDefault="000B55B0" w:rsidP="001B0007">
      <w:pPr>
        <w:pStyle w:val="Ttulo1"/>
        <w:rPr>
          <w:sz w:val="26"/>
          <w:szCs w:val="26"/>
          <w:lang w:val="en-US"/>
        </w:rPr>
      </w:pPr>
      <w:bookmarkStart w:id="22" w:name="_Toc516823935"/>
      <w:bookmarkEnd w:id="19"/>
      <w:bookmarkEnd w:id="20"/>
      <w:bookmarkEnd w:id="21"/>
      <w:r w:rsidRPr="00C72042">
        <w:rPr>
          <w:sz w:val="26"/>
          <w:szCs w:val="26"/>
          <w:lang w:val="en-US"/>
        </w:rPr>
        <w:t>Description of the balancing regimes in place</w:t>
      </w:r>
      <w:bookmarkEnd w:id="22"/>
    </w:p>
    <w:p w:rsidR="00372F65" w:rsidRPr="007D2C40" w:rsidRDefault="002C44BC" w:rsidP="00BE3FE8">
      <w:pPr>
        <w:rPr>
          <w:lang w:val="en-US"/>
        </w:rPr>
      </w:pPr>
      <w:r>
        <w:rPr>
          <w:lang w:val="en-US"/>
        </w:rPr>
        <w:t xml:space="preserve">The </w:t>
      </w:r>
      <w:r w:rsidRPr="002C44BC">
        <w:rPr>
          <w:lang w:val="en-US"/>
        </w:rPr>
        <w:t>Commission Regulation (EU) No 312/2014 establishing a Network Code on Gas Balancing of Transmission Networks</w:t>
      </w:r>
      <w:r w:rsidR="001E6259">
        <w:rPr>
          <w:lang w:val="en-US"/>
        </w:rPr>
        <w:t xml:space="preserve"> was passed on </w:t>
      </w:r>
      <w:r w:rsidR="001E6259" w:rsidRPr="002C44BC">
        <w:rPr>
          <w:lang w:val="en-US"/>
        </w:rPr>
        <w:t>26</w:t>
      </w:r>
      <w:r w:rsidR="00405FC1">
        <w:rPr>
          <w:lang w:val="en-US"/>
        </w:rPr>
        <w:t xml:space="preserve"> of</w:t>
      </w:r>
      <w:r w:rsidR="001E6259" w:rsidRPr="002C44BC">
        <w:rPr>
          <w:lang w:val="en-US"/>
        </w:rPr>
        <w:t xml:space="preserve"> March 2014</w:t>
      </w:r>
      <w:r>
        <w:rPr>
          <w:lang w:val="en-US"/>
        </w:rPr>
        <w:t xml:space="preserve">. </w:t>
      </w:r>
      <w:r w:rsidR="00372F65">
        <w:rPr>
          <w:lang w:val="en-US"/>
        </w:rPr>
        <w:t>The idea behind the Code is to introduce a market-based approach for balancing operations</w:t>
      </w:r>
      <w:r w:rsidR="0021594C">
        <w:rPr>
          <w:lang w:val="en-US"/>
        </w:rPr>
        <w:t xml:space="preserve"> to gain economic efficiency. If each shipper is close to balance, the network should overall be close to balance. If the system is not sufficiently close to balance or whenever flow patterns envisaged by the network users cannot be accommodated in the system, then the TSO intervene</w:t>
      </w:r>
      <w:r w:rsidR="003619BE">
        <w:rPr>
          <w:lang w:val="en-US"/>
        </w:rPr>
        <w:t>s</w:t>
      </w:r>
      <w:r w:rsidR="0021594C">
        <w:rPr>
          <w:lang w:val="en-US"/>
        </w:rPr>
        <w:t xml:space="preserve"> as </w:t>
      </w:r>
      <w:r w:rsidR="003619BE">
        <w:rPr>
          <w:lang w:val="en-US"/>
        </w:rPr>
        <w:t xml:space="preserve">a </w:t>
      </w:r>
      <w:r w:rsidR="0021594C">
        <w:rPr>
          <w:lang w:val="en-US"/>
        </w:rPr>
        <w:t>residual player.</w:t>
      </w:r>
      <w:r w:rsidR="001E6259">
        <w:rPr>
          <w:lang w:val="en-US"/>
        </w:rPr>
        <w:t xml:space="preserve"> The Code promotes the creation of markets which allow</w:t>
      </w:r>
      <w:r w:rsidR="003619BE">
        <w:rPr>
          <w:lang w:val="en-US"/>
        </w:rPr>
        <w:t>s</w:t>
      </w:r>
      <w:r w:rsidR="001E6259">
        <w:rPr>
          <w:lang w:val="en-US"/>
        </w:rPr>
        <w:t xml:space="preserve"> </w:t>
      </w:r>
      <w:r w:rsidR="00141351">
        <w:rPr>
          <w:lang w:val="en-US"/>
        </w:rPr>
        <w:t xml:space="preserve">both </w:t>
      </w:r>
      <w:r w:rsidR="001E6259">
        <w:rPr>
          <w:lang w:val="en-US"/>
        </w:rPr>
        <w:t>TSOs to procure balancing services from network users and</w:t>
      </w:r>
      <w:r w:rsidR="001A3708">
        <w:rPr>
          <w:lang w:val="en-US"/>
        </w:rPr>
        <w:t xml:space="preserve"> </w:t>
      </w:r>
      <w:r w:rsidR="001E6259">
        <w:rPr>
          <w:lang w:val="en-US"/>
        </w:rPr>
        <w:t xml:space="preserve">network users to trade imbalance positions. </w:t>
      </w:r>
      <w:r w:rsidR="00405FC1">
        <w:rPr>
          <w:lang w:val="en-US"/>
        </w:rPr>
        <w:t xml:space="preserve">In Spain the biggest TSO (ENAGAS) is the TSO in charge of making balancing actions (Technical System Manager, TSM). </w:t>
      </w:r>
      <w:r w:rsidR="0021594C">
        <w:rPr>
          <w:lang w:val="en-US"/>
        </w:rPr>
        <w:t>To ensure that network users are able to balance their accounts, network users require</w:t>
      </w:r>
      <w:r w:rsidR="001E6259">
        <w:rPr>
          <w:lang w:val="en-US"/>
        </w:rPr>
        <w:t>:</w:t>
      </w:r>
      <w:r w:rsidR="0021594C">
        <w:rPr>
          <w:lang w:val="en-US"/>
        </w:rPr>
        <w:t xml:space="preserve"> </w:t>
      </w:r>
      <w:r w:rsidR="001E6259">
        <w:rPr>
          <w:lang w:val="en-US"/>
        </w:rPr>
        <w:t xml:space="preserve">a) </w:t>
      </w:r>
      <w:r w:rsidR="0021594C">
        <w:rPr>
          <w:lang w:val="en-US"/>
        </w:rPr>
        <w:t>information</w:t>
      </w:r>
      <w:r w:rsidR="005D016C">
        <w:rPr>
          <w:lang w:val="en-US"/>
        </w:rPr>
        <w:t xml:space="preserve"> provided by the </w:t>
      </w:r>
      <w:r w:rsidR="00FD1618">
        <w:rPr>
          <w:lang w:val="en-US"/>
        </w:rPr>
        <w:t>Technical System Manager (</w:t>
      </w:r>
      <w:r w:rsidR="005D016C">
        <w:rPr>
          <w:lang w:val="en-US"/>
        </w:rPr>
        <w:t>TSM</w:t>
      </w:r>
      <w:r w:rsidR="00405FC1">
        <w:rPr>
          <w:lang w:val="en-US"/>
        </w:rPr>
        <w:t xml:space="preserve">) in Spain, or </w:t>
      </w:r>
      <w:r w:rsidR="00B2729C">
        <w:rPr>
          <w:lang w:val="en-US"/>
        </w:rPr>
        <w:t xml:space="preserve">by </w:t>
      </w:r>
      <w:r w:rsidR="00405FC1">
        <w:rPr>
          <w:lang w:val="en-US"/>
        </w:rPr>
        <w:t>TSOs in France and Portugal,</w:t>
      </w:r>
      <w:r w:rsidR="0021594C">
        <w:rPr>
          <w:lang w:val="en-US"/>
        </w:rPr>
        <w:t xml:space="preserve"> about</w:t>
      </w:r>
      <w:r w:rsidR="00141351">
        <w:rPr>
          <w:lang w:val="en-US"/>
        </w:rPr>
        <w:t>:</w:t>
      </w:r>
      <w:r w:rsidR="0021594C">
        <w:rPr>
          <w:lang w:val="en-US"/>
        </w:rPr>
        <w:t xml:space="preserve"> the overall network status</w:t>
      </w:r>
      <w:r w:rsidR="008A0526">
        <w:rPr>
          <w:lang w:val="en-US"/>
        </w:rPr>
        <w:t>, the</w:t>
      </w:r>
      <w:r w:rsidR="0021594C">
        <w:rPr>
          <w:lang w:val="en-US"/>
        </w:rPr>
        <w:t xml:space="preserve"> balancing actions </w:t>
      </w:r>
      <w:r w:rsidR="008F3457">
        <w:rPr>
          <w:lang w:val="en-US"/>
        </w:rPr>
        <w:t xml:space="preserve">and </w:t>
      </w:r>
      <w:r w:rsidR="00B2729C">
        <w:rPr>
          <w:lang w:val="en-US"/>
        </w:rPr>
        <w:t xml:space="preserve">their </w:t>
      </w:r>
      <w:r w:rsidR="008F3457">
        <w:rPr>
          <w:lang w:val="en-US"/>
        </w:rPr>
        <w:t>portfolio information,</w:t>
      </w:r>
      <w:r w:rsidR="001E6259">
        <w:rPr>
          <w:lang w:val="en-US"/>
        </w:rPr>
        <w:t xml:space="preserve"> b)</w:t>
      </w:r>
      <w:r w:rsidR="008F3457">
        <w:rPr>
          <w:lang w:val="en-US"/>
        </w:rPr>
        <w:t xml:space="preserve"> access to flexible gas via physical flexibility (LNG and storage facilities) or via trading arrangements (VTP or trading platforms/exchanges) and </w:t>
      </w:r>
      <w:r w:rsidR="001E6259">
        <w:rPr>
          <w:lang w:val="en-US"/>
        </w:rPr>
        <w:t xml:space="preserve">c) </w:t>
      </w:r>
      <w:r w:rsidR="008F3457">
        <w:rPr>
          <w:lang w:val="en-US"/>
        </w:rPr>
        <w:t xml:space="preserve">access to network flexibility. </w:t>
      </w:r>
    </w:p>
    <w:p w:rsidR="00CA697C" w:rsidRPr="007D2C40" w:rsidRDefault="001E6259" w:rsidP="001E6259">
      <w:pPr>
        <w:rPr>
          <w:lang w:val="en-US"/>
        </w:rPr>
      </w:pPr>
      <w:r>
        <w:rPr>
          <w:lang w:val="en-US"/>
        </w:rPr>
        <w:t xml:space="preserve">The balancing NC entered into force </w:t>
      </w:r>
      <w:r w:rsidR="00405FC1">
        <w:rPr>
          <w:lang w:val="en-US"/>
        </w:rPr>
        <w:t xml:space="preserve">by </w:t>
      </w:r>
      <w:r>
        <w:rPr>
          <w:lang w:val="en-US"/>
        </w:rPr>
        <w:t xml:space="preserve">1 October 2015 in France and </w:t>
      </w:r>
      <w:r w:rsidR="00405FC1">
        <w:rPr>
          <w:lang w:val="en-US"/>
        </w:rPr>
        <w:t xml:space="preserve">by </w:t>
      </w:r>
      <w:r>
        <w:rPr>
          <w:lang w:val="en-US"/>
        </w:rPr>
        <w:t>1 Oct</w:t>
      </w:r>
      <w:r w:rsidR="0094365B">
        <w:rPr>
          <w:lang w:val="en-US"/>
        </w:rPr>
        <w:t>ober 2016 in Spain and Portugal</w:t>
      </w:r>
      <w:r>
        <w:rPr>
          <w:lang w:val="en-US"/>
        </w:rPr>
        <w:t xml:space="preserve"> prior </w:t>
      </w:r>
      <w:r w:rsidR="00B301EB">
        <w:rPr>
          <w:lang w:val="en-US"/>
        </w:rPr>
        <w:t xml:space="preserve">to the </w:t>
      </w:r>
      <w:r w:rsidR="00423119">
        <w:rPr>
          <w:lang w:val="en-US"/>
        </w:rPr>
        <w:t>TSOs</w:t>
      </w:r>
      <w:r w:rsidR="00A64803">
        <w:rPr>
          <w:lang w:val="en-US"/>
        </w:rPr>
        <w:t xml:space="preserve">` </w:t>
      </w:r>
      <w:r>
        <w:rPr>
          <w:lang w:val="en-US"/>
        </w:rPr>
        <w:t>requ</w:t>
      </w:r>
      <w:r w:rsidR="008C41BD">
        <w:rPr>
          <w:lang w:val="en-US"/>
        </w:rPr>
        <w:t xml:space="preserve">est of a deferral. </w:t>
      </w:r>
    </w:p>
    <w:p w:rsidR="00421361" w:rsidRPr="00421361" w:rsidRDefault="00FD1618" w:rsidP="00421361">
      <w:pPr>
        <w:rPr>
          <w:lang w:val="en-US"/>
        </w:rPr>
      </w:pPr>
      <w:r>
        <w:rPr>
          <w:lang w:val="en-US"/>
        </w:rPr>
        <w:t xml:space="preserve">With regard to the balancing areas in the Region, </w:t>
      </w:r>
      <w:r w:rsidR="00421361" w:rsidRPr="00421361">
        <w:rPr>
          <w:lang w:val="en-US"/>
        </w:rPr>
        <w:t>the contractual architecture</w:t>
      </w:r>
      <w:r w:rsidR="00421361">
        <w:rPr>
          <w:lang w:val="en-US"/>
        </w:rPr>
        <w:t xml:space="preserve"> of the gas system </w:t>
      </w:r>
      <w:r>
        <w:rPr>
          <w:lang w:val="en-US"/>
        </w:rPr>
        <w:t xml:space="preserve">in France </w:t>
      </w:r>
      <w:r w:rsidR="00421361">
        <w:rPr>
          <w:lang w:val="en-US"/>
        </w:rPr>
        <w:t xml:space="preserve">has been progressively simplified, from </w:t>
      </w:r>
      <w:r w:rsidR="00421361" w:rsidRPr="00421361">
        <w:rPr>
          <w:lang w:val="en-US"/>
        </w:rPr>
        <w:t xml:space="preserve">seven balancing zones in 2003 to </w:t>
      </w:r>
      <w:r w:rsidR="00421361">
        <w:rPr>
          <w:lang w:val="en-US"/>
        </w:rPr>
        <w:t>two market areas with three balancing zones today. The developments included the merger of L and H gas market zones in 2013 (contractually speaking, 2 calorific values remain physically)</w:t>
      </w:r>
      <w:r w:rsidR="0096564E">
        <w:rPr>
          <w:lang w:val="en-US"/>
        </w:rPr>
        <w:t>. Since 1</w:t>
      </w:r>
      <w:r w:rsidR="00421361" w:rsidRPr="00421361">
        <w:rPr>
          <w:lang w:val="en-US"/>
        </w:rPr>
        <w:t xml:space="preserve"> April 2015, </w:t>
      </w:r>
      <w:r w:rsidR="0096564E">
        <w:rPr>
          <w:lang w:val="en-US"/>
        </w:rPr>
        <w:t>there are</w:t>
      </w:r>
      <w:r w:rsidR="00421361" w:rsidRPr="00421361">
        <w:rPr>
          <w:lang w:val="en-US"/>
        </w:rPr>
        <w:t xml:space="preserve"> two marketplaces</w:t>
      </w:r>
      <w:r w:rsidR="0096564E">
        <w:rPr>
          <w:lang w:val="en-US"/>
        </w:rPr>
        <w:t xml:space="preserve"> in France, the PEG Nord and</w:t>
      </w:r>
      <w:r w:rsidR="00421361" w:rsidRPr="00421361">
        <w:rPr>
          <w:lang w:val="en-US"/>
        </w:rPr>
        <w:t xml:space="preserve"> the Trading Region South (TRS), shared by GRTgaz and TIGF. </w:t>
      </w:r>
      <w:r w:rsidR="00421361">
        <w:rPr>
          <w:lang w:val="en-US"/>
        </w:rPr>
        <w:t>The next step consists in the creation of a single market area for France (Trading Region France, TRF). Following an in-depth cost and benefit analysis, the merger of PEG Nord and TRS was decided in 2014 (CRE deliberation</w:t>
      </w:r>
      <w:r w:rsidR="0096564E">
        <w:rPr>
          <w:lang w:val="en-US"/>
        </w:rPr>
        <w:t xml:space="preserve"> of </w:t>
      </w:r>
      <w:r w:rsidR="00421361" w:rsidRPr="00E020B8">
        <w:rPr>
          <w:lang w:val="en-GB"/>
        </w:rPr>
        <w:t>7 May 2014</w:t>
      </w:r>
      <w:r w:rsidR="00421361">
        <w:rPr>
          <w:lang w:val="en-GB"/>
        </w:rPr>
        <w:t xml:space="preserve">) with the completion </w:t>
      </w:r>
      <w:r w:rsidR="00421361">
        <w:rPr>
          <w:lang w:val="en-US"/>
        </w:rPr>
        <w:t>of</w:t>
      </w:r>
      <w:r w:rsidR="00421361" w:rsidRPr="00436FE3">
        <w:rPr>
          <w:lang w:val="en-GB"/>
        </w:rPr>
        <w:t xml:space="preserve"> Val de Saône and Gascogne Midi projects</w:t>
      </w:r>
      <w:r w:rsidR="00421361">
        <w:rPr>
          <w:lang w:val="en-GB"/>
        </w:rPr>
        <w:t xml:space="preserve">, representing a total </w:t>
      </w:r>
      <w:r w:rsidR="00421361" w:rsidRPr="00436FE3">
        <w:rPr>
          <w:lang w:val="en-GB"/>
        </w:rPr>
        <w:t>investment of 823M</w:t>
      </w:r>
      <w:r w:rsidR="00405FC1">
        <w:rPr>
          <w:lang w:val="en-GB"/>
        </w:rPr>
        <w:t>€</w:t>
      </w:r>
      <w:r w:rsidR="00421361" w:rsidRPr="00436FE3">
        <w:rPr>
          <w:lang w:val="en-GB"/>
        </w:rPr>
        <w:t>.</w:t>
      </w:r>
      <w:r w:rsidR="0096564E">
        <w:rPr>
          <w:lang w:val="en-GB"/>
        </w:rPr>
        <w:t xml:space="preserve"> However, these developments do not allow to fully</w:t>
      </w:r>
      <w:r w:rsidR="00B301EB">
        <w:rPr>
          <w:lang w:val="en-GB"/>
        </w:rPr>
        <w:t xml:space="preserve"> remove</w:t>
      </w:r>
      <w:r w:rsidR="0096564E">
        <w:rPr>
          <w:lang w:val="en-GB"/>
        </w:rPr>
        <w:t xml:space="preserve"> </w:t>
      </w:r>
      <w:r w:rsidR="00421361" w:rsidRPr="00436FE3">
        <w:rPr>
          <w:lang w:val="en-GB"/>
        </w:rPr>
        <w:t>all congestion</w:t>
      </w:r>
      <w:r w:rsidR="0096564E">
        <w:rPr>
          <w:lang w:val="en-GB"/>
        </w:rPr>
        <w:t>s;</w:t>
      </w:r>
      <w:r w:rsidR="00421361" w:rsidRPr="00436FE3">
        <w:rPr>
          <w:lang w:val="en-GB"/>
        </w:rPr>
        <w:t xml:space="preserve"> contractual congestion relief mechanisms </w:t>
      </w:r>
      <w:r w:rsidR="0096564E">
        <w:rPr>
          <w:lang w:val="en-GB"/>
        </w:rPr>
        <w:t xml:space="preserve">will be implemented </w:t>
      </w:r>
      <w:r w:rsidR="00421361" w:rsidRPr="00436FE3">
        <w:rPr>
          <w:lang w:val="en-GB"/>
        </w:rPr>
        <w:t>on an ad hoc basis to ensure firm capacities</w:t>
      </w:r>
      <w:r w:rsidR="0096564E">
        <w:rPr>
          <w:lang w:val="en-GB"/>
        </w:rPr>
        <w:t xml:space="preserve"> are actually guaranteed</w:t>
      </w:r>
      <w:r w:rsidR="00421361" w:rsidRPr="00436FE3">
        <w:rPr>
          <w:lang w:val="en-GB"/>
        </w:rPr>
        <w:t>.</w:t>
      </w:r>
    </w:p>
    <w:p w:rsidR="00421361" w:rsidRPr="00421361" w:rsidRDefault="00421361" w:rsidP="00421361">
      <w:pPr>
        <w:rPr>
          <w:lang w:val="en-US"/>
        </w:rPr>
      </w:pPr>
    </w:p>
    <w:p w:rsidR="00421361" w:rsidRDefault="00421361" w:rsidP="00421361">
      <w:pPr>
        <w:rPr>
          <w:lang w:val="en-US"/>
        </w:rPr>
      </w:pPr>
      <w:r>
        <w:rPr>
          <w:noProof/>
          <w:lang w:val="es-ES" w:eastAsia="es-ES"/>
        </w:rPr>
        <w:drawing>
          <wp:inline distT="0" distB="0" distL="0" distR="0" wp14:anchorId="1EFD4138" wp14:editId="74BBBB56">
            <wp:extent cx="5669915" cy="1187270"/>
            <wp:effectExtent l="0" t="0" r="698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9915" cy="1187270"/>
                    </a:xfrm>
                    <a:prstGeom prst="rect">
                      <a:avLst/>
                    </a:prstGeom>
                    <a:noFill/>
                  </pic:spPr>
                </pic:pic>
              </a:graphicData>
            </a:graphic>
          </wp:inline>
        </w:drawing>
      </w:r>
    </w:p>
    <w:p w:rsidR="007E64D8" w:rsidRDefault="007E64D8" w:rsidP="00421361">
      <w:pPr>
        <w:rPr>
          <w:lang w:val="en-US"/>
        </w:rPr>
      </w:pPr>
      <w:r>
        <w:rPr>
          <w:lang w:val="en-US"/>
        </w:rPr>
        <w:t>Figure 1: Evolution of market areas in France</w:t>
      </w:r>
    </w:p>
    <w:p w:rsidR="00CC6AEB" w:rsidRDefault="00CC6AEB" w:rsidP="00CC6AEB">
      <w:pPr>
        <w:rPr>
          <w:lang w:val="en-US"/>
        </w:rPr>
      </w:pPr>
      <w:r>
        <w:rPr>
          <w:lang w:val="en-US"/>
        </w:rPr>
        <w:t xml:space="preserve">In summary, </w:t>
      </w:r>
      <w:r w:rsidR="00FD1618">
        <w:rPr>
          <w:lang w:val="en-US"/>
        </w:rPr>
        <w:t xml:space="preserve">currently </w:t>
      </w:r>
      <w:r>
        <w:rPr>
          <w:lang w:val="en-US"/>
        </w:rPr>
        <w:t>there are five balancing areas in the</w:t>
      </w:r>
      <w:r w:rsidR="007E52B1">
        <w:rPr>
          <w:lang w:val="en-US"/>
        </w:rPr>
        <w:t xml:space="preserve"> South Gas </w:t>
      </w:r>
      <w:r>
        <w:rPr>
          <w:lang w:val="en-US"/>
        </w:rPr>
        <w:t xml:space="preserve">Region: three in France </w:t>
      </w:r>
      <w:r w:rsidR="000757CE">
        <w:rPr>
          <w:lang w:val="en-US"/>
        </w:rPr>
        <w:t>(GRTGaz Nord</w:t>
      </w:r>
      <w:r w:rsidRPr="00436FE3">
        <w:rPr>
          <w:lang w:val="en-US"/>
        </w:rPr>
        <w:t>, GRTGaz S</w:t>
      </w:r>
      <w:r w:rsidR="000757CE">
        <w:rPr>
          <w:lang w:val="en-US"/>
        </w:rPr>
        <w:t>ud</w:t>
      </w:r>
      <w:r w:rsidRPr="00436FE3">
        <w:rPr>
          <w:lang w:val="en-US"/>
        </w:rPr>
        <w:t xml:space="preserve"> and TIGF),</w:t>
      </w:r>
      <w:r w:rsidRPr="00BE3FE8">
        <w:rPr>
          <w:lang w:val="en-US"/>
        </w:rPr>
        <w:t xml:space="preserve"> one in Spain and one in Portugal</w:t>
      </w:r>
      <w:r>
        <w:rPr>
          <w:lang w:val="en-US"/>
        </w:rPr>
        <w:t xml:space="preserve"> managed by the corresponding TSOs, namely, GRTgaz, TIGF, Enagás and REN respectively. Each balancing area has its own balancing rules within the limitations provided by the Code reflecting the peculiarities of each area. For the time being there are three marketplace</w:t>
      </w:r>
      <w:r w:rsidR="00E86502">
        <w:rPr>
          <w:lang w:val="en-US"/>
        </w:rPr>
        <w:t>s</w:t>
      </w:r>
      <w:r>
        <w:rPr>
          <w:lang w:val="en-US"/>
        </w:rPr>
        <w:t xml:space="preserve"> in the Region: two in France (PEG Nord and TRS) and one in Spain (MIBGAS). </w:t>
      </w:r>
      <w:r w:rsidRPr="00C72042">
        <w:rPr>
          <w:lang w:val="en-US"/>
        </w:rPr>
        <w:t>The regulation currently under development</w:t>
      </w:r>
      <w:r>
        <w:rPr>
          <w:lang w:val="en-US"/>
        </w:rPr>
        <w:t xml:space="preserve"> in the Region</w:t>
      </w:r>
      <w:r w:rsidRPr="00C72042">
        <w:rPr>
          <w:lang w:val="en-US"/>
        </w:rPr>
        <w:t xml:space="preserve"> foresees evolving to two marketplaces: TRF resulting from the merge of PEG Nord and TRS in France and MIBGAS in Iberia (Spain and Portugal).</w:t>
      </w:r>
      <w:r>
        <w:rPr>
          <w:lang w:val="en-US"/>
        </w:rPr>
        <w:t xml:space="preserve">   </w:t>
      </w:r>
    </w:p>
    <w:p w:rsidR="00CC52B0" w:rsidRDefault="00930836" w:rsidP="00BE3FE8">
      <w:pPr>
        <w:rPr>
          <w:lang w:val="en-US"/>
        </w:rPr>
      </w:pPr>
      <w:r>
        <w:rPr>
          <w:lang w:val="en-US"/>
        </w:rPr>
        <w:t xml:space="preserve">With regard </w:t>
      </w:r>
      <w:r w:rsidR="00436FE3">
        <w:rPr>
          <w:lang w:val="en-US"/>
        </w:rPr>
        <w:t xml:space="preserve">to </w:t>
      </w:r>
      <w:r>
        <w:rPr>
          <w:lang w:val="en-US"/>
        </w:rPr>
        <w:t>the pieces of national regulation implementing the balancing NC</w:t>
      </w:r>
      <w:r w:rsidR="008B77BD">
        <w:rPr>
          <w:lang w:val="en-US"/>
        </w:rPr>
        <w:t xml:space="preserve"> in each of the three countries</w:t>
      </w:r>
      <w:r>
        <w:rPr>
          <w:lang w:val="en-US"/>
        </w:rPr>
        <w:t xml:space="preserve">, </w:t>
      </w:r>
      <w:r w:rsidR="008B77BD">
        <w:rPr>
          <w:lang w:val="en-US"/>
        </w:rPr>
        <w:t>i</w:t>
      </w:r>
      <w:r w:rsidR="004F6C2A">
        <w:rPr>
          <w:lang w:val="en-US"/>
        </w:rPr>
        <w:t xml:space="preserve">n Spain, </w:t>
      </w:r>
      <w:r w:rsidR="00262A0F">
        <w:rPr>
          <w:lang w:val="en-US"/>
        </w:rPr>
        <w:t>the Circular 2/2015</w:t>
      </w:r>
      <w:r w:rsidR="00F953E1">
        <w:rPr>
          <w:rStyle w:val="Refdenotaalpie"/>
          <w:lang w:val="en-US"/>
        </w:rPr>
        <w:footnoteReference w:id="1"/>
      </w:r>
      <w:r w:rsidR="00262A0F">
        <w:rPr>
          <w:lang w:val="en-US"/>
        </w:rPr>
        <w:t xml:space="preserve">, of 22 July, </w:t>
      </w:r>
      <w:r w:rsidR="00B301EB">
        <w:rPr>
          <w:lang w:val="en-US"/>
        </w:rPr>
        <w:t xml:space="preserve">approved </w:t>
      </w:r>
      <w:r w:rsidR="006169AB">
        <w:rPr>
          <w:lang w:val="en-US"/>
        </w:rPr>
        <w:t>by</w:t>
      </w:r>
      <w:r w:rsidR="00262A0F">
        <w:rPr>
          <w:lang w:val="en-US"/>
        </w:rPr>
        <w:t xml:space="preserve"> Spain`s National Authority for Markets and Competition (CNMC) establishing the regulation on gas balancing of transmission networks</w:t>
      </w:r>
      <w:r w:rsidR="006169AB">
        <w:rPr>
          <w:lang w:val="en-US"/>
        </w:rPr>
        <w:t>,</w:t>
      </w:r>
      <w:r w:rsidR="00262A0F">
        <w:rPr>
          <w:lang w:val="en-US"/>
        </w:rPr>
        <w:t xml:space="preserve"> implements the Code and develops those aspects that the Code leaves to NRA`s criteria. </w:t>
      </w:r>
      <w:r w:rsidR="00CC52B0">
        <w:rPr>
          <w:lang w:val="en-US"/>
        </w:rPr>
        <w:t xml:space="preserve">The Circular was submitted to public consultation and the comments received were duly taking </w:t>
      </w:r>
      <w:r w:rsidR="0094365B">
        <w:rPr>
          <w:lang w:val="en-US"/>
        </w:rPr>
        <w:t>into consideration.</w:t>
      </w:r>
      <w:r w:rsidR="00166894">
        <w:rPr>
          <w:lang w:val="en-US"/>
        </w:rPr>
        <w:t xml:space="preserve"> </w:t>
      </w:r>
    </w:p>
    <w:p w:rsidR="00C04D89" w:rsidRDefault="0096564E" w:rsidP="00BE3FE8">
      <w:pPr>
        <w:rPr>
          <w:lang w:val="en-US"/>
        </w:rPr>
      </w:pPr>
      <w:r w:rsidRPr="00436FE3">
        <w:rPr>
          <w:lang w:val="en-US"/>
        </w:rPr>
        <w:t xml:space="preserve">In France, the implementation of the provisions of the Regulation 312/2014 has been triggered by the CRE </w:t>
      </w:r>
      <w:r w:rsidR="00B301EB">
        <w:rPr>
          <w:lang w:val="en-US"/>
        </w:rPr>
        <w:t>D</w:t>
      </w:r>
      <w:r w:rsidRPr="00436FE3">
        <w:rPr>
          <w:lang w:val="en-US"/>
        </w:rPr>
        <w:t>eliberation of 10 September 2015. The current regime has been establi</w:t>
      </w:r>
      <w:r w:rsidR="00436FE3">
        <w:rPr>
          <w:lang w:val="en-US"/>
        </w:rPr>
        <w:t xml:space="preserve">shed by the </w:t>
      </w:r>
      <w:r w:rsidR="007B233E">
        <w:rPr>
          <w:lang w:val="en-US"/>
        </w:rPr>
        <w:t>D</w:t>
      </w:r>
      <w:r w:rsidR="00436FE3">
        <w:rPr>
          <w:lang w:val="en-US"/>
        </w:rPr>
        <w:t>eliberation of 15 S</w:t>
      </w:r>
      <w:r w:rsidRPr="00436FE3">
        <w:rPr>
          <w:lang w:val="en-US"/>
        </w:rPr>
        <w:t xml:space="preserve">eptember 2016, regulating balancing as from 1 October 2016. The balancing regime within the future single Trading Region France has been established by the CRE </w:t>
      </w:r>
      <w:r w:rsidR="007B233E">
        <w:rPr>
          <w:lang w:val="en-US"/>
        </w:rPr>
        <w:t>D</w:t>
      </w:r>
      <w:r w:rsidRPr="00436FE3">
        <w:rPr>
          <w:lang w:val="en-US"/>
        </w:rPr>
        <w:t>eliberation 2017-246 of 26 October 2017.</w:t>
      </w:r>
    </w:p>
    <w:p w:rsidR="007E64D8" w:rsidRPr="00735B38" w:rsidRDefault="007E64D8" w:rsidP="007E64D8">
      <w:pPr>
        <w:jc w:val="center"/>
        <w:rPr>
          <w:lang w:val="en-US"/>
        </w:rPr>
      </w:pPr>
      <w:r w:rsidRPr="00A44BD8">
        <w:rPr>
          <w:noProof/>
          <w:lang w:val="es-ES" w:eastAsia="es-ES"/>
        </w:rPr>
        <w:drawing>
          <wp:inline distT="0" distB="0" distL="0" distR="0" wp14:anchorId="610EC2B5" wp14:editId="0E508C53">
            <wp:extent cx="2259664" cy="2133122"/>
            <wp:effectExtent l="0" t="0" r="7620" b="635"/>
            <wp:docPr id="12" name="Image 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0064" cy="2142939"/>
                    </a:xfrm>
                    <a:prstGeom prst="rect">
                      <a:avLst/>
                    </a:prstGeom>
                    <a:noFill/>
                    <a:ln>
                      <a:noFill/>
                    </a:ln>
                  </pic:spPr>
                </pic:pic>
              </a:graphicData>
            </a:graphic>
          </wp:inline>
        </w:drawing>
      </w:r>
      <w:r>
        <w:rPr>
          <w:lang w:val="en-US"/>
        </w:rPr>
        <w:t>&gt;&gt;&gt;&gt;</w:t>
      </w:r>
      <w:r w:rsidRPr="00A44BD8">
        <w:t xml:space="preserve"> </w:t>
      </w:r>
      <w:r>
        <w:rPr>
          <w:noProof/>
          <w:lang w:val="es-ES" w:eastAsia="es-ES"/>
        </w:rPr>
        <w:drawing>
          <wp:inline distT="0" distB="0" distL="0" distR="0" wp14:anchorId="4323F537" wp14:editId="55830723">
            <wp:extent cx="2689522" cy="2118955"/>
            <wp:effectExtent l="0" t="0" r="0" b="0"/>
            <wp:docPr id="13" name="Image 5" descr="https://lh3.googleusercontent.com/-obxPobPP2LLoildhvYTgClrlgnZaUbkANatPkbKudjBUlbaP-fPGSk5y9aP-lZsAdwxaXK1lxlNrRQe0v9vxdjpRWdQqcKqLgZ1TJTePYT2owFi8vav6D5m76mWXD6fJYfEY5vv5Fhbn4bS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obxPobPP2LLoildhvYTgClrlgnZaUbkANatPkbKudjBUlbaP-fPGSk5y9aP-lZsAdwxaXK1lxlNrRQe0v9vxdjpRWdQqcKqLgZ1TJTePYT2owFi8vav6D5m76mWXD6fJYfEY5vv5Fhbn4bS8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7094" cy="2148556"/>
                    </a:xfrm>
                    <a:prstGeom prst="rect">
                      <a:avLst/>
                    </a:prstGeom>
                    <a:noFill/>
                    <a:ln>
                      <a:noFill/>
                    </a:ln>
                  </pic:spPr>
                </pic:pic>
              </a:graphicData>
            </a:graphic>
          </wp:inline>
        </w:drawing>
      </w:r>
    </w:p>
    <w:p w:rsidR="007E64D8" w:rsidRPr="00436FE3" w:rsidRDefault="007E64D8" w:rsidP="007B233E">
      <w:pPr>
        <w:rPr>
          <w:lang w:val="en-US"/>
        </w:rPr>
      </w:pPr>
      <w:r>
        <w:rPr>
          <w:lang w:val="en-US"/>
        </w:rPr>
        <w:t>Figure 2: Balancing and market areas</w:t>
      </w:r>
      <w:r w:rsidR="007B233E">
        <w:rPr>
          <w:lang w:val="en-US"/>
        </w:rPr>
        <w:t xml:space="preserve"> in France</w:t>
      </w:r>
    </w:p>
    <w:p w:rsidR="00845401" w:rsidRPr="00744B7B" w:rsidRDefault="008D348A" w:rsidP="00845401">
      <w:pPr>
        <w:rPr>
          <w:lang w:val="en-US"/>
        </w:rPr>
      </w:pPr>
      <w:r w:rsidRPr="00744B7B">
        <w:rPr>
          <w:lang w:val="en-US"/>
        </w:rPr>
        <w:t>In Portugal, t</w:t>
      </w:r>
      <w:r w:rsidR="00845401" w:rsidRPr="00744B7B">
        <w:rPr>
          <w:lang w:val="en-US"/>
        </w:rPr>
        <w:t>he implementation of Commission Regulation (EU) No 312/2014 of 26 March established the need for an in-depth review of the National System of Natural Gas (NSNG) Manual of Global Technical Management Procedures</w:t>
      </w:r>
      <w:r w:rsidR="00845401" w:rsidRPr="00744B7B">
        <w:rPr>
          <w:rStyle w:val="Refdenotaalpie"/>
          <w:lang w:val="en-US"/>
        </w:rPr>
        <w:footnoteReference w:id="2"/>
      </w:r>
      <w:r w:rsidR="00845401" w:rsidRPr="00744B7B">
        <w:rPr>
          <w:lang w:val="en-US"/>
        </w:rPr>
        <w:t xml:space="preserve"> (MPGTG), since the rules for the transmission network compensation, as well as the scope of the NSNG's Global Technical Manager (GTG) and distribution system operators, were substantially different from the practices in force.</w:t>
      </w:r>
    </w:p>
    <w:p w:rsidR="00845401" w:rsidRPr="00744B7B" w:rsidRDefault="00845401" w:rsidP="00845401">
      <w:pPr>
        <w:rPr>
          <w:lang w:val="en-US"/>
        </w:rPr>
      </w:pPr>
      <w:r w:rsidRPr="00744B7B">
        <w:rPr>
          <w:lang w:val="en-US"/>
        </w:rPr>
        <w:t>In this sense, ERSE started the discussion of the gas infrastructure’s compensation model, in the beginning of 2015, which resulted in an important contribution to the revision of the Regulation for Operation of Infrastructures (ROI), published in April 2016 (Regulation No.417/2016, of the 29</w:t>
      </w:r>
      <w:r w:rsidRPr="00744B7B">
        <w:rPr>
          <w:vertAlign w:val="superscript"/>
          <w:lang w:val="en-US"/>
        </w:rPr>
        <w:t>th</w:t>
      </w:r>
      <w:r w:rsidRPr="00744B7B">
        <w:rPr>
          <w:lang w:val="en-US"/>
        </w:rPr>
        <w:t xml:space="preserve"> of April, approving the Regulation for Operation of Infrastructures in the natural gas sector</w:t>
      </w:r>
      <w:r w:rsidRPr="00744B7B">
        <w:rPr>
          <w:rStyle w:val="Refdenotaalpie"/>
          <w:lang w:val="en-US"/>
        </w:rPr>
        <w:footnoteReference w:id="3"/>
      </w:r>
      <w:r w:rsidRPr="00744B7B">
        <w:rPr>
          <w:lang w:val="en-US"/>
        </w:rPr>
        <w:t>).</w:t>
      </w:r>
    </w:p>
    <w:p w:rsidR="00845401" w:rsidRPr="00744B7B" w:rsidRDefault="00845401" w:rsidP="00845401">
      <w:pPr>
        <w:rPr>
          <w:lang w:val="en-US"/>
        </w:rPr>
      </w:pPr>
      <w:r w:rsidRPr="00744B7B">
        <w:rPr>
          <w:rFonts w:cs="Arial"/>
          <w:color w:val="222222"/>
          <w:lang w:val="en"/>
        </w:rPr>
        <w:t>The subsequent amendment of the MPGTG integrated the procedures that consolidate the practices and competences of the GTG at the operational level,</w:t>
      </w:r>
      <w:r w:rsidR="007B529D">
        <w:rPr>
          <w:rFonts w:cs="Arial"/>
          <w:color w:val="222222"/>
          <w:lang w:val="en"/>
        </w:rPr>
        <w:t xml:space="preserve"> and</w:t>
      </w:r>
      <w:r w:rsidRPr="00744B7B">
        <w:rPr>
          <w:rFonts w:cs="Arial"/>
          <w:color w:val="222222"/>
          <w:lang w:val="en"/>
        </w:rPr>
        <w:t xml:space="preserve"> its interaction with the operators of the infrastructures in the NSNG, with the market agents and with the market operators.</w:t>
      </w:r>
    </w:p>
    <w:p w:rsidR="00845401" w:rsidRPr="000F46F6" w:rsidRDefault="00845401" w:rsidP="00845401">
      <w:pPr>
        <w:rPr>
          <w:lang w:val="en-US"/>
        </w:rPr>
      </w:pPr>
      <w:r w:rsidRPr="00744B7B">
        <w:rPr>
          <w:lang w:val="en-US"/>
        </w:rPr>
        <w:t>The MPGTG substantially reinforced the interaction between the transmission network compensation methodology and the operation of the future organized market (MIBGAS), aiming at greater individual accountability of market agents supported by an enhanced information provision and reporting obligations from the GTG. The public consultation of the MPGTG took place between July 22</w:t>
      </w:r>
      <w:r w:rsidR="009B063B" w:rsidRPr="004B4238">
        <w:rPr>
          <w:vertAlign w:val="superscript"/>
          <w:lang w:val="en-US"/>
        </w:rPr>
        <w:t>nd</w:t>
      </w:r>
      <w:r w:rsidR="009B063B">
        <w:rPr>
          <w:lang w:val="en-US"/>
        </w:rPr>
        <w:t xml:space="preserve"> </w:t>
      </w:r>
      <w:r w:rsidRPr="00744B7B">
        <w:rPr>
          <w:lang w:val="en-US"/>
        </w:rPr>
        <w:t>and September 7</w:t>
      </w:r>
      <w:r w:rsidR="009B063B" w:rsidRPr="004B4238">
        <w:rPr>
          <w:vertAlign w:val="superscript"/>
          <w:lang w:val="en-US"/>
        </w:rPr>
        <w:t>th</w:t>
      </w:r>
      <w:r w:rsidR="009B063B">
        <w:rPr>
          <w:lang w:val="en-US"/>
        </w:rPr>
        <w:t xml:space="preserve"> </w:t>
      </w:r>
      <w:r w:rsidRPr="00744B7B">
        <w:rPr>
          <w:lang w:val="en-US"/>
        </w:rPr>
        <w:t>with approval at 28</w:t>
      </w:r>
      <w:r w:rsidRPr="00744B7B">
        <w:rPr>
          <w:vertAlign w:val="superscript"/>
          <w:lang w:val="en-US"/>
        </w:rPr>
        <w:t>th</w:t>
      </w:r>
      <w:r w:rsidRPr="00744B7B">
        <w:rPr>
          <w:lang w:val="en-US"/>
        </w:rPr>
        <w:t xml:space="preserve"> of September and entry into force on the 1</w:t>
      </w:r>
      <w:r w:rsidRPr="00744B7B">
        <w:rPr>
          <w:vertAlign w:val="superscript"/>
          <w:lang w:val="en-US"/>
        </w:rPr>
        <w:t>st</w:t>
      </w:r>
      <w:r w:rsidRPr="00744B7B">
        <w:rPr>
          <w:lang w:val="en-US"/>
        </w:rPr>
        <w:t xml:space="preserve"> of October of 2016, through the publication of the ERSE Directive no. 18/2016.</w:t>
      </w:r>
    </w:p>
    <w:p w:rsidR="004A6923" w:rsidRDefault="002567C1" w:rsidP="00BE3FE8">
      <w:pPr>
        <w:rPr>
          <w:lang w:val="en-US"/>
        </w:rPr>
      </w:pPr>
      <w:r>
        <w:rPr>
          <w:lang w:val="en-US"/>
        </w:rPr>
        <w:t xml:space="preserve">Hereafter are </w:t>
      </w:r>
      <w:r w:rsidR="008A0526">
        <w:rPr>
          <w:lang w:val="en-US"/>
        </w:rPr>
        <w:t xml:space="preserve">the </w:t>
      </w:r>
      <w:r w:rsidR="004F6C2A">
        <w:rPr>
          <w:lang w:val="en-US"/>
        </w:rPr>
        <w:t>key</w:t>
      </w:r>
      <w:r w:rsidR="008A0526">
        <w:rPr>
          <w:lang w:val="en-US"/>
        </w:rPr>
        <w:t xml:space="preserve"> elements of the balancing regimes in place in </w:t>
      </w:r>
      <w:r w:rsidR="00BE03DD">
        <w:rPr>
          <w:lang w:val="en-US"/>
        </w:rPr>
        <w:t xml:space="preserve">each of </w:t>
      </w:r>
      <w:r w:rsidR="008A0526">
        <w:rPr>
          <w:lang w:val="en-US"/>
        </w:rPr>
        <w:t>the three countries of the Region</w:t>
      </w:r>
      <w:r w:rsidR="00BE03DD">
        <w:rPr>
          <w:lang w:val="en-US"/>
        </w:rPr>
        <w:t>.</w:t>
      </w:r>
    </w:p>
    <w:p w:rsidR="000B3CF7" w:rsidRDefault="000B3CF7" w:rsidP="00735B38">
      <w:pPr>
        <w:pStyle w:val="Ttulo2"/>
        <w:rPr>
          <w:lang w:val="en-US"/>
        </w:rPr>
      </w:pPr>
      <w:bookmarkStart w:id="23" w:name="_Toc494873224"/>
      <w:bookmarkStart w:id="24" w:name="_Toc494873342"/>
      <w:bookmarkStart w:id="25" w:name="_Toc516823936"/>
      <w:bookmarkEnd w:id="23"/>
      <w:bookmarkEnd w:id="24"/>
      <w:r>
        <w:rPr>
          <w:lang w:val="en-US"/>
        </w:rPr>
        <w:t>General principles</w:t>
      </w:r>
      <w:bookmarkEnd w:id="25"/>
    </w:p>
    <w:p w:rsidR="0057782E" w:rsidRPr="007360A6" w:rsidRDefault="0057782E" w:rsidP="00735B38">
      <w:pPr>
        <w:rPr>
          <w:u w:val="single"/>
          <w:lang w:val="en-US"/>
        </w:rPr>
      </w:pPr>
      <w:r w:rsidRPr="007360A6">
        <w:rPr>
          <w:u w:val="single"/>
          <w:lang w:val="en-US"/>
        </w:rPr>
        <w:t>Spain</w:t>
      </w:r>
    </w:p>
    <w:p w:rsidR="000B3CF7" w:rsidRDefault="000B3CF7" w:rsidP="000B3CF7">
      <w:pPr>
        <w:rPr>
          <w:lang w:val="en-US"/>
        </w:rPr>
      </w:pPr>
      <w:r w:rsidRPr="006169AB">
        <w:rPr>
          <w:lang w:val="en-US"/>
        </w:rPr>
        <w:t xml:space="preserve">The regulation on balancing in Spain </w:t>
      </w:r>
      <w:r w:rsidR="00BF0F01">
        <w:rPr>
          <w:lang w:val="en-US"/>
        </w:rPr>
        <w:t>follows the Network</w:t>
      </w:r>
      <w:r w:rsidR="006169AB" w:rsidRPr="00735B38">
        <w:rPr>
          <w:lang w:val="en-US"/>
        </w:rPr>
        <w:t xml:space="preserve"> Code</w:t>
      </w:r>
      <w:r w:rsidR="008E5F79">
        <w:rPr>
          <w:lang w:val="en-US"/>
        </w:rPr>
        <w:t>, promot</w:t>
      </w:r>
      <w:r w:rsidR="00BF0F01">
        <w:rPr>
          <w:lang w:val="en-US"/>
        </w:rPr>
        <w:t>ing</w:t>
      </w:r>
      <w:r w:rsidR="008E5F79">
        <w:rPr>
          <w:lang w:val="en-US"/>
        </w:rPr>
        <w:t xml:space="preserve"> the development of the market </w:t>
      </w:r>
      <w:r w:rsidR="00131C98">
        <w:rPr>
          <w:lang w:val="en-US"/>
        </w:rPr>
        <w:t xml:space="preserve">increasing its liquidity </w:t>
      </w:r>
      <w:r w:rsidR="008E5F79">
        <w:rPr>
          <w:lang w:val="en-US"/>
        </w:rPr>
        <w:t>and foster</w:t>
      </w:r>
      <w:r w:rsidR="00200483">
        <w:rPr>
          <w:lang w:val="en-US"/>
        </w:rPr>
        <w:t>ing</w:t>
      </w:r>
      <w:r w:rsidR="008E5F79">
        <w:rPr>
          <w:lang w:val="en-US"/>
        </w:rPr>
        <w:t xml:space="preserve"> competition. </w:t>
      </w:r>
    </w:p>
    <w:p w:rsidR="00131C98" w:rsidRDefault="00131C98" w:rsidP="000B3CF7">
      <w:pPr>
        <w:rPr>
          <w:lang w:val="en-US"/>
        </w:rPr>
      </w:pPr>
      <w:r>
        <w:rPr>
          <w:lang w:val="en-US"/>
        </w:rPr>
        <w:t xml:space="preserve">Users are responsible </w:t>
      </w:r>
      <w:r w:rsidR="0007725B">
        <w:rPr>
          <w:lang w:val="en-US"/>
        </w:rPr>
        <w:t>for</w:t>
      </w:r>
      <w:r>
        <w:rPr>
          <w:lang w:val="en-US"/>
        </w:rPr>
        <w:t xml:space="preserve"> keep</w:t>
      </w:r>
      <w:r w:rsidR="0007725B">
        <w:rPr>
          <w:lang w:val="en-US"/>
        </w:rPr>
        <w:t>ing</w:t>
      </w:r>
      <w:r>
        <w:rPr>
          <w:lang w:val="en-US"/>
        </w:rPr>
        <w:t xml:space="preserve"> their gas position balanced in the network and they are provided with </w:t>
      </w:r>
      <w:r w:rsidR="00D336E2">
        <w:rPr>
          <w:lang w:val="en-US"/>
        </w:rPr>
        <w:t xml:space="preserve">the necessary </w:t>
      </w:r>
      <w:r w:rsidR="00D747E6">
        <w:rPr>
          <w:lang w:val="en-US"/>
        </w:rPr>
        <w:t xml:space="preserve">tools, namely, </w:t>
      </w:r>
      <w:r>
        <w:rPr>
          <w:lang w:val="en-US"/>
        </w:rPr>
        <w:t>day ahead and intraday information, nomination a</w:t>
      </w:r>
      <w:r w:rsidR="00D747E6">
        <w:rPr>
          <w:lang w:val="en-US"/>
        </w:rPr>
        <w:t>nd re-nomination schedules, etc.</w:t>
      </w:r>
      <w:r>
        <w:rPr>
          <w:lang w:val="en-US"/>
        </w:rPr>
        <w:t xml:space="preserve"> </w:t>
      </w:r>
      <w:r w:rsidR="00F179D2">
        <w:rPr>
          <w:lang w:val="en-US"/>
        </w:rPr>
        <w:t>ENAGÁS GTS</w:t>
      </w:r>
      <w:r>
        <w:rPr>
          <w:lang w:val="en-US"/>
        </w:rPr>
        <w:t xml:space="preserve"> </w:t>
      </w:r>
      <w:r w:rsidR="001B463B">
        <w:rPr>
          <w:lang w:val="en-US"/>
        </w:rPr>
        <w:t xml:space="preserve">(entity in charge of the security of supply and the correct coordination of the whole gas system in Spain) </w:t>
      </w:r>
      <w:r>
        <w:rPr>
          <w:lang w:val="en-US"/>
        </w:rPr>
        <w:t>is responsib</w:t>
      </w:r>
      <w:r w:rsidR="001B463B">
        <w:rPr>
          <w:lang w:val="en-US"/>
        </w:rPr>
        <w:t xml:space="preserve">le </w:t>
      </w:r>
      <w:r w:rsidR="0007725B">
        <w:rPr>
          <w:lang w:val="en-US"/>
        </w:rPr>
        <w:t>for</w:t>
      </w:r>
      <w:r w:rsidR="001B463B">
        <w:rPr>
          <w:lang w:val="en-US"/>
        </w:rPr>
        <w:t xml:space="preserve"> keep</w:t>
      </w:r>
      <w:r w:rsidR="0007725B">
        <w:rPr>
          <w:lang w:val="en-US"/>
        </w:rPr>
        <w:t>ing</w:t>
      </w:r>
      <w:r w:rsidR="001B463B">
        <w:rPr>
          <w:lang w:val="en-US"/>
        </w:rPr>
        <w:t xml:space="preserve"> the network within the normal operational limits. </w:t>
      </w:r>
    </w:p>
    <w:p w:rsidR="000B3CF7" w:rsidRDefault="000B3CF7" w:rsidP="000B3CF7">
      <w:pPr>
        <w:rPr>
          <w:lang w:val="en-US"/>
        </w:rPr>
      </w:pPr>
      <w:r>
        <w:rPr>
          <w:lang w:val="en-US"/>
        </w:rPr>
        <w:t xml:space="preserve">The timeframe for the individual balancing calculation for each user is the gas day (06:00h to 06:00h). </w:t>
      </w:r>
      <w:r w:rsidR="00F179D2">
        <w:rPr>
          <w:lang w:val="en-US"/>
        </w:rPr>
        <w:t>ENAGÁS GTS</w:t>
      </w:r>
      <w:r>
        <w:rPr>
          <w:lang w:val="en-US"/>
        </w:rPr>
        <w:t xml:space="preserve"> calculates the imbalance position (inputs</w:t>
      </w:r>
      <w:r w:rsidR="00200483">
        <w:rPr>
          <w:lang w:val="en-US"/>
        </w:rPr>
        <w:t xml:space="preserve"> minus </w:t>
      </w:r>
      <w:r>
        <w:rPr>
          <w:lang w:val="en-US"/>
        </w:rPr>
        <w:t>offtakes) of each user at the end of the gas day</w:t>
      </w:r>
      <w:r w:rsidR="00E5321B">
        <w:rPr>
          <w:lang w:val="en-US"/>
        </w:rPr>
        <w:t xml:space="preserve">. </w:t>
      </w:r>
      <w:r w:rsidR="00CC0D12">
        <w:rPr>
          <w:lang w:val="en-US"/>
        </w:rPr>
        <w:t xml:space="preserve">Network </w:t>
      </w:r>
      <w:r w:rsidR="00E5321B">
        <w:rPr>
          <w:lang w:val="en-US"/>
        </w:rPr>
        <w:t>users that are not in balance</w:t>
      </w:r>
      <w:r>
        <w:rPr>
          <w:lang w:val="en-US"/>
        </w:rPr>
        <w:t xml:space="preserve"> </w:t>
      </w:r>
      <w:r w:rsidR="00BF0F01">
        <w:rPr>
          <w:lang w:val="en-US"/>
        </w:rPr>
        <w:t xml:space="preserve">at the end </w:t>
      </w:r>
      <w:r w:rsidR="0061784A">
        <w:rPr>
          <w:lang w:val="en-US"/>
        </w:rPr>
        <w:t xml:space="preserve">of the day </w:t>
      </w:r>
      <w:r>
        <w:rPr>
          <w:lang w:val="en-US"/>
        </w:rPr>
        <w:t>are charged the corresponding daily imbalance charges</w:t>
      </w:r>
      <w:r w:rsidR="00666066">
        <w:rPr>
          <w:lang w:val="en-US"/>
        </w:rPr>
        <w:t xml:space="preserve"> and their balancing accounts </w:t>
      </w:r>
      <w:r w:rsidR="008E5F79">
        <w:rPr>
          <w:lang w:val="en-US"/>
        </w:rPr>
        <w:t xml:space="preserve">are </w:t>
      </w:r>
      <w:r w:rsidR="00666066">
        <w:rPr>
          <w:lang w:val="en-US"/>
        </w:rPr>
        <w:t>set to zero</w:t>
      </w:r>
      <w:r w:rsidR="00E769AC">
        <w:rPr>
          <w:lang w:val="en-US"/>
        </w:rPr>
        <w:t>. This involves that at the beginning of every day all the</w:t>
      </w:r>
      <w:r w:rsidR="00E5321B">
        <w:rPr>
          <w:lang w:val="en-US"/>
        </w:rPr>
        <w:t xml:space="preserve"> network</w:t>
      </w:r>
      <w:r w:rsidR="00E769AC">
        <w:rPr>
          <w:lang w:val="en-US"/>
        </w:rPr>
        <w:t xml:space="preserve"> users starts the gas day in balance.</w:t>
      </w:r>
      <w:r>
        <w:rPr>
          <w:lang w:val="en-US"/>
        </w:rPr>
        <w:t xml:space="preserve"> </w:t>
      </w:r>
    </w:p>
    <w:p w:rsidR="0057782E" w:rsidRPr="007360A6" w:rsidRDefault="0057782E" w:rsidP="000B3CF7">
      <w:pPr>
        <w:rPr>
          <w:u w:val="single"/>
          <w:lang w:val="en-US"/>
        </w:rPr>
      </w:pPr>
      <w:r w:rsidRPr="007360A6">
        <w:rPr>
          <w:u w:val="single"/>
          <w:lang w:val="en-US"/>
        </w:rPr>
        <w:t>France</w:t>
      </w:r>
    </w:p>
    <w:p w:rsidR="00BD08C3" w:rsidRDefault="00BD08C3" w:rsidP="00BD08C3">
      <w:r w:rsidRPr="00CD601B">
        <w:t xml:space="preserve">In its </w:t>
      </w:r>
      <w:r w:rsidR="00200483">
        <w:t>D</w:t>
      </w:r>
      <w:r>
        <w:t>ecision</w:t>
      </w:r>
      <w:r w:rsidRPr="00CD601B">
        <w:t xml:space="preserve"> of 1 December 2013, CRE approved roadmaps for chang</w:t>
      </w:r>
      <w:r w:rsidR="00582F1B">
        <w:t>ing</w:t>
      </w:r>
      <w:r w:rsidRPr="00CD601B">
        <w:t xml:space="preserve"> to a target balancing system proposed by GRTgaz and TIGF. In accordance with these paths and through </w:t>
      </w:r>
      <w:r>
        <w:t>decision</w:t>
      </w:r>
      <w:r w:rsidRPr="00CD601B">
        <w:t>s dated 21 June 2012, 20 Se</w:t>
      </w:r>
      <w:r>
        <w:t>ptember 2012, 5 February 2013</w:t>
      </w:r>
      <w:r w:rsidRPr="00CD601B">
        <w:t>, 4 April 2014 and 15 January 2015, CRE approved, in particular, changes concerning:</w:t>
      </w:r>
    </w:p>
    <w:p w:rsidR="00BD08C3" w:rsidRDefault="00BD08C3" w:rsidP="00BD08C3">
      <w:r>
        <w:t xml:space="preserve"> </w:t>
      </w:r>
      <w:r w:rsidRPr="00CD601B">
        <w:t>- the level and frequency of information made available to shippers by transmission system operators (TSOs);</w:t>
      </w:r>
    </w:p>
    <w:p w:rsidR="00BD08C3" w:rsidRDefault="00BD08C3" w:rsidP="00BD08C3">
      <w:r>
        <w:t xml:space="preserve"> </w:t>
      </w:r>
      <w:r w:rsidRPr="00CD601B">
        <w:t>- regulati</w:t>
      </w:r>
      <w:r w:rsidR="00200483">
        <w:t>on of</w:t>
      </w:r>
      <w:r w:rsidRPr="00CD601B">
        <w:t xml:space="preserve"> shipper imbalances, by gradually reducing imbalance tolerance levels;</w:t>
      </w:r>
    </w:p>
    <w:p w:rsidR="00BD08C3" w:rsidRDefault="00BD08C3" w:rsidP="00BD08C3">
      <w:r w:rsidRPr="00CD601B">
        <w:t xml:space="preserve"> - rules for TSO </w:t>
      </w:r>
      <w:r>
        <w:t>balancing actions</w:t>
      </w:r>
      <w:r w:rsidRPr="00CD601B">
        <w:t xml:space="preserve"> on the market to </w:t>
      </w:r>
      <w:r>
        <w:t>incentivize</w:t>
      </w:r>
      <w:r w:rsidRPr="00CD601B">
        <w:t xml:space="preserve"> shippers to be balanced by applying a marginal price to </w:t>
      </w:r>
      <w:r>
        <w:t>cash out</w:t>
      </w:r>
      <w:r w:rsidRPr="00CD601B">
        <w:t xml:space="preserve"> imbalances.</w:t>
      </w:r>
    </w:p>
    <w:p w:rsidR="00BD08C3" w:rsidRDefault="00BD08C3" w:rsidP="00BD08C3">
      <w:r w:rsidRPr="00CD601B">
        <w:t xml:space="preserve">In its </w:t>
      </w:r>
      <w:r w:rsidR="00233814">
        <w:t>D</w:t>
      </w:r>
      <w:r>
        <w:t>ecision</w:t>
      </w:r>
      <w:r w:rsidRPr="00CD601B">
        <w:t xml:space="preserve"> of 10 September 2015, approving balancing rules for GRTgaz and TIGF transmission networks on 1</w:t>
      </w:r>
      <w:r>
        <w:t xml:space="preserve">st </w:t>
      </w:r>
      <w:r w:rsidRPr="00CD601B">
        <w:t>October 2015, CRE validated the implementation of a balancing system complying with the balancing code which featured:</w:t>
      </w:r>
    </w:p>
    <w:p w:rsidR="00BD08C3" w:rsidRDefault="00BD08C3" w:rsidP="00BD08C3">
      <w:r w:rsidRPr="00CD601B">
        <w:t xml:space="preserve"> - invoicing from the 1</w:t>
      </w:r>
      <w:r w:rsidRPr="00582F1B">
        <w:rPr>
          <w:vertAlign w:val="superscript"/>
        </w:rPr>
        <w:t xml:space="preserve">st </w:t>
      </w:r>
      <w:r w:rsidR="00FB3556">
        <w:t xml:space="preserve">kWh imbalance </w:t>
      </w:r>
      <w:r w:rsidRPr="00CD601B">
        <w:t xml:space="preserve">at the daily </w:t>
      </w:r>
      <w:r>
        <w:t>marginal</w:t>
      </w:r>
      <w:r w:rsidRPr="00CD601B">
        <w:t xml:space="preserve"> price</w:t>
      </w:r>
      <w:r w:rsidR="00FB3556">
        <w:t>/kWh</w:t>
      </w:r>
      <w:r w:rsidRPr="00CD601B">
        <w:t xml:space="preserve">, i.e. the maximum purchase price (with respective minimum sale price) </w:t>
      </w:r>
      <w:r>
        <w:t>of</w:t>
      </w:r>
      <w:r w:rsidRPr="00CD601B">
        <w:t xml:space="preserve"> TSO </w:t>
      </w:r>
      <w:r>
        <w:t>trades</w:t>
      </w:r>
      <w:r w:rsidRPr="00CD601B">
        <w:t xml:space="preserve"> on the markets</w:t>
      </w:r>
      <w:r>
        <w:t xml:space="preserve"> if any</w:t>
      </w:r>
      <w:r w:rsidRPr="00CD601B">
        <w:t xml:space="preserve">, or the </w:t>
      </w:r>
      <w:r>
        <w:t xml:space="preserve">daily weighted </w:t>
      </w:r>
      <w:r w:rsidRPr="00CD601B">
        <w:t xml:space="preserve">average price with 2.5% </w:t>
      </w:r>
      <w:r>
        <w:t>small adjustment</w:t>
      </w:r>
      <w:r w:rsidRPr="00CD601B">
        <w:t xml:space="preserve"> if the TSO did not </w:t>
      </w:r>
      <w:r>
        <w:t>take any balancing action</w:t>
      </w:r>
      <w:r w:rsidRPr="00CD601B">
        <w:t xml:space="preserve"> or if </w:t>
      </w:r>
      <w:r>
        <w:t>the balancing action trades are</w:t>
      </w:r>
      <w:r w:rsidRPr="00CD601B">
        <w:t xml:space="preserve"> </w:t>
      </w:r>
      <w:r>
        <w:t>within the 2.5% small adjustment threshold</w:t>
      </w:r>
      <w:r w:rsidRPr="00CD601B">
        <w:t>;</w:t>
      </w:r>
    </w:p>
    <w:p w:rsidR="00BD08C3" w:rsidRDefault="00BD08C3" w:rsidP="00BD08C3">
      <w:r w:rsidRPr="00CD601B">
        <w:t xml:space="preserve"> - the possibility for all shippers delivering gas to subscribe to a service of flexibility based on TSO’s linepack for the days when they do not intervene on the market.</w:t>
      </w:r>
    </w:p>
    <w:p w:rsidR="00BD08C3" w:rsidRDefault="00BD08C3" w:rsidP="00BD08C3">
      <w:r w:rsidRPr="00CD601B">
        <w:t>In addition, CRE validated the launch of an experiment on the use of locational products for GRTgaz residual imbalances.</w:t>
      </w:r>
    </w:p>
    <w:p w:rsidR="004D34EE" w:rsidRPr="004D34EE" w:rsidRDefault="00BD08C3" w:rsidP="004D34EE">
      <w:pPr>
        <w:rPr>
          <w:lang w:val="en-US"/>
        </w:rPr>
      </w:pPr>
      <w:r>
        <w:rPr>
          <w:lang w:val="en-US"/>
        </w:rPr>
        <w:t>W</w:t>
      </w:r>
      <w:r w:rsidR="004D34EE" w:rsidRPr="004D34EE">
        <w:rPr>
          <w:lang w:val="en-US"/>
        </w:rPr>
        <w:t>ith the creation of the single market area in France</w:t>
      </w:r>
      <w:r w:rsidR="00C53B31">
        <w:rPr>
          <w:lang w:val="en-US"/>
        </w:rPr>
        <w:t xml:space="preserve"> </w:t>
      </w:r>
      <w:r w:rsidR="00DD49B0">
        <w:rPr>
          <w:lang w:val="en-US"/>
        </w:rPr>
        <w:t>scheduled for</w:t>
      </w:r>
      <w:r w:rsidR="00C53B31">
        <w:rPr>
          <w:lang w:val="en-US"/>
        </w:rPr>
        <w:t xml:space="preserve"> November 2018</w:t>
      </w:r>
      <w:r w:rsidR="004D34EE" w:rsidRPr="004D34EE">
        <w:rPr>
          <w:lang w:val="en-US"/>
        </w:rPr>
        <w:t>, GRTgaz will merge its North and South balancing zones; TIGF balancing zone remains identical. The distribution of imbalances between the two balancing zones will be identical to the TRS rules.</w:t>
      </w:r>
    </w:p>
    <w:p w:rsidR="004D34EE" w:rsidRPr="004D34EE" w:rsidRDefault="004D34EE" w:rsidP="004D34EE">
      <w:pPr>
        <w:rPr>
          <w:lang w:val="en-US"/>
        </w:rPr>
      </w:pPr>
      <w:r w:rsidRPr="004D34EE">
        <w:rPr>
          <w:lang w:val="en-US"/>
        </w:rPr>
        <w:t xml:space="preserve">The principle is that the existence of two physical balancing zones is neutral for </w:t>
      </w:r>
      <w:r w:rsidR="00A416EA">
        <w:rPr>
          <w:lang w:val="en-US"/>
        </w:rPr>
        <w:t>users</w:t>
      </w:r>
      <w:r w:rsidRPr="004D34EE">
        <w:rPr>
          <w:lang w:val="en-US"/>
        </w:rPr>
        <w:t>, i.e.</w:t>
      </w:r>
      <w:r w:rsidR="000E013E">
        <w:rPr>
          <w:lang w:val="en-US"/>
        </w:rPr>
        <w:t xml:space="preserve"> </w:t>
      </w:r>
      <w:r w:rsidRPr="004D34EE">
        <w:rPr>
          <w:lang w:val="en-US"/>
        </w:rPr>
        <w:t xml:space="preserve">it works as if there was only </w:t>
      </w:r>
      <w:r w:rsidR="001D659A">
        <w:rPr>
          <w:lang w:val="en-US"/>
        </w:rPr>
        <w:t>one</w:t>
      </w:r>
      <w:r w:rsidRPr="004D34EE">
        <w:rPr>
          <w:lang w:val="en-US"/>
        </w:rPr>
        <w:t xml:space="preserve"> balancing zone. Accordingly, contractual imbalances of </w:t>
      </w:r>
      <w:r w:rsidR="00A416EA">
        <w:rPr>
          <w:lang w:val="en-US"/>
        </w:rPr>
        <w:t>users</w:t>
      </w:r>
      <w:r w:rsidRPr="004D34EE">
        <w:rPr>
          <w:lang w:val="en-US"/>
        </w:rPr>
        <w:t xml:space="preserve"> will be calculated on the scale of the whole "trading region". Daily imbalances will then be split between the physical areas by the TSOs, depending on the type of </w:t>
      </w:r>
      <w:r w:rsidR="00A416EA">
        <w:rPr>
          <w:lang w:val="en-US"/>
        </w:rPr>
        <w:t>user</w:t>
      </w:r>
      <w:r w:rsidRPr="004D34EE">
        <w:rPr>
          <w:lang w:val="en-US"/>
        </w:rPr>
        <w:t>: end client supplier, importer/exporter</w:t>
      </w:r>
      <w:r w:rsidR="00A416EA">
        <w:rPr>
          <w:lang w:val="en-US"/>
        </w:rPr>
        <w:t xml:space="preserve"> or</w:t>
      </w:r>
      <w:r w:rsidRPr="004D34EE">
        <w:rPr>
          <w:lang w:val="en-US"/>
        </w:rPr>
        <w:t xml:space="preserve"> PEG trader. The objective is to reflect accurately the responsibility of the </w:t>
      </w:r>
      <w:r w:rsidR="00A416EA">
        <w:rPr>
          <w:lang w:val="en-US"/>
        </w:rPr>
        <w:t>users</w:t>
      </w:r>
      <w:r w:rsidR="00A416EA" w:rsidRPr="004D34EE">
        <w:rPr>
          <w:lang w:val="en-US"/>
        </w:rPr>
        <w:t xml:space="preserve"> </w:t>
      </w:r>
      <w:r w:rsidRPr="004D34EE">
        <w:rPr>
          <w:lang w:val="en-US"/>
        </w:rPr>
        <w:t>in the actions taken by each of the TSOs to restore the balance. Consequently:</w:t>
      </w:r>
    </w:p>
    <w:p w:rsidR="004D34EE" w:rsidRPr="004D34EE" w:rsidRDefault="004D34EE" w:rsidP="004D34EE">
      <w:pPr>
        <w:rPr>
          <w:lang w:val="en-US"/>
        </w:rPr>
      </w:pPr>
      <w:r w:rsidRPr="004D34EE">
        <w:rPr>
          <w:lang w:val="en-US"/>
        </w:rPr>
        <w:t>-</w:t>
      </w:r>
      <w:r w:rsidRPr="004D34EE">
        <w:rPr>
          <w:lang w:val="en-US"/>
        </w:rPr>
        <w:tab/>
        <w:t xml:space="preserve">the imbalance of a </w:t>
      </w:r>
      <w:r w:rsidR="00A416EA">
        <w:rPr>
          <w:lang w:val="en-US"/>
        </w:rPr>
        <w:t>user</w:t>
      </w:r>
      <w:r w:rsidR="00A416EA" w:rsidRPr="004D34EE">
        <w:rPr>
          <w:lang w:val="en-US"/>
        </w:rPr>
        <w:t xml:space="preserve"> </w:t>
      </w:r>
      <w:r w:rsidRPr="004D34EE">
        <w:rPr>
          <w:lang w:val="en-US"/>
        </w:rPr>
        <w:t xml:space="preserve">who delivered gas to end users ("supplier" type </w:t>
      </w:r>
      <w:r w:rsidR="00A416EA">
        <w:rPr>
          <w:lang w:val="en-US"/>
        </w:rPr>
        <w:t>user</w:t>
      </w:r>
      <w:r w:rsidRPr="004D34EE">
        <w:rPr>
          <w:lang w:val="en-US"/>
        </w:rPr>
        <w:t>) would be divided between the two balancing zones in proportion to their allocations at the delivery points;</w:t>
      </w:r>
    </w:p>
    <w:p w:rsidR="004D34EE" w:rsidRPr="004D34EE" w:rsidRDefault="004D34EE" w:rsidP="004D34EE">
      <w:pPr>
        <w:rPr>
          <w:lang w:val="en-US"/>
        </w:rPr>
      </w:pPr>
      <w:r w:rsidRPr="004D34EE">
        <w:rPr>
          <w:lang w:val="en-US"/>
        </w:rPr>
        <w:t>-</w:t>
      </w:r>
      <w:r w:rsidRPr="004D34EE">
        <w:rPr>
          <w:lang w:val="en-US"/>
        </w:rPr>
        <w:tab/>
        <w:t xml:space="preserve">the imbalance of a </w:t>
      </w:r>
      <w:r w:rsidR="00A416EA">
        <w:rPr>
          <w:lang w:val="en-US"/>
        </w:rPr>
        <w:t>user</w:t>
      </w:r>
      <w:r w:rsidRPr="004D34EE">
        <w:rPr>
          <w:lang w:val="en-US"/>
        </w:rPr>
        <w:t xml:space="preserve"> with quantities allocated only as entry and exit of the </w:t>
      </w:r>
      <w:r w:rsidR="000E013E">
        <w:rPr>
          <w:lang w:val="en-US"/>
        </w:rPr>
        <w:t>Trading Region France (</w:t>
      </w:r>
      <w:r w:rsidRPr="004D34EE">
        <w:rPr>
          <w:lang w:val="en-US"/>
        </w:rPr>
        <w:t>TRF</w:t>
      </w:r>
      <w:r w:rsidR="000E013E">
        <w:rPr>
          <w:lang w:val="en-US"/>
        </w:rPr>
        <w:t>)</w:t>
      </w:r>
      <w:r w:rsidRPr="004D34EE">
        <w:rPr>
          <w:lang w:val="en-US"/>
        </w:rPr>
        <w:t xml:space="preserve"> to the </w:t>
      </w:r>
      <w:r w:rsidR="000E013E">
        <w:rPr>
          <w:lang w:val="en-US"/>
        </w:rPr>
        <w:t xml:space="preserve">interconnections </w:t>
      </w:r>
      <w:r w:rsidRPr="004D34EE">
        <w:rPr>
          <w:lang w:val="en-US"/>
        </w:rPr>
        <w:t xml:space="preserve">PIR, </w:t>
      </w:r>
      <w:r w:rsidR="000E013E">
        <w:rPr>
          <w:lang w:val="en-US"/>
        </w:rPr>
        <w:t xml:space="preserve">LNG terminals </w:t>
      </w:r>
      <w:r w:rsidRPr="004D34EE">
        <w:rPr>
          <w:lang w:val="en-US"/>
        </w:rPr>
        <w:t xml:space="preserve">PITTM and </w:t>
      </w:r>
      <w:r w:rsidR="000E013E">
        <w:rPr>
          <w:lang w:val="en-US"/>
        </w:rPr>
        <w:t xml:space="preserve">storage </w:t>
      </w:r>
      <w:r w:rsidRPr="004D34EE">
        <w:rPr>
          <w:lang w:val="en-US"/>
        </w:rPr>
        <w:t xml:space="preserve">PITS, i.e. not delivering an end user, ("importer/exporter" type </w:t>
      </w:r>
      <w:r w:rsidR="00A416EA">
        <w:rPr>
          <w:lang w:val="en-US"/>
        </w:rPr>
        <w:t>user</w:t>
      </w:r>
      <w:r w:rsidRPr="004D34EE">
        <w:rPr>
          <w:lang w:val="en-US"/>
        </w:rPr>
        <w:t>) would be distributed in proportion to the entry and exit allocations of the TRF at PIR, PITTM and PITS;</w:t>
      </w:r>
    </w:p>
    <w:p w:rsidR="004D34EE" w:rsidRPr="007D2C40" w:rsidRDefault="004D34EE" w:rsidP="004D34EE">
      <w:pPr>
        <w:rPr>
          <w:lang w:val="en-US"/>
        </w:rPr>
      </w:pPr>
      <w:r w:rsidRPr="004D34EE">
        <w:rPr>
          <w:lang w:val="en-US"/>
        </w:rPr>
        <w:t>-</w:t>
      </w:r>
      <w:r w:rsidRPr="004D34EE">
        <w:rPr>
          <w:lang w:val="en-US"/>
        </w:rPr>
        <w:tab/>
        <w:t>the imbalance of a</w:t>
      </w:r>
      <w:r w:rsidR="00A416EA">
        <w:rPr>
          <w:lang w:val="en-US"/>
        </w:rPr>
        <w:t>n user</w:t>
      </w:r>
      <w:r w:rsidRPr="004D34EE">
        <w:rPr>
          <w:lang w:val="en-US"/>
        </w:rPr>
        <w:t xml:space="preserve"> having exclusively conducted transactions at the </w:t>
      </w:r>
      <w:r w:rsidR="002B7B26">
        <w:rPr>
          <w:lang w:val="en-US"/>
        </w:rPr>
        <w:t xml:space="preserve">virtual trading point </w:t>
      </w:r>
      <w:r w:rsidRPr="004D34EE">
        <w:rPr>
          <w:lang w:val="en-US"/>
        </w:rPr>
        <w:t xml:space="preserve">PEG (“trader” type </w:t>
      </w:r>
      <w:r w:rsidR="00A416EA">
        <w:rPr>
          <w:lang w:val="en-US"/>
        </w:rPr>
        <w:t>user</w:t>
      </w:r>
      <w:r w:rsidRPr="004D34EE">
        <w:rPr>
          <w:lang w:val="en-US"/>
        </w:rPr>
        <w:t>) would be entirely allocated to the GRTgaz zone.</w:t>
      </w:r>
    </w:p>
    <w:p w:rsidR="004D34EE" w:rsidRDefault="004D34EE" w:rsidP="004D34EE">
      <w:pPr>
        <w:rPr>
          <w:lang w:val="en-US"/>
        </w:rPr>
      </w:pPr>
      <w:r w:rsidRPr="004D34EE">
        <w:rPr>
          <w:lang w:val="en-US"/>
        </w:rPr>
        <w:t>The low level of storage subscriptions could result in significant and recurring imbalances some shippers. Consequently, CRE considers necessary to give the TSOs more scope to cover their residual balancing needs, with either notional or locational products. The costs incurred should be included in the imbalance settlement price so that the signal price properly reflects tensions in the network.</w:t>
      </w:r>
    </w:p>
    <w:p w:rsidR="0057782E" w:rsidRPr="007360A6" w:rsidRDefault="0057782E" w:rsidP="000B3CF7">
      <w:pPr>
        <w:rPr>
          <w:u w:val="single"/>
          <w:lang w:val="en-US"/>
        </w:rPr>
      </w:pPr>
      <w:r w:rsidRPr="007360A6">
        <w:rPr>
          <w:u w:val="single"/>
          <w:lang w:val="en-US"/>
        </w:rPr>
        <w:t>Portugal</w:t>
      </w:r>
    </w:p>
    <w:p w:rsidR="00BC4E81" w:rsidRPr="007D2C40" w:rsidRDefault="00444133" w:rsidP="00BC4E81">
      <w:pPr>
        <w:rPr>
          <w:lang w:val="en-US"/>
        </w:rPr>
      </w:pPr>
      <w:r>
        <w:rPr>
          <w:lang w:val="en-US"/>
        </w:rPr>
        <w:t>A</w:t>
      </w:r>
      <w:r w:rsidR="00BC4E81" w:rsidRPr="001E24AD">
        <w:rPr>
          <w:lang w:val="en-US"/>
        </w:rPr>
        <w:t>gents adjust their positions in the transmission network</w:t>
      </w:r>
      <w:r w:rsidR="003653C8" w:rsidRPr="001E24AD">
        <w:rPr>
          <w:lang w:val="en-US"/>
        </w:rPr>
        <w:t xml:space="preserve"> by</w:t>
      </w:r>
      <w:r w:rsidR="00BC4E81" w:rsidRPr="001E24AD">
        <w:rPr>
          <w:lang w:val="en-US"/>
        </w:rPr>
        <w:t xml:space="preserve"> modifying the</w:t>
      </w:r>
      <w:r w:rsidR="003653C8" w:rsidRPr="001E24AD">
        <w:rPr>
          <w:lang w:val="en-US"/>
        </w:rPr>
        <w:t>ir</w:t>
      </w:r>
      <w:r w:rsidR="00BC4E81" w:rsidRPr="001E24AD">
        <w:rPr>
          <w:lang w:val="en-US"/>
        </w:rPr>
        <w:t xml:space="preserve"> inputs and offtakes or trading natural gas in the VTP. The regulatory framework in force ensures that all gas transactions in the Portuguese system materialize </w:t>
      </w:r>
      <w:r>
        <w:rPr>
          <w:lang w:val="en-US"/>
        </w:rPr>
        <w:t>in</w:t>
      </w:r>
      <w:r w:rsidR="00BC4E81" w:rsidRPr="001E24AD">
        <w:rPr>
          <w:lang w:val="en-US"/>
        </w:rPr>
        <w:t xml:space="preserve"> physical delivery in the VTP.</w:t>
      </w:r>
      <w:r w:rsidR="00BC4E81" w:rsidRPr="001E24AD">
        <w:t xml:space="preserve"> </w:t>
      </w:r>
      <w:r w:rsidR="00BC4E81" w:rsidRPr="001E24AD">
        <w:rPr>
          <w:lang w:val="en-US"/>
        </w:rPr>
        <w:t>Transactions at the interconnection points are no longer allowed.</w:t>
      </w:r>
    </w:p>
    <w:p w:rsidR="00BC4E81" w:rsidRPr="002E092F" w:rsidRDefault="00BC4E81" w:rsidP="00BC4E81">
      <w:pPr>
        <w:rPr>
          <w:lang w:val="en-US"/>
        </w:rPr>
      </w:pPr>
      <w:r w:rsidRPr="001E24AD">
        <w:rPr>
          <w:lang w:val="en-US"/>
        </w:rPr>
        <w:t>The natural gas transactions in the VTP are carried out on bilateral basis, since, presently, the Portuguese pole of the MIBGAS has not been implemented yet.</w:t>
      </w:r>
    </w:p>
    <w:p w:rsidR="001E24AD" w:rsidRPr="002E092F" w:rsidRDefault="001E24AD" w:rsidP="00BC4E81">
      <w:pPr>
        <w:rPr>
          <w:lang w:val="en-US"/>
        </w:rPr>
      </w:pPr>
    </w:p>
    <w:p w:rsidR="00213572" w:rsidRDefault="00213572" w:rsidP="00735B38">
      <w:pPr>
        <w:pStyle w:val="Ttulo2"/>
        <w:rPr>
          <w:lang w:val="en-US"/>
        </w:rPr>
      </w:pPr>
      <w:bookmarkStart w:id="26" w:name="_Toc516823937"/>
      <w:r>
        <w:rPr>
          <w:lang w:val="en-US"/>
        </w:rPr>
        <w:t>Virtual trading point</w:t>
      </w:r>
      <w:bookmarkEnd w:id="26"/>
    </w:p>
    <w:p w:rsidR="0057782E" w:rsidRPr="00D1229D" w:rsidRDefault="0057782E" w:rsidP="00735B38">
      <w:pPr>
        <w:rPr>
          <w:u w:val="single"/>
          <w:lang w:val="en-US"/>
        </w:rPr>
      </w:pPr>
      <w:r w:rsidRPr="00D1229D">
        <w:rPr>
          <w:u w:val="single"/>
          <w:lang w:val="en-US"/>
        </w:rPr>
        <w:t>Spain</w:t>
      </w:r>
    </w:p>
    <w:p w:rsidR="00213572" w:rsidRDefault="00A060C8" w:rsidP="00213572">
      <w:pPr>
        <w:rPr>
          <w:lang w:val="en-US"/>
        </w:rPr>
      </w:pPr>
      <w:r>
        <w:rPr>
          <w:lang w:val="en-US"/>
        </w:rPr>
        <w:t xml:space="preserve">Network users </w:t>
      </w:r>
      <w:r w:rsidR="00562AD9">
        <w:rPr>
          <w:lang w:val="en-US"/>
        </w:rPr>
        <w:t xml:space="preserve">are responsible to keep in balance their </w:t>
      </w:r>
      <w:r w:rsidR="00443479">
        <w:rPr>
          <w:lang w:val="en-US"/>
        </w:rPr>
        <w:t xml:space="preserve">portfolios. </w:t>
      </w:r>
      <w:r w:rsidR="004C1CA2">
        <w:rPr>
          <w:lang w:val="en-US"/>
        </w:rPr>
        <w:t>To this end</w:t>
      </w:r>
      <w:r w:rsidR="00443479">
        <w:rPr>
          <w:lang w:val="en-US"/>
        </w:rPr>
        <w:t xml:space="preserve">, </w:t>
      </w:r>
      <w:r>
        <w:rPr>
          <w:lang w:val="en-US"/>
        </w:rPr>
        <w:t xml:space="preserve">users </w:t>
      </w:r>
      <w:r w:rsidR="00443479">
        <w:rPr>
          <w:lang w:val="en-US"/>
        </w:rPr>
        <w:t xml:space="preserve">can </w:t>
      </w:r>
      <w:r w:rsidR="00ED0C5C">
        <w:rPr>
          <w:lang w:val="en-US"/>
        </w:rPr>
        <w:t xml:space="preserve">modify their physical inputs/offtakes </w:t>
      </w:r>
      <w:r w:rsidR="00163FC4">
        <w:rPr>
          <w:lang w:val="en-US"/>
        </w:rPr>
        <w:t xml:space="preserve">in the transmission network </w:t>
      </w:r>
      <w:r w:rsidR="00ED0C5C">
        <w:rPr>
          <w:lang w:val="en-US"/>
        </w:rPr>
        <w:t xml:space="preserve">or </w:t>
      </w:r>
      <w:r w:rsidR="00443479">
        <w:rPr>
          <w:lang w:val="en-US"/>
        </w:rPr>
        <w:t>buy</w:t>
      </w:r>
      <w:r w:rsidR="00ED0C5C">
        <w:rPr>
          <w:lang w:val="en-US"/>
        </w:rPr>
        <w:t>/</w:t>
      </w:r>
      <w:r w:rsidR="00443479">
        <w:rPr>
          <w:lang w:val="en-US"/>
        </w:rPr>
        <w:t>sell gas in</w:t>
      </w:r>
      <w:r w:rsidR="00ED0C5C">
        <w:rPr>
          <w:lang w:val="en-US"/>
        </w:rPr>
        <w:t xml:space="preserve"> the virtual trading point</w:t>
      </w:r>
      <w:r w:rsidR="00ED0C5C">
        <w:rPr>
          <w:rStyle w:val="Refdenotaalpie"/>
          <w:lang w:val="en-US"/>
        </w:rPr>
        <w:footnoteReference w:id="4"/>
      </w:r>
      <w:r w:rsidR="00944D01" w:rsidRPr="00C04D89">
        <w:rPr>
          <w:sz w:val="23"/>
          <w:szCs w:val="23"/>
          <w:lang w:val="en-GB"/>
        </w:rPr>
        <w:t xml:space="preserve"> </w:t>
      </w:r>
      <w:r w:rsidR="00213572">
        <w:rPr>
          <w:lang w:val="en-US"/>
        </w:rPr>
        <w:t xml:space="preserve">in </w:t>
      </w:r>
      <w:r w:rsidR="00062C25">
        <w:rPr>
          <w:lang w:val="en-US"/>
        </w:rPr>
        <w:t xml:space="preserve">both </w:t>
      </w:r>
      <w:r w:rsidR="00213572">
        <w:rPr>
          <w:lang w:val="en-US"/>
        </w:rPr>
        <w:t xml:space="preserve">the trading platform </w:t>
      </w:r>
      <w:r w:rsidR="00062C25">
        <w:rPr>
          <w:lang w:val="en-US"/>
        </w:rPr>
        <w:t>MIBGAS</w:t>
      </w:r>
      <w:r w:rsidR="00666066">
        <w:rPr>
          <w:lang w:val="en-US"/>
        </w:rPr>
        <w:t xml:space="preserve"> (title products)</w:t>
      </w:r>
      <w:r w:rsidR="00062C25">
        <w:rPr>
          <w:lang w:val="en-US"/>
        </w:rPr>
        <w:t xml:space="preserve"> </w:t>
      </w:r>
      <w:r w:rsidR="00213572">
        <w:rPr>
          <w:lang w:val="en-US"/>
        </w:rPr>
        <w:t xml:space="preserve">or bilaterally. </w:t>
      </w:r>
    </w:p>
    <w:p w:rsidR="00213572" w:rsidRDefault="000B3CF7" w:rsidP="00213572">
      <w:pPr>
        <w:rPr>
          <w:lang w:val="en-US"/>
        </w:rPr>
      </w:pPr>
      <w:r>
        <w:rPr>
          <w:lang w:val="en-US"/>
        </w:rPr>
        <w:t xml:space="preserve">In </w:t>
      </w:r>
      <w:r w:rsidR="00213572">
        <w:rPr>
          <w:lang w:val="en-US"/>
        </w:rPr>
        <w:t>Spain</w:t>
      </w:r>
      <w:r>
        <w:rPr>
          <w:lang w:val="en-US"/>
        </w:rPr>
        <w:t xml:space="preserve">, </w:t>
      </w:r>
      <w:r w:rsidR="000C3816">
        <w:rPr>
          <w:lang w:val="en-US"/>
        </w:rPr>
        <w:t>before</w:t>
      </w:r>
      <w:r w:rsidR="00213572">
        <w:rPr>
          <w:lang w:val="en-US"/>
        </w:rPr>
        <w:t xml:space="preserve"> the entry into force of the balancing NC, there </w:t>
      </w:r>
      <w:r w:rsidR="00F818C4">
        <w:rPr>
          <w:lang w:val="en-US"/>
        </w:rPr>
        <w:t xml:space="preserve">already </w:t>
      </w:r>
      <w:r w:rsidR="00213572">
        <w:rPr>
          <w:lang w:val="en-US"/>
        </w:rPr>
        <w:t>exist</w:t>
      </w:r>
      <w:r w:rsidR="008E5F79">
        <w:rPr>
          <w:lang w:val="en-US"/>
        </w:rPr>
        <w:t>ed</w:t>
      </w:r>
      <w:r w:rsidR="00213572">
        <w:rPr>
          <w:lang w:val="en-US"/>
        </w:rPr>
        <w:t xml:space="preserve"> a virtual</w:t>
      </w:r>
      <w:r w:rsidR="00F818C4">
        <w:rPr>
          <w:lang w:val="en-US"/>
        </w:rPr>
        <w:t xml:space="preserve"> trading point called AOC where </w:t>
      </w:r>
      <w:r w:rsidR="000C3816">
        <w:rPr>
          <w:lang w:val="en-US"/>
        </w:rPr>
        <w:t xml:space="preserve">users </w:t>
      </w:r>
      <w:r>
        <w:rPr>
          <w:lang w:val="en-US"/>
        </w:rPr>
        <w:t>were able to</w:t>
      </w:r>
      <w:r w:rsidR="00F818C4">
        <w:rPr>
          <w:lang w:val="en-US"/>
        </w:rPr>
        <w:t xml:space="preserve"> exchange gas without taking into account </w:t>
      </w:r>
      <w:r w:rsidR="00E63D46">
        <w:rPr>
          <w:lang w:val="en-US"/>
        </w:rPr>
        <w:t>the physical</w:t>
      </w:r>
      <w:r w:rsidR="00F818C4">
        <w:rPr>
          <w:lang w:val="en-US"/>
        </w:rPr>
        <w:t xml:space="preserve"> location</w:t>
      </w:r>
      <w:r>
        <w:rPr>
          <w:lang w:val="en-US"/>
        </w:rPr>
        <w:t xml:space="preserve"> </w:t>
      </w:r>
      <w:r w:rsidR="00E63D46">
        <w:rPr>
          <w:lang w:val="en-US"/>
        </w:rPr>
        <w:t xml:space="preserve">of the gas </w:t>
      </w:r>
      <w:r>
        <w:rPr>
          <w:lang w:val="en-US"/>
        </w:rPr>
        <w:t>in the transmission network</w:t>
      </w:r>
      <w:r w:rsidR="00E63D46">
        <w:rPr>
          <w:lang w:val="en-US"/>
        </w:rPr>
        <w:t xml:space="preserve"> (all gas is considered to be located in a single virtual point)</w:t>
      </w:r>
      <w:r w:rsidR="00A1221E">
        <w:rPr>
          <w:lang w:val="en-US"/>
        </w:rPr>
        <w:t xml:space="preserve">. After </w:t>
      </w:r>
      <w:r w:rsidR="00666066">
        <w:rPr>
          <w:lang w:val="en-US"/>
        </w:rPr>
        <w:t xml:space="preserve">the </w:t>
      </w:r>
      <w:r w:rsidR="00A1221E">
        <w:rPr>
          <w:lang w:val="en-US"/>
        </w:rPr>
        <w:t>entry into force of the balancing NC</w:t>
      </w:r>
      <w:r w:rsidR="00666066">
        <w:rPr>
          <w:lang w:val="en-US"/>
        </w:rPr>
        <w:t xml:space="preserve">, the </w:t>
      </w:r>
      <w:r w:rsidR="00A1221E">
        <w:rPr>
          <w:lang w:val="en-US"/>
        </w:rPr>
        <w:t xml:space="preserve">AOC was renamed as PVB and it is the reference </w:t>
      </w:r>
      <w:r w:rsidR="000C3816">
        <w:rPr>
          <w:lang w:val="en-US"/>
        </w:rPr>
        <w:t>to</w:t>
      </w:r>
      <w:r w:rsidR="00A1221E">
        <w:rPr>
          <w:lang w:val="en-US"/>
        </w:rPr>
        <w:t xml:space="preserve"> </w:t>
      </w:r>
      <w:r w:rsidR="000C3816">
        <w:rPr>
          <w:lang w:val="en-US"/>
        </w:rPr>
        <w:t xml:space="preserve">trade </w:t>
      </w:r>
      <w:r w:rsidR="00A1221E">
        <w:rPr>
          <w:lang w:val="en-US"/>
        </w:rPr>
        <w:t>title product</w:t>
      </w:r>
      <w:r w:rsidR="000C3816">
        <w:rPr>
          <w:lang w:val="en-US"/>
        </w:rPr>
        <w:t>s</w:t>
      </w:r>
      <w:r w:rsidR="00A1221E">
        <w:rPr>
          <w:lang w:val="en-US"/>
        </w:rPr>
        <w:t xml:space="preserve"> and the virtual place where users ha</w:t>
      </w:r>
      <w:r w:rsidR="000C3816">
        <w:rPr>
          <w:lang w:val="en-US"/>
        </w:rPr>
        <w:t>ve</w:t>
      </w:r>
      <w:r w:rsidR="00A1221E">
        <w:rPr>
          <w:lang w:val="en-US"/>
        </w:rPr>
        <w:t xml:space="preserve"> to keep balance (inputs=offtakes).</w:t>
      </w:r>
    </w:p>
    <w:p w:rsidR="0057782E" w:rsidRDefault="0057782E" w:rsidP="00213572">
      <w:pPr>
        <w:rPr>
          <w:u w:val="single"/>
          <w:lang w:val="en-US"/>
        </w:rPr>
      </w:pPr>
      <w:r w:rsidRPr="00CE27DB">
        <w:rPr>
          <w:u w:val="single"/>
          <w:lang w:val="en-US"/>
        </w:rPr>
        <w:t>France</w:t>
      </w:r>
    </w:p>
    <w:p w:rsidR="00E86502" w:rsidRDefault="00E86502" w:rsidP="00E86502">
      <w:pPr>
        <w:rPr>
          <w:lang w:val="en-US"/>
        </w:rPr>
      </w:pPr>
      <w:r>
        <w:rPr>
          <w:lang w:val="en-US"/>
        </w:rPr>
        <w:t>As from 1</w:t>
      </w:r>
      <w:r w:rsidR="002B7B26" w:rsidRPr="004B4238">
        <w:rPr>
          <w:vertAlign w:val="superscript"/>
          <w:lang w:val="en-US"/>
        </w:rPr>
        <w:t>st</w:t>
      </w:r>
      <w:r w:rsidR="002B7B26">
        <w:rPr>
          <w:lang w:val="en-US"/>
        </w:rPr>
        <w:t xml:space="preserve"> of</w:t>
      </w:r>
      <w:r>
        <w:rPr>
          <w:lang w:val="en-US"/>
        </w:rPr>
        <w:t xml:space="preserve"> November 2018, there will be a single entry-exit system for France called TRF (Trading Region France), resulting from the merge of the current market places PEG Nord and TRS. At this date, current French virtual trading points will be merged into a single virtual trading point called PEG. </w:t>
      </w:r>
    </w:p>
    <w:p w:rsidR="0057782E" w:rsidRPr="00D1229D" w:rsidRDefault="0057782E" w:rsidP="00213572">
      <w:pPr>
        <w:rPr>
          <w:u w:val="single"/>
          <w:lang w:val="en-US"/>
        </w:rPr>
      </w:pPr>
      <w:r w:rsidRPr="00D1229D">
        <w:rPr>
          <w:u w:val="single"/>
          <w:lang w:val="en-US"/>
        </w:rPr>
        <w:t>Portugal</w:t>
      </w:r>
    </w:p>
    <w:p w:rsidR="00D47E73" w:rsidRPr="007D2C40" w:rsidRDefault="00D47E73" w:rsidP="00D47E73">
      <w:pPr>
        <w:rPr>
          <w:rFonts w:cs="Arial"/>
          <w:color w:val="222222"/>
          <w:lang w:val="en-US"/>
        </w:rPr>
      </w:pPr>
      <w:r w:rsidRPr="00D1229D">
        <w:rPr>
          <w:rFonts w:cs="Arial"/>
          <w:color w:val="222222"/>
          <w:lang w:val="en"/>
        </w:rPr>
        <w:t>In Portugal, a trading platform with adequate characteristics to support the balancing actions of the system’s Global Technical Manager (GTG) has not been implemented yet. However, it is expected that in the course of 2018 the MIBGAS Portuguese hub will be functional, allowing balancing actions as well as the application of prices in the determination of daily imbalance charges.</w:t>
      </w:r>
    </w:p>
    <w:p w:rsidR="001E24AD" w:rsidRPr="007D2C40" w:rsidRDefault="001E24AD" w:rsidP="00D47E73">
      <w:pPr>
        <w:rPr>
          <w:lang w:val="en-US"/>
        </w:rPr>
      </w:pPr>
    </w:p>
    <w:p w:rsidR="00B23E3A" w:rsidRDefault="002E6622" w:rsidP="00735B38">
      <w:pPr>
        <w:pStyle w:val="Ttulo2"/>
        <w:rPr>
          <w:lang w:val="en-US"/>
        </w:rPr>
      </w:pPr>
      <w:bookmarkStart w:id="27" w:name="_Toc516823938"/>
      <w:r>
        <w:rPr>
          <w:lang w:val="en-US"/>
        </w:rPr>
        <w:t>Trading platform</w:t>
      </w:r>
      <w:r w:rsidR="00B23E3A">
        <w:rPr>
          <w:lang w:val="en-US"/>
        </w:rPr>
        <w:t>.</w:t>
      </w:r>
      <w:bookmarkEnd w:id="27"/>
    </w:p>
    <w:p w:rsidR="0057782E" w:rsidRPr="00615636" w:rsidRDefault="0057782E" w:rsidP="00735B38">
      <w:pPr>
        <w:rPr>
          <w:u w:val="single"/>
          <w:lang w:val="en-US"/>
        </w:rPr>
      </w:pPr>
      <w:r w:rsidRPr="00615636">
        <w:rPr>
          <w:u w:val="single"/>
          <w:lang w:val="en-US"/>
        </w:rPr>
        <w:t>Spain</w:t>
      </w:r>
    </w:p>
    <w:p w:rsidR="006302CC" w:rsidRDefault="006302CC" w:rsidP="006302CC">
      <w:pPr>
        <w:rPr>
          <w:lang w:val="en-US"/>
        </w:rPr>
      </w:pPr>
      <w:r>
        <w:rPr>
          <w:lang w:val="en-US"/>
        </w:rPr>
        <w:t xml:space="preserve">The trading platform (MIBGAS) </w:t>
      </w:r>
      <w:r w:rsidR="008E5F79">
        <w:rPr>
          <w:lang w:val="en-US"/>
        </w:rPr>
        <w:t>started working</w:t>
      </w:r>
      <w:r>
        <w:rPr>
          <w:lang w:val="en-US"/>
        </w:rPr>
        <w:t xml:space="preserve"> in December 2015. </w:t>
      </w:r>
      <w:r w:rsidR="000C3816">
        <w:rPr>
          <w:lang w:val="en-US"/>
        </w:rPr>
        <w:t>Users</w:t>
      </w:r>
      <w:r w:rsidRPr="00A17BB0">
        <w:rPr>
          <w:lang w:val="en-US"/>
        </w:rPr>
        <w:t xml:space="preserve"> can use </w:t>
      </w:r>
      <w:r>
        <w:rPr>
          <w:lang w:val="en-US"/>
        </w:rPr>
        <w:t xml:space="preserve">this platform </w:t>
      </w:r>
      <w:r w:rsidRPr="00A17BB0">
        <w:rPr>
          <w:lang w:val="en-US"/>
        </w:rPr>
        <w:t xml:space="preserve">for </w:t>
      </w:r>
      <w:r w:rsidR="002E6622">
        <w:rPr>
          <w:lang w:val="en-US"/>
        </w:rPr>
        <w:t xml:space="preserve">both trading and </w:t>
      </w:r>
      <w:r w:rsidRPr="00A17BB0">
        <w:rPr>
          <w:lang w:val="en-US"/>
        </w:rPr>
        <w:t>balancing purposes</w:t>
      </w:r>
      <w:r>
        <w:rPr>
          <w:lang w:val="en-US"/>
        </w:rPr>
        <w:t xml:space="preserve">. </w:t>
      </w:r>
      <w:r w:rsidR="00F179D2">
        <w:rPr>
          <w:lang w:val="en-US"/>
        </w:rPr>
        <w:t>ENAGÁS GTS</w:t>
      </w:r>
      <w:r w:rsidR="008E5F79">
        <w:rPr>
          <w:lang w:val="en-US"/>
        </w:rPr>
        <w:t xml:space="preserve"> must use MIBGAS for the acquisition of normalized products. </w:t>
      </w:r>
      <w:r>
        <w:rPr>
          <w:lang w:val="en-US"/>
        </w:rPr>
        <w:t xml:space="preserve">Since </w:t>
      </w:r>
      <w:r w:rsidR="000C3816">
        <w:rPr>
          <w:lang w:val="en-US"/>
        </w:rPr>
        <w:t xml:space="preserve">1 </w:t>
      </w:r>
      <w:r>
        <w:rPr>
          <w:lang w:val="en-US"/>
        </w:rPr>
        <w:t>October 2016, the trading platform allow</w:t>
      </w:r>
      <w:r w:rsidR="000C3816">
        <w:rPr>
          <w:lang w:val="en-US"/>
        </w:rPr>
        <w:t>s</w:t>
      </w:r>
      <w:r>
        <w:rPr>
          <w:lang w:val="en-US"/>
        </w:rPr>
        <w:t xml:space="preserve"> to market two kind of </w:t>
      </w:r>
      <w:r w:rsidRPr="00B9100F">
        <w:rPr>
          <w:lang w:val="en-US"/>
        </w:rPr>
        <w:t xml:space="preserve">Short Term Standarised Products </w:t>
      </w:r>
      <w:r>
        <w:rPr>
          <w:lang w:val="en-US"/>
        </w:rPr>
        <w:t>(STSP)</w:t>
      </w:r>
      <w:r w:rsidR="008E5F79" w:rsidRPr="008E5F79">
        <w:rPr>
          <w:lang w:val="en-US"/>
        </w:rPr>
        <w:t xml:space="preserve"> </w:t>
      </w:r>
      <w:r w:rsidR="008E5F79">
        <w:rPr>
          <w:lang w:val="en-US"/>
        </w:rPr>
        <w:t xml:space="preserve">for </w:t>
      </w:r>
      <w:r w:rsidR="00F179D2">
        <w:rPr>
          <w:lang w:val="en-US"/>
        </w:rPr>
        <w:t>ENAGÁS GTS</w:t>
      </w:r>
      <w:r w:rsidR="008E5F79">
        <w:rPr>
          <w:lang w:val="en-US"/>
        </w:rPr>
        <w:t xml:space="preserve"> balancing purpose</w:t>
      </w:r>
      <w:r>
        <w:rPr>
          <w:lang w:val="en-US"/>
        </w:rPr>
        <w:t>: title products and locational</w:t>
      </w:r>
      <w:r w:rsidR="008E5F79">
        <w:rPr>
          <w:lang w:val="en-US"/>
        </w:rPr>
        <w:t xml:space="preserve"> products</w:t>
      </w:r>
      <w:r>
        <w:rPr>
          <w:lang w:val="en-US"/>
        </w:rPr>
        <w:t xml:space="preserve">.  </w:t>
      </w:r>
    </w:p>
    <w:p w:rsidR="0057782E" w:rsidRPr="001E24AD" w:rsidRDefault="0057782E" w:rsidP="006302CC">
      <w:pPr>
        <w:rPr>
          <w:u w:val="single"/>
          <w:lang w:val="en-US"/>
        </w:rPr>
      </w:pPr>
      <w:r w:rsidRPr="001E24AD">
        <w:rPr>
          <w:u w:val="single"/>
          <w:lang w:val="en-US"/>
        </w:rPr>
        <w:t>France</w:t>
      </w:r>
    </w:p>
    <w:p w:rsidR="000948BB" w:rsidRPr="007D2C40" w:rsidRDefault="000948BB" w:rsidP="006302CC">
      <w:pPr>
        <w:rPr>
          <w:highlight w:val="yellow"/>
          <w:u w:val="single"/>
          <w:lang w:val="en-US"/>
        </w:rPr>
      </w:pPr>
      <w:r w:rsidRPr="001E24AD">
        <w:rPr>
          <w:color w:val="000000" w:themeColor="text1"/>
        </w:rPr>
        <w:t xml:space="preserve">As part of its balancing system, </w:t>
      </w:r>
      <w:r w:rsidR="001B3478" w:rsidRPr="001E24AD">
        <w:rPr>
          <w:color w:val="000000" w:themeColor="text1"/>
        </w:rPr>
        <w:t xml:space="preserve">both </w:t>
      </w:r>
      <w:r w:rsidRPr="001E24AD">
        <w:rPr>
          <w:color w:val="000000" w:themeColor="text1"/>
        </w:rPr>
        <w:t>TIGF</w:t>
      </w:r>
      <w:r w:rsidR="001B3478" w:rsidRPr="001E24AD">
        <w:rPr>
          <w:color w:val="000000" w:themeColor="text1"/>
        </w:rPr>
        <w:t xml:space="preserve"> and GRTgaz</w:t>
      </w:r>
      <w:r w:rsidRPr="001E24AD">
        <w:rPr>
          <w:color w:val="000000" w:themeColor="text1"/>
        </w:rPr>
        <w:t xml:space="preserve"> sell and buy quantities of gas</w:t>
      </w:r>
      <w:r w:rsidR="000C3816">
        <w:rPr>
          <w:color w:val="000000" w:themeColor="text1"/>
        </w:rPr>
        <w:t xml:space="preserve"> </w:t>
      </w:r>
      <w:r w:rsidRPr="001E24AD">
        <w:rPr>
          <w:color w:val="000000" w:themeColor="text1"/>
          <w:lang w:val="en-AU"/>
        </w:rPr>
        <w:t>via Powernext’s PEGAS platform</w:t>
      </w:r>
      <w:r w:rsidR="001E24AD">
        <w:rPr>
          <w:color w:val="000000" w:themeColor="text1"/>
          <w:lang w:val="en-AU"/>
        </w:rPr>
        <w:t>.</w:t>
      </w:r>
    </w:p>
    <w:p w:rsidR="0057782E" w:rsidRPr="001E6754" w:rsidRDefault="0057782E" w:rsidP="006302CC">
      <w:pPr>
        <w:rPr>
          <w:u w:val="single"/>
          <w:lang w:val="en-US"/>
        </w:rPr>
      </w:pPr>
      <w:r w:rsidRPr="001E6754">
        <w:rPr>
          <w:u w:val="single"/>
          <w:lang w:val="en-US"/>
        </w:rPr>
        <w:t>Portugal</w:t>
      </w:r>
    </w:p>
    <w:p w:rsidR="007D22E3" w:rsidRDefault="007D22E3" w:rsidP="007D22E3">
      <w:pPr>
        <w:rPr>
          <w:rFonts w:cs="Arial"/>
          <w:color w:val="222222"/>
          <w:lang w:val="en"/>
        </w:rPr>
      </w:pPr>
      <w:r w:rsidRPr="001E6754">
        <w:rPr>
          <w:rFonts w:cs="Arial"/>
          <w:color w:val="222222"/>
          <w:lang w:val="en"/>
        </w:rPr>
        <w:t>In Portugal, a trading platform with adequate characteristics to support the balancing actions of the system’s Global Technical Manager (GTG) has not been implemented yet. However, it is expected that in the course of 2018 the MIBGAS Portuguese hub will be functional, allowing balancing actions</w:t>
      </w:r>
      <w:r w:rsidR="000C3816">
        <w:rPr>
          <w:rFonts w:cs="Arial"/>
          <w:color w:val="222222"/>
          <w:lang w:val="en"/>
        </w:rPr>
        <w:t>,</w:t>
      </w:r>
      <w:r w:rsidRPr="001E6754">
        <w:rPr>
          <w:rFonts w:cs="Arial"/>
          <w:color w:val="222222"/>
          <w:lang w:val="en"/>
        </w:rPr>
        <w:t xml:space="preserve"> as well as the application of prices in the determination of daily imbalance charges.</w:t>
      </w:r>
    </w:p>
    <w:p w:rsidR="001E24AD" w:rsidRPr="007F5AD6" w:rsidRDefault="001E24AD" w:rsidP="007D22E3">
      <w:pPr>
        <w:rPr>
          <w:lang w:val="en-US"/>
        </w:rPr>
      </w:pPr>
    </w:p>
    <w:p w:rsidR="00B23E3A" w:rsidRDefault="00B23E3A" w:rsidP="00735B38">
      <w:pPr>
        <w:pStyle w:val="Ttulo2"/>
        <w:rPr>
          <w:lang w:val="en-US"/>
        </w:rPr>
      </w:pPr>
      <w:bookmarkStart w:id="28" w:name="_Toc516823939"/>
      <w:r>
        <w:rPr>
          <w:lang w:val="en-US"/>
        </w:rPr>
        <w:t>Notifications.</w:t>
      </w:r>
      <w:bookmarkEnd w:id="28"/>
    </w:p>
    <w:p w:rsidR="00AE4381" w:rsidRPr="00605788" w:rsidRDefault="00AE4381" w:rsidP="00B23E3A">
      <w:pPr>
        <w:rPr>
          <w:u w:val="single"/>
          <w:lang w:val="en-US"/>
        </w:rPr>
      </w:pPr>
      <w:r w:rsidRPr="00605788">
        <w:rPr>
          <w:u w:val="single"/>
          <w:lang w:val="en-US"/>
        </w:rPr>
        <w:t>Spain</w:t>
      </w:r>
    </w:p>
    <w:p w:rsidR="00B23E3A" w:rsidRDefault="00B23E3A" w:rsidP="00B23E3A">
      <w:pPr>
        <w:rPr>
          <w:lang w:val="en-US"/>
        </w:rPr>
      </w:pPr>
      <w:r>
        <w:rPr>
          <w:lang w:val="en-US"/>
        </w:rPr>
        <w:t xml:space="preserve">The </w:t>
      </w:r>
      <w:r w:rsidRPr="00262A0F">
        <w:rPr>
          <w:lang w:val="en-US"/>
        </w:rPr>
        <w:t>VTP (PVB) effectively enables Trade Notifications</w:t>
      </w:r>
      <w:r>
        <w:rPr>
          <w:lang w:val="en-US"/>
        </w:rPr>
        <w:t xml:space="preserve"> to </w:t>
      </w:r>
      <w:r w:rsidR="00AE4381">
        <w:rPr>
          <w:lang w:val="en-US"/>
        </w:rPr>
        <w:t xml:space="preserve">the </w:t>
      </w:r>
      <w:r>
        <w:rPr>
          <w:lang w:val="en-US"/>
        </w:rPr>
        <w:t>Spanish Technical System Manager</w:t>
      </w:r>
      <w:r w:rsidRPr="00262A0F">
        <w:rPr>
          <w:lang w:val="en-US"/>
        </w:rPr>
        <w:t xml:space="preserve"> </w:t>
      </w:r>
      <w:r>
        <w:rPr>
          <w:lang w:val="en-US"/>
        </w:rPr>
        <w:t>(</w:t>
      </w:r>
      <w:r w:rsidR="00F179D2">
        <w:rPr>
          <w:lang w:val="en-US"/>
        </w:rPr>
        <w:t>ENAGÁS GTS</w:t>
      </w:r>
      <w:r>
        <w:rPr>
          <w:lang w:val="en-US"/>
        </w:rPr>
        <w:t xml:space="preserve">) </w:t>
      </w:r>
      <w:r w:rsidRPr="00262A0F">
        <w:rPr>
          <w:lang w:val="en-US"/>
        </w:rPr>
        <w:t>since November 2015</w:t>
      </w:r>
      <w:r>
        <w:rPr>
          <w:lang w:val="en-US"/>
        </w:rPr>
        <w:t xml:space="preserve">. Notifications are made by the users </w:t>
      </w:r>
      <w:r w:rsidR="00BE3296">
        <w:rPr>
          <w:lang w:val="en-US"/>
        </w:rPr>
        <w:t>(</w:t>
      </w:r>
      <w:r>
        <w:rPr>
          <w:lang w:val="en-US"/>
        </w:rPr>
        <w:t xml:space="preserve">when it is </w:t>
      </w:r>
      <w:r w:rsidR="008E5F79">
        <w:rPr>
          <w:lang w:val="en-US"/>
        </w:rPr>
        <w:t xml:space="preserve">on </w:t>
      </w:r>
      <w:r>
        <w:rPr>
          <w:lang w:val="en-US"/>
        </w:rPr>
        <w:t>bilateral trade</w:t>
      </w:r>
      <w:r w:rsidR="00BE3296">
        <w:rPr>
          <w:lang w:val="en-US"/>
        </w:rPr>
        <w:t>)</w:t>
      </w:r>
      <w:r>
        <w:rPr>
          <w:lang w:val="en-US"/>
        </w:rPr>
        <w:t xml:space="preserve"> and by the operator </w:t>
      </w:r>
      <w:r w:rsidR="00397A37">
        <w:rPr>
          <w:lang w:val="en-US"/>
        </w:rPr>
        <w:t xml:space="preserve">of the </w:t>
      </w:r>
      <w:r>
        <w:rPr>
          <w:lang w:val="en-US"/>
        </w:rPr>
        <w:t xml:space="preserve">trading platform </w:t>
      </w:r>
      <w:r w:rsidR="00BE3296">
        <w:rPr>
          <w:lang w:val="en-US"/>
        </w:rPr>
        <w:t>(</w:t>
      </w:r>
      <w:r>
        <w:rPr>
          <w:lang w:val="en-US"/>
        </w:rPr>
        <w:t xml:space="preserve">when the transaction takes place </w:t>
      </w:r>
      <w:r w:rsidR="008E5F79">
        <w:rPr>
          <w:lang w:val="en-US"/>
        </w:rPr>
        <w:t>o</w:t>
      </w:r>
      <w:r>
        <w:rPr>
          <w:lang w:val="en-US"/>
        </w:rPr>
        <w:t>n the trading platform</w:t>
      </w:r>
      <w:r w:rsidR="00BE3296">
        <w:rPr>
          <w:lang w:val="en-US"/>
        </w:rPr>
        <w:t>)</w:t>
      </w:r>
      <w:r w:rsidRPr="00262A0F">
        <w:rPr>
          <w:lang w:val="en-US"/>
        </w:rPr>
        <w:t>. Day ahead</w:t>
      </w:r>
      <w:r w:rsidR="00131C98">
        <w:rPr>
          <w:lang w:val="en-US"/>
        </w:rPr>
        <w:t>,</w:t>
      </w:r>
      <w:r w:rsidRPr="00262A0F">
        <w:rPr>
          <w:lang w:val="en-US"/>
        </w:rPr>
        <w:t xml:space="preserve"> and within day notifications up to three hours before the end of the gas day</w:t>
      </w:r>
      <w:r w:rsidR="00131C98">
        <w:rPr>
          <w:lang w:val="en-US"/>
        </w:rPr>
        <w:t>,</w:t>
      </w:r>
      <w:r w:rsidR="00131C98" w:rsidRPr="00131C98">
        <w:rPr>
          <w:lang w:val="en-US"/>
        </w:rPr>
        <w:t xml:space="preserve"> </w:t>
      </w:r>
      <w:r w:rsidR="00131C98" w:rsidRPr="00262A0F">
        <w:rPr>
          <w:lang w:val="en-US"/>
        </w:rPr>
        <w:t>are possible</w:t>
      </w:r>
      <w:r w:rsidRPr="00262A0F">
        <w:rPr>
          <w:lang w:val="en-US"/>
        </w:rPr>
        <w:t xml:space="preserve">. </w:t>
      </w:r>
    </w:p>
    <w:p w:rsidR="0007725B" w:rsidRPr="00C72042" w:rsidRDefault="00AE4381" w:rsidP="00C72042">
      <w:pPr>
        <w:rPr>
          <w:lang w:val="en-US"/>
        </w:rPr>
      </w:pPr>
      <w:r>
        <w:rPr>
          <w:lang w:val="en-US"/>
        </w:rPr>
        <w:t>T</w:t>
      </w:r>
      <w:r w:rsidR="0007725B" w:rsidRPr="00C72042">
        <w:rPr>
          <w:lang w:val="en-US"/>
        </w:rPr>
        <w:t>he time when the Technical System Manager receives a notification to</w:t>
      </w:r>
      <w:r w:rsidR="00D14FA5">
        <w:rPr>
          <w:lang w:val="en-US"/>
        </w:rPr>
        <w:t xml:space="preserve"> the time of </w:t>
      </w:r>
      <w:r w:rsidR="0007725B" w:rsidRPr="00C72042">
        <w:rPr>
          <w:lang w:val="en-US"/>
        </w:rPr>
        <w:t xml:space="preserve">registration and accounting may not exceed 30 minutes, except for notifications that are issued before the gas day, which may have a 2-hour extension to the processing period. When the notification quantities communicated by the </w:t>
      </w:r>
      <w:r w:rsidR="00933379" w:rsidRPr="00C72042">
        <w:rPr>
          <w:lang w:val="en-US"/>
        </w:rPr>
        <w:t>users involved in the trade</w:t>
      </w:r>
      <w:r w:rsidR="001B577B">
        <w:rPr>
          <w:lang w:val="en-US"/>
        </w:rPr>
        <w:t xml:space="preserve"> do not coincide, </w:t>
      </w:r>
      <w:r w:rsidR="001B577B" w:rsidRPr="000A7DEC">
        <w:rPr>
          <w:lang w:val="en-US"/>
        </w:rPr>
        <w:t xml:space="preserve">ENAGAS GTS </w:t>
      </w:r>
      <w:r w:rsidR="0007725B" w:rsidRPr="000A7DEC">
        <w:rPr>
          <w:lang w:val="en-US"/>
        </w:rPr>
        <w:t xml:space="preserve">will </w:t>
      </w:r>
      <w:r w:rsidR="00FE295C" w:rsidRPr="000A7DEC">
        <w:rPr>
          <w:lang w:val="en-US"/>
        </w:rPr>
        <w:t>reject both notifications and</w:t>
      </w:r>
      <w:r w:rsidR="00D14FA5">
        <w:rPr>
          <w:lang w:val="en-US"/>
        </w:rPr>
        <w:t xml:space="preserve"> </w:t>
      </w:r>
      <w:r>
        <w:rPr>
          <w:lang w:val="en-US"/>
        </w:rPr>
        <w:t>it</w:t>
      </w:r>
      <w:r w:rsidR="00FE295C" w:rsidRPr="000A7DEC">
        <w:rPr>
          <w:lang w:val="en-US"/>
        </w:rPr>
        <w:t xml:space="preserve"> </w:t>
      </w:r>
      <w:r w:rsidR="00D14FA5">
        <w:rPr>
          <w:lang w:val="en-US"/>
        </w:rPr>
        <w:t>will</w:t>
      </w:r>
      <w:r w:rsidR="00FE295C" w:rsidRPr="000A7DEC">
        <w:rPr>
          <w:lang w:val="en-US"/>
        </w:rPr>
        <w:t xml:space="preserve"> </w:t>
      </w:r>
      <w:r>
        <w:rPr>
          <w:lang w:val="en-US"/>
        </w:rPr>
        <w:t xml:space="preserve">be </w:t>
      </w:r>
      <w:r w:rsidR="00FE295C" w:rsidRPr="000A7DEC">
        <w:rPr>
          <w:lang w:val="en-US"/>
        </w:rPr>
        <w:t>communicated</w:t>
      </w:r>
      <w:r w:rsidR="00D14FA5">
        <w:rPr>
          <w:lang w:val="en-US"/>
        </w:rPr>
        <w:t xml:space="preserve"> </w:t>
      </w:r>
      <w:r>
        <w:rPr>
          <w:lang w:val="en-US"/>
        </w:rPr>
        <w:t xml:space="preserve">for </w:t>
      </w:r>
      <w:r w:rsidR="00D14FA5">
        <w:rPr>
          <w:lang w:val="en-US"/>
        </w:rPr>
        <w:t>the users</w:t>
      </w:r>
      <w:r w:rsidR="00FE295C" w:rsidRPr="000A7DEC">
        <w:rPr>
          <w:lang w:val="en-US"/>
        </w:rPr>
        <w:t xml:space="preserve"> to </w:t>
      </w:r>
      <w:r w:rsidR="00CC3138">
        <w:rPr>
          <w:lang w:val="en-US"/>
        </w:rPr>
        <w:t>correct the notification</w:t>
      </w:r>
      <w:r w:rsidR="0007725B" w:rsidRPr="000A7DEC">
        <w:rPr>
          <w:lang w:val="en-US"/>
        </w:rPr>
        <w:t>.</w:t>
      </w:r>
      <w:r w:rsidR="0007725B" w:rsidRPr="00C72042">
        <w:rPr>
          <w:lang w:val="en-US"/>
        </w:rPr>
        <w:t xml:space="preserve"> </w:t>
      </w:r>
    </w:p>
    <w:p w:rsidR="007234DF" w:rsidRPr="000A7DEC" w:rsidRDefault="0057782E" w:rsidP="0007725B">
      <w:pPr>
        <w:rPr>
          <w:u w:val="single"/>
          <w:lang w:val="en-US"/>
        </w:rPr>
      </w:pPr>
      <w:r w:rsidRPr="000A7DEC">
        <w:rPr>
          <w:u w:val="single"/>
          <w:lang w:val="en-US"/>
        </w:rPr>
        <w:t>France</w:t>
      </w:r>
    </w:p>
    <w:p w:rsidR="0057782E" w:rsidRPr="000A7DEC" w:rsidRDefault="0057782E" w:rsidP="0007725B">
      <w:pPr>
        <w:rPr>
          <w:u w:val="single"/>
          <w:lang w:val="en-US"/>
        </w:rPr>
      </w:pPr>
      <w:r w:rsidRPr="000A7DEC">
        <w:rPr>
          <w:u w:val="single"/>
          <w:lang w:val="en-US"/>
        </w:rPr>
        <w:t>Portugal</w:t>
      </w:r>
    </w:p>
    <w:p w:rsidR="007E0E17" w:rsidRPr="00CE457B" w:rsidRDefault="007E0E17" w:rsidP="007E0E17">
      <w:pPr>
        <w:rPr>
          <w:lang w:val="en-US"/>
        </w:rPr>
      </w:pPr>
      <w:r w:rsidRPr="00CE457B">
        <w:rPr>
          <w:lang w:val="en-US"/>
        </w:rPr>
        <w:t>Presently, the natural gas transactions carried out in the transmission network balancing area (VTP) are exclusively associated with bilateral trading. However, the regulatory framework in force takes into account the implementation of the Portuguese pole of MIBGAS and the implemented procedures are in compliance with Commission Regulation (EU) No 312/2014 of 26 March.</w:t>
      </w:r>
    </w:p>
    <w:p w:rsidR="007E0E17" w:rsidRPr="00CE457B" w:rsidRDefault="007E0E17" w:rsidP="007E0E17">
      <w:pPr>
        <w:rPr>
          <w:lang w:val="en-US"/>
        </w:rPr>
      </w:pPr>
      <w:r w:rsidRPr="00CE457B">
        <w:rPr>
          <w:lang w:val="en-US"/>
        </w:rPr>
        <w:t>Trading notifications should be submitted by the market agents involved, in the case of bilateral trading, or by the market operator, if the transactions occur in an organized market.</w:t>
      </w:r>
    </w:p>
    <w:p w:rsidR="007E0E17" w:rsidRDefault="007E0E17" w:rsidP="007E0E17">
      <w:pPr>
        <w:rPr>
          <w:rFonts w:cs="Arial"/>
          <w:color w:val="222222"/>
          <w:lang w:val="en"/>
        </w:rPr>
      </w:pPr>
      <w:r w:rsidRPr="00CE457B">
        <w:rPr>
          <w:rFonts w:cs="Arial"/>
          <w:color w:val="222222"/>
          <w:lang w:val="en"/>
        </w:rPr>
        <w:t>Transaction notifications shall be confirmed by the GTG to the market agents within a maximum period of 2 hours, after receiving a pair of consistent notifications, except when trade occurs in the gas day where a maximum of 30 minutes must be applied. GTG must applied the same procedure to the trading notifications issued by a market operator.</w:t>
      </w:r>
    </w:p>
    <w:p w:rsidR="007E0E17" w:rsidRPr="00436FE3" w:rsidRDefault="007E0E17" w:rsidP="0007725B">
      <w:pPr>
        <w:rPr>
          <w:lang w:val="en"/>
        </w:rPr>
      </w:pPr>
    </w:p>
    <w:p w:rsidR="00B23E3A" w:rsidRDefault="00B23E3A" w:rsidP="00735B38">
      <w:pPr>
        <w:pStyle w:val="Ttulo2"/>
        <w:rPr>
          <w:lang w:val="en-US"/>
        </w:rPr>
      </w:pPr>
      <w:bookmarkStart w:id="29" w:name="_Toc516823940"/>
      <w:r>
        <w:rPr>
          <w:lang w:val="en-US"/>
        </w:rPr>
        <w:t>Balancing actions</w:t>
      </w:r>
      <w:r w:rsidR="00814A65">
        <w:rPr>
          <w:lang w:val="en-US"/>
        </w:rPr>
        <w:t xml:space="preserve"> and system flexibility</w:t>
      </w:r>
      <w:bookmarkEnd w:id="29"/>
    </w:p>
    <w:p w:rsidR="006302CC" w:rsidRDefault="00004A31" w:rsidP="006302CC">
      <w:pPr>
        <w:rPr>
          <w:lang w:val="en-US"/>
        </w:rPr>
      </w:pPr>
      <w:r>
        <w:rPr>
          <w:lang w:val="en-US"/>
        </w:rPr>
        <w:t>The</w:t>
      </w:r>
      <w:r w:rsidR="003C6891">
        <w:rPr>
          <w:lang w:val="en-US"/>
        </w:rPr>
        <w:t xml:space="preserve"> Technical System Manager,</w:t>
      </w:r>
      <w:r>
        <w:rPr>
          <w:lang w:val="en-US"/>
        </w:rPr>
        <w:t xml:space="preserve"> TSM</w:t>
      </w:r>
      <w:r w:rsidR="00C360AD">
        <w:rPr>
          <w:lang w:val="en-US"/>
        </w:rPr>
        <w:t xml:space="preserve"> must </w:t>
      </w:r>
      <w:r w:rsidR="00EF2D4B">
        <w:rPr>
          <w:lang w:val="en-US"/>
        </w:rPr>
        <w:t xml:space="preserve">continuously </w:t>
      </w:r>
      <w:r w:rsidR="00C360AD">
        <w:rPr>
          <w:lang w:val="en-US"/>
        </w:rPr>
        <w:t>evaluate if the system integrity</w:t>
      </w:r>
      <w:r w:rsidR="00AE4381">
        <w:rPr>
          <w:lang w:val="en-US"/>
        </w:rPr>
        <w:t xml:space="preserve"> is</w:t>
      </w:r>
      <w:r w:rsidR="00C360AD">
        <w:rPr>
          <w:lang w:val="en-US"/>
        </w:rPr>
        <w:t xml:space="preserve"> at risk. </w:t>
      </w:r>
      <w:r w:rsidR="00B23E3A">
        <w:rPr>
          <w:lang w:val="en-US"/>
        </w:rPr>
        <w:t>The TSM</w:t>
      </w:r>
      <w:r w:rsidR="006302CC">
        <w:rPr>
          <w:lang w:val="en-US"/>
        </w:rPr>
        <w:t xml:space="preserve"> may carry out balancing actions with the aim of keeping the transmission network within normal operating conditions, or acquire a different quantity of gas in the</w:t>
      </w:r>
      <w:r w:rsidR="00F1282E">
        <w:rPr>
          <w:lang w:val="en-US"/>
        </w:rPr>
        <w:t xml:space="preserve"> network at the end of the day </w:t>
      </w:r>
      <w:r w:rsidR="006302CC">
        <w:rPr>
          <w:lang w:val="en-US"/>
        </w:rPr>
        <w:t xml:space="preserve">in </w:t>
      </w:r>
      <w:r w:rsidR="00F1282E">
        <w:rPr>
          <w:lang w:val="en-US"/>
        </w:rPr>
        <w:t xml:space="preserve">order to have a linepack consistent </w:t>
      </w:r>
      <w:r w:rsidR="006302CC">
        <w:rPr>
          <w:lang w:val="en-US"/>
        </w:rPr>
        <w:t>with</w:t>
      </w:r>
      <w:r w:rsidR="00AE4381">
        <w:rPr>
          <w:lang w:val="en-US"/>
        </w:rPr>
        <w:t xml:space="preserve"> an</w:t>
      </w:r>
      <w:r w:rsidR="006302CC">
        <w:rPr>
          <w:lang w:val="en-US"/>
        </w:rPr>
        <w:t xml:space="preserve"> efficient and economic operation</w:t>
      </w:r>
      <w:r w:rsidR="00397A37">
        <w:rPr>
          <w:lang w:val="en-US"/>
        </w:rPr>
        <w:t xml:space="preserve"> of the system</w:t>
      </w:r>
      <w:r w:rsidR="00966068">
        <w:rPr>
          <w:lang w:val="en-US"/>
        </w:rPr>
        <w:t>.</w:t>
      </w:r>
    </w:p>
    <w:p w:rsidR="0057782E" w:rsidRPr="00CE457B" w:rsidRDefault="0057782E" w:rsidP="006302CC">
      <w:pPr>
        <w:rPr>
          <w:u w:val="single"/>
          <w:lang w:val="en-US"/>
        </w:rPr>
      </w:pPr>
      <w:r w:rsidRPr="00CE457B">
        <w:rPr>
          <w:u w:val="single"/>
          <w:lang w:val="en-US"/>
        </w:rPr>
        <w:t>Spain</w:t>
      </w:r>
    </w:p>
    <w:p w:rsidR="00397A37" w:rsidRDefault="00224FA1" w:rsidP="00397A37">
      <w:pPr>
        <w:rPr>
          <w:lang w:val="en-US"/>
        </w:rPr>
      </w:pPr>
      <w:r>
        <w:rPr>
          <w:lang w:val="en-US"/>
        </w:rPr>
        <w:t>In order to facilitate</w:t>
      </w:r>
      <w:r w:rsidR="00200664">
        <w:rPr>
          <w:lang w:val="en-US"/>
        </w:rPr>
        <w:t xml:space="preserve"> </w:t>
      </w:r>
      <w:r>
        <w:rPr>
          <w:lang w:val="en-US"/>
        </w:rPr>
        <w:t xml:space="preserve">the </w:t>
      </w:r>
      <w:r w:rsidR="00200664">
        <w:rPr>
          <w:lang w:val="en-US"/>
        </w:rPr>
        <w:t xml:space="preserve">follow-up of the system, </w:t>
      </w:r>
      <w:r w:rsidR="006C08B9">
        <w:rPr>
          <w:lang w:val="en-US"/>
        </w:rPr>
        <w:t>regulation</w:t>
      </w:r>
      <w:r w:rsidR="00E77327">
        <w:rPr>
          <w:lang w:val="en-US"/>
        </w:rPr>
        <w:t xml:space="preserve"> </w:t>
      </w:r>
      <w:r w:rsidR="00DB1492">
        <w:rPr>
          <w:lang w:val="en-US"/>
        </w:rPr>
        <w:t>has</w:t>
      </w:r>
      <w:r w:rsidR="00E77327">
        <w:rPr>
          <w:lang w:val="en-US"/>
        </w:rPr>
        <w:t xml:space="preserve"> </w:t>
      </w:r>
      <w:r w:rsidR="00200664">
        <w:rPr>
          <w:lang w:val="en-US"/>
        </w:rPr>
        <w:t xml:space="preserve">defined three operating bands: indifference, surveillance and alert </w:t>
      </w:r>
      <w:r w:rsidR="00D63F7C">
        <w:rPr>
          <w:lang w:val="en-US"/>
        </w:rPr>
        <w:t>that</w:t>
      </w:r>
      <w:r w:rsidR="00200664">
        <w:rPr>
          <w:lang w:val="en-US"/>
        </w:rPr>
        <w:t xml:space="preserve"> determine </w:t>
      </w:r>
      <w:r w:rsidR="006302CC">
        <w:rPr>
          <w:lang w:val="en-US"/>
        </w:rPr>
        <w:t xml:space="preserve">the </w:t>
      </w:r>
      <w:r w:rsidR="001067C8">
        <w:rPr>
          <w:lang w:val="en-US"/>
        </w:rPr>
        <w:t>thresholds</w:t>
      </w:r>
      <w:r w:rsidR="006302CC">
        <w:rPr>
          <w:lang w:val="en-US"/>
        </w:rPr>
        <w:t xml:space="preserve"> of normal operation</w:t>
      </w:r>
      <w:r w:rsidR="00200664">
        <w:rPr>
          <w:lang w:val="en-US"/>
        </w:rPr>
        <w:t xml:space="preserve"> of the transmission network</w:t>
      </w:r>
      <w:r w:rsidR="006302CC">
        <w:rPr>
          <w:lang w:val="en-US"/>
        </w:rPr>
        <w:t xml:space="preserve"> outside </w:t>
      </w:r>
      <w:r w:rsidR="00200664">
        <w:rPr>
          <w:lang w:val="en-US"/>
        </w:rPr>
        <w:t xml:space="preserve">of </w:t>
      </w:r>
      <w:r w:rsidR="006302CC">
        <w:rPr>
          <w:lang w:val="en-US"/>
        </w:rPr>
        <w:t>which balancing actions are triggered</w:t>
      </w:r>
      <w:r w:rsidR="00D5360A">
        <w:rPr>
          <w:rStyle w:val="Refdenotaalpie"/>
          <w:lang w:val="en-US"/>
        </w:rPr>
        <w:footnoteReference w:id="5"/>
      </w:r>
      <w:r w:rsidR="006302CC">
        <w:rPr>
          <w:lang w:val="en-US"/>
        </w:rPr>
        <w:t>.</w:t>
      </w:r>
      <w:r w:rsidR="00632D6B">
        <w:rPr>
          <w:lang w:val="en-US"/>
        </w:rPr>
        <w:t xml:space="preserve"> </w:t>
      </w:r>
      <w:r w:rsidR="00F179D2">
        <w:rPr>
          <w:lang w:val="en-US"/>
        </w:rPr>
        <w:t>ENAGÁS GTS</w:t>
      </w:r>
      <w:r w:rsidR="00632D6B" w:rsidRPr="00632D6B">
        <w:rPr>
          <w:lang w:val="en-US"/>
        </w:rPr>
        <w:t xml:space="preserve"> has developed </w:t>
      </w:r>
      <w:r w:rsidR="00632D6B" w:rsidRPr="00735B38">
        <w:rPr>
          <w:lang w:val="en-US"/>
        </w:rPr>
        <w:t xml:space="preserve">and published </w:t>
      </w:r>
      <w:r w:rsidR="00632D6B" w:rsidRPr="00632D6B">
        <w:rPr>
          <w:lang w:val="en-US"/>
        </w:rPr>
        <w:t xml:space="preserve">the corresponding procedure to calculate </w:t>
      </w:r>
      <w:r w:rsidR="00632D6B" w:rsidRPr="00735B38">
        <w:rPr>
          <w:lang w:val="en-US"/>
        </w:rPr>
        <w:t>the parameters</w:t>
      </w:r>
      <w:r w:rsidR="00933BEA">
        <w:rPr>
          <w:rStyle w:val="Refdenotaalpie"/>
          <w:lang w:val="en-US"/>
        </w:rPr>
        <w:footnoteReference w:id="6"/>
      </w:r>
      <w:r w:rsidR="00632D6B" w:rsidRPr="00735B38">
        <w:rPr>
          <w:lang w:val="en-US"/>
        </w:rPr>
        <w:t xml:space="preserve"> defining the normal operation of the system. </w:t>
      </w:r>
      <w:r w:rsidR="00632D6B" w:rsidRPr="00BD25A8">
        <w:rPr>
          <w:lang w:val="en-US"/>
        </w:rPr>
        <w:t xml:space="preserve">The </w:t>
      </w:r>
      <w:r w:rsidR="00632D6B" w:rsidRPr="00735B38">
        <w:rPr>
          <w:lang w:val="en-US"/>
        </w:rPr>
        <w:t xml:space="preserve">procedure will be reviewed every two years. </w:t>
      </w:r>
      <w:r w:rsidR="00F179D2">
        <w:rPr>
          <w:lang w:val="en-US"/>
        </w:rPr>
        <w:t>ENAGÁS GTS</w:t>
      </w:r>
      <w:r w:rsidR="00632D6B" w:rsidRPr="00735B38">
        <w:rPr>
          <w:lang w:val="en-US"/>
        </w:rPr>
        <w:t xml:space="preserve"> will update the parameters whenever necessary or</w:t>
      </w:r>
      <w:r w:rsidR="00026BCF">
        <w:rPr>
          <w:lang w:val="en-US"/>
        </w:rPr>
        <w:t xml:space="preserve"> 1)</w:t>
      </w:r>
      <w:r w:rsidR="00632D6B" w:rsidRPr="00735B38">
        <w:rPr>
          <w:lang w:val="en-US"/>
        </w:rPr>
        <w:t xml:space="preserve"> at least twice a year, once finished winter and summer periods to </w:t>
      </w:r>
      <w:r w:rsidR="007856BB">
        <w:rPr>
          <w:lang w:val="en-US"/>
        </w:rPr>
        <w:t>accommodate</w:t>
      </w:r>
      <w:r w:rsidR="00632D6B" w:rsidRPr="00735B38">
        <w:rPr>
          <w:lang w:val="en-US"/>
        </w:rPr>
        <w:t xml:space="preserve"> the</w:t>
      </w:r>
      <w:r w:rsidR="00064B37">
        <w:rPr>
          <w:lang w:val="en-US"/>
        </w:rPr>
        <w:t xml:space="preserve">m </w:t>
      </w:r>
      <w:r w:rsidR="00632D6B" w:rsidRPr="00735B38">
        <w:rPr>
          <w:lang w:val="en-US"/>
        </w:rPr>
        <w:t>to demand</w:t>
      </w:r>
      <w:r w:rsidR="00026BCF">
        <w:rPr>
          <w:lang w:val="en-US"/>
        </w:rPr>
        <w:t xml:space="preserve"> patterns</w:t>
      </w:r>
      <w:r w:rsidR="007856BB">
        <w:rPr>
          <w:lang w:val="en-US"/>
        </w:rPr>
        <w:t xml:space="preserve"> </w:t>
      </w:r>
      <w:r w:rsidR="00BD25A8">
        <w:rPr>
          <w:lang w:val="en-US"/>
        </w:rPr>
        <w:t>and</w:t>
      </w:r>
      <w:r w:rsidR="00026BCF" w:rsidRPr="00026BCF">
        <w:rPr>
          <w:lang w:val="en-US"/>
        </w:rPr>
        <w:t xml:space="preserve"> </w:t>
      </w:r>
      <w:r w:rsidR="00771E15">
        <w:rPr>
          <w:lang w:val="en-US"/>
        </w:rPr>
        <w:t xml:space="preserve">2) </w:t>
      </w:r>
      <w:r w:rsidR="00026BCF" w:rsidRPr="00026BCF">
        <w:rPr>
          <w:lang w:val="en-US"/>
        </w:rPr>
        <w:t>w</w:t>
      </w:r>
      <w:r w:rsidR="00632D6B" w:rsidRPr="00735B38">
        <w:rPr>
          <w:lang w:val="en-US"/>
        </w:rPr>
        <w:t>h</w:t>
      </w:r>
      <w:r w:rsidR="00026BCF">
        <w:rPr>
          <w:lang w:val="en-US"/>
        </w:rPr>
        <w:t>e</w:t>
      </w:r>
      <w:r w:rsidR="00632D6B" w:rsidRPr="00735B38">
        <w:rPr>
          <w:lang w:val="en-US"/>
        </w:rPr>
        <w:t xml:space="preserve">n new infrastructures </w:t>
      </w:r>
      <w:r w:rsidR="007856BB">
        <w:rPr>
          <w:lang w:val="en-US"/>
        </w:rPr>
        <w:t xml:space="preserve">commissioning </w:t>
      </w:r>
      <w:r w:rsidR="00632D6B" w:rsidRPr="00735B38">
        <w:rPr>
          <w:lang w:val="en-US"/>
        </w:rPr>
        <w:t>incre</w:t>
      </w:r>
      <w:r w:rsidR="00C336EB" w:rsidRPr="00C336EB">
        <w:rPr>
          <w:lang w:val="en-US"/>
        </w:rPr>
        <w:t>ase</w:t>
      </w:r>
      <w:r w:rsidR="007856BB">
        <w:rPr>
          <w:lang w:val="en-US"/>
        </w:rPr>
        <w:t>s</w:t>
      </w:r>
      <w:r w:rsidR="00C336EB">
        <w:rPr>
          <w:lang w:val="en-US"/>
        </w:rPr>
        <w:t xml:space="preserve"> the linepack capacity</w:t>
      </w:r>
      <w:r w:rsidR="00C336EB" w:rsidRPr="00C336EB">
        <w:rPr>
          <w:lang w:val="en-US"/>
        </w:rPr>
        <w:t xml:space="preserve"> </w:t>
      </w:r>
      <w:r w:rsidR="00771E15">
        <w:rPr>
          <w:lang w:val="en-US"/>
        </w:rPr>
        <w:t>by</w:t>
      </w:r>
      <w:r w:rsidR="00026BCF">
        <w:rPr>
          <w:lang w:val="en-US"/>
        </w:rPr>
        <w:t xml:space="preserve"> </w:t>
      </w:r>
      <w:r w:rsidR="00C336EB" w:rsidRPr="00C336EB">
        <w:rPr>
          <w:lang w:val="en-US"/>
        </w:rPr>
        <w:t>at least 2%</w:t>
      </w:r>
      <w:r w:rsidR="00771E15">
        <w:rPr>
          <w:lang w:val="en-US"/>
        </w:rPr>
        <w:t xml:space="preserve">. </w:t>
      </w:r>
      <w:r w:rsidR="00771E15" w:rsidRPr="0062436F">
        <w:rPr>
          <w:lang w:val="en-US"/>
        </w:rPr>
        <w:t xml:space="preserve">The new values will be published in </w:t>
      </w:r>
      <w:r w:rsidR="00F179D2" w:rsidRPr="0062436F">
        <w:rPr>
          <w:lang w:val="en-US"/>
        </w:rPr>
        <w:t>ENAGÁS GTS</w:t>
      </w:r>
      <w:r w:rsidR="00771E15" w:rsidRPr="0062436F">
        <w:rPr>
          <w:lang w:val="en-US"/>
        </w:rPr>
        <w:t xml:space="preserve"> website at least one month</w:t>
      </w:r>
      <w:r w:rsidR="0062436F" w:rsidRPr="0062436F">
        <w:rPr>
          <w:lang w:val="en-US"/>
        </w:rPr>
        <w:t xml:space="preserve"> prior to their entry into force.</w:t>
      </w:r>
      <w:r w:rsidR="00F2406A">
        <w:rPr>
          <w:lang w:val="en-US"/>
        </w:rPr>
        <w:t xml:space="preserve"> The l</w:t>
      </w:r>
      <w:r w:rsidR="00397A37">
        <w:rPr>
          <w:lang w:val="en-US"/>
        </w:rPr>
        <w:t xml:space="preserve">inepack flexibility is </w:t>
      </w:r>
      <w:r w:rsidR="001B463B">
        <w:rPr>
          <w:lang w:val="en-US"/>
        </w:rPr>
        <w:t xml:space="preserve">not </w:t>
      </w:r>
      <w:r w:rsidR="00175B92">
        <w:rPr>
          <w:lang w:val="en-US"/>
        </w:rPr>
        <w:t xml:space="preserve">currently </w:t>
      </w:r>
      <w:r w:rsidR="001B463B">
        <w:rPr>
          <w:lang w:val="en-US"/>
        </w:rPr>
        <w:t xml:space="preserve">marketed but the possibility is </w:t>
      </w:r>
      <w:r w:rsidR="00EE490A">
        <w:rPr>
          <w:lang w:val="en-US"/>
        </w:rPr>
        <w:t>included</w:t>
      </w:r>
      <w:r w:rsidR="001B463B">
        <w:rPr>
          <w:lang w:val="en-US"/>
        </w:rPr>
        <w:t xml:space="preserve"> in the Spanish regulation. </w:t>
      </w:r>
    </w:p>
    <w:p w:rsidR="00654F6B" w:rsidRDefault="002F06C4" w:rsidP="00397A37">
      <w:pPr>
        <w:rPr>
          <w:lang w:val="en-US"/>
        </w:rPr>
      </w:pPr>
      <w:r>
        <w:rPr>
          <w:lang w:val="en-US"/>
        </w:rPr>
        <w:t>In the</w:t>
      </w:r>
      <w:r w:rsidR="00654F6B">
        <w:rPr>
          <w:lang w:val="en-US"/>
        </w:rPr>
        <w:t xml:space="preserve"> next graph </w:t>
      </w:r>
      <w:r>
        <w:rPr>
          <w:lang w:val="en-US"/>
        </w:rPr>
        <w:t xml:space="preserve">are </w:t>
      </w:r>
      <w:r w:rsidR="00654F6B">
        <w:rPr>
          <w:lang w:val="en-US"/>
        </w:rPr>
        <w:t>represent</w:t>
      </w:r>
      <w:r>
        <w:rPr>
          <w:lang w:val="en-US"/>
        </w:rPr>
        <w:t>ed</w:t>
      </w:r>
      <w:r w:rsidR="00654F6B">
        <w:rPr>
          <w:lang w:val="en-US"/>
        </w:rPr>
        <w:t xml:space="preserve"> the operating bands </w:t>
      </w:r>
      <w:r w:rsidR="00AC402C">
        <w:rPr>
          <w:lang w:val="en-US"/>
        </w:rPr>
        <w:t>above</w:t>
      </w:r>
      <w:r w:rsidR="00654F6B">
        <w:rPr>
          <w:lang w:val="en-US"/>
        </w:rPr>
        <w:t>mentioned:</w:t>
      </w:r>
    </w:p>
    <w:p w:rsidR="004F02E8" w:rsidRDefault="004F02E8" w:rsidP="006302CC">
      <w:pPr>
        <w:rPr>
          <w:lang w:val="en-US"/>
        </w:rPr>
      </w:pPr>
      <w:r>
        <w:rPr>
          <w:noProof/>
          <w:lang w:val="es-ES" w:eastAsia="es-ES"/>
        </w:rPr>
        <w:drawing>
          <wp:inline distT="0" distB="0" distL="0" distR="0" wp14:anchorId="1EB5A07C" wp14:editId="38DA7590">
            <wp:extent cx="5667375" cy="28860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375" cy="2886075"/>
                    </a:xfrm>
                    <a:prstGeom prst="rect">
                      <a:avLst/>
                    </a:prstGeom>
                    <a:noFill/>
                    <a:ln>
                      <a:noFill/>
                    </a:ln>
                  </pic:spPr>
                </pic:pic>
              </a:graphicData>
            </a:graphic>
          </wp:inline>
        </w:drawing>
      </w:r>
    </w:p>
    <w:p w:rsidR="00994629" w:rsidRDefault="00241205" w:rsidP="006302CC">
      <w:pPr>
        <w:rPr>
          <w:lang w:val="en-US"/>
        </w:rPr>
      </w:pPr>
      <w:r>
        <w:rPr>
          <w:lang w:val="en-US"/>
        </w:rPr>
        <w:t>Figure 3</w:t>
      </w:r>
      <w:r w:rsidR="00994629">
        <w:rPr>
          <w:lang w:val="en-US"/>
        </w:rPr>
        <w:t>. Operating bands</w:t>
      </w:r>
    </w:p>
    <w:p w:rsidR="00654F6B" w:rsidRPr="007A3510" w:rsidRDefault="00654F6B" w:rsidP="00654F6B">
      <w:pPr>
        <w:rPr>
          <w:lang w:val="en-US"/>
        </w:rPr>
      </w:pPr>
      <w:r>
        <w:rPr>
          <w:lang w:val="en-US"/>
        </w:rPr>
        <w:t xml:space="preserve">When the level of gas stored in the network is situated in the green zone, ENAGÁS GTS </w:t>
      </w:r>
      <w:r w:rsidR="006425E6">
        <w:rPr>
          <w:lang w:val="en-US"/>
        </w:rPr>
        <w:t xml:space="preserve">must </w:t>
      </w:r>
      <w:r>
        <w:rPr>
          <w:lang w:val="en-US"/>
        </w:rPr>
        <w:t>not take balancing actions. ENAGÁS GTS is obliged to take a balancing action when the gas level is in the red zones and the decision is left to ENAGÁS GTS</w:t>
      </w:r>
      <w:r w:rsidR="00F265D0">
        <w:rPr>
          <w:lang w:val="en-US"/>
        </w:rPr>
        <w:t xml:space="preserve"> criteria</w:t>
      </w:r>
      <w:r>
        <w:rPr>
          <w:lang w:val="en-US"/>
        </w:rPr>
        <w:t xml:space="preserve"> when the level</w:t>
      </w:r>
      <w:r w:rsidR="0098598E">
        <w:rPr>
          <w:lang w:val="en-US"/>
        </w:rPr>
        <w:t xml:space="preserve"> of gas</w:t>
      </w:r>
      <w:r>
        <w:rPr>
          <w:lang w:val="en-US"/>
        </w:rPr>
        <w:t xml:space="preserve"> is in the yellow zone. When taking a balancing action ENAGÁS GTS must take into account real demand at the moment and demand forecast for the gas day, users’ nominations and re</w:t>
      </w:r>
      <w:r w:rsidR="0098598E">
        <w:rPr>
          <w:lang w:val="en-US"/>
        </w:rPr>
        <w:t>-</w:t>
      </w:r>
      <w:r>
        <w:rPr>
          <w:lang w:val="en-US"/>
        </w:rPr>
        <w:t xml:space="preserve">nominations, measurements of gas flows, network pressures and technical status of infrastructures. </w:t>
      </w:r>
      <w:r w:rsidRPr="007A3510">
        <w:rPr>
          <w:lang w:val="en-US"/>
        </w:rPr>
        <w:t>Balancing actions must be</w:t>
      </w:r>
      <w:r w:rsidR="0098598E">
        <w:rPr>
          <w:lang w:val="en-US"/>
        </w:rPr>
        <w:t xml:space="preserve"> performed in </w:t>
      </w:r>
      <w:r w:rsidR="006C08B9">
        <w:rPr>
          <w:lang w:val="en-US"/>
        </w:rPr>
        <w:t xml:space="preserve">an </w:t>
      </w:r>
      <w:r w:rsidRPr="007A3510">
        <w:rPr>
          <w:lang w:val="en-US"/>
        </w:rPr>
        <w:t>efficient, economical and not discriminatory</w:t>
      </w:r>
      <w:r w:rsidR="0098598E">
        <w:rPr>
          <w:lang w:val="en-US"/>
        </w:rPr>
        <w:t xml:space="preserve"> manner</w:t>
      </w:r>
      <w:r w:rsidRPr="007A3510">
        <w:rPr>
          <w:lang w:val="en-US"/>
        </w:rPr>
        <w:t xml:space="preserve">.  </w:t>
      </w:r>
    </w:p>
    <w:p w:rsidR="006302CC" w:rsidRDefault="0098598E">
      <w:pPr>
        <w:rPr>
          <w:lang w:val="en-US"/>
        </w:rPr>
      </w:pPr>
      <w:r>
        <w:rPr>
          <w:lang w:val="en-US"/>
        </w:rPr>
        <w:t>ENAGAS</w:t>
      </w:r>
      <w:r w:rsidR="006425E6">
        <w:rPr>
          <w:lang w:val="en-US"/>
        </w:rPr>
        <w:t xml:space="preserve"> GTS</w:t>
      </w:r>
      <w:r>
        <w:rPr>
          <w:lang w:val="en-US"/>
        </w:rPr>
        <w:t xml:space="preserve"> is responsible for undertaking the balancing actions</w:t>
      </w:r>
      <w:r w:rsidR="00966068">
        <w:rPr>
          <w:lang w:val="en-US"/>
        </w:rPr>
        <w:t xml:space="preserve"> </w:t>
      </w:r>
      <w:r w:rsidR="006302CC">
        <w:rPr>
          <w:lang w:val="en-US"/>
        </w:rPr>
        <w:t xml:space="preserve">following </w:t>
      </w:r>
      <w:r>
        <w:rPr>
          <w:lang w:val="en-US"/>
        </w:rPr>
        <w:t xml:space="preserve">the next </w:t>
      </w:r>
      <w:r w:rsidR="006302CC">
        <w:rPr>
          <w:lang w:val="en-US"/>
        </w:rPr>
        <w:t>merit order:</w:t>
      </w:r>
    </w:p>
    <w:p w:rsidR="006302CC" w:rsidRDefault="006302CC" w:rsidP="00A00BD4">
      <w:pPr>
        <w:pStyle w:val="Prrafodelista"/>
        <w:numPr>
          <w:ilvl w:val="0"/>
          <w:numId w:val="9"/>
        </w:numPr>
        <w:rPr>
          <w:lang w:val="en-US"/>
        </w:rPr>
      </w:pPr>
      <w:r>
        <w:rPr>
          <w:lang w:val="en-US"/>
        </w:rPr>
        <w:t>Within day</w:t>
      </w:r>
      <w:r w:rsidRPr="0078632B">
        <w:rPr>
          <w:lang w:val="en-US"/>
        </w:rPr>
        <w:t xml:space="preserve"> title products</w:t>
      </w:r>
    </w:p>
    <w:p w:rsidR="006302CC" w:rsidRDefault="006302CC" w:rsidP="00A00BD4">
      <w:pPr>
        <w:pStyle w:val="Prrafodelista"/>
        <w:numPr>
          <w:ilvl w:val="0"/>
          <w:numId w:val="9"/>
        </w:numPr>
        <w:rPr>
          <w:lang w:val="en-US"/>
        </w:rPr>
      </w:pPr>
      <w:r>
        <w:rPr>
          <w:lang w:val="en-US"/>
        </w:rPr>
        <w:t>Day ahead title products</w:t>
      </w:r>
    </w:p>
    <w:p w:rsidR="006302CC" w:rsidRDefault="006302CC" w:rsidP="00A00BD4">
      <w:pPr>
        <w:pStyle w:val="Prrafodelista"/>
        <w:numPr>
          <w:ilvl w:val="0"/>
          <w:numId w:val="9"/>
        </w:numPr>
        <w:rPr>
          <w:lang w:val="en-US"/>
        </w:rPr>
      </w:pPr>
      <w:r>
        <w:rPr>
          <w:lang w:val="en-US"/>
        </w:rPr>
        <w:t>Within day l</w:t>
      </w:r>
      <w:r w:rsidRPr="0078632B">
        <w:rPr>
          <w:lang w:val="en-US"/>
        </w:rPr>
        <w:t xml:space="preserve">ocational </w:t>
      </w:r>
      <w:r w:rsidR="006425E6">
        <w:rPr>
          <w:lang w:val="en-US"/>
        </w:rPr>
        <w:t>product</w:t>
      </w:r>
      <w:r w:rsidR="006425E6" w:rsidRPr="0078632B">
        <w:rPr>
          <w:lang w:val="en-US"/>
        </w:rPr>
        <w:t xml:space="preserve"> </w:t>
      </w:r>
    </w:p>
    <w:p w:rsidR="007374B9" w:rsidRDefault="006302CC" w:rsidP="00A00BD4">
      <w:pPr>
        <w:pStyle w:val="Prrafodelista"/>
        <w:numPr>
          <w:ilvl w:val="0"/>
          <w:numId w:val="9"/>
        </w:numPr>
        <w:rPr>
          <w:lang w:val="en-US"/>
        </w:rPr>
      </w:pPr>
      <w:r w:rsidRPr="005512F4">
        <w:rPr>
          <w:lang w:val="en-US"/>
        </w:rPr>
        <w:t xml:space="preserve">Day ahead locational </w:t>
      </w:r>
      <w:r w:rsidR="006425E6">
        <w:rPr>
          <w:lang w:val="en-US"/>
        </w:rPr>
        <w:t>product</w:t>
      </w:r>
      <w:r w:rsidR="005512F4" w:rsidRPr="005512F4">
        <w:rPr>
          <w:lang w:val="en-US"/>
        </w:rPr>
        <w:t xml:space="preserve">. </w:t>
      </w:r>
    </w:p>
    <w:p w:rsidR="006425E6" w:rsidRDefault="006425E6" w:rsidP="00A00BD4">
      <w:pPr>
        <w:pStyle w:val="Prrafodelista"/>
        <w:numPr>
          <w:ilvl w:val="0"/>
          <w:numId w:val="9"/>
        </w:numPr>
        <w:rPr>
          <w:lang w:val="en-US"/>
        </w:rPr>
      </w:pPr>
      <w:r>
        <w:rPr>
          <w:lang w:val="en-US"/>
        </w:rPr>
        <w:t>Balancing services</w:t>
      </w:r>
    </w:p>
    <w:p w:rsidR="00EE490A" w:rsidRPr="007374B9" w:rsidRDefault="00820298" w:rsidP="00DF4C4B">
      <w:pPr>
        <w:ind w:left="360"/>
        <w:rPr>
          <w:lang w:val="en-US"/>
        </w:rPr>
      </w:pPr>
      <w:r w:rsidRPr="007374B9">
        <w:rPr>
          <w:lang w:val="en-US"/>
        </w:rPr>
        <w:t xml:space="preserve">With regard to the locational products, </w:t>
      </w:r>
      <w:r w:rsidR="00751ADF">
        <w:rPr>
          <w:lang w:val="en-US"/>
        </w:rPr>
        <w:t>it</w:t>
      </w:r>
      <w:r w:rsidR="00E13CC1" w:rsidRPr="007374B9">
        <w:rPr>
          <w:lang w:val="en-US"/>
        </w:rPr>
        <w:t xml:space="preserve"> must</w:t>
      </w:r>
      <w:r w:rsidR="00EE490A" w:rsidRPr="007374B9">
        <w:rPr>
          <w:lang w:val="en-US"/>
        </w:rPr>
        <w:t xml:space="preserve"> be </w:t>
      </w:r>
      <w:r w:rsidR="00751ADF">
        <w:rPr>
          <w:lang w:val="en-US"/>
        </w:rPr>
        <w:t>noted</w:t>
      </w:r>
      <w:r w:rsidR="00EE490A" w:rsidRPr="007374B9">
        <w:rPr>
          <w:lang w:val="en-US"/>
        </w:rPr>
        <w:t xml:space="preserve"> that </w:t>
      </w:r>
      <w:r w:rsidR="00751ADF">
        <w:rPr>
          <w:lang w:val="en-US"/>
        </w:rPr>
        <w:t>R</w:t>
      </w:r>
      <w:r w:rsidR="00E13CC1" w:rsidRPr="007374B9">
        <w:rPr>
          <w:lang w:val="en-US"/>
        </w:rPr>
        <w:t xml:space="preserve">egulation (EU) nº312/2014 designs </w:t>
      </w:r>
      <w:r w:rsidR="00EE490A" w:rsidRPr="007374B9">
        <w:rPr>
          <w:lang w:val="en-US"/>
        </w:rPr>
        <w:t>locational products</w:t>
      </w:r>
      <w:r w:rsidR="00E13CC1" w:rsidRPr="007374B9">
        <w:rPr>
          <w:lang w:val="en-US"/>
        </w:rPr>
        <w:t xml:space="preserve"> in order</w:t>
      </w:r>
      <w:r w:rsidR="00EE490A" w:rsidRPr="007374B9">
        <w:rPr>
          <w:lang w:val="en-US"/>
        </w:rPr>
        <w:t xml:space="preserve"> </w:t>
      </w:r>
      <w:r w:rsidR="00E13CC1" w:rsidRPr="007374B9">
        <w:rPr>
          <w:lang w:val="en-US"/>
        </w:rPr>
        <w:t>to allow TSOs to modify the quantity of gas at a specific entry or exit point and</w:t>
      </w:r>
      <w:r w:rsidR="009B3F43">
        <w:rPr>
          <w:lang w:val="en-US"/>
        </w:rPr>
        <w:t xml:space="preserve"> consequently</w:t>
      </w:r>
      <w:r w:rsidR="00E13CC1" w:rsidRPr="007374B9">
        <w:rPr>
          <w:lang w:val="en-US"/>
        </w:rPr>
        <w:t xml:space="preserve">, </w:t>
      </w:r>
      <w:r w:rsidR="009B3F43">
        <w:rPr>
          <w:lang w:val="en-US"/>
        </w:rPr>
        <w:t>it can be used only when</w:t>
      </w:r>
      <w:r w:rsidR="00E13CC1" w:rsidRPr="007374B9">
        <w:rPr>
          <w:lang w:val="en-US"/>
        </w:rPr>
        <w:t xml:space="preserve"> some risk appear</w:t>
      </w:r>
      <w:r w:rsidR="009B3F43">
        <w:rPr>
          <w:lang w:val="en-US"/>
        </w:rPr>
        <w:t>s</w:t>
      </w:r>
      <w:r w:rsidR="00E13CC1" w:rsidRPr="007374B9">
        <w:rPr>
          <w:lang w:val="en-US"/>
        </w:rPr>
        <w:t xml:space="preserve"> at a specific point of the network. </w:t>
      </w:r>
    </w:p>
    <w:p w:rsidR="00820298" w:rsidRDefault="006302CC" w:rsidP="00C64FA9">
      <w:pPr>
        <w:pStyle w:val="Prrafodelista"/>
        <w:rPr>
          <w:lang w:val="en-US"/>
        </w:rPr>
      </w:pPr>
      <w:r w:rsidRPr="00820298">
        <w:rPr>
          <w:lang w:val="en-US"/>
        </w:rPr>
        <w:t>Balancing services (duration no longer than one year)</w:t>
      </w:r>
      <w:r w:rsidR="00EE490A" w:rsidRPr="00820298">
        <w:rPr>
          <w:lang w:val="en-US"/>
        </w:rPr>
        <w:t xml:space="preserve"> are also a possibility considered in the Spanish legislation</w:t>
      </w:r>
      <w:r w:rsidR="00E13CC1" w:rsidRPr="00820298">
        <w:rPr>
          <w:lang w:val="en-US"/>
        </w:rPr>
        <w:t xml:space="preserve"> when the acquisition of STSP</w:t>
      </w:r>
      <w:r w:rsidR="006425E6">
        <w:rPr>
          <w:lang w:val="en-US"/>
        </w:rPr>
        <w:t>s</w:t>
      </w:r>
      <w:r w:rsidR="00E13CC1" w:rsidRPr="00820298">
        <w:rPr>
          <w:lang w:val="en-US"/>
        </w:rPr>
        <w:t xml:space="preserve"> is not possible or they would not solve the </w:t>
      </w:r>
      <w:r w:rsidR="00E13CC1" w:rsidRPr="00D941C6">
        <w:rPr>
          <w:lang w:val="en-US"/>
        </w:rPr>
        <w:t xml:space="preserve">operational </w:t>
      </w:r>
      <w:r w:rsidR="00E13CC1" w:rsidRPr="001A74A0">
        <w:rPr>
          <w:lang w:val="en-US"/>
        </w:rPr>
        <w:t xml:space="preserve">risks of </w:t>
      </w:r>
      <w:r w:rsidR="006425E6">
        <w:rPr>
          <w:lang w:val="en-US"/>
        </w:rPr>
        <w:t xml:space="preserve">the </w:t>
      </w:r>
      <w:r w:rsidR="00E13CC1" w:rsidRPr="001A74A0">
        <w:rPr>
          <w:lang w:val="en-US"/>
        </w:rPr>
        <w:t>network</w:t>
      </w:r>
      <w:r w:rsidRPr="001A74A0">
        <w:rPr>
          <w:lang w:val="en-US"/>
        </w:rPr>
        <w:t xml:space="preserve">. </w:t>
      </w:r>
      <w:r w:rsidR="00F179D2">
        <w:rPr>
          <w:lang w:val="en-US"/>
        </w:rPr>
        <w:t>ENAGÁS GTS</w:t>
      </w:r>
      <w:r w:rsidRPr="001A74A0">
        <w:rPr>
          <w:lang w:val="en-US"/>
        </w:rPr>
        <w:t xml:space="preserve"> will a</w:t>
      </w:r>
      <w:r w:rsidR="00EE490A" w:rsidRPr="001A74A0">
        <w:rPr>
          <w:lang w:val="en-US"/>
        </w:rPr>
        <w:t>c</w:t>
      </w:r>
      <w:r w:rsidRPr="001A74A0">
        <w:rPr>
          <w:lang w:val="en-US"/>
        </w:rPr>
        <w:t xml:space="preserve">quire the balancing services by </w:t>
      </w:r>
      <w:r w:rsidR="002548FF">
        <w:rPr>
          <w:lang w:val="en-US"/>
        </w:rPr>
        <w:t xml:space="preserve">a </w:t>
      </w:r>
      <w:r w:rsidRPr="001A74A0">
        <w:rPr>
          <w:lang w:val="en-US"/>
        </w:rPr>
        <w:t>public tender mechanism</w:t>
      </w:r>
      <w:r w:rsidR="00E13CC1" w:rsidRPr="00820298">
        <w:rPr>
          <w:lang w:val="en-US"/>
        </w:rPr>
        <w:t xml:space="preserve"> and complying with requirements of the regulation 312/2014. Before its acquisition, </w:t>
      </w:r>
      <w:r w:rsidR="00F179D2">
        <w:rPr>
          <w:lang w:val="en-US"/>
        </w:rPr>
        <w:t>ENAGÁS GTS</w:t>
      </w:r>
      <w:r w:rsidR="00E13CC1" w:rsidRPr="00820298">
        <w:rPr>
          <w:lang w:val="en-US"/>
        </w:rPr>
        <w:t xml:space="preserve"> must duly justify its necessity to</w:t>
      </w:r>
      <w:r w:rsidR="00B2621D">
        <w:rPr>
          <w:lang w:val="en-US"/>
        </w:rPr>
        <w:t xml:space="preserve"> both</w:t>
      </w:r>
      <w:r w:rsidR="00E13CC1" w:rsidRPr="00820298">
        <w:rPr>
          <w:lang w:val="en-US"/>
        </w:rPr>
        <w:t xml:space="preserve"> the Ministry and CNMC. CNMC is </w:t>
      </w:r>
      <w:r w:rsidR="00B970CD" w:rsidRPr="00820298">
        <w:rPr>
          <w:lang w:val="en-US"/>
        </w:rPr>
        <w:t>empowered to approve</w:t>
      </w:r>
      <w:r w:rsidR="00E13CC1" w:rsidRPr="00820298">
        <w:rPr>
          <w:lang w:val="en-US"/>
        </w:rPr>
        <w:t xml:space="preserve"> the conditions of the public </w:t>
      </w:r>
      <w:r w:rsidR="00B970CD" w:rsidRPr="00820298">
        <w:rPr>
          <w:lang w:val="en-US"/>
        </w:rPr>
        <w:t>tender.</w:t>
      </w:r>
    </w:p>
    <w:p w:rsidR="0057782E" w:rsidRPr="00422182" w:rsidRDefault="0057782E" w:rsidP="00735B38">
      <w:pPr>
        <w:rPr>
          <w:u w:val="single"/>
          <w:lang w:val="en-US"/>
        </w:rPr>
      </w:pPr>
      <w:r w:rsidRPr="00422182">
        <w:rPr>
          <w:u w:val="single"/>
          <w:lang w:val="en-US"/>
        </w:rPr>
        <w:t>France</w:t>
      </w:r>
    </w:p>
    <w:p w:rsidR="00F143C4" w:rsidRPr="00972CC7" w:rsidRDefault="006A355C" w:rsidP="00F143C4">
      <w:pPr>
        <w:rPr>
          <w:lang w:val="en-US"/>
        </w:rPr>
      </w:pPr>
      <w:r>
        <w:rPr>
          <w:lang w:val="en-US"/>
        </w:rPr>
        <w:t xml:space="preserve">With regard to the timing to make balancing actions, </w:t>
      </w:r>
      <w:r w:rsidR="00F143C4" w:rsidRPr="00F143C4">
        <w:rPr>
          <w:lang w:val="en-US"/>
        </w:rPr>
        <w:t>GRT</w:t>
      </w:r>
      <w:r w:rsidR="00002B33">
        <w:rPr>
          <w:lang w:val="en-US"/>
        </w:rPr>
        <w:t>g</w:t>
      </w:r>
      <w:r w:rsidR="00F143C4" w:rsidRPr="00F143C4">
        <w:rPr>
          <w:lang w:val="en-US"/>
        </w:rPr>
        <w:t>az has</w:t>
      </w:r>
      <w:r>
        <w:rPr>
          <w:lang w:val="en-US"/>
        </w:rPr>
        <w:t xml:space="preserve"> currently</w:t>
      </w:r>
      <w:r w:rsidR="00F143C4" w:rsidRPr="00F143C4">
        <w:rPr>
          <w:lang w:val="en-US"/>
        </w:rPr>
        <w:t xml:space="preserve"> 4 trading windows (10.25 am, 15.25 pm, 17.25 pm, 23.25 pm) and </w:t>
      </w:r>
      <w:r w:rsidR="00F143C4">
        <w:rPr>
          <w:lang w:val="en-US"/>
        </w:rPr>
        <w:t>is allowed</w:t>
      </w:r>
      <w:r w:rsidR="00F143C4" w:rsidRPr="00F143C4">
        <w:rPr>
          <w:lang w:val="en-US"/>
        </w:rPr>
        <w:t xml:space="preserve"> to trade outside these times to optimi</w:t>
      </w:r>
      <w:r>
        <w:rPr>
          <w:lang w:val="en-US"/>
        </w:rPr>
        <w:t>z</w:t>
      </w:r>
      <w:r w:rsidR="00F143C4" w:rsidRPr="00F143C4">
        <w:rPr>
          <w:lang w:val="en-US"/>
        </w:rPr>
        <w:t>e the outcomes of its interventions. GRTgaz’s trading</w:t>
      </w:r>
      <w:r w:rsidR="00F143C4">
        <w:rPr>
          <w:lang w:val="en-US"/>
        </w:rPr>
        <w:t xml:space="preserve"> operations are carried out</w:t>
      </w:r>
      <w:r w:rsidR="00F143C4" w:rsidRPr="00F143C4">
        <w:rPr>
          <w:lang w:val="en-US"/>
        </w:rPr>
        <w:t xml:space="preserve"> by an automated system managed by the </w:t>
      </w:r>
      <w:r w:rsidR="00F143C4">
        <w:rPr>
          <w:lang w:val="en-US"/>
        </w:rPr>
        <w:t>gas exchange</w:t>
      </w:r>
      <w:r w:rsidR="00F143C4" w:rsidRPr="00F143C4">
        <w:rPr>
          <w:lang w:val="en-US"/>
        </w:rPr>
        <w:t xml:space="preserve"> operator, Powernext.</w:t>
      </w:r>
      <w:r w:rsidR="00F143C4">
        <w:rPr>
          <w:lang w:val="en-US"/>
        </w:rPr>
        <w:t xml:space="preserve"> </w:t>
      </w:r>
      <w:r w:rsidR="00F143C4" w:rsidRPr="00F143C4">
        <w:rPr>
          <w:lang w:val="en-US"/>
        </w:rPr>
        <w:t xml:space="preserve">TIGF uses the same automated system to trade exclusively in the 5.25 pm window every day, including non-working days. Although the TSOs can both purchase or sell </w:t>
      </w:r>
      <w:r w:rsidR="006425E6">
        <w:rPr>
          <w:lang w:val="en-US"/>
        </w:rPr>
        <w:t xml:space="preserve">in the </w:t>
      </w:r>
      <w:r w:rsidR="00F143C4" w:rsidRPr="00F143C4">
        <w:rPr>
          <w:lang w:val="en-US"/>
        </w:rPr>
        <w:t>imbalance</w:t>
      </w:r>
      <w:r w:rsidR="006425E6">
        <w:rPr>
          <w:lang w:val="en-US"/>
        </w:rPr>
        <w:t>d</w:t>
      </w:r>
      <w:r w:rsidR="00F143C4" w:rsidRPr="00F143C4">
        <w:rPr>
          <w:lang w:val="en-US"/>
        </w:rPr>
        <w:t xml:space="preserve"> days simultaneously, the way imbalances are allocated between the two balancing zones makes it impossible for a TSO to sell </w:t>
      </w:r>
      <w:r w:rsidR="00F143C4">
        <w:rPr>
          <w:lang w:val="en-US"/>
        </w:rPr>
        <w:t>when</w:t>
      </w:r>
      <w:r w:rsidR="00F143C4" w:rsidRPr="00F143C4">
        <w:rPr>
          <w:lang w:val="en-US"/>
        </w:rPr>
        <w:t xml:space="preserve"> the other buys. </w:t>
      </w:r>
    </w:p>
    <w:p w:rsidR="00F143C4" w:rsidRDefault="00F143C4" w:rsidP="00F143C4">
      <w:pPr>
        <w:rPr>
          <w:lang w:val="en-US"/>
        </w:rPr>
      </w:pPr>
      <w:r>
        <w:rPr>
          <w:lang w:val="en-US"/>
        </w:rPr>
        <w:t>T</w:t>
      </w:r>
      <w:r w:rsidRPr="00F143C4">
        <w:rPr>
          <w:lang w:val="en-US"/>
        </w:rPr>
        <w:t xml:space="preserve">o </w:t>
      </w:r>
      <w:r>
        <w:rPr>
          <w:lang w:val="en-US"/>
        </w:rPr>
        <w:t xml:space="preserve">better </w:t>
      </w:r>
      <w:r w:rsidRPr="00F143C4">
        <w:rPr>
          <w:lang w:val="en-US"/>
        </w:rPr>
        <w:t xml:space="preserve">reflect tensions in the network, CRE </w:t>
      </w:r>
      <w:r>
        <w:rPr>
          <w:lang w:val="en-US"/>
        </w:rPr>
        <w:t>intends to</w:t>
      </w:r>
      <w:r w:rsidRPr="00F143C4">
        <w:rPr>
          <w:lang w:val="en-US"/>
        </w:rPr>
        <w:t xml:space="preserve"> amend the automated buying and selling parameters, which are currently restricted to avoid excessively high purchasing and low selling prices. Although a limit should be maintained, CRE wants this to be more flexible to enable TSOs to meet their needs in critical imbalance</w:t>
      </w:r>
      <w:r w:rsidR="00486A84">
        <w:rPr>
          <w:lang w:val="en-US"/>
        </w:rPr>
        <w:t>d</w:t>
      </w:r>
      <w:r w:rsidRPr="00F143C4">
        <w:rPr>
          <w:lang w:val="en-US"/>
        </w:rPr>
        <w:t xml:space="preserve"> situations. Sufficient liquidity and improved trading methods </w:t>
      </w:r>
      <w:r>
        <w:rPr>
          <w:lang w:val="en-US"/>
        </w:rPr>
        <w:t>allow relaxing</w:t>
      </w:r>
      <w:r w:rsidRPr="00F143C4">
        <w:rPr>
          <w:lang w:val="en-US"/>
        </w:rPr>
        <w:t xml:space="preserve"> price constraints </w:t>
      </w:r>
      <w:r>
        <w:rPr>
          <w:lang w:val="en-US"/>
        </w:rPr>
        <w:t xml:space="preserve">with a limited risk </w:t>
      </w:r>
      <w:r w:rsidRPr="00F143C4">
        <w:rPr>
          <w:lang w:val="en-US"/>
        </w:rPr>
        <w:t xml:space="preserve">of manipulation or errors. </w:t>
      </w:r>
    </w:p>
    <w:p w:rsidR="00F143C4" w:rsidRPr="00F143C4" w:rsidRDefault="0059796F" w:rsidP="00F143C4">
      <w:pPr>
        <w:rPr>
          <w:lang w:val="en-US"/>
        </w:rPr>
      </w:pPr>
      <w:r>
        <w:rPr>
          <w:lang w:val="en-US"/>
        </w:rPr>
        <w:t>With regard to the products</w:t>
      </w:r>
      <w:r w:rsidR="005D42B1">
        <w:rPr>
          <w:lang w:val="en-US"/>
        </w:rPr>
        <w:t xml:space="preserve"> in</w:t>
      </w:r>
      <w:r>
        <w:rPr>
          <w:lang w:val="en-US"/>
        </w:rPr>
        <w:t xml:space="preserve"> use for balancing purposes, it is remarkable that </w:t>
      </w:r>
      <w:r w:rsidR="00F143C4" w:rsidRPr="00F143C4">
        <w:rPr>
          <w:lang w:val="en-US"/>
        </w:rPr>
        <w:t>GRTgaz</w:t>
      </w:r>
      <w:r w:rsidR="00725443">
        <w:rPr>
          <w:lang w:val="en-US"/>
        </w:rPr>
        <w:t xml:space="preserve"> and TIGF are allowed to use </w:t>
      </w:r>
      <w:r w:rsidR="00F143C4" w:rsidRPr="00F143C4">
        <w:rPr>
          <w:lang w:val="en-US"/>
        </w:rPr>
        <w:t xml:space="preserve">locational products to balance </w:t>
      </w:r>
      <w:r w:rsidR="00725443">
        <w:rPr>
          <w:lang w:val="en-US"/>
        </w:rPr>
        <w:t>their</w:t>
      </w:r>
      <w:r w:rsidR="00F143C4" w:rsidRPr="00F143C4">
        <w:rPr>
          <w:lang w:val="en-US"/>
        </w:rPr>
        <w:t xml:space="preserve"> network </w:t>
      </w:r>
      <w:r w:rsidR="00725443">
        <w:rPr>
          <w:lang w:val="en-US"/>
        </w:rPr>
        <w:t>if</w:t>
      </w:r>
      <w:r w:rsidR="00F143C4" w:rsidRPr="00F143C4">
        <w:rPr>
          <w:lang w:val="en-US"/>
        </w:rPr>
        <w:t xml:space="preserve"> </w:t>
      </w:r>
      <w:r w:rsidR="007B529D" w:rsidRPr="00C64FA9">
        <w:rPr>
          <w:lang w:val="en-US"/>
        </w:rPr>
        <w:t xml:space="preserve">title </w:t>
      </w:r>
      <w:r w:rsidR="00F143C4" w:rsidRPr="00C64FA9">
        <w:rPr>
          <w:lang w:val="en-US"/>
        </w:rPr>
        <w:t>products</w:t>
      </w:r>
      <w:r w:rsidR="00F143C4" w:rsidRPr="00F143C4">
        <w:rPr>
          <w:lang w:val="en-US"/>
        </w:rPr>
        <w:t xml:space="preserve"> </w:t>
      </w:r>
      <w:r w:rsidR="00725443">
        <w:rPr>
          <w:lang w:val="en-US"/>
        </w:rPr>
        <w:t>are not enough for fulfilling TSOs</w:t>
      </w:r>
      <w:r w:rsidR="00486A84">
        <w:rPr>
          <w:lang w:val="en-US"/>
        </w:rPr>
        <w:t>’</w:t>
      </w:r>
      <w:r w:rsidR="00725443">
        <w:rPr>
          <w:lang w:val="en-US"/>
        </w:rPr>
        <w:t xml:space="preserve"> </w:t>
      </w:r>
      <w:r w:rsidR="00F143C4" w:rsidRPr="00F143C4">
        <w:rPr>
          <w:lang w:val="en-US"/>
        </w:rPr>
        <w:t xml:space="preserve">needs. Since then, the TSOs have used these products </w:t>
      </w:r>
      <w:r w:rsidR="00725443">
        <w:rPr>
          <w:lang w:val="en-US"/>
        </w:rPr>
        <w:t>several times</w:t>
      </w:r>
      <w:r w:rsidR="00F143C4" w:rsidRPr="00F143C4">
        <w:rPr>
          <w:lang w:val="en-US"/>
        </w:rPr>
        <w:t xml:space="preserve">, during winters 2015-2016 and 2016-2017, and in September 2017. </w:t>
      </w:r>
      <w:r w:rsidR="004C6EC8">
        <w:rPr>
          <w:lang w:val="en-US"/>
        </w:rPr>
        <w:t xml:space="preserve">Sixteen </w:t>
      </w:r>
      <w:r w:rsidR="00F143C4" w:rsidRPr="00F143C4">
        <w:rPr>
          <w:lang w:val="en-US"/>
        </w:rPr>
        <w:t xml:space="preserve">suppliers are </w:t>
      </w:r>
      <w:r w:rsidR="00725443">
        <w:rPr>
          <w:lang w:val="en-US"/>
        </w:rPr>
        <w:t>allowed</w:t>
      </w:r>
      <w:r w:rsidR="00F143C4" w:rsidRPr="00F143C4">
        <w:rPr>
          <w:lang w:val="en-US"/>
        </w:rPr>
        <w:t xml:space="preserve"> to take part in calls for tenders and several have in fact submitted bids for the aforementioned tenders. </w:t>
      </w:r>
      <w:r w:rsidR="00725443">
        <w:rPr>
          <w:lang w:val="en-US"/>
        </w:rPr>
        <w:t>While bids were</w:t>
      </w:r>
      <w:r w:rsidR="00F143C4" w:rsidRPr="00F143C4">
        <w:rPr>
          <w:lang w:val="en-US"/>
        </w:rPr>
        <w:t xml:space="preserve"> consistent with market prices</w:t>
      </w:r>
      <w:r w:rsidR="00725443">
        <w:rPr>
          <w:lang w:val="en-US"/>
        </w:rPr>
        <w:t>, this mechanism effectively</w:t>
      </w:r>
      <w:r w:rsidR="00F143C4" w:rsidRPr="00F143C4">
        <w:rPr>
          <w:lang w:val="en-US"/>
        </w:rPr>
        <w:t xml:space="preserve"> helped to resolve imbalances. </w:t>
      </w:r>
    </w:p>
    <w:p w:rsidR="00F143C4" w:rsidRDefault="00725443" w:rsidP="00F143C4">
      <w:pPr>
        <w:rPr>
          <w:lang w:val="en-US"/>
        </w:rPr>
      </w:pPr>
      <w:r>
        <w:rPr>
          <w:lang w:val="en-US"/>
        </w:rPr>
        <w:t>If</w:t>
      </w:r>
      <w:r w:rsidR="00F143C4" w:rsidRPr="00F143C4">
        <w:rPr>
          <w:lang w:val="en-US"/>
        </w:rPr>
        <w:t xml:space="preserve"> TSOs </w:t>
      </w:r>
      <w:r>
        <w:rPr>
          <w:lang w:val="en-US"/>
        </w:rPr>
        <w:t>were to</w:t>
      </w:r>
      <w:r w:rsidR="00F143C4" w:rsidRPr="00F143C4">
        <w:rPr>
          <w:lang w:val="en-US"/>
        </w:rPr>
        <w:t xml:space="preserve"> request</w:t>
      </w:r>
      <w:r>
        <w:rPr>
          <w:lang w:val="en-US"/>
        </w:rPr>
        <w:t xml:space="preserve"> </w:t>
      </w:r>
      <w:r w:rsidR="00F143C4" w:rsidRPr="00F143C4">
        <w:rPr>
          <w:lang w:val="en-US"/>
        </w:rPr>
        <w:t>locational products</w:t>
      </w:r>
      <w:r w:rsidRPr="00725443">
        <w:rPr>
          <w:lang w:val="en-US"/>
        </w:rPr>
        <w:t xml:space="preserve"> </w:t>
      </w:r>
      <w:r>
        <w:rPr>
          <w:lang w:val="en-US"/>
        </w:rPr>
        <w:t>more often</w:t>
      </w:r>
      <w:r w:rsidR="00F143C4" w:rsidRPr="00F143C4">
        <w:rPr>
          <w:lang w:val="en-US"/>
        </w:rPr>
        <w:t xml:space="preserve">, CRE considers that trade prices </w:t>
      </w:r>
      <w:r>
        <w:rPr>
          <w:lang w:val="en-US"/>
        </w:rPr>
        <w:t>would have to</w:t>
      </w:r>
      <w:r w:rsidR="00F143C4" w:rsidRPr="00F143C4">
        <w:rPr>
          <w:lang w:val="en-US"/>
        </w:rPr>
        <w:t xml:space="preserve"> be included in imbalance settlement prices on the days when the TSOs buy and sell locational products for balancing needs. This inclusion </w:t>
      </w:r>
      <w:r>
        <w:rPr>
          <w:lang w:val="en-US"/>
        </w:rPr>
        <w:t>would</w:t>
      </w:r>
      <w:r w:rsidR="00F143C4" w:rsidRPr="00F143C4">
        <w:rPr>
          <w:lang w:val="en-US"/>
        </w:rPr>
        <w:t xml:space="preserve"> foster the emergence of a clear </w:t>
      </w:r>
      <w:r w:rsidRPr="00F143C4">
        <w:rPr>
          <w:lang w:val="en-US"/>
        </w:rPr>
        <w:t xml:space="preserve">price </w:t>
      </w:r>
      <w:r w:rsidR="00F143C4" w:rsidRPr="00F143C4">
        <w:rPr>
          <w:lang w:val="en-US"/>
        </w:rPr>
        <w:t>signal when the network is under significant strain.</w:t>
      </w:r>
      <w:r>
        <w:rPr>
          <w:lang w:val="en-US"/>
        </w:rPr>
        <w:t xml:space="preserve"> </w:t>
      </w:r>
    </w:p>
    <w:p w:rsidR="0059796F" w:rsidRPr="001E24AD" w:rsidRDefault="0059796F" w:rsidP="0059796F">
      <w:pPr>
        <w:rPr>
          <w:color w:val="000000" w:themeColor="text1"/>
          <w:lang w:val="en-US"/>
        </w:rPr>
      </w:pPr>
      <w:r>
        <w:rPr>
          <w:lang w:val="en-US"/>
        </w:rPr>
        <w:t xml:space="preserve">Hereafter, it is explained in more detail the functioning of the balancing system in </w:t>
      </w:r>
      <w:r w:rsidR="00AA3BA2">
        <w:rPr>
          <w:lang w:val="en-US"/>
        </w:rPr>
        <w:t xml:space="preserve">each </w:t>
      </w:r>
      <w:r w:rsidRPr="001E24AD">
        <w:rPr>
          <w:color w:val="000000" w:themeColor="text1"/>
          <w:lang w:val="en-US"/>
        </w:rPr>
        <w:t>balancing zones.</w:t>
      </w:r>
    </w:p>
    <w:p w:rsidR="00E86502" w:rsidRPr="001E24AD" w:rsidRDefault="00E86502" w:rsidP="009C4AAC">
      <w:pPr>
        <w:pStyle w:val="Prrafodelista"/>
        <w:numPr>
          <w:ilvl w:val="0"/>
          <w:numId w:val="25"/>
        </w:numPr>
        <w:rPr>
          <w:color w:val="000000" w:themeColor="text1"/>
          <w:lang w:val="en-US"/>
        </w:rPr>
      </w:pPr>
      <w:r w:rsidRPr="001E24AD">
        <w:rPr>
          <w:color w:val="000000" w:themeColor="text1"/>
          <w:lang w:val="en-US"/>
        </w:rPr>
        <w:t>TIGF:</w:t>
      </w:r>
    </w:p>
    <w:p w:rsidR="00E86502" w:rsidRPr="001E24AD" w:rsidRDefault="00E86502" w:rsidP="00E86502">
      <w:pPr>
        <w:rPr>
          <w:color w:val="000000" w:themeColor="text1"/>
        </w:rPr>
      </w:pPr>
      <w:r w:rsidRPr="001E24AD">
        <w:rPr>
          <w:color w:val="000000" w:themeColor="text1"/>
        </w:rPr>
        <w:t>As part of its balancing system, TIGF sells and buys quantities of gas </w:t>
      </w:r>
      <w:r w:rsidRPr="001E24AD">
        <w:rPr>
          <w:color w:val="000000" w:themeColor="text1"/>
          <w:lang w:val="en-AU"/>
        </w:rPr>
        <w:t>via Powernext’s PEGAS platform.</w:t>
      </w:r>
      <w:r w:rsidR="00486A84">
        <w:rPr>
          <w:color w:val="000000" w:themeColor="text1"/>
        </w:rPr>
        <w:t xml:space="preserve"> </w:t>
      </w:r>
      <w:r w:rsidRPr="001E24AD">
        <w:rPr>
          <w:color w:val="000000" w:themeColor="text1"/>
          <w:lang w:val="en-GB"/>
        </w:rPr>
        <w:t>From the 1</w:t>
      </w:r>
      <w:r w:rsidRPr="00C64FA9">
        <w:rPr>
          <w:color w:val="000000" w:themeColor="text1"/>
          <w:vertAlign w:val="superscript"/>
          <w:lang w:val="en-GB"/>
        </w:rPr>
        <w:t>st</w:t>
      </w:r>
      <w:r w:rsidRPr="001E24AD">
        <w:rPr>
          <w:color w:val="000000" w:themeColor="text1"/>
          <w:lang w:val="en-GB"/>
        </w:rPr>
        <w:t xml:space="preserve"> of </w:t>
      </w:r>
      <w:r w:rsidR="001E24AD" w:rsidRPr="001E24AD">
        <w:rPr>
          <w:color w:val="000000" w:themeColor="text1"/>
          <w:lang w:val="en-GB"/>
        </w:rPr>
        <w:t>October</w:t>
      </w:r>
      <w:r w:rsidRPr="001E24AD">
        <w:rPr>
          <w:color w:val="000000" w:themeColor="text1"/>
          <w:lang w:val="en-GB"/>
        </w:rPr>
        <w:t xml:space="preserve"> 2017, transactions are done by a robot in accordance with the intervention arrangements notified to the CRE and presented to </w:t>
      </w:r>
      <w:r w:rsidR="00486A84">
        <w:rPr>
          <w:color w:val="000000" w:themeColor="text1"/>
          <w:lang w:val="en-GB"/>
        </w:rPr>
        <w:t xml:space="preserve">the </w:t>
      </w:r>
      <w:r w:rsidRPr="001E24AD">
        <w:rPr>
          <w:color w:val="000000" w:themeColor="text1"/>
          <w:lang w:val="en-GB"/>
        </w:rPr>
        <w:t>Concertation Gaz</w:t>
      </w:r>
      <w:r w:rsidR="00486A84">
        <w:rPr>
          <w:color w:val="000000" w:themeColor="text1"/>
          <w:lang w:val="en-GB"/>
        </w:rPr>
        <w:t xml:space="preserve"> group</w:t>
      </w:r>
      <w:r w:rsidRPr="001E24AD">
        <w:rPr>
          <w:color w:val="000000" w:themeColor="text1"/>
          <w:lang w:val="en-GB"/>
        </w:rPr>
        <w:t>.</w:t>
      </w:r>
      <w:r w:rsidR="00486A84">
        <w:rPr>
          <w:color w:val="000000" w:themeColor="text1"/>
        </w:rPr>
        <w:t xml:space="preserve"> </w:t>
      </w:r>
      <w:r w:rsidRPr="001E24AD">
        <w:rPr>
          <w:color w:val="000000" w:themeColor="text1"/>
        </w:rPr>
        <w:t xml:space="preserve">The price of those transactions is then used as the basis for the settlement of </w:t>
      </w:r>
      <w:r w:rsidR="00486A84">
        <w:rPr>
          <w:color w:val="000000" w:themeColor="text1"/>
        </w:rPr>
        <w:t>users</w:t>
      </w:r>
      <w:r w:rsidRPr="001E24AD">
        <w:rPr>
          <w:color w:val="000000" w:themeColor="text1"/>
        </w:rPr>
        <w:t>’ imbalances.</w:t>
      </w:r>
    </w:p>
    <w:p w:rsidR="00E86502" w:rsidRPr="001E24AD" w:rsidRDefault="00E86502" w:rsidP="00E86502">
      <w:pPr>
        <w:rPr>
          <w:color w:val="000000" w:themeColor="text1"/>
        </w:rPr>
      </w:pPr>
      <w:r w:rsidRPr="001E24AD">
        <w:rPr>
          <w:color w:val="000000" w:themeColor="text1"/>
        </w:rPr>
        <w:t>TIGF has set up a balancing statement, recording what it spends and earns under aforementioned transactions and the balancing rules of the transmission contract. Since 1</w:t>
      </w:r>
      <w:r w:rsidRPr="00C64FA9">
        <w:rPr>
          <w:color w:val="000000" w:themeColor="text1"/>
          <w:vertAlign w:val="superscript"/>
        </w:rPr>
        <w:t>st</w:t>
      </w:r>
      <w:r w:rsidRPr="001E24AD">
        <w:rPr>
          <w:color w:val="000000" w:themeColor="text1"/>
        </w:rPr>
        <w:t xml:space="preserve"> of october 2015, the balance is allocated to</w:t>
      </w:r>
      <w:r w:rsidR="00486A84">
        <w:rPr>
          <w:color w:val="000000" w:themeColor="text1"/>
        </w:rPr>
        <w:t xml:space="preserve"> </w:t>
      </w:r>
      <w:r w:rsidR="001B28B9" w:rsidRPr="001E24AD">
        <w:rPr>
          <w:color w:val="000000" w:themeColor="text1"/>
        </w:rPr>
        <w:t>s</w:t>
      </w:r>
      <w:r w:rsidRPr="001E24AD">
        <w:rPr>
          <w:color w:val="000000" w:themeColor="text1"/>
        </w:rPr>
        <w:t>hippers</w:t>
      </w:r>
      <w:r w:rsidR="00486A84">
        <w:rPr>
          <w:color w:val="000000" w:themeColor="text1"/>
        </w:rPr>
        <w:t xml:space="preserve"> </w:t>
      </w:r>
      <w:r w:rsidRPr="001E24AD">
        <w:rPr>
          <w:color w:val="000000" w:themeColor="text1"/>
        </w:rPr>
        <w:t>as a proportion of the quantities delivered, according to the Deliberation of the French Energy Regulatory Commission of 15 January 2015 approving the balancing rules. This balancing statement is published each month.</w:t>
      </w:r>
    </w:p>
    <w:p w:rsidR="00E86502" w:rsidRPr="001E24AD" w:rsidRDefault="00E86502" w:rsidP="00E86502">
      <w:pPr>
        <w:rPr>
          <w:color w:val="000000" w:themeColor="text1"/>
        </w:rPr>
      </w:pPr>
      <w:r w:rsidRPr="001E24AD">
        <w:rPr>
          <w:color w:val="000000" w:themeColor="text1"/>
        </w:rPr>
        <w:t>TIGF publishes on DATAGAS the indicator of forecasted Linepack (forecasted SEC) (link below). This indicator is updated on an hourly basis.</w:t>
      </w:r>
    </w:p>
    <w:p w:rsidR="00E86502" w:rsidRPr="001E24AD" w:rsidRDefault="007D2C40" w:rsidP="00E86502">
      <w:pPr>
        <w:rPr>
          <w:color w:val="000000" w:themeColor="text1"/>
        </w:rPr>
      </w:pPr>
      <w:hyperlink r:id="rId12" w:history="1">
        <w:r w:rsidR="00E86502" w:rsidRPr="001E24AD">
          <w:rPr>
            <w:rStyle w:val="Hipervnculo"/>
            <w:color w:val="000000" w:themeColor="text1"/>
          </w:rPr>
          <w:t>https://tetra.tigf.fr/SBT/public/StockGazConduite.do?action=listePrev</w:t>
        </w:r>
      </w:hyperlink>
    </w:p>
    <w:p w:rsidR="00E86502" w:rsidRPr="001E24AD" w:rsidRDefault="00E86502" w:rsidP="00E86502">
      <w:pPr>
        <w:rPr>
          <w:color w:val="000000" w:themeColor="text1"/>
        </w:rPr>
      </w:pPr>
      <w:r w:rsidRPr="001E24AD">
        <w:rPr>
          <w:color w:val="000000" w:themeColor="text1"/>
        </w:rPr>
        <w:t>TIGF intervenes from 5.25 pm to 6.05 pm on PEGAS platform at TRS market place, based on the last level of forecasted SEC.</w:t>
      </w:r>
    </w:p>
    <w:p w:rsidR="00E86502" w:rsidRPr="001E24AD" w:rsidRDefault="00E86502" w:rsidP="00E86502">
      <w:pPr>
        <w:rPr>
          <w:color w:val="000000" w:themeColor="text1"/>
        </w:rPr>
      </w:pPr>
      <w:r w:rsidRPr="001E24AD">
        <w:rPr>
          <w:color w:val="000000" w:themeColor="text1"/>
        </w:rPr>
        <w:t>The level of forecasted SEC is compared to the thresholds of linepack which have been calculated on the basis of the value of measured linepack at 6</w:t>
      </w:r>
      <w:r w:rsidR="00F00860">
        <w:rPr>
          <w:color w:val="000000" w:themeColor="text1"/>
        </w:rPr>
        <w:t xml:space="preserve"> </w:t>
      </w:r>
      <w:r w:rsidRPr="001E24AD">
        <w:rPr>
          <w:color w:val="000000" w:themeColor="text1"/>
        </w:rPr>
        <w:t>am (SEC 6h).</w:t>
      </w:r>
    </w:p>
    <w:p w:rsidR="00E86502" w:rsidRPr="001E24AD" w:rsidRDefault="00E86502" w:rsidP="00E86502">
      <w:pPr>
        <w:rPr>
          <w:color w:val="000000" w:themeColor="text1"/>
        </w:rPr>
      </w:pPr>
      <w:r w:rsidRPr="001E24AD">
        <w:rPr>
          <w:color w:val="000000" w:themeColor="text1"/>
        </w:rPr>
        <w:t>TIGF has defined four areas</w:t>
      </w:r>
      <w:r w:rsidR="007B529D">
        <w:rPr>
          <w:color w:val="000000" w:themeColor="text1"/>
        </w:rPr>
        <w:t xml:space="preserve"> which can be consulted in the following figure</w:t>
      </w:r>
      <w:r w:rsidRPr="001E24AD">
        <w:rPr>
          <w:color w:val="000000" w:themeColor="text1"/>
        </w:rPr>
        <w:t>:</w:t>
      </w:r>
    </w:p>
    <w:p w:rsidR="00E86502" w:rsidRPr="00E86502" w:rsidRDefault="00E86502" w:rsidP="00E86502">
      <w:pPr>
        <w:rPr>
          <w:color w:val="FF0000"/>
        </w:rPr>
      </w:pPr>
      <w:r w:rsidRPr="00E86502">
        <w:rPr>
          <w:noProof/>
          <w:color w:val="FF0000"/>
          <w:lang w:val="es-ES" w:eastAsia="es-ES"/>
        </w:rPr>
        <w:drawing>
          <wp:inline distT="0" distB="0" distL="0" distR="0" wp14:anchorId="2FDCD7DA" wp14:editId="4651850F">
            <wp:extent cx="5760720" cy="1649095"/>
            <wp:effectExtent l="0" t="0" r="0" b="8255"/>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649095"/>
                    </a:xfrm>
                    <a:prstGeom prst="rect">
                      <a:avLst/>
                    </a:prstGeom>
                  </pic:spPr>
                </pic:pic>
              </a:graphicData>
            </a:graphic>
          </wp:inline>
        </w:drawing>
      </w:r>
    </w:p>
    <w:p w:rsidR="00F00860" w:rsidRDefault="00F00860" w:rsidP="00E86502">
      <w:pPr>
        <w:rPr>
          <w:color w:val="000000" w:themeColor="text1"/>
        </w:rPr>
      </w:pPr>
      <w:r w:rsidRPr="00D060A5">
        <w:rPr>
          <w:lang w:val="en-US"/>
        </w:rPr>
        <w:t xml:space="preserve">Figure 4. SEC areas of </w:t>
      </w:r>
      <w:r w:rsidR="00FA5A87">
        <w:rPr>
          <w:color w:val="000000" w:themeColor="text1"/>
          <w:lang w:val="en-US"/>
        </w:rPr>
        <w:t>TIGF</w:t>
      </w:r>
    </w:p>
    <w:p w:rsidR="00E86502" w:rsidRPr="001E24AD" w:rsidRDefault="00E86502" w:rsidP="00E86502">
      <w:pPr>
        <w:rPr>
          <w:color w:val="000000" w:themeColor="text1"/>
        </w:rPr>
      </w:pPr>
      <w:r w:rsidRPr="001E24AD">
        <w:rPr>
          <w:color w:val="000000" w:themeColor="text1"/>
        </w:rPr>
        <w:t>The quantities for which TIGF intervenes depend on the area on which the level of forecasted SEC is positioned.</w:t>
      </w:r>
    </w:p>
    <w:p w:rsidR="00E86502" w:rsidRPr="001E24AD" w:rsidRDefault="00E86502" w:rsidP="00E86502">
      <w:pPr>
        <w:rPr>
          <w:color w:val="000000" w:themeColor="text1"/>
        </w:rPr>
      </w:pPr>
      <w:r w:rsidRPr="001E24AD">
        <w:rPr>
          <w:color w:val="000000" w:themeColor="text1"/>
        </w:rPr>
        <w:t>The utilisation of a robot allows TIGF to intervene 365 days per year. The evolution of the interventions set up is coordinated with Powernext and validated by CRE. On one given gas day D, the eligibility of the transport balancing service (SET, Service Equilibrage Transport or Transport Balancing Service) is now entirely depending on the interventions of TIGF. On week-ends and bank holidays, the eligibility of the SET does not depend anymore only on the level of forecasted SEC.</w:t>
      </w:r>
    </w:p>
    <w:p w:rsidR="00E86502" w:rsidRPr="001E24AD" w:rsidRDefault="00E86502" w:rsidP="00E63E37">
      <w:pPr>
        <w:pStyle w:val="Prrafodelista"/>
        <w:numPr>
          <w:ilvl w:val="0"/>
          <w:numId w:val="25"/>
        </w:numPr>
        <w:rPr>
          <w:color w:val="000000" w:themeColor="text1"/>
          <w:lang w:val="en-US"/>
        </w:rPr>
      </w:pPr>
      <w:r w:rsidRPr="001E24AD">
        <w:rPr>
          <w:color w:val="000000" w:themeColor="text1"/>
          <w:lang w:val="en-US"/>
        </w:rPr>
        <w:t>GRTgaz:</w:t>
      </w:r>
    </w:p>
    <w:p w:rsidR="00E86502" w:rsidRPr="001E24AD" w:rsidRDefault="00E86502" w:rsidP="00E86502">
      <w:pPr>
        <w:rPr>
          <w:color w:val="000000" w:themeColor="text1"/>
          <w:lang w:val="en-US"/>
        </w:rPr>
      </w:pPr>
      <w:r w:rsidRPr="001E24AD">
        <w:rPr>
          <w:color w:val="000000" w:themeColor="text1"/>
          <w:lang w:val="en-US"/>
        </w:rPr>
        <w:t>After the establishment of a need by GRTgaz, the balancing action itself is executed by a computer algorithm. Every operation within the trading window is designed to ensure that the algorithm always selects the best prices. Therefore, the need of GRTgaz may not be fully covered.</w:t>
      </w:r>
    </w:p>
    <w:p w:rsidR="00E86502" w:rsidRPr="001E24AD" w:rsidRDefault="00E86502" w:rsidP="00E86502">
      <w:pPr>
        <w:rPr>
          <w:color w:val="000000" w:themeColor="text1"/>
          <w:lang w:val="en-US"/>
        </w:rPr>
      </w:pPr>
      <w:r w:rsidRPr="001E24AD">
        <w:rPr>
          <w:color w:val="000000" w:themeColor="text1"/>
          <w:lang w:val="en-US"/>
        </w:rPr>
        <w:t>GRTgaz can trade seven days a week between 10:25 am and 10:45 am, between 2:25 pm and  2:45  pm,  between  5:25  pm  and  5:45  pm  and  between  11:25  pm  and  11:45  pm  on the Within-Day product. Effective action depends on “Projected Closing Linepack” position and schedule.</w:t>
      </w:r>
    </w:p>
    <w:p w:rsidR="00E86502" w:rsidRPr="00E86502" w:rsidRDefault="00E86502" w:rsidP="00E86502">
      <w:pPr>
        <w:rPr>
          <w:color w:val="FF0000"/>
          <w:highlight w:val="yellow"/>
          <w:lang w:val="en-US"/>
        </w:rPr>
      </w:pPr>
      <w:r w:rsidRPr="00E86502">
        <w:rPr>
          <w:noProof/>
          <w:color w:val="FF0000"/>
          <w:lang w:val="es-ES" w:eastAsia="es-ES"/>
        </w:rPr>
        <w:drawing>
          <wp:inline distT="0" distB="0" distL="0" distR="0" wp14:anchorId="406A7980" wp14:editId="4FC3F04D">
            <wp:extent cx="5669915" cy="1841500"/>
            <wp:effectExtent l="0" t="0" r="6985" b="6350"/>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9915" cy="1841500"/>
                    </a:xfrm>
                    <a:prstGeom prst="rect">
                      <a:avLst/>
                    </a:prstGeom>
                  </pic:spPr>
                </pic:pic>
              </a:graphicData>
            </a:graphic>
          </wp:inline>
        </w:drawing>
      </w:r>
    </w:p>
    <w:p w:rsidR="001B0C57" w:rsidRPr="007D2C40" w:rsidRDefault="001B0C57" w:rsidP="00E86502">
      <w:pPr>
        <w:rPr>
          <w:color w:val="000000" w:themeColor="text1"/>
          <w:lang w:val="en-US"/>
        </w:rPr>
      </w:pPr>
      <w:r w:rsidRPr="007D2C40">
        <w:rPr>
          <w:lang w:val="en-US"/>
        </w:rPr>
        <w:t>Figure 5. Schedule for GRTgaz intervention</w:t>
      </w:r>
      <w:r w:rsidR="00CA40F6" w:rsidRPr="007D2C40">
        <w:rPr>
          <w:color w:val="000000" w:themeColor="text1"/>
          <w:lang w:val="en-US"/>
        </w:rPr>
        <w:t>.</w:t>
      </w:r>
    </w:p>
    <w:p w:rsidR="00CA40F6" w:rsidRPr="007D2C40" w:rsidRDefault="00CA40F6" w:rsidP="00E86502">
      <w:pPr>
        <w:rPr>
          <w:color w:val="000000" w:themeColor="text1"/>
          <w:lang w:val="en-US"/>
        </w:rPr>
      </w:pPr>
    </w:p>
    <w:p w:rsidR="00E86502" w:rsidRPr="001E24AD" w:rsidRDefault="00E86502" w:rsidP="00E86502">
      <w:pPr>
        <w:rPr>
          <w:color w:val="000000" w:themeColor="text1"/>
          <w:lang w:val="en-US"/>
        </w:rPr>
      </w:pPr>
      <w:r w:rsidRPr="001E24AD">
        <w:rPr>
          <w:color w:val="000000" w:themeColor="text1"/>
          <w:lang w:val="en-US"/>
        </w:rPr>
        <w:t>Within these trading windows, GRTgaz’s purchase or sell orders will take place at arbitrary times. GRTgaz intervenes several times in each trading window to cover its balancing gas needs.</w:t>
      </w:r>
    </w:p>
    <w:p w:rsidR="00E86502" w:rsidRPr="001E24AD" w:rsidRDefault="009F3A08" w:rsidP="00E86502">
      <w:pPr>
        <w:rPr>
          <w:color w:val="000000" w:themeColor="text1"/>
          <w:lang w:val="en-US"/>
        </w:rPr>
      </w:pPr>
      <w:r>
        <w:rPr>
          <w:color w:val="000000" w:themeColor="text1"/>
          <w:lang w:val="en-US"/>
        </w:rPr>
        <w:t>The</w:t>
      </w:r>
      <w:r w:rsidR="00E86502" w:rsidRPr="00972CC7">
        <w:rPr>
          <w:color w:val="000000" w:themeColor="text1"/>
          <w:lang w:val="en-US"/>
        </w:rPr>
        <w:t xml:space="preserve"> “Projected Closing Linepack” </w:t>
      </w:r>
      <w:r w:rsidR="00B007B2" w:rsidRPr="00972CC7">
        <w:rPr>
          <w:color w:val="000000" w:themeColor="text1"/>
          <w:lang w:val="en-US"/>
        </w:rPr>
        <w:t>(PLC)</w:t>
      </w:r>
      <w:r w:rsidR="00E86502" w:rsidRPr="00972CC7">
        <w:rPr>
          <w:color w:val="000000" w:themeColor="text1"/>
          <w:lang w:val="en-US"/>
        </w:rPr>
        <w:t xml:space="preserve"> </w:t>
      </w:r>
      <w:r w:rsidRPr="002603F1">
        <w:rPr>
          <w:color w:val="000000" w:themeColor="text1"/>
          <w:lang w:val="en-US"/>
        </w:rPr>
        <w:t xml:space="preserve">position </w:t>
      </w:r>
      <w:r w:rsidR="00E86502" w:rsidRPr="00972CC7">
        <w:rPr>
          <w:color w:val="000000" w:themeColor="text1"/>
          <w:lang w:val="en-US"/>
        </w:rPr>
        <w:t>shows the stress of its transmission network</w:t>
      </w:r>
      <w:r w:rsidR="00B31A27" w:rsidRPr="00972CC7">
        <w:rPr>
          <w:color w:val="000000" w:themeColor="text1"/>
          <w:lang w:val="en-US"/>
        </w:rPr>
        <w:t>.</w:t>
      </w:r>
      <w:r w:rsidR="00E86502" w:rsidRPr="009F3A08">
        <w:rPr>
          <w:color w:val="000000" w:themeColor="text1"/>
          <w:lang w:val="en-US"/>
        </w:rPr>
        <w:t xml:space="preserve"> </w:t>
      </w:r>
      <w:r w:rsidR="00E86502" w:rsidRPr="001E24AD">
        <w:rPr>
          <w:color w:val="000000" w:themeColor="text1"/>
          <w:lang w:val="en-US"/>
        </w:rPr>
        <w:t xml:space="preserve">GRTgaz has defined several modes of balancing actions depending on </w:t>
      </w:r>
      <w:r w:rsidR="00972CC7">
        <w:rPr>
          <w:color w:val="000000" w:themeColor="text1"/>
          <w:lang w:val="en-US"/>
        </w:rPr>
        <w:t xml:space="preserve">the </w:t>
      </w:r>
      <w:r>
        <w:rPr>
          <w:color w:val="000000" w:themeColor="text1"/>
          <w:lang w:val="en-US"/>
        </w:rPr>
        <w:t>P</w:t>
      </w:r>
      <w:r w:rsidR="00CA40F6">
        <w:rPr>
          <w:color w:val="000000" w:themeColor="text1"/>
          <w:lang w:val="en-US"/>
        </w:rPr>
        <w:t>LC</w:t>
      </w:r>
      <w:r w:rsidR="00972CC7">
        <w:rPr>
          <w:color w:val="000000" w:themeColor="text1"/>
          <w:lang w:val="en-US"/>
        </w:rPr>
        <w:t xml:space="preserve"> </w:t>
      </w:r>
      <w:r w:rsidR="00E86502" w:rsidRPr="001E24AD">
        <w:rPr>
          <w:color w:val="000000" w:themeColor="text1"/>
          <w:lang w:val="en-US"/>
        </w:rPr>
        <w:t xml:space="preserve">position and </w:t>
      </w:r>
      <w:r>
        <w:rPr>
          <w:color w:val="000000" w:themeColor="text1"/>
          <w:lang w:val="en-US"/>
        </w:rPr>
        <w:t xml:space="preserve">the </w:t>
      </w:r>
      <w:r w:rsidR="00E86502" w:rsidRPr="001E24AD">
        <w:rPr>
          <w:color w:val="000000" w:themeColor="text1"/>
          <w:lang w:val="en-US"/>
        </w:rPr>
        <w:t>schedule.</w:t>
      </w:r>
    </w:p>
    <w:p w:rsidR="00972CC7" w:rsidRPr="00CA40F6" w:rsidRDefault="00E86502" w:rsidP="00972CC7">
      <w:pPr>
        <w:rPr>
          <w:color w:val="000000" w:themeColor="text1"/>
          <w:lang w:val="en-US"/>
        </w:rPr>
      </w:pPr>
      <w:r w:rsidRPr="00E86502">
        <w:rPr>
          <w:noProof/>
          <w:color w:val="FF0000"/>
          <w:lang w:val="es-ES" w:eastAsia="es-ES"/>
        </w:rPr>
        <w:drawing>
          <wp:inline distT="0" distB="0" distL="0" distR="0" wp14:anchorId="2AE69AC8" wp14:editId="6BCCB834">
            <wp:extent cx="5669915" cy="2955290"/>
            <wp:effectExtent l="0" t="0" r="6985" b="0"/>
            <wp:docPr id="1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9915" cy="2955290"/>
                    </a:xfrm>
                    <a:prstGeom prst="rect">
                      <a:avLst/>
                    </a:prstGeom>
                  </pic:spPr>
                </pic:pic>
              </a:graphicData>
            </a:graphic>
          </wp:inline>
        </w:drawing>
      </w:r>
      <w:r w:rsidR="00972CC7" w:rsidRPr="009F3A08">
        <w:rPr>
          <w:lang w:val="en-US"/>
        </w:rPr>
        <w:t xml:space="preserve"> </w:t>
      </w:r>
      <w:r w:rsidR="00972CC7" w:rsidRPr="00CA40F6">
        <w:rPr>
          <w:lang w:val="en-US"/>
        </w:rPr>
        <w:t>Figure 6</w:t>
      </w:r>
      <w:r w:rsidR="00972CC7" w:rsidRPr="009F3A08">
        <w:rPr>
          <w:lang w:val="en-US"/>
        </w:rPr>
        <w:t xml:space="preserve">. </w:t>
      </w:r>
      <w:r w:rsidR="00972CC7" w:rsidRPr="00CA40F6">
        <w:rPr>
          <w:lang w:val="en-US"/>
        </w:rPr>
        <w:t>GTRgaz’s modes of balancing actions</w:t>
      </w:r>
      <w:r w:rsidR="00972CC7" w:rsidRPr="00CA40F6">
        <w:rPr>
          <w:color w:val="000000" w:themeColor="text1"/>
          <w:lang w:val="en-US"/>
        </w:rPr>
        <w:t>.</w:t>
      </w:r>
    </w:p>
    <w:p w:rsidR="00E86502" w:rsidRPr="001E24AD" w:rsidRDefault="00E86502" w:rsidP="00E86502">
      <w:pPr>
        <w:rPr>
          <w:color w:val="000000" w:themeColor="text1"/>
          <w:lang w:val="en-US"/>
        </w:rPr>
      </w:pPr>
      <w:r w:rsidRPr="001E24AD">
        <w:rPr>
          <w:color w:val="000000" w:themeColor="text1"/>
          <w:lang w:val="en-US"/>
        </w:rPr>
        <w:t>The more aggressive the mode is, the more the price obtained by GRTgaz may move away from the estimated market price during the trading window. In connection with French Regulation Authority (CRE), GRTgaz defined, for each mode, limits to this potential spread.</w:t>
      </w:r>
    </w:p>
    <w:p w:rsidR="00E86502" w:rsidRPr="001E24AD" w:rsidRDefault="00E86502" w:rsidP="00E86502">
      <w:pPr>
        <w:rPr>
          <w:color w:val="000000" w:themeColor="text1"/>
          <w:lang w:val="en-US"/>
        </w:rPr>
      </w:pPr>
      <w:r w:rsidRPr="001E24AD">
        <w:rPr>
          <w:color w:val="000000" w:themeColor="text1"/>
          <w:lang w:val="en-US"/>
        </w:rPr>
        <w:t>GRTgaz balancing actions are made primarily through short-term standard products. In case</w:t>
      </w:r>
      <w:r w:rsidR="003824AA" w:rsidRPr="001E24AD">
        <w:rPr>
          <w:color w:val="000000" w:themeColor="text1"/>
          <w:lang w:val="en-US"/>
        </w:rPr>
        <w:t xml:space="preserve"> of</w:t>
      </w:r>
      <w:r w:rsidRPr="001E24AD">
        <w:rPr>
          <w:color w:val="000000" w:themeColor="text1"/>
          <w:lang w:val="en-US"/>
        </w:rPr>
        <w:t xml:space="preserve"> title products were not sufficient and</w:t>
      </w:r>
      <w:r w:rsidR="003824AA" w:rsidRPr="001E24AD">
        <w:rPr>
          <w:color w:val="000000" w:themeColor="text1"/>
          <w:lang w:val="en-US"/>
        </w:rPr>
        <w:t xml:space="preserve"> </w:t>
      </w:r>
      <w:r w:rsidRPr="001E24AD">
        <w:rPr>
          <w:color w:val="000000" w:themeColor="text1"/>
          <w:lang w:val="en-US"/>
        </w:rPr>
        <w:t>according to the merit order required by the Balancing network code, GRTgaz may trigger a balancing action via the locational product. The trigger criteria are as follows:</w:t>
      </w:r>
    </w:p>
    <w:p w:rsidR="00E86502" w:rsidRPr="001E24AD" w:rsidRDefault="00E86502" w:rsidP="00E86502">
      <w:pPr>
        <w:pStyle w:val="Prrafodelista"/>
        <w:numPr>
          <w:ilvl w:val="0"/>
          <w:numId w:val="18"/>
        </w:numPr>
        <w:rPr>
          <w:color w:val="000000" w:themeColor="text1"/>
          <w:lang w:val="en-US"/>
        </w:rPr>
      </w:pPr>
      <w:r w:rsidRPr="001E24AD">
        <w:rPr>
          <w:color w:val="000000" w:themeColor="text1"/>
          <w:lang w:val="en-US"/>
        </w:rPr>
        <w:t>As soon as possible at the end of the 3</w:t>
      </w:r>
      <w:r w:rsidRPr="001E24AD">
        <w:rPr>
          <w:color w:val="000000" w:themeColor="text1"/>
          <w:vertAlign w:val="superscript"/>
          <w:lang w:val="en-US"/>
        </w:rPr>
        <w:t>rd</w:t>
      </w:r>
      <w:r w:rsidRPr="001E24AD">
        <w:rPr>
          <w:color w:val="000000" w:themeColor="text1"/>
          <w:lang w:val="en-US"/>
        </w:rPr>
        <w:t xml:space="preserve"> stock exchange window</w:t>
      </w:r>
    </w:p>
    <w:p w:rsidR="001E24AD" w:rsidRDefault="00E86502" w:rsidP="00AA0AB3">
      <w:pPr>
        <w:pStyle w:val="Prrafodelista"/>
        <w:numPr>
          <w:ilvl w:val="0"/>
          <w:numId w:val="18"/>
        </w:numPr>
        <w:rPr>
          <w:color w:val="000000" w:themeColor="text1"/>
          <w:lang w:val="en-US"/>
        </w:rPr>
      </w:pPr>
      <w:r w:rsidRPr="001E24AD">
        <w:rPr>
          <w:color w:val="000000" w:themeColor="text1"/>
          <w:lang w:val="en-US"/>
        </w:rPr>
        <w:t>If the PCL level planned remains in the orange or red zone.</w:t>
      </w:r>
    </w:p>
    <w:p w:rsidR="002F0714" w:rsidRPr="009C6960" w:rsidRDefault="00AA0AB3" w:rsidP="009C6960">
      <w:pPr>
        <w:ind w:left="705"/>
        <w:rPr>
          <w:color w:val="000000" w:themeColor="text1"/>
          <w:lang w:val="en-US"/>
        </w:rPr>
      </w:pPr>
      <w:r w:rsidRPr="001E24AD">
        <w:rPr>
          <w:noProof/>
          <w:lang w:val="es-ES" w:eastAsia="es-ES"/>
        </w:rPr>
        <w:drawing>
          <wp:inline distT="0" distB="0" distL="0" distR="0" wp14:anchorId="27C3A305" wp14:editId="1751C1AC">
            <wp:extent cx="4424045" cy="176022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in títul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25802" cy="1760919"/>
                    </a:xfrm>
                    <a:prstGeom prst="rect">
                      <a:avLst/>
                    </a:prstGeom>
                  </pic:spPr>
                </pic:pic>
              </a:graphicData>
            </a:graphic>
          </wp:inline>
        </w:drawing>
      </w:r>
    </w:p>
    <w:p w:rsidR="009F3A08" w:rsidRDefault="009F3A08" w:rsidP="00CA40F6">
      <w:pPr>
        <w:rPr>
          <w:color w:val="000000" w:themeColor="text1"/>
          <w:lang w:val="en-US"/>
        </w:rPr>
      </w:pPr>
      <w:r>
        <w:rPr>
          <w:lang w:val="en-US"/>
        </w:rPr>
        <w:t>Figure 7</w:t>
      </w:r>
      <w:r w:rsidRPr="00520D18">
        <w:rPr>
          <w:lang w:val="en-US"/>
        </w:rPr>
        <w:t>. GTRgaz’s modes of balancing actions</w:t>
      </w:r>
      <w:r w:rsidR="00070223">
        <w:rPr>
          <w:color w:val="000000" w:themeColor="text1"/>
          <w:lang w:val="en-US"/>
        </w:rPr>
        <w:t xml:space="preserve"> (hours </w:t>
      </w:r>
      <w:r w:rsidR="001A564D">
        <w:rPr>
          <w:color w:val="000000" w:themeColor="text1"/>
          <w:lang w:val="en-US"/>
        </w:rPr>
        <w:t>and triggering areas)</w:t>
      </w:r>
      <w:r w:rsidR="00070223">
        <w:rPr>
          <w:color w:val="000000" w:themeColor="text1"/>
          <w:lang w:val="en-US"/>
        </w:rPr>
        <w:t>.</w:t>
      </w:r>
    </w:p>
    <w:p w:rsidR="009C6960" w:rsidRDefault="00233B0E" w:rsidP="009C6960">
      <w:pPr>
        <w:spacing w:line="240" w:lineRule="auto"/>
        <w:rPr>
          <w:color w:val="000000" w:themeColor="text1"/>
          <w:lang w:val="en-US"/>
        </w:rPr>
      </w:pPr>
      <w:r>
        <w:rPr>
          <w:color w:val="000000" w:themeColor="text1"/>
          <w:lang w:val="en-US"/>
        </w:rPr>
        <w:t>M</w:t>
      </w:r>
      <w:r w:rsidR="00E86502" w:rsidRPr="009C6960">
        <w:rPr>
          <w:color w:val="000000" w:themeColor="text1"/>
          <w:lang w:val="en-US"/>
        </w:rPr>
        <w:t>ore details reg</w:t>
      </w:r>
      <w:r w:rsidR="009C6960">
        <w:rPr>
          <w:color w:val="000000" w:themeColor="text1"/>
          <w:lang w:val="en-US"/>
        </w:rPr>
        <w:t xml:space="preserve">arding locational products </w:t>
      </w:r>
      <w:r>
        <w:rPr>
          <w:color w:val="000000" w:themeColor="text1"/>
          <w:lang w:val="en-US"/>
        </w:rPr>
        <w:t xml:space="preserve">can be found </w:t>
      </w:r>
      <w:r w:rsidR="009C6960">
        <w:rPr>
          <w:color w:val="000000" w:themeColor="text1"/>
          <w:lang w:val="en-US"/>
        </w:rPr>
        <w:t>at:</w:t>
      </w:r>
    </w:p>
    <w:p w:rsidR="00E86502" w:rsidRPr="009C6960" w:rsidRDefault="00E86502" w:rsidP="009C6960">
      <w:pPr>
        <w:spacing w:line="240" w:lineRule="auto"/>
        <w:rPr>
          <w:color w:val="000000" w:themeColor="text1"/>
          <w:lang w:val="en-US"/>
        </w:rPr>
      </w:pPr>
      <w:r w:rsidRPr="009C6960">
        <w:rPr>
          <w:color w:val="000000" w:themeColor="text1"/>
          <w:lang w:val="en-US"/>
        </w:rPr>
        <w:t>https://www.youtube.com/watch?v=N8yy79ITEz4&amp;feature=youtu.be</w:t>
      </w:r>
    </w:p>
    <w:p w:rsidR="00615636" w:rsidRDefault="00615636" w:rsidP="00735B38">
      <w:pPr>
        <w:rPr>
          <w:u w:val="single"/>
          <w:lang w:val="en-US"/>
        </w:rPr>
      </w:pPr>
    </w:p>
    <w:p w:rsidR="0057782E" w:rsidRPr="009C6960" w:rsidRDefault="0057782E" w:rsidP="00735B38">
      <w:pPr>
        <w:rPr>
          <w:u w:val="single"/>
          <w:lang w:val="en-US"/>
        </w:rPr>
      </w:pPr>
      <w:r w:rsidRPr="009C6960">
        <w:rPr>
          <w:u w:val="single"/>
          <w:lang w:val="en-US"/>
        </w:rPr>
        <w:t>Portugal</w:t>
      </w:r>
    </w:p>
    <w:p w:rsidR="007E0E17" w:rsidRPr="009C6960" w:rsidRDefault="007E0E17" w:rsidP="007E0E17">
      <w:pPr>
        <w:rPr>
          <w:lang w:val="en-US"/>
        </w:rPr>
      </w:pPr>
      <w:r w:rsidRPr="009C6960">
        <w:rPr>
          <w:lang w:val="en-US"/>
        </w:rPr>
        <w:t>The transport network has a linepack capacity that varies between 40 and 60 GWh depending on the operating conditions. In addition to this amount of natural gas, GTG has 60 GWh operational gas inventory in the storage infrastructures that allows him to manage the residual balance of the NSNG.</w:t>
      </w:r>
    </w:p>
    <w:p w:rsidR="007E0E17" w:rsidRPr="009C6960" w:rsidRDefault="007E0E17" w:rsidP="007E0E17">
      <w:pPr>
        <w:rPr>
          <w:lang w:val="en-US"/>
        </w:rPr>
      </w:pPr>
      <w:r w:rsidRPr="009C6960">
        <w:rPr>
          <w:lang w:val="en-US"/>
        </w:rPr>
        <w:t>These quantities of natural gas, although quite limited, represent a 4-hour flexibility in the case of the linepack capacity and, considering the operational gas inventory in the storage facilities, approximately 10 hours considering the historical maximum daily demand [100</w:t>
      </w:r>
      <w:r w:rsidR="00233B0E">
        <w:rPr>
          <w:lang w:val="en-US"/>
        </w:rPr>
        <w:t xml:space="preserve"> </w:t>
      </w:r>
      <w:r w:rsidRPr="009C6960">
        <w:rPr>
          <w:lang w:val="en-US"/>
        </w:rPr>
        <w:t>GWh represents 44.4% of the maximum daily demand (225GWh/d)].</w:t>
      </w:r>
    </w:p>
    <w:p w:rsidR="007E0E17" w:rsidRPr="009C6960" w:rsidRDefault="007E0E17" w:rsidP="007E0E17">
      <w:pPr>
        <w:rPr>
          <w:lang w:val="en-US"/>
        </w:rPr>
      </w:pPr>
      <w:r w:rsidRPr="009C6960">
        <w:rPr>
          <w:lang w:val="en-US"/>
        </w:rPr>
        <w:t>In average terms, the aggregation of the daily imbalances in the transport network is much lower than the linepack, so the transport network's accumulation capacity allows the GTG to manage the gas operational stock on a weekly basis, resetting the linepack position via natural gas sales or purchases.</w:t>
      </w:r>
    </w:p>
    <w:p w:rsidR="007E0E17" w:rsidRPr="009C6960" w:rsidRDefault="007E0E17" w:rsidP="007E0E17">
      <w:pPr>
        <w:rPr>
          <w:lang w:val="en-US"/>
        </w:rPr>
      </w:pPr>
      <w:r w:rsidRPr="009C6960">
        <w:rPr>
          <w:lang w:val="en-US"/>
        </w:rPr>
        <w:t>GTG buys or sells gas through individual balancing services, each one with individual contract between the GTG and the market agent that provides the service. The quantities of natural gas in each balancing service is limited to 5 GWh (in purchases and sales).</w:t>
      </w:r>
    </w:p>
    <w:p w:rsidR="007E0E17" w:rsidRPr="009C6960" w:rsidRDefault="007E0E17" w:rsidP="007E0E17">
      <w:pPr>
        <w:rPr>
          <w:lang w:val="en-US"/>
        </w:rPr>
      </w:pPr>
      <w:r w:rsidRPr="009C6960">
        <w:rPr>
          <w:lang w:val="en-US"/>
        </w:rPr>
        <w:t>Balancing services are contracted as a result of a market mechanism (auction), approved by ERSE. The GTG (REN Gasodutos) is responsible to conduct the auctions, with OMIP assistance and a dedicated platform.</w:t>
      </w:r>
    </w:p>
    <w:p w:rsidR="007E0E17" w:rsidRDefault="007E0E17" w:rsidP="007E0E17">
      <w:pPr>
        <w:rPr>
          <w:lang w:val="en-US"/>
        </w:rPr>
      </w:pPr>
      <w:r w:rsidRPr="009C6960">
        <w:rPr>
          <w:lang w:val="en-US"/>
        </w:rPr>
        <w:t>In year 2018 it is expected that the balancing actions will become mostly based on MIBGAS Portuguese hub trading platform. Likewise, one expects in 2018 a gradual reduction of the operating gas inventory in the system's storage infrastructures.</w:t>
      </w:r>
    </w:p>
    <w:p w:rsidR="009C6960" w:rsidRPr="009C6960" w:rsidRDefault="009C6960" w:rsidP="007E0E17">
      <w:pPr>
        <w:rPr>
          <w:lang w:val="en-US"/>
        </w:rPr>
      </w:pPr>
    </w:p>
    <w:p w:rsidR="006302CC" w:rsidRDefault="006302CC" w:rsidP="00735B38">
      <w:pPr>
        <w:pStyle w:val="Ttulo2"/>
        <w:rPr>
          <w:lang w:val="en-US"/>
        </w:rPr>
      </w:pPr>
      <w:bookmarkStart w:id="30" w:name="_Toc516823941"/>
      <w:r>
        <w:rPr>
          <w:lang w:val="en-US"/>
        </w:rPr>
        <w:t>Nominations</w:t>
      </w:r>
      <w:r w:rsidR="00D732A1">
        <w:rPr>
          <w:lang w:val="en-US"/>
        </w:rPr>
        <w:t xml:space="preserve"> and renominations</w:t>
      </w:r>
      <w:bookmarkEnd w:id="30"/>
    </w:p>
    <w:p w:rsidR="006302CC" w:rsidRDefault="006302CC" w:rsidP="006302CC">
      <w:pPr>
        <w:rPr>
          <w:lang w:val="en-US"/>
        </w:rPr>
      </w:pPr>
      <w:r>
        <w:rPr>
          <w:lang w:val="en-US"/>
        </w:rPr>
        <w:t>In accordance with the Code, rules</w:t>
      </w:r>
      <w:r w:rsidR="00E80E4A">
        <w:rPr>
          <w:lang w:val="en-US"/>
        </w:rPr>
        <w:t xml:space="preserve"> and timelines</w:t>
      </w:r>
      <w:r>
        <w:rPr>
          <w:lang w:val="en-US"/>
        </w:rPr>
        <w:t xml:space="preserve"> o</w:t>
      </w:r>
      <w:r w:rsidR="00233B0E">
        <w:rPr>
          <w:lang w:val="en-US"/>
        </w:rPr>
        <w:t>f</w:t>
      </w:r>
      <w:r>
        <w:rPr>
          <w:lang w:val="en-US"/>
        </w:rPr>
        <w:t xml:space="preserve"> nomination and re-nomination procedures ha</w:t>
      </w:r>
      <w:r w:rsidR="00244769">
        <w:rPr>
          <w:lang w:val="en-US"/>
        </w:rPr>
        <w:t>ve</w:t>
      </w:r>
      <w:r>
        <w:rPr>
          <w:lang w:val="en-US"/>
        </w:rPr>
        <w:t xml:space="preserve"> been developed taking into account the coordination requirements in the interconnection points among the </w:t>
      </w:r>
      <w:r w:rsidR="00C72E08">
        <w:rPr>
          <w:lang w:val="en-US"/>
        </w:rPr>
        <w:t>three</w:t>
      </w:r>
      <w:r>
        <w:rPr>
          <w:lang w:val="en-US"/>
        </w:rPr>
        <w:t xml:space="preserve"> </w:t>
      </w:r>
      <w:r w:rsidR="00C72E08">
        <w:rPr>
          <w:lang w:val="en-US"/>
        </w:rPr>
        <w:t>countries</w:t>
      </w:r>
      <w:r>
        <w:rPr>
          <w:lang w:val="en-US"/>
        </w:rPr>
        <w:t xml:space="preserve"> of the Region. </w:t>
      </w:r>
    </w:p>
    <w:p w:rsidR="00EA3424" w:rsidRPr="009C6960" w:rsidRDefault="00EA3424" w:rsidP="006302CC">
      <w:pPr>
        <w:rPr>
          <w:u w:val="single"/>
          <w:lang w:val="en-US"/>
        </w:rPr>
      </w:pPr>
      <w:r w:rsidRPr="009C6960">
        <w:rPr>
          <w:u w:val="single"/>
          <w:lang w:val="en-US"/>
        </w:rPr>
        <w:t>Spain</w:t>
      </w:r>
    </w:p>
    <w:p w:rsidR="00F50B31" w:rsidRDefault="00F50B31" w:rsidP="006302CC">
      <w:pPr>
        <w:rPr>
          <w:lang w:val="en-US"/>
        </w:rPr>
      </w:pPr>
      <w:r>
        <w:rPr>
          <w:lang w:val="en-US"/>
        </w:rPr>
        <w:t xml:space="preserve">Users may carry out nominations </w:t>
      </w:r>
      <w:r w:rsidR="00233B0E">
        <w:rPr>
          <w:lang w:val="en-US"/>
        </w:rPr>
        <w:t xml:space="preserve">for the gas day D </w:t>
      </w:r>
      <w:r>
        <w:rPr>
          <w:lang w:val="en-US"/>
        </w:rPr>
        <w:t xml:space="preserve">before 14:00 </w:t>
      </w:r>
      <w:r w:rsidR="00A64762">
        <w:rPr>
          <w:lang w:val="en-US"/>
        </w:rPr>
        <w:t xml:space="preserve">of the </w:t>
      </w:r>
      <w:r>
        <w:rPr>
          <w:lang w:val="en-US"/>
        </w:rPr>
        <w:t xml:space="preserve">day </w:t>
      </w:r>
      <w:r w:rsidR="00994629">
        <w:rPr>
          <w:lang w:val="en-US"/>
        </w:rPr>
        <w:t>D</w:t>
      </w:r>
      <w:r>
        <w:rPr>
          <w:lang w:val="en-US"/>
        </w:rPr>
        <w:t>-1</w:t>
      </w:r>
      <w:r w:rsidR="00233B0E">
        <w:rPr>
          <w:lang w:val="en-US"/>
        </w:rPr>
        <w:t xml:space="preserve"> (the day before the gas day)</w:t>
      </w:r>
      <w:r>
        <w:rPr>
          <w:lang w:val="en-US"/>
        </w:rPr>
        <w:t xml:space="preserve">. In the absence of valid nominations sent by the users, the last weekly </w:t>
      </w:r>
      <w:r w:rsidR="00233B0E">
        <w:rPr>
          <w:lang w:val="en-US"/>
        </w:rPr>
        <w:t xml:space="preserve">program </w:t>
      </w:r>
      <w:r>
        <w:rPr>
          <w:lang w:val="en-US"/>
        </w:rPr>
        <w:t xml:space="preserve">will be used as a nomination. </w:t>
      </w:r>
      <w:r w:rsidR="00F179D2">
        <w:rPr>
          <w:lang w:val="en-US"/>
        </w:rPr>
        <w:t>ENAGÁS GTS</w:t>
      </w:r>
      <w:r>
        <w:rPr>
          <w:lang w:val="en-US"/>
        </w:rPr>
        <w:t xml:space="preserve"> will confirm the nominations no later than 16:00</w:t>
      </w:r>
      <w:r w:rsidR="00F05947">
        <w:rPr>
          <w:lang w:val="en-US"/>
        </w:rPr>
        <w:t xml:space="preserve"> </w:t>
      </w:r>
      <w:r w:rsidR="00994629">
        <w:rPr>
          <w:lang w:val="en-US"/>
        </w:rPr>
        <w:t>of the day D</w:t>
      </w:r>
      <w:r w:rsidR="00F05947">
        <w:rPr>
          <w:lang w:val="en-US"/>
        </w:rPr>
        <w:t>-1</w:t>
      </w:r>
      <w:r>
        <w:rPr>
          <w:lang w:val="en-US"/>
        </w:rPr>
        <w:t xml:space="preserve">. Once the nominations have been confirmed, the renominations cycles </w:t>
      </w:r>
      <w:r w:rsidR="00792BE3">
        <w:rPr>
          <w:lang w:val="en-US"/>
        </w:rPr>
        <w:t>start. There</w:t>
      </w:r>
      <w:r w:rsidR="00F05947">
        <w:rPr>
          <w:lang w:val="en-US"/>
        </w:rPr>
        <w:t xml:space="preserve"> will be </w:t>
      </w:r>
      <w:r>
        <w:rPr>
          <w:lang w:val="en-US"/>
        </w:rPr>
        <w:t>one</w:t>
      </w:r>
      <w:r w:rsidR="00F05947">
        <w:rPr>
          <w:lang w:val="en-US"/>
        </w:rPr>
        <w:t xml:space="preserve"> renomination cycle</w:t>
      </w:r>
      <w:r>
        <w:rPr>
          <w:lang w:val="en-US"/>
        </w:rPr>
        <w:t xml:space="preserve"> each hour from 16:00</w:t>
      </w:r>
      <w:r w:rsidR="00480933">
        <w:rPr>
          <w:lang w:val="en-US"/>
        </w:rPr>
        <w:t xml:space="preserve"> (first renomination cycle)</w:t>
      </w:r>
      <w:r>
        <w:rPr>
          <w:lang w:val="en-US"/>
        </w:rPr>
        <w:t xml:space="preserve"> until </w:t>
      </w:r>
      <w:r w:rsidR="00480933">
        <w:rPr>
          <w:lang w:val="en-US"/>
        </w:rPr>
        <w:t>three hours before</w:t>
      </w:r>
      <w:r w:rsidR="00D07E76">
        <w:rPr>
          <w:lang w:val="en-US"/>
        </w:rPr>
        <w:t xml:space="preserve"> the end of the gas day, namely, at 03:00 (</w:t>
      </w:r>
      <w:r w:rsidR="00480933">
        <w:rPr>
          <w:lang w:val="en-US"/>
        </w:rPr>
        <w:t>last renomination cycle).</w:t>
      </w:r>
      <w:r w:rsidR="0067073E">
        <w:rPr>
          <w:lang w:val="en-US"/>
        </w:rPr>
        <w:t xml:space="preserve"> </w:t>
      </w:r>
      <w:r w:rsidR="0067073E" w:rsidRPr="009C6960">
        <w:rPr>
          <w:lang w:val="en-US"/>
        </w:rPr>
        <w:t>Each renomination cycle last</w:t>
      </w:r>
      <w:r w:rsidR="007919DA" w:rsidRPr="009C6960">
        <w:rPr>
          <w:lang w:val="en-US"/>
        </w:rPr>
        <w:t>s</w:t>
      </w:r>
      <w:r w:rsidR="0067073E" w:rsidRPr="009C6960">
        <w:rPr>
          <w:lang w:val="en-US"/>
        </w:rPr>
        <w:t xml:space="preserve"> two hours</w:t>
      </w:r>
      <w:r w:rsidR="007919DA" w:rsidRPr="009C6960">
        <w:rPr>
          <w:lang w:val="en-US"/>
        </w:rPr>
        <w:t>. At VIPs</w:t>
      </w:r>
      <w:r w:rsidR="003F3038" w:rsidRPr="009C6960">
        <w:rPr>
          <w:lang w:val="en-US"/>
        </w:rPr>
        <w:t>,</w:t>
      </w:r>
      <w:r w:rsidR="009C6960">
        <w:rPr>
          <w:lang w:val="en-US"/>
        </w:rPr>
        <w:t xml:space="preserve"> </w:t>
      </w:r>
      <w:r w:rsidR="007919DA" w:rsidRPr="009C6960">
        <w:rPr>
          <w:lang w:val="en-US"/>
        </w:rPr>
        <w:t xml:space="preserve">ENAGÁS GTS confirmation is provided after the first hour, but the nomination is effective after the second hour. At the rest of the points, </w:t>
      </w:r>
      <w:r w:rsidR="00F179D2" w:rsidRPr="009C6960">
        <w:rPr>
          <w:lang w:val="en-US"/>
        </w:rPr>
        <w:t>ENAGÁS GTS</w:t>
      </w:r>
      <w:r w:rsidR="0067073E" w:rsidRPr="009C6960">
        <w:rPr>
          <w:lang w:val="en-US"/>
        </w:rPr>
        <w:t xml:space="preserve"> confirmation of the new nominations</w:t>
      </w:r>
      <w:r w:rsidR="007919DA" w:rsidRPr="009C6960">
        <w:rPr>
          <w:lang w:val="en-US"/>
        </w:rPr>
        <w:t xml:space="preserve"> and its effectiveness occur after</w:t>
      </w:r>
      <w:r w:rsidR="003F3038" w:rsidRPr="009C6960">
        <w:rPr>
          <w:lang w:val="en-US"/>
        </w:rPr>
        <w:t xml:space="preserve"> the</w:t>
      </w:r>
      <w:r w:rsidR="007919DA" w:rsidRPr="009C6960">
        <w:rPr>
          <w:lang w:val="en-US"/>
        </w:rPr>
        <w:t xml:space="preserve"> second hour.</w:t>
      </w:r>
      <w:r w:rsidR="0067073E" w:rsidRPr="007919DA">
        <w:rPr>
          <w:lang w:val="en-US"/>
        </w:rPr>
        <w:t xml:space="preserve"> </w:t>
      </w:r>
      <w:r w:rsidR="005C5A6D">
        <w:rPr>
          <w:lang w:val="en-US"/>
        </w:rPr>
        <w:t>It means that t</w:t>
      </w:r>
      <w:r w:rsidR="0067073E">
        <w:rPr>
          <w:lang w:val="en-US"/>
        </w:rPr>
        <w:t>he</w:t>
      </w:r>
      <w:r w:rsidR="00F05947">
        <w:rPr>
          <w:lang w:val="en-US"/>
        </w:rPr>
        <w:t xml:space="preserve">se new </w:t>
      </w:r>
      <w:r w:rsidR="0067073E">
        <w:rPr>
          <w:lang w:val="en-US"/>
        </w:rPr>
        <w:t>nomination</w:t>
      </w:r>
      <w:r w:rsidR="00F05947">
        <w:rPr>
          <w:lang w:val="en-US"/>
        </w:rPr>
        <w:t>s (renomination</w:t>
      </w:r>
      <w:r w:rsidR="005C5A6D">
        <w:rPr>
          <w:lang w:val="en-US"/>
        </w:rPr>
        <w:t>s</w:t>
      </w:r>
      <w:r w:rsidR="00F05947">
        <w:rPr>
          <w:lang w:val="en-US"/>
        </w:rPr>
        <w:t>)</w:t>
      </w:r>
      <w:r w:rsidR="0067073E">
        <w:rPr>
          <w:lang w:val="en-US"/>
        </w:rPr>
        <w:t xml:space="preserve"> </w:t>
      </w:r>
      <w:r w:rsidR="00F05947">
        <w:rPr>
          <w:lang w:val="en-US"/>
        </w:rPr>
        <w:t>will apply</w:t>
      </w:r>
      <w:r w:rsidR="0067073E">
        <w:rPr>
          <w:lang w:val="en-US"/>
        </w:rPr>
        <w:t xml:space="preserve"> </w:t>
      </w:r>
      <w:r w:rsidR="000A34CB">
        <w:rPr>
          <w:lang w:val="en-US"/>
        </w:rPr>
        <w:t>once the</w:t>
      </w:r>
      <w:r w:rsidR="005C5A6D">
        <w:rPr>
          <w:lang w:val="en-US"/>
        </w:rPr>
        <w:t>y</w:t>
      </w:r>
      <w:r w:rsidR="000A34CB">
        <w:rPr>
          <w:lang w:val="en-US"/>
        </w:rPr>
        <w:t xml:space="preserve"> are confirmed</w:t>
      </w:r>
      <w:r w:rsidR="00F05947">
        <w:rPr>
          <w:lang w:val="en-US"/>
        </w:rPr>
        <w:t>, namely, two hours after the beginning of the renomination cycle,</w:t>
      </w:r>
      <w:r w:rsidR="000A34CB">
        <w:rPr>
          <w:lang w:val="en-US"/>
        </w:rPr>
        <w:t xml:space="preserve"> unless the user requests a later time</w:t>
      </w:r>
      <w:r w:rsidR="0067073E">
        <w:rPr>
          <w:lang w:val="en-US"/>
        </w:rPr>
        <w:t>.</w:t>
      </w:r>
    </w:p>
    <w:p w:rsidR="00EA3424" w:rsidRDefault="00EA3424" w:rsidP="006302CC">
      <w:pPr>
        <w:rPr>
          <w:lang w:val="en-US"/>
        </w:rPr>
      </w:pPr>
    </w:p>
    <w:p w:rsidR="00D941C6" w:rsidRDefault="001A74A0" w:rsidP="00735B38">
      <w:pPr>
        <w:spacing w:before="120" w:line="240" w:lineRule="auto"/>
        <w:rPr>
          <w:lang w:val="en-US"/>
        </w:rPr>
      </w:pPr>
      <w:r>
        <w:rPr>
          <w:noProof/>
          <w:lang w:val="es-ES" w:eastAsia="es-ES"/>
        </w:rPr>
        <w:drawing>
          <wp:inline distT="0" distB="0" distL="0" distR="0" wp14:anchorId="367FA892" wp14:editId="5A72AEA5">
            <wp:extent cx="5667375" cy="3076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3076575"/>
                    </a:xfrm>
                    <a:prstGeom prst="rect">
                      <a:avLst/>
                    </a:prstGeom>
                    <a:noFill/>
                    <a:ln>
                      <a:noFill/>
                    </a:ln>
                  </pic:spPr>
                </pic:pic>
              </a:graphicData>
            </a:graphic>
          </wp:inline>
        </w:drawing>
      </w:r>
    </w:p>
    <w:p w:rsidR="001A74A0" w:rsidRDefault="00241205" w:rsidP="001A74A0">
      <w:pPr>
        <w:spacing w:before="120" w:line="240" w:lineRule="auto"/>
        <w:rPr>
          <w:lang w:val="en-US"/>
        </w:rPr>
      </w:pPr>
      <w:r>
        <w:rPr>
          <w:lang w:val="en-US"/>
        </w:rPr>
        <w:t xml:space="preserve">Figure </w:t>
      </w:r>
      <w:r w:rsidR="005C5A6D">
        <w:rPr>
          <w:lang w:val="en-US"/>
        </w:rPr>
        <w:t>8</w:t>
      </w:r>
      <w:r w:rsidR="001A74A0" w:rsidRPr="009C6960">
        <w:rPr>
          <w:lang w:val="en-US"/>
        </w:rPr>
        <w:t>: Timeline for nominations/renominations</w:t>
      </w:r>
      <w:r w:rsidR="007C191E" w:rsidRPr="009C6960">
        <w:rPr>
          <w:lang w:val="en-US"/>
        </w:rPr>
        <w:t xml:space="preserve"> for all point except VIPs.</w:t>
      </w:r>
    </w:p>
    <w:p w:rsidR="008416F5" w:rsidRPr="00735B38" w:rsidRDefault="008416F5" w:rsidP="008416F5">
      <w:pPr>
        <w:autoSpaceDE w:val="0"/>
        <w:autoSpaceDN w:val="0"/>
        <w:adjustRightInd w:val="0"/>
        <w:spacing w:before="0" w:after="0" w:line="240" w:lineRule="auto"/>
        <w:jc w:val="left"/>
        <w:rPr>
          <w:rFonts w:cs="Arial"/>
          <w:color w:val="000000"/>
          <w:sz w:val="24"/>
          <w:lang w:val="en-US"/>
        </w:rPr>
      </w:pPr>
    </w:p>
    <w:p w:rsidR="00965BF4" w:rsidRPr="00985D5D" w:rsidRDefault="00965BF4" w:rsidP="00985D5D">
      <w:pPr>
        <w:autoSpaceDE w:val="0"/>
        <w:autoSpaceDN w:val="0"/>
        <w:adjustRightInd w:val="0"/>
        <w:rPr>
          <w:lang w:val="en-US"/>
        </w:rPr>
      </w:pPr>
      <w:r w:rsidRPr="00985D5D">
        <w:rPr>
          <w:lang w:val="en-US"/>
        </w:rPr>
        <w:t>Nominations will be referred to entry/exit points to PVB, namely, underground storage</w:t>
      </w:r>
      <w:r w:rsidR="00A6529C" w:rsidRPr="00985D5D">
        <w:rPr>
          <w:lang w:val="en-US"/>
        </w:rPr>
        <w:t xml:space="preserve"> facilities</w:t>
      </w:r>
      <w:r w:rsidRPr="00985D5D">
        <w:rPr>
          <w:lang w:val="en-US"/>
        </w:rPr>
        <w:t>, L</w:t>
      </w:r>
      <w:r w:rsidR="004645A1" w:rsidRPr="00985D5D">
        <w:rPr>
          <w:lang w:val="en-US"/>
        </w:rPr>
        <w:t>NG plants and Interconnections P</w:t>
      </w:r>
      <w:r w:rsidRPr="00985D5D">
        <w:rPr>
          <w:lang w:val="en-US"/>
        </w:rPr>
        <w:t>oints</w:t>
      </w:r>
      <w:r w:rsidR="005C5A6D">
        <w:rPr>
          <w:lang w:val="en-US"/>
        </w:rPr>
        <w:t xml:space="preserve"> with other countries</w:t>
      </w:r>
      <w:r w:rsidRPr="00985D5D">
        <w:rPr>
          <w:lang w:val="en-US"/>
        </w:rPr>
        <w:t xml:space="preserve">. In this sense, it is </w:t>
      </w:r>
      <w:r w:rsidR="00A6529C" w:rsidRPr="00985D5D">
        <w:rPr>
          <w:lang w:val="en-US"/>
        </w:rPr>
        <w:t>noteworthy</w:t>
      </w:r>
      <w:r w:rsidRPr="00985D5D">
        <w:rPr>
          <w:lang w:val="en-US"/>
        </w:rPr>
        <w:t xml:space="preserve"> that balancing nominations scheduled ha</w:t>
      </w:r>
      <w:r w:rsidR="005C5A6D">
        <w:rPr>
          <w:lang w:val="en-US"/>
        </w:rPr>
        <w:t>ve</w:t>
      </w:r>
      <w:r w:rsidRPr="00985D5D">
        <w:rPr>
          <w:lang w:val="en-US"/>
        </w:rPr>
        <w:t xml:space="preserve"> been made compatible with capacity allocation mechanisms in both IPs and other facilities </w:t>
      </w:r>
      <w:r w:rsidR="00DE470A">
        <w:rPr>
          <w:lang w:val="en-US"/>
        </w:rPr>
        <w:t>of</w:t>
      </w:r>
      <w:r w:rsidRPr="00985D5D">
        <w:rPr>
          <w:lang w:val="en-US"/>
        </w:rPr>
        <w:t xml:space="preserve"> the Spanish gas system.</w:t>
      </w:r>
    </w:p>
    <w:p w:rsidR="008416F5" w:rsidRPr="00985D5D" w:rsidRDefault="008416F5" w:rsidP="004B4238">
      <w:pPr>
        <w:autoSpaceDE w:val="0"/>
        <w:autoSpaceDN w:val="0"/>
        <w:adjustRightInd w:val="0"/>
        <w:rPr>
          <w:lang w:val="en-US"/>
        </w:rPr>
      </w:pPr>
      <w:r w:rsidRPr="00985D5D">
        <w:rPr>
          <w:lang w:val="en-US"/>
        </w:rPr>
        <w:t xml:space="preserve">The Technical System Manager may only reject a nomination or renomination in the following cases: </w:t>
      </w:r>
    </w:p>
    <w:p w:rsidR="008416F5" w:rsidRPr="00985D5D" w:rsidRDefault="008416F5" w:rsidP="00A34FCB">
      <w:pPr>
        <w:autoSpaceDE w:val="0"/>
        <w:autoSpaceDN w:val="0"/>
        <w:adjustRightInd w:val="0"/>
        <w:spacing w:line="240" w:lineRule="auto"/>
        <w:jc w:val="left"/>
        <w:rPr>
          <w:lang w:val="en-US"/>
        </w:rPr>
      </w:pPr>
      <w:r w:rsidRPr="00985D5D">
        <w:rPr>
          <w:lang w:val="en-US"/>
        </w:rPr>
        <w:t xml:space="preserve">a) If it does not comply with the established content </w:t>
      </w:r>
    </w:p>
    <w:p w:rsidR="008416F5" w:rsidRPr="00985D5D" w:rsidRDefault="008416F5" w:rsidP="00A34FCB">
      <w:pPr>
        <w:autoSpaceDE w:val="0"/>
        <w:autoSpaceDN w:val="0"/>
        <w:adjustRightInd w:val="0"/>
        <w:spacing w:line="240" w:lineRule="auto"/>
        <w:jc w:val="left"/>
        <w:rPr>
          <w:lang w:val="en-US"/>
        </w:rPr>
      </w:pPr>
      <w:r w:rsidRPr="00985D5D">
        <w:rPr>
          <w:lang w:val="en-US"/>
        </w:rPr>
        <w:t xml:space="preserve">b) </w:t>
      </w:r>
      <w:r w:rsidR="003F3038">
        <w:rPr>
          <w:lang w:val="en-US"/>
        </w:rPr>
        <w:t>If i</w:t>
      </w:r>
      <w:r w:rsidR="00A34FCB">
        <w:rPr>
          <w:lang w:val="en-US"/>
        </w:rPr>
        <w:t>t is not sent by an authoriz</w:t>
      </w:r>
      <w:r w:rsidRPr="00985D5D">
        <w:rPr>
          <w:lang w:val="en-US"/>
        </w:rPr>
        <w:t xml:space="preserve">ed user </w:t>
      </w:r>
    </w:p>
    <w:p w:rsidR="008416F5" w:rsidRPr="00985D5D" w:rsidRDefault="008416F5" w:rsidP="00A34FCB">
      <w:pPr>
        <w:autoSpaceDE w:val="0"/>
        <w:autoSpaceDN w:val="0"/>
        <w:adjustRightInd w:val="0"/>
        <w:spacing w:line="240" w:lineRule="auto"/>
        <w:jc w:val="left"/>
        <w:rPr>
          <w:lang w:val="en-US"/>
        </w:rPr>
      </w:pPr>
      <w:r w:rsidRPr="00985D5D">
        <w:rPr>
          <w:lang w:val="en-US"/>
        </w:rPr>
        <w:t xml:space="preserve">c) If it leads to a flow that cannot physically take place </w:t>
      </w:r>
    </w:p>
    <w:p w:rsidR="008416F5" w:rsidRPr="00985D5D" w:rsidRDefault="008416F5" w:rsidP="00A34FCB">
      <w:pPr>
        <w:autoSpaceDE w:val="0"/>
        <w:autoSpaceDN w:val="0"/>
        <w:adjustRightInd w:val="0"/>
        <w:spacing w:line="240" w:lineRule="auto"/>
        <w:jc w:val="left"/>
        <w:rPr>
          <w:lang w:val="en-US"/>
        </w:rPr>
      </w:pPr>
      <w:r w:rsidRPr="00985D5D">
        <w:rPr>
          <w:lang w:val="en-US"/>
        </w:rPr>
        <w:t xml:space="preserve">d) If it surpasses the agent's contracted capacity </w:t>
      </w:r>
    </w:p>
    <w:p w:rsidR="00033EE4" w:rsidRPr="00985D5D" w:rsidRDefault="00F179D2" w:rsidP="00985D5D">
      <w:pPr>
        <w:autoSpaceDE w:val="0"/>
        <w:autoSpaceDN w:val="0"/>
        <w:adjustRightInd w:val="0"/>
        <w:rPr>
          <w:lang w:val="en-US"/>
        </w:rPr>
      </w:pPr>
      <w:r w:rsidRPr="00985D5D">
        <w:rPr>
          <w:lang w:val="en-US"/>
        </w:rPr>
        <w:t>ENAGÁS GTS</w:t>
      </w:r>
      <w:r w:rsidR="00033EE4" w:rsidRPr="00985D5D">
        <w:rPr>
          <w:lang w:val="en-US"/>
        </w:rPr>
        <w:t xml:space="preserve"> </w:t>
      </w:r>
      <w:r w:rsidR="00244769">
        <w:rPr>
          <w:lang w:val="en-US"/>
        </w:rPr>
        <w:t>can</w:t>
      </w:r>
      <w:r w:rsidR="00033EE4" w:rsidRPr="00985D5D">
        <w:rPr>
          <w:lang w:val="en-US"/>
        </w:rPr>
        <w:t>not reject a user's nomination because the nomination</w:t>
      </w:r>
      <w:r w:rsidR="00F04935" w:rsidRPr="00985D5D">
        <w:rPr>
          <w:lang w:val="en-US"/>
        </w:rPr>
        <w:t xml:space="preserve"> of inputs</w:t>
      </w:r>
      <w:r w:rsidR="00033EE4" w:rsidRPr="00985D5D">
        <w:rPr>
          <w:lang w:val="en-US"/>
        </w:rPr>
        <w:t xml:space="preserve"> does not match </w:t>
      </w:r>
      <w:r w:rsidR="00F04935" w:rsidRPr="00985D5D">
        <w:rPr>
          <w:lang w:val="en-US"/>
        </w:rPr>
        <w:t xml:space="preserve">with the </w:t>
      </w:r>
      <w:r w:rsidR="00033EE4" w:rsidRPr="00985D5D">
        <w:rPr>
          <w:lang w:val="en-US"/>
        </w:rPr>
        <w:t>nomination</w:t>
      </w:r>
      <w:r w:rsidR="00F04935" w:rsidRPr="00985D5D">
        <w:rPr>
          <w:lang w:val="en-US"/>
        </w:rPr>
        <w:t xml:space="preserve"> of offtakes</w:t>
      </w:r>
      <w:r w:rsidR="00033EE4" w:rsidRPr="00985D5D">
        <w:rPr>
          <w:lang w:val="en-US"/>
        </w:rPr>
        <w:t xml:space="preserve">. </w:t>
      </w:r>
      <w:r w:rsidRPr="00985D5D">
        <w:rPr>
          <w:lang w:val="en-US"/>
        </w:rPr>
        <w:t>ENAGÁS GTS</w:t>
      </w:r>
      <w:r w:rsidR="0026355F" w:rsidRPr="00985D5D">
        <w:rPr>
          <w:lang w:val="en-US"/>
        </w:rPr>
        <w:t xml:space="preserve"> </w:t>
      </w:r>
      <w:r w:rsidR="00033EE4" w:rsidRPr="00985D5D">
        <w:rPr>
          <w:lang w:val="en-US"/>
        </w:rPr>
        <w:t xml:space="preserve">may only modify the quantity of </w:t>
      </w:r>
      <w:r w:rsidR="0026355F" w:rsidRPr="00985D5D">
        <w:rPr>
          <w:lang w:val="en-US"/>
        </w:rPr>
        <w:t>nominations/renominatio</w:t>
      </w:r>
      <w:r w:rsidR="005C5A6D">
        <w:rPr>
          <w:lang w:val="en-US"/>
        </w:rPr>
        <w:t>n</w:t>
      </w:r>
      <w:r w:rsidR="0026355F" w:rsidRPr="00985D5D">
        <w:rPr>
          <w:lang w:val="en-US"/>
        </w:rPr>
        <w:t>s</w:t>
      </w:r>
      <w:r w:rsidR="001A5ECA" w:rsidRPr="00985D5D">
        <w:rPr>
          <w:lang w:val="en-US"/>
        </w:rPr>
        <w:t xml:space="preserve"> in a justified manner</w:t>
      </w:r>
      <w:r w:rsidR="0026355F" w:rsidRPr="00985D5D">
        <w:rPr>
          <w:lang w:val="en-US"/>
        </w:rPr>
        <w:t xml:space="preserve"> in exceptional situations and, in particular, in emergency situations.</w:t>
      </w:r>
    </w:p>
    <w:p w:rsidR="00B970CD" w:rsidRDefault="0026355F" w:rsidP="00985D5D">
      <w:pPr>
        <w:rPr>
          <w:lang w:val="en-US"/>
        </w:rPr>
      </w:pPr>
      <w:r w:rsidRPr="00542093">
        <w:rPr>
          <w:lang w:val="en-US"/>
        </w:rPr>
        <w:t>Nomination and renominations are</w:t>
      </w:r>
      <w:r w:rsidRPr="00D46B65">
        <w:rPr>
          <w:lang w:val="en-US"/>
        </w:rPr>
        <w:t xml:space="preserve"> provided via SL-ATR, the IT system for the logistic of the Spanish gas system.</w:t>
      </w:r>
    </w:p>
    <w:p w:rsidR="002C3EB8" w:rsidRPr="009C6960" w:rsidRDefault="002C3EB8" w:rsidP="006302CC">
      <w:pPr>
        <w:rPr>
          <w:u w:val="single"/>
          <w:lang w:val="en-US"/>
        </w:rPr>
      </w:pPr>
      <w:r w:rsidRPr="009C6960">
        <w:rPr>
          <w:u w:val="single"/>
          <w:lang w:val="en-US"/>
        </w:rPr>
        <w:t>France</w:t>
      </w:r>
    </w:p>
    <w:p w:rsidR="00E86502" w:rsidRDefault="00DD151F" w:rsidP="00E86502">
      <w:pPr>
        <w:rPr>
          <w:lang w:val="en-US"/>
        </w:rPr>
      </w:pPr>
      <w:r>
        <w:rPr>
          <w:lang w:val="en-US"/>
        </w:rPr>
        <w:t xml:space="preserve">The following figure shows the schedule for nominations and renominations at </w:t>
      </w:r>
      <w:r w:rsidR="00CA40F6">
        <w:rPr>
          <w:color w:val="000000" w:themeColor="text1"/>
          <w:lang w:val="en-GB"/>
        </w:rPr>
        <w:t>TIGF</w:t>
      </w:r>
      <w:r>
        <w:rPr>
          <w:color w:val="000000" w:themeColor="text1"/>
          <w:lang w:val="en-GB"/>
        </w:rPr>
        <w:t xml:space="preserve"> network.</w:t>
      </w:r>
    </w:p>
    <w:p w:rsidR="00E86502" w:rsidRDefault="00E86502" w:rsidP="00E86502">
      <w:pPr>
        <w:rPr>
          <w:lang w:val="en-US"/>
        </w:rPr>
      </w:pPr>
      <w:r>
        <w:rPr>
          <w:noProof/>
          <w:lang w:val="es-ES" w:eastAsia="es-ES"/>
        </w:rPr>
        <w:drawing>
          <wp:inline distT="0" distB="0" distL="0" distR="0" wp14:anchorId="7CA2E653" wp14:editId="106AFE0F">
            <wp:extent cx="5913120" cy="1670926"/>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5339" cy="1680030"/>
                    </a:xfrm>
                    <a:prstGeom prst="rect">
                      <a:avLst/>
                    </a:prstGeom>
                    <a:noFill/>
                  </pic:spPr>
                </pic:pic>
              </a:graphicData>
            </a:graphic>
          </wp:inline>
        </w:drawing>
      </w:r>
    </w:p>
    <w:p w:rsidR="005C5A6D" w:rsidRPr="00CA40F6" w:rsidRDefault="005C5A6D" w:rsidP="00CA40F6">
      <w:pPr>
        <w:spacing w:before="120" w:line="240" w:lineRule="auto"/>
        <w:rPr>
          <w:bCs/>
          <w:lang w:val="en-US"/>
        </w:rPr>
      </w:pPr>
      <w:r>
        <w:rPr>
          <w:lang w:val="en-US"/>
        </w:rPr>
        <w:t>Figure 9</w:t>
      </w:r>
      <w:r w:rsidRPr="009C6960">
        <w:rPr>
          <w:lang w:val="en-US"/>
        </w:rPr>
        <w:t xml:space="preserve">: </w:t>
      </w:r>
      <w:r w:rsidR="00DD151F" w:rsidRPr="001E24AD">
        <w:rPr>
          <w:color w:val="000000" w:themeColor="text1"/>
          <w:lang w:val="en-GB"/>
        </w:rPr>
        <w:t>T</w:t>
      </w:r>
      <w:r w:rsidR="00CA40F6">
        <w:rPr>
          <w:color w:val="000000" w:themeColor="text1"/>
          <w:lang w:val="en-GB"/>
        </w:rPr>
        <w:t>IGF</w:t>
      </w:r>
      <w:r w:rsidR="00DD151F">
        <w:rPr>
          <w:color w:val="000000" w:themeColor="text1"/>
          <w:lang w:val="en-GB"/>
        </w:rPr>
        <w:t>’s s</w:t>
      </w:r>
      <w:r>
        <w:rPr>
          <w:lang w:val="en-US"/>
        </w:rPr>
        <w:t>chedule for n</w:t>
      </w:r>
      <w:r w:rsidRPr="009C6960">
        <w:rPr>
          <w:lang w:val="en-US"/>
        </w:rPr>
        <w:t>ominations/renominations.</w:t>
      </w:r>
    </w:p>
    <w:p w:rsidR="00E86502" w:rsidRDefault="00CA40F6" w:rsidP="00E86502">
      <w:pPr>
        <w:rPr>
          <w:bCs/>
          <w:lang w:val="en-GB"/>
        </w:rPr>
      </w:pPr>
      <w:r>
        <w:rPr>
          <w:color w:val="000000" w:themeColor="text1"/>
          <w:lang w:val="en-GB"/>
        </w:rPr>
        <w:t xml:space="preserve">TIGF </w:t>
      </w:r>
      <w:r w:rsidR="00DD151F">
        <w:rPr>
          <w:color w:val="000000" w:themeColor="text1"/>
          <w:lang w:val="en-GB"/>
        </w:rPr>
        <w:t>has</w:t>
      </w:r>
      <w:r w:rsidR="00932EF2">
        <w:rPr>
          <w:bCs/>
          <w:lang w:val="en-GB"/>
        </w:rPr>
        <w:t xml:space="preserve"> </w:t>
      </w:r>
      <w:r w:rsidR="00E86502" w:rsidRPr="008840CE">
        <w:rPr>
          <w:bCs/>
          <w:lang w:val="en-GB"/>
        </w:rPr>
        <w:t>37 continuous cycles from 2</w:t>
      </w:r>
      <w:r w:rsidR="005C5A6D">
        <w:rPr>
          <w:bCs/>
          <w:lang w:val="en-GB"/>
        </w:rPr>
        <w:t xml:space="preserve"> </w:t>
      </w:r>
      <w:r w:rsidR="00E86502" w:rsidRPr="008840CE">
        <w:rPr>
          <w:bCs/>
          <w:lang w:val="en-GB"/>
        </w:rPr>
        <w:t xml:space="preserve">pm on </w:t>
      </w:r>
      <w:r w:rsidR="00C12AFA">
        <w:rPr>
          <w:bCs/>
          <w:lang w:val="en-GB"/>
        </w:rPr>
        <w:t xml:space="preserve">the day before the gas day </w:t>
      </w:r>
      <w:r w:rsidR="00E86502" w:rsidRPr="008840CE">
        <w:rPr>
          <w:bCs/>
          <w:lang w:val="en-GB"/>
        </w:rPr>
        <w:t>D-1 to 3</w:t>
      </w:r>
      <w:r w:rsidR="005C5A6D">
        <w:rPr>
          <w:bCs/>
          <w:lang w:val="en-GB"/>
        </w:rPr>
        <w:t xml:space="preserve"> </w:t>
      </w:r>
      <w:r w:rsidR="00E86502" w:rsidRPr="008840CE">
        <w:rPr>
          <w:bCs/>
          <w:lang w:val="en-GB"/>
        </w:rPr>
        <w:t xml:space="preserve">am on </w:t>
      </w:r>
      <w:r w:rsidR="00C12AFA">
        <w:rPr>
          <w:bCs/>
          <w:lang w:val="en-GB"/>
        </w:rPr>
        <w:t xml:space="preserve">the gas day </w:t>
      </w:r>
      <w:r w:rsidR="00E86502" w:rsidRPr="008840CE">
        <w:rPr>
          <w:bCs/>
          <w:lang w:val="en-GB"/>
        </w:rPr>
        <w:t>D</w:t>
      </w:r>
      <w:r w:rsidR="00E86502">
        <w:rPr>
          <w:bCs/>
          <w:lang w:val="en-GB"/>
        </w:rPr>
        <w:t>.</w:t>
      </w:r>
    </w:p>
    <w:p w:rsidR="00E86502" w:rsidRPr="00A9432D" w:rsidRDefault="00E86502" w:rsidP="00E86502">
      <w:r w:rsidRPr="008840CE">
        <w:rPr>
          <w:bCs/>
          <w:lang w:val="en-GB"/>
        </w:rPr>
        <w:t>First cycle</w:t>
      </w:r>
      <w:r w:rsidR="007B529D">
        <w:rPr>
          <w:bCs/>
          <w:lang w:val="en-GB"/>
        </w:rPr>
        <w:t xml:space="preserve"> goes from</w:t>
      </w:r>
      <w:r w:rsidRPr="008840CE">
        <w:rPr>
          <w:bCs/>
          <w:lang w:val="en-GB"/>
        </w:rPr>
        <w:t xml:space="preserve"> 2</w:t>
      </w:r>
      <w:r w:rsidR="007B529D">
        <w:rPr>
          <w:bCs/>
          <w:lang w:val="en-GB"/>
        </w:rPr>
        <w:t xml:space="preserve">pm to </w:t>
      </w:r>
      <w:r w:rsidRPr="008840CE">
        <w:rPr>
          <w:bCs/>
          <w:lang w:val="en-GB"/>
        </w:rPr>
        <w:t>4</w:t>
      </w:r>
      <w:r w:rsidR="005C5A6D">
        <w:rPr>
          <w:bCs/>
          <w:lang w:val="en-GB"/>
        </w:rPr>
        <w:t xml:space="preserve"> p</w:t>
      </w:r>
      <w:r w:rsidRPr="008840CE">
        <w:rPr>
          <w:bCs/>
          <w:lang w:val="en-GB"/>
        </w:rPr>
        <w:t xml:space="preserve">m </w:t>
      </w:r>
      <w:r w:rsidR="007B529D">
        <w:rPr>
          <w:bCs/>
          <w:lang w:val="en-GB"/>
        </w:rPr>
        <w:t xml:space="preserve">during the day </w:t>
      </w:r>
      <w:r w:rsidRPr="008840CE">
        <w:rPr>
          <w:bCs/>
          <w:lang w:val="en-GB"/>
        </w:rPr>
        <w:t>D-1 (there is no 3-5pm cycle)</w:t>
      </w:r>
      <w:r>
        <w:rPr>
          <w:bCs/>
          <w:lang w:val="en-GB"/>
        </w:rPr>
        <w:t xml:space="preserve">. </w:t>
      </w:r>
      <w:r w:rsidRPr="008840CE">
        <w:rPr>
          <w:bCs/>
          <w:lang w:val="en-GB"/>
        </w:rPr>
        <w:t xml:space="preserve">After 4pm, each hour is a deadline for the beginning of a cycle </w:t>
      </w:r>
      <w:r>
        <w:rPr>
          <w:bCs/>
          <w:lang w:val="en-GB"/>
        </w:rPr>
        <w:t>(</w:t>
      </w:r>
      <w:r w:rsidRPr="008840CE">
        <w:rPr>
          <w:bCs/>
          <w:lang w:val="en-GB"/>
        </w:rPr>
        <w:t>overlapping 2-hour cycles</w:t>
      </w:r>
      <w:r>
        <w:rPr>
          <w:bCs/>
          <w:lang w:val="en-GB"/>
        </w:rPr>
        <w:t>).</w:t>
      </w:r>
    </w:p>
    <w:p w:rsidR="00E86502" w:rsidRDefault="00E86502" w:rsidP="00E86502">
      <w:pPr>
        <w:rPr>
          <w:bCs/>
          <w:lang w:val="en-GB"/>
        </w:rPr>
      </w:pPr>
      <w:r w:rsidRPr="008840CE">
        <w:rPr>
          <w:bCs/>
          <w:lang w:val="en-GB"/>
        </w:rPr>
        <w:t xml:space="preserve">Nomination </w:t>
      </w:r>
      <w:r>
        <w:rPr>
          <w:bCs/>
          <w:lang w:val="en-GB"/>
        </w:rPr>
        <w:t xml:space="preserve">is done </w:t>
      </w:r>
      <w:r w:rsidRPr="008840CE">
        <w:rPr>
          <w:bCs/>
          <w:lang w:val="en-GB"/>
        </w:rPr>
        <w:t xml:space="preserve">before </w:t>
      </w:r>
      <w:r w:rsidR="00C12AFA">
        <w:rPr>
          <w:bCs/>
          <w:lang w:val="en-GB"/>
        </w:rPr>
        <w:t xml:space="preserve">each hour H </w:t>
      </w:r>
      <w:r>
        <w:rPr>
          <w:bCs/>
          <w:lang w:val="en-GB"/>
        </w:rPr>
        <w:t xml:space="preserve">for a </w:t>
      </w:r>
      <w:r w:rsidR="00C12AFA">
        <w:rPr>
          <w:bCs/>
          <w:lang w:val="en-GB"/>
        </w:rPr>
        <w:t xml:space="preserve">quantity </w:t>
      </w:r>
      <w:r>
        <w:rPr>
          <w:bCs/>
          <w:lang w:val="en-GB"/>
        </w:rPr>
        <w:t>applicable at H+2.</w:t>
      </w:r>
    </w:p>
    <w:p w:rsidR="00E86502" w:rsidRPr="008840CE" w:rsidRDefault="00E86502" w:rsidP="00CA40F6">
      <w:r>
        <w:rPr>
          <w:bCs/>
          <w:lang w:val="en-GB"/>
        </w:rPr>
        <w:t xml:space="preserve">The </w:t>
      </w:r>
      <w:r w:rsidRPr="00E12FB0">
        <w:rPr>
          <w:bCs/>
          <w:lang w:val="en-GB"/>
        </w:rPr>
        <w:t>cycles are 2</w:t>
      </w:r>
      <w:r w:rsidR="00C12AFA">
        <w:rPr>
          <w:bCs/>
          <w:lang w:val="en-GB"/>
        </w:rPr>
        <w:t xml:space="preserve"> </w:t>
      </w:r>
      <w:r w:rsidRPr="00E12FB0">
        <w:rPr>
          <w:bCs/>
          <w:lang w:val="en-GB"/>
        </w:rPr>
        <w:t>h</w:t>
      </w:r>
      <w:r w:rsidR="00C12AFA">
        <w:rPr>
          <w:bCs/>
          <w:lang w:val="en-GB"/>
        </w:rPr>
        <w:t>ours</w:t>
      </w:r>
      <w:r w:rsidRPr="00E12FB0">
        <w:rPr>
          <w:bCs/>
          <w:lang w:val="en-GB"/>
        </w:rPr>
        <w:t xml:space="preserve"> long</w:t>
      </w:r>
      <w:r>
        <w:rPr>
          <w:bCs/>
          <w:lang w:val="en-GB"/>
        </w:rPr>
        <w:t xml:space="preserve"> </w:t>
      </w:r>
      <w:r w:rsidRPr="008840CE">
        <w:rPr>
          <w:bCs/>
          <w:lang w:val="en-GB"/>
        </w:rPr>
        <w:t xml:space="preserve">with </w:t>
      </w:r>
      <w:r>
        <w:rPr>
          <w:bCs/>
          <w:lang w:val="en-GB"/>
        </w:rPr>
        <w:t xml:space="preserve">a </w:t>
      </w:r>
      <w:r w:rsidRPr="008840CE">
        <w:rPr>
          <w:bCs/>
          <w:lang w:val="en-GB"/>
        </w:rPr>
        <w:t>scheduling in 1 hour</w:t>
      </w:r>
      <w:r>
        <w:rPr>
          <w:bCs/>
          <w:lang w:val="en-GB"/>
        </w:rPr>
        <w:t>. There is an a</w:t>
      </w:r>
      <w:r w:rsidRPr="008840CE">
        <w:rPr>
          <w:bCs/>
          <w:lang w:val="en-GB"/>
        </w:rPr>
        <w:t xml:space="preserve">greement with ENAGAS </w:t>
      </w:r>
      <w:r w:rsidR="00C12AFA">
        <w:rPr>
          <w:bCs/>
          <w:lang w:val="en-GB"/>
        </w:rPr>
        <w:t xml:space="preserve">GTS </w:t>
      </w:r>
      <w:r w:rsidRPr="008840CE">
        <w:rPr>
          <w:bCs/>
          <w:lang w:val="en-GB"/>
        </w:rPr>
        <w:t xml:space="preserve">to carry out </w:t>
      </w:r>
      <w:r>
        <w:rPr>
          <w:bCs/>
          <w:lang w:val="en-GB"/>
        </w:rPr>
        <w:t xml:space="preserve">a </w:t>
      </w:r>
      <w:r w:rsidRPr="008840CE">
        <w:rPr>
          <w:bCs/>
          <w:lang w:val="en-GB"/>
        </w:rPr>
        <w:t>matching for a 1-hour cycle</w:t>
      </w:r>
      <w:r w:rsidR="00C12AFA">
        <w:rPr>
          <w:bCs/>
          <w:lang w:val="en-GB"/>
        </w:rPr>
        <w:t xml:space="preserve"> at the Interconnection Points</w:t>
      </w:r>
      <w:r>
        <w:rPr>
          <w:bCs/>
          <w:lang w:val="en-GB"/>
        </w:rPr>
        <w:t>.</w:t>
      </w:r>
    </w:p>
    <w:p w:rsidR="00E86502" w:rsidRDefault="00E86502" w:rsidP="00E86502">
      <w:pPr>
        <w:jc w:val="center"/>
        <w:rPr>
          <w:lang w:val="en-US"/>
        </w:rPr>
      </w:pPr>
      <w:r>
        <w:rPr>
          <w:noProof/>
          <w:lang w:val="es-ES" w:eastAsia="es-ES"/>
        </w:rPr>
        <w:drawing>
          <wp:inline distT="0" distB="0" distL="0" distR="0" wp14:anchorId="73A13B52" wp14:editId="0B6DA9A2">
            <wp:extent cx="3349572" cy="1836420"/>
            <wp:effectExtent l="0" t="0" r="0" b="0"/>
            <wp:docPr id="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7041" cy="1845997"/>
                    </a:xfrm>
                    <a:prstGeom prst="rect">
                      <a:avLst/>
                    </a:prstGeom>
                    <a:noFill/>
                  </pic:spPr>
                </pic:pic>
              </a:graphicData>
            </a:graphic>
          </wp:inline>
        </w:drawing>
      </w:r>
    </w:p>
    <w:p w:rsidR="00F2606E" w:rsidRPr="002F3016" w:rsidRDefault="00F2606E" w:rsidP="00F2606E">
      <w:pPr>
        <w:spacing w:before="120" w:line="240" w:lineRule="auto"/>
        <w:rPr>
          <w:bCs/>
          <w:lang w:val="en-US"/>
        </w:rPr>
      </w:pPr>
      <w:r>
        <w:rPr>
          <w:lang w:val="en-US"/>
        </w:rPr>
        <w:t>Figure 10</w:t>
      </w:r>
      <w:r w:rsidRPr="009C6960">
        <w:rPr>
          <w:lang w:val="en-US"/>
        </w:rPr>
        <w:t xml:space="preserve">: </w:t>
      </w:r>
      <w:r w:rsidR="00C12AFA">
        <w:rPr>
          <w:lang w:val="en-US"/>
        </w:rPr>
        <w:t>Nominations and renominations at Interconnection Points between France and Spain.</w:t>
      </w:r>
    </w:p>
    <w:p w:rsidR="00E86502" w:rsidRPr="00D66318" w:rsidRDefault="00C12AFA" w:rsidP="00E86502">
      <w:r>
        <w:rPr>
          <w:bCs/>
          <w:lang w:val="en-GB"/>
        </w:rPr>
        <w:t xml:space="preserve">Nominations/renominations </w:t>
      </w:r>
      <w:r w:rsidR="00DD151F">
        <w:rPr>
          <w:bCs/>
          <w:lang w:val="en-GB"/>
        </w:rPr>
        <w:t xml:space="preserve">at </w:t>
      </w:r>
      <w:r w:rsidR="00DD151F" w:rsidRPr="001E24AD">
        <w:rPr>
          <w:color w:val="000000" w:themeColor="text1"/>
          <w:lang w:val="en-GB"/>
        </w:rPr>
        <w:t>T</w:t>
      </w:r>
      <w:r w:rsidR="00CA40F6">
        <w:rPr>
          <w:color w:val="000000" w:themeColor="text1"/>
          <w:lang w:val="en-GB"/>
        </w:rPr>
        <w:t>IGF</w:t>
      </w:r>
      <w:r w:rsidR="00DD151F">
        <w:rPr>
          <w:color w:val="000000" w:themeColor="text1"/>
          <w:lang w:val="en-GB"/>
        </w:rPr>
        <w:t xml:space="preserve">’s network </w:t>
      </w:r>
      <w:r>
        <w:rPr>
          <w:bCs/>
          <w:lang w:val="en-GB"/>
        </w:rPr>
        <w:t xml:space="preserve">have an impact in the gas flow between </w:t>
      </w:r>
      <w:r w:rsidR="00E86502">
        <w:rPr>
          <w:bCs/>
          <w:lang w:val="en-GB"/>
        </w:rPr>
        <w:t>T</w:t>
      </w:r>
      <w:r w:rsidR="00E86502" w:rsidRPr="008840CE">
        <w:rPr>
          <w:bCs/>
          <w:lang w:val="en-GB"/>
        </w:rPr>
        <w:t xml:space="preserve">IGF </w:t>
      </w:r>
      <w:r w:rsidR="00E86502">
        <w:t>and</w:t>
      </w:r>
      <w:r w:rsidR="00E86502" w:rsidRPr="00D66318">
        <w:rPr>
          <w:lang w:val="en-GB"/>
        </w:rPr>
        <w:t xml:space="preserve"> </w:t>
      </w:r>
      <w:r w:rsidR="00E86502" w:rsidRPr="008840CE">
        <w:rPr>
          <w:bCs/>
          <w:lang w:val="en-GB"/>
        </w:rPr>
        <w:t>GRTGaz</w:t>
      </w:r>
      <w:r w:rsidR="00DD151F">
        <w:rPr>
          <w:bCs/>
          <w:lang w:val="en-GB"/>
        </w:rPr>
        <w:t xml:space="preserve"> infrastructure</w:t>
      </w:r>
      <w:r>
        <w:rPr>
          <w:bCs/>
          <w:lang w:val="en-GB"/>
        </w:rPr>
        <w:t>.</w:t>
      </w:r>
      <w:r w:rsidR="00E86502">
        <w:rPr>
          <w:lang w:val="en-GB"/>
        </w:rPr>
        <w:t xml:space="preserve"> </w:t>
      </w:r>
      <w:r w:rsidR="00E86502" w:rsidRPr="008840CE">
        <w:rPr>
          <w:bCs/>
          <w:lang w:val="en-GB"/>
        </w:rPr>
        <w:t>GRTGaz</w:t>
      </w:r>
      <w:r w:rsidR="00E86502" w:rsidRPr="00D66318">
        <w:rPr>
          <w:lang w:val="en-GB"/>
        </w:rPr>
        <w:t xml:space="preserve"> </w:t>
      </w:r>
      <w:r>
        <w:rPr>
          <w:bCs/>
          <w:lang w:val="en-GB"/>
        </w:rPr>
        <w:t>must communicate</w:t>
      </w:r>
      <w:r w:rsidR="00E86502" w:rsidRPr="008840CE">
        <w:rPr>
          <w:bCs/>
          <w:lang w:val="en-GB"/>
        </w:rPr>
        <w:t xml:space="preserve"> TIGF</w:t>
      </w:r>
      <w:r w:rsidR="00E86502">
        <w:rPr>
          <w:bCs/>
          <w:lang w:val="en-GB"/>
        </w:rPr>
        <w:t xml:space="preserve"> </w:t>
      </w:r>
      <w:r>
        <w:rPr>
          <w:bCs/>
          <w:lang w:val="en-GB"/>
        </w:rPr>
        <w:t>the following information</w:t>
      </w:r>
      <w:r w:rsidR="00E86502">
        <w:rPr>
          <w:bCs/>
          <w:lang w:val="en-GB"/>
        </w:rPr>
        <w:t>:</w:t>
      </w:r>
    </w:p>
    <w:p w:rsidR="00E86502" w:rsidRPr="00D66318" w:rsidRDefault="00E86502" w:rsidP="009C6960">
      <w:pPr>
        <w:numPr>
          <w:ilvl w:val="0"/>
          <w:numId w:val="27"/>
        </w:numPr>
        <w:spacing w:line="240" w:lineRule="auto"/>
      </w:pPr>
      <w:r w:rsidRPr="00D66318">
        <w:rPr>
          <w:lang w:val="en-GB"/>
        </w:rPr>
        <w:t>Need for transport given the nominations at GRTGaz</w:t>
      </w:r>
    </w:p>
    <w:p w:rsidR="00E86502" w:rsidRPr="00D66318" w:rsidRDefault="00E86502" w:rsidP="009C6960">
      <w:pPr>
        <w:numPr>
          <w:ilvl w:val="0"/>
          <w:numId w:val="27"/>
        </w:numPr>
        <w:spacing w:line="240" w:lineRule="auto"/>
      </w:pPr>
      <w:r>
        <w:rPr>
          <w:lang w:val="en-GB"/>
        </w:rPr>
        <w:t>Calculation and di</w:t>
      </w:r>
      <w:r w:rsidRPr="00D66318">
        <w:rPr>
          <w:lang w:val="en-GB"/>
        </w:rPr>
        <w:t>spatch of an “average” flow (Implicit Flow) between the two TSOs</w:t>
      </w:r>
    </w:p>
    <w:p w:rsidR="00E86502" w:rsidRDefault="00DD151F" w:rsidP="00E86502">
      <w:pPr>
        <w:rPr>
          <w:lang w:val="en-US"/>
        </w:rPr>
      </w:pPr>
      <w:r>
        <w:rPr>
          <w:lang w:val="en-US"/>
        </w:rPr>
        <w:t xml:space="preserve">On the other hand, </w:t>
      </w:r>
      <w:r w:rsidR="00E86502">
        <w:rPr>
          <w:lang w:val="en-US"/>
        </w:rPr>
        <w:t xml:space="preserve">GRTgaz operational procedures pertaining to nominations and renominations fully comply with the provisions of the Balancing network code. This has been the case even before </w:t>
      </w:r>
      <w:r w:rsidR="00F2606E">
        <w:rPr>
          <w:lang w:val="en-US"/>
        </w:rPr>
        <w:t xml:space="preserve">the </w:t>
      </w:r>
      <w:r w:rsidR="00E86502">
        <w:rPr>
          <w:lang w:val="en-US"/>
        </w:rPr>
        <w:t>entry into force of this network code.</w:t>
      </w:r>
    </w:p>
    <w:p w:rsidR="002C3EB8" w:rsidRPr="009C6960" w:rsidRDefault="002C3EB8" w:rsidP="006302CC">
      <w:pPr>
        <w:rPr>
          <w:u w:val="single"/>
          <w:lang w:val="en-US"/>
        </w:rPr>
      </w:pPr>
      <w:r w:rsidRPr="009C6960">
        <w:rPr>
          <w:u w:val="single"/>
          <w:lang w:val="en-US"/>
        </w:rPr>
        <w:t>Portugal</w:t>
      </w:r>
    </w:p>
    <w:p w:rsidR="007E0E17" w:rsidRPr="009C6960" w:rsidRDefault="007E0E17" w:rsidP="007E0E17">
      <w:pPr>
        <w:rPr>
          <w:lang w:val="en-US"/>
        </w:rPr>
      </w:pPr>
      <w:r w:rsidRPr="009C6960">
        <w:rPr>
          <w:lang w:val="en-US"/>
        </w:rPr>
        <w:t xml:space="preserve">Commission Regulation (EU) No 312/2014 of 26 March is very prescriptive in these matters, so the regulatory framework adopted in the Portuguese system (MPGTG) </w:t>
      </w:r>
      <w:r w:rsidR="00DD151F">
        <w:rPr>
          <w:lang w:val="en-US"/>
        </w:rPr>
        <w:t>implements</w:t>
      </w:r>
      <w:r w:rsidR="00DD151F" w:rsidRPr="009C6960">
        <w:rPr>
          <w:lang w:val="en-US"/>
        </w:rPr>
        <w:t xml:space="preserve"> </w:t>
      </w:r>
      <w:r w:rsidRPr="009C6960">
        <w:rPr>
          <w:lang w:val="en-US"/>
        </w:rPr>
        <w:t xml:space="preserve">the schedule and an information exchange procedure as set out in that European </w:t>
      </w:r>
      <w:r w:rsidR="00DD151F">
        <w:rPr>
          <w:lang w:val="en-US"/>
        </w:rPr>
        <w:t>R</w:t>
      </w:r>
      <w:r w:rsidRPr="009C6960">
        <w:rPr>
          <w:lang w:val="en-US"/>
        </w:rPr>
        <w:t>egulation.</w:t>
      </w:r>
    </w:p>
    <w:p w:rsidR="007E0E17" w:rsidRPr="00A9289A" w:rsidRDefault="007E0E17" w:rsidP="007E0E17">
      <w:pPr>
        <w:rPr>
          <w:lang w:val="en-US"/>
        </w:rPr>
      </w:pPr>
      <w:r w:rsidRPr="009C6960">
        <w:rPr>
          <w:lang w:val="en-US"/>
        </w:rPr>
        <w:t>The following figure shows schematically the information flows and schedules established in the MPGTG.</w:t>
      </w:r>
    </w:p>
    <w:p w:rsidR="007E0E17" w:rsidRPr="001A35F0" w:rsidRDefault="007E0E17" w:rsidP="007E0E17">
      <w:pPr>
        <w:jc w:val="center"/>
        <w:rPr>
          <w:lang w:val="pt-PT"/>
        </w:rPr>
      </w:pPr>
      <w:r w:rsidRPr="00A9289A">
        <w:rPr>
          <w:noProof/>
          <w:lang w:val="es-ES" w:eastAsia="es-ES"/>
        </w:rPr>
        <w:drawing>
          <wp:inline distT="0" distB="0" distL="0" distR="0" wp14:anchorId="0911749C" wp14:editId="7DB34675">
            <wp:extent cx="3840480" cy="5292976"/>
            <wp:effectExtent l="0" t="0" r="762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3618" cy="5297300"/>
                    </a:xfrm>
                    <a:prstGeom prst="rect">
                      <a:avLst/>
                    </a:prstGeom>
                    <a:noFill/>
                    <a:ln>
                      <a:noFill/>
                    </a:ln>
                  </pic:spPr>
                </pic:pic>
              </a:graphicData>
            </a:graphic>
          </wp:inline>
        </w:drawing>
      </w:r>
    </w:p>
    <w:p w:rsidR="00F2606E" w:rsidRPr="002F3016" w:rsidRDefault="00F2606E" w:rsidP="00F2606E">
      <w:pPr>
        <w:spacing w:before="120" w:line="240" w:lineRule="auto"/>
        <w:rPr>
          <w:bCs/>
          <w:lang w:val="en-US"/>
        </w:rPr>
      </w:pPr>
      <w:r>
        <w:rPr>
          <w:lang w:val="en-US"/>
        </w:rPr>
        <w:t>Figure 11</w:t>
      </w:r>
      <w:r w:rsidRPr="009C6960">
        <w:rPr>
          <w:lang w:val="en-US"/>
        </w:rPr>
        <w:t xml:space="preserve">: </w:t>
      </w:r>
      <w:r w:rsidR="00DD151F">
        <w:rPr>
          <w:lang w:val="en-US"/>
        </w:rPr>
        <w:t xml:space="preserve">Nominations/renominations schedule in Portugal. </w:t>
      </w:r>
    </w:p>
    <w:p w:rsidR="00615636" w:rsidRDefault="00615636" w:rsidP="007E0E17">
      <w:pPr>
        <w:rPr>
          <w:lang w:val="en-US"/>
        </w:rPr>
      </w:pPr>
    </w:p>
    <w:p w:rsidR="007E0E17" w:rsidRPr="009C6960" w:rsidRDefault="007E0E17" w:rsidP="007E0E17">
      <w:pPr>
        <w:rPr>
          <w:lang w:val="en-US"/>
        </w:rPr>
      </w:pPr>
      <w:r w:rsidRPr="009C6960">
        <w:rPr>
          <w:lang w:val="en-US"/>
        </w:rPr>
        <w:t xml:space="preserve">Market Agents (MA) should submit the nominations </w:t>
      </w:r>
      <w:r w:rsidR="00F2606E">
        <w:rPr>
          <w:lang w:val="en-US"/>
        </w:rPr>
        <w:t xml:space="preserve">for the gas day </w:t>
      </w:r>
      <w:r w:rsidR="006C5E40">
        <w:rPr>
          <w:lang w:val="en-US"/>
        </w:rPr>
        <w:t xml:space="preserve">d </w:t>
      </w:r>
      <w:r w:rsidRPr="009C6960">
        <w:rPr>
          <w:lang w:val="en-US"/>
        </w:rPr>
        <w:t>to the GTG no later than 13:00</w:t>
      </w:r>
      <w:r w:rsidR="00DD151F">
        <w:rPr>
          <w:lang w:val="en-US"/>
        </w:rPr>
        <w:t xml:space="preserve"> </w:t>
      </w:r>
      <w:r w:rsidRPr="009C6960">
        <w:rPr>
          <w:lang w:val="en-US"/>
        </w:rPr>
        <w:t xml:space="preserve">h in </w:t>
      </w:r>
      <w:r w:rsidR="00DD151F">
        <w:rPr>
          <w:lang w:val="en-US"/>
        </w:rPr>
        <w:t xml:space="preserve">the day </w:t>
      </w:r>
      <w:r w:rsidRPr="009C6960">
        <w:rPr>
          <w:i/>
          <w:lang w:val="en-US"/>
        </w:rPr>
        <w:t>d</w:t>
      </w:r>
      <w:r w:rsidRPr="009C6960">
        <w:rPr>
          <w:lang w:val="en-US"/>
        </w:rPr>
        <w:t>-1. GTG must provide the confirmed quantities no later than 15:00</w:t>
      </w:r>
      <w:r w:rsidR="00DD151F">
        <w:rPr>
          <w:lang w:val="en-US"/>
        </w:rPr>
        <w:t xml:space="preserve"> </w:t>
      </w:r>
      <w:r w:rsidRPr="009C6960">
        <w:rPr>
          <w:lang w:val="en-US"/>
        </w:rPr>
        <w:t xml:space="preserve">h in </w:t>
      </w:r>
      <w:r w:rsidR="00DD151F">
        <w:rPr>
          <w:lang w:val="en-US"/>
        </w:rPr>
        <w:t xml:space="preserve">the day </w:t>
      </w:r>
      <w:r w:rsidRPr="009C6960">
        <w:rPr>
          <w:i/>
          <w:lang w:val="en-US"/>
        </w:rPr>
        <w:t>d</w:t>
      </w:r>
      <w:r w:rsidRPr="009C6960">
        <w:rPr>
          <w:lang w:val="en-US"/>
        </w:rPr>
        <w:t>-1.</w:t>
      </w:r>
    </w:p>
    <w:p w:rsidR="007E0E17" w:rsidRPr="009C6960" w:rsidRDefault="007E0E17" w:rsidP="007E0E17">
      <w:pPr>
        <w:rPr>
          <w:lang w:val="en-US"/>
        </w:rPr>
      </w:pPr>
      <w:r w:rsidRPr="009C6960">
        <w:rPr>
          <w:lang w:val="en-US"/>
        </w:rPr>
        <w:t>The renomination period opens at 15:00</w:t>
      </w:r>
      <w:r w:rsidR="00DD151F">
        <w:rPr>
          <w:lang w:val="en-US"/>
        </w:rPr>
        <w:t xml:space="preserve"> </w:t>
      </w:r>
      <w:r w:rsidRPr="009C6960">
        <w:rPr>
          <w:lang w:val="en-US"/>
        </w:rPr>
        <w:t xml:space="preserve">h in </w:t>
      </w:r>
      <w:r w:rsidR="00DD151F">
        <w:rPr>
          <w:lang w:val="en-US"/>
        </w:rPr>
        <w:t xml:space="preserve">the day </w:t>
      </w:r>
      <w:r w:rsidRPr="009C6960">
        <w:rPr>
          <w:i/>
          <w:lang w:val="en-US"/>
        </w:rPr>
        <w:t>d</w:t>
      </w:r>
      <w:r w:rsidRPr="009C6960">
        <w:rPr>
          <w:lang w:val="en-US"/>
        </w:rPr>
        <w:t>-1 and remains open until 03:00</w:t>
      </w:r>
      <w:r w:rsidR="006C5E40">
        <w:rPr>
          <w:lang w:val="en-US"/>
        </w:rPr>
        <w:t xml:space="preserve"> </w:t>
      </w:r>
      <w:r w:rsidRPr="009C6960">
        <w:rPr>
          <w:lang w:val="en-US"/>
        </w:rPr>
        <w:t>h in the gas day</w:t>
      </w:r>
      <w:r w:rsidR="009C46E4">
        <w:rPr>
          <w:lang w:val="en-US"/>
        </w:rPr>
        <w:t xml:space="preserve"> d</w:t>
      </w:r>
      <w:r w:rsidRPr="009C6960">
        <w:rPr>
          <w:lang w:val="en-US"/>
        </w:rPr>
        <w:t>. GTG must provide the confirmed quantities in a maximum of 2 hours after receiving renominations from MA.</w:t>
      </w:r>
    </w:p>
    <w:p w:rsidR="007E0E17" w:rsidRPr="00974EA3" w:rsidRDefault="009C6960" w:rsidP="007E0E17">
      <w:pPr>
        <w:rPr>
          <w:lang w:val="en-US"/>
        </w:rPr>
      </w:pPr>
      <w:r>
        <w:rPr>
          <w:lang w:val="en-US"/>
        </w:rPr>
        <w:t>Additionally</w:t>
      </w:r>
      <w:r w:rsidR="007E0E17" w:rsidRPr="009C6960">
        <w:rPr>
          <w:lang w:val="en-US"/>
        </w:rPr>
        <w:t>, the criteria for validation of nominations and renominations is almost fully defined in the Commission Regulation (EU) No 312/2014 of 26 March, being the Portuguese regulatory framework consistent with those provisions.</w:t>
      </w:r>
    </w:p>
    <w:p w:rsidR="007E0E17" w:rsidRPr="009C6960" w:rsidRDefault="007E0E17" w:rsidP="007E0E17">
      <w:pPr>
        <w:rPr>
          <w:lang w:val="en-US"/>
        </w:rPr>
      </w:pPr>
      <w:r w:rsidRPr="009C6960">
        <w:rPr>
          <w:rFonts w:cs="Arial"/>
          <w:color w:val="222222"/>
          <w:lang w:val="en"/>
        </w:rPr>
        <w:t>It should be underlined that, under the current MPGTG, nominations and renominations are limited to contracted capacity and may be subject to possible</w:t>
      </w:r>
      <w:r w:rsidR="009C6960">
        <w:rPr>
          <w:rFonts w:cs="Arial"/>
          <w:color w:val="222222"/>
          <w:lang w:val="en"/>
        </w:rPr>
        <w:t xml:space="preserve"> constraints if the capacity is </w:t>
      </w:r>
      <w:r w:rsidRPr="009C6960">
        <w:rPr>
          <w:rFonts w:cs="Arial"/>
          <w:color w:val="222222"/>
          <w:lang w:val="en"/>
        </w:rPr>
        <w:t>contracted on an interruptible basis or if a congestion management procedure is triggered.</w:t>
      </w:r>
    </w:p>
    <w:p w:rsidR="007E0E17" w:rsidRPr="00B83597" w:rsidRDefault="007E0E17" w:rsidP="007E0E17">
      <w:pPr>
        <w:rPr>
          <w:lang w:val="en-US"/>
        </w:rPr>
      </w:pPr>
      <w:r w:rsidRPr="009C6960">
        <w:rPr>
          <w:lang w:val="en-US"/>
        </w:rPr>
        <w:t>The MPGTG foresees the possibility of implicit capacity allocation by a market operator (MIBGAS)</w:t>
      </w:r>
      <w:r w:rsidR="006C5E40">
        <w:rPr>
          <w:lang w:val="en-US"/>
        </w:rPr>
        <w:t xml:space="preserve"> at the Interconnection Points</w:t>
      </w:r>
      <w:r w:rsidR="009C46E4">
        <w:rPr>
          <w:lang w:val="en-US"/>
        </w:rPr>
        <w:t xml:space="preserve"> with Spain</w:t>
      </w:r>
      <w:r w:rsidRPr="009C6960">
        <w:rPr>
          <w:lang w:val="en-US"/>
        </w:rPr>
        <w:t>, referring to a specific procedure in the Portuguese Access Code.</w:t>
      </w:r>
    </w:p>
    <w:p w:rsidR="007E0E17" w:rsidRPr="00D46B65" w:rsidRDefault="007E0E17" w:rsidP="006302CC">
      <w:pPr>
        <w:rPr>
          <w:lang w:val="en-US"/>
        </w:rPr>
      </w:pPr>
    </w:p>
    <w:p w:rsidR="006302CC" w:rsidRDefault="006302CC" w:rsidP="00735B38">
      <w:pPr>
        <w:pStyle w:val="Ttulo2"/>
        <w:rPr>
          <w:lang w:val="en-US"/>
        </w:rPr>
      </w:pPr>
      <w:bookmarkStart w:id="31" w:name="_Toc516823942"/>
      <w:r>
        <w:rPr>
          <w:lang w:val="en-US"/>
        </w:rPr>
        <w:t>Information provision</w:t>
      </w:r>
      <w:bookmarkEnd w:id="31"/>
    </w:p>
    <w:p w:rsidR="00D46B65" w:rsidRPr="007F5B3F" w:rsidRDefault="006302CC" w:rsidP="006302CC">
      <w:pPr>
        <w:rPr>
          <w:lang w:val="en-US"/>
        </w:rPr>
      </w:pPr>
      <w:r>
        <w:rPr>
          <w:lang w:val="en-US"/>
        </w:rPr>
        <w:t>The provision of information allow</w:t>
      </w:r>
      <w:r w:rsidR="00B26BA7">
        <w:rPr>
          <w:lang w:val="en-US"/>
        </w:rPr>
        <w:t>s</w:t>
      </w:r>
      <w:r>
        <w:rPr>
          <w:lang w:val="en-US"/>
        </w:rPr>
        <w:t xml:space="preserve"> the users` network to manage exposures and opportunities</w:t>
      </w:r>
      <w:r w:rsidR="00066D8F">
        <w:rPr>
          <w:lang w:val="en-US"/>
        </w:rPr>
        <w:t>,</w:t>
      </w:r>
      <w:r>
        <w:rPr>
          <w:lang w:val="en-US"/>
        </w:rPr>
        <w:t xml:space="preserve"> which it is crucial in a balancing regime where users have a central role in the balance of the system. The NC offered three possible models for information provision. </w:t>
      </w:r>
      <w:r w:rsidRPr="007F5B3F">
        <w:rPr>
          <w:lang w:val="en-US"/>
        </w:rPr>
        <w:t>French and</w:t>
      </w:r>
      <w:r>
        <w:rPr>
          <w:lang w:val="en-US"/>
        </w:rPr>
        <w:t xml:space="preserve"> Spanish regulation have implemented the so called “base case” model</w:t>
      </w:r>
      <w:r w:rsidR="00D46B65">
        <w:rPr>
          <w:lang w:val="en-US"/>
        </w:rPr>
        <w:t>,</w:t>
      </w:r>
      <w:r>
        <w:rPr>
          <w:lang w:val="en-US"/>
        </w:rPr>
        <w:t xml:space="preserve"> where the information on non daily metered off-takes consists of a day ahead and within day forecasts</w:t>
      </w:r>
      <w:r w:rsidR="00B26BA7">
        <w:rPr>
          <w:lang w:val="en-US"/>
        </w:rPr>
        <w:t>,</w:t>
      </w:r>
      <w:r>
        <w:rPr>
          <w:lang w:val="en-US"/>
        </w:rPr>
        <w:t xml:space="preserve"> </w:t>
      </w:r>
      <w:r w:rsidRPr="007F5B3F">
        <w:rPr>
          <w:lang w:val="en-US"/>
        </w:rPr>
        <w:t>while Portugal has implemented the “variant 2”</w:t>
      </w:r>
      <w:r w:rsidR="00B26BA7">
        <w:rPr>
          <w:lang w:val="en-US"/>
        </w:rPr>
        <w:t>,</w:t>
      </w:r>
      <w:r w:rsidRPr="007F5B3F">
        <w:rPr>
          <w:lang w:val="en-US"/>
        </w:rPr>
        <w:t xml:space="preserve"> where the information on non daily metered off-takes is a day ahead forecast.</w:t>
      </w:r>
    </w:p>
    <w:p w:rsidR="002C3EB8" w:rsidRPr="009C6960" w:rsidRDefault="002C3EB8" w:rsidP="006302CC">
      <w:pPr>
        <w:rPr>
          <w:u w:val="single"/>
          <w:lang w:val="en-US"/>
        </w:rPr>
      </w:pPr>
      <w:r w:rsidRPr="009C6960">
        <w:rPr>
          <w:u w:val="single"/>
          <w:lang w:val="en-US"/>
        </w:rPr>
        <w:t>Spain</w:t>
      </w:r>
    </w:p>
    <w:p w:rsidR="003C1855" w:rsidRDefault="003C1855" w:rsidP="006302CC">
      <w:pPr>
        <w:rPr>
          <w:lang w:val="en-US"/>
        </w:rPr>
      </w:pPr>
      <w:r>
        <w:rPr>
          <w:lang w:val="en-US"/>
        </w:rPr>
        <w:t xml:space="preserve">In Spain, </w:t>
      </w:r>
      <w:r w:rsidR="00F179D2">
        <w:rPr>
          <w:lang w:val="en-US"/>
        </w:rPr>
        <w:t>ENAGÁS GTS</w:t>
      </w:r>
      <w:r>
        <w:rPr>
          <w:lang w:val="en-US"/>
        </w:rPr>
        <w:t xml:space="preserve"> provides network users the best available information </w:t>
      </w:r>
      <w:r w:rsidR="00730D6F">
        <w:rPr>
          <w:lang w:val="en-US"/>
        </w:rPr>
        <w:t xml:space="preserve">with regard to their balance the day before (D-1), during the day (D) and the day after (D+1). The day before </w:t>
      </w:r>
      <w:r w:rsidR="00F179D2">
        <w:rPr>
          <w:lang w:val="en-US"/>
        </w:rPr>
        <w:t>ENAGÁS GTS</w:t>
      </w:r>
      <w:r w:rsidR="00730D6F">
        <w:rPr>
          <w:lang w:val="en-US"/>
        </w:rPr>
        <w:t xml:space="preserve"> publishes the overall </w:t>
      </w:r>
      <w:r w:rsidR="00033AD1">
        <w:rPr>
          <w:lang w:val="en-US"/>
        </w:rPr>
        <w:t xml:space="preserve">system </w:t>
      </w:r>
      <w:r w:rsidR="00730D6F">
        <w:rPr>
          <w:lang w:val="en-US"/>
        </w:rPr>
        <w:t>demand forecast together with the hypotheses used for the calculation. Afterwards, the distributors and TSO</w:t>
      </w:r>
      <w:r w:rsidR="00066D8F">
        <w:rPr>
          <w:lang w:val="en-US"/>
        </w:rPr>
        <w:t>s</w:t>
      </w:r>
      <w:r w:rsidR="00730D6F">
        <w:rPr>
          <w:lang w:val="en-US"/>
        </w:rPr>
        <w:t xml:space="preserve"> submit </w:t>
      </w:r>
      <w:r w:rsidR="00CB6120">
        <w:rPr>
          <w:lang w:val="en-US"/>
        </w:rPr>
        <w:t>to ENAGAS GTS</w:t>
      </w:r>
      <w:r w:rsidR="00730D6F">
        <w:rPr>
          <w:lang w:val="en-US"/>
        </w:rPr>
        <w:t xml:space="preserve"> their demand forecast break down by user. With this information, </w:t>
      </w:r>
      <w:r w:rsidR="00F179D2">
        <w:rPr>
          <w:lang w:val="en-US"/>
        </w:rPr>
        <w:t>ENAGÁS GTS</w:t>
      </w:r>
      <w:r w:rsidR="00730D6F">
        <w:rPr>
          <w:lang w:val="en-US"/>
        </w:rPr>
        <w:t xml:space="preserve"> recalculates </w:t>
      </w:r>
      <w:r w:rsidR="00B73D7A">
        <w:rPr>
          <w:lang w:val="en-US"/>
        </w:rPr>
        <w:t>the</w:t>
      </w:r>
      <w:r w:rsidR="00730D6F">
        <w:rPr>
          <w:lang w:val="en-US"/>
        </w:rPr>
        <w:t xml:space="preserve"> overall forecast demand</w:t>
      </w:r>
      <w:r w:rsidR="008934C9">
        <w:rPr>
          <w:lang w:val="en-US"/>
        </w:rPr>
        <w:t xml:space="preserve"> for the gas day (D)</w:t>
      </w:r>
      <w:r w:rsidR="00730D6F">
        <w:rPr>
          <w:lang w:val="en-US"/>
        </w:rPr>
        <w:t>.</w:t>
      </w:r>
      <w:r w:rsidR="008934C9">
        <w:rPr>
          <w:lang w:val="en-US"/>
        </w:rPr>
        <w:t xml:space="preserve"> During the gas day (D), </w:t>
      </w:r>
      <w:r w:rsidR="00F179D2">
        <w:rPr>
          <w:lang w:val="en-US"/>
        </w:rPr>
        <w:t>ENAGÁS GTS</w:t>
      </w:r>
      <w:r w:rsidR="008934C9">
        <w:rPr>
          <w:lang w:val="en-US"/>
        </w:rPr>
        <w:t xml:space="preserve"> will provide each network user at least twice (14:00 and 21:00) with information about their inputs and offtakes in both transport and distribution networks</w:t>
      </w:r>
      <w:r w:rsidR="00392CC3">
        <w:rPr>
          <w:lang w:val="en-US"/>
        </w:rPr>
        <w:t xml:space="preserve">, including user’s </w:t>
      </w:r>
      <w:r w:rsidR="00D060A5">
        <w:rPr>
          <w:lang w:val="en-US"/>
        </w:rPr>
        <w:t xml:space="preserve">intraday </w:t>
      </w:r>
      <w:r w:rsidR="00392CC3">
        <w:rPr>
          <w:lang w:val="en-US"/>
        </w:rPr>
        <w:t xml:space="preserve">metered demand and an updated estimate of its </w:t>
      </w:r>
      <w:r w:rsidR="00D060A5">
        <w:rPr>
          <w:lang w:val="en-US"/>
        </w:rPr>
        <w:t xml:space="preserve">daily and </w:t>
      </w:r>
      <w:r w:rsidR="00392CC3">
        <w:rPr>
          <w:lang w:val="en-US"/>
        </w:rPr>
        <w:t>non-daily metered demand</w:t>
      </w:r>
      <w:r w:rsidR="008934C9">
        <w:rPr>
          <w:lang w:val="en-US"/>
        </w:rPr>
        <w:t>.</w:t>
      </w:r>
      <w:r w:rsidR="00264364">
        <w:rPr>
          <w:lang w:val="en-US"/>
        </w:rPr>
        <w:t xml:space="preserve"> The day after (D+1)</w:t>
      </w:r>
      <w:r w:rsidR="004C5B82">
        <w:rPr>
          <w:lang w:val="en-US"/>
        </w:rPr>
        <w:t xml:space="preserve"> </w:t>
      </w:r>
      <w:r w:rsidR="00F179D2">
        <w:rPr>
          <w:lang w:val="en-US"/>
        </w:rPr>
        <w:t>ENAGÁS GTS</w:t>
      </w:r>
      <w:r w:rsidR="004C5B82">
        <w:rPr>
          <w:lang w:val="en-US"/>
        </w:rPr>
        <w:t xml:space="preserve"> will calculate </w:t>
      </w:r>
      <w:r w:rsidR="00D060A5">
        <w:rPr>
          <w:lang w:val="en-US"/>
        </w:rPr>
        <w:t xml:space="preserve">a first estimate of </w:t>
      </w:r>
      <w:r w:rsidR="004C5B82">
        <w:rPr>
          <w:lang w:val="en-US"/>
        </w:rPr>
        <w:t>the</w:t>
      </w:r>
      <w:r w:rsidR="00E74E62">
        <w:rPr>
          <w:lang w:val="en-US"/>
        </w:rPr>
        <w:t xml:space="preserve"> individual</w:t>
      </w:r>
      <w:r w:rsidR="004C5B82">
        <w:rPr>
          <w:lang w:val="en-US"/>
        </w:rPr>
        <w:t xml:space="preserve"> imbalance </w:t>
      </w:r>
      <w:r w:rsidR="003A7FC8">
        <w:rPr>
          <w:lang w:val="en-US"/>
        </w:rPr>
        <w:t>of</w:t>
      </w:r>
      <w:r w:rsidR="004C5B82">
        <w:rPr>
          <w:lang w:val="en-US"/>
        </w:rPr>
        <w:t xml:space="preserve"> </w:t>
      </w:r>
      <w:r w:rsidR="003A7FC8">
        <w:rPr>
          <w:lang w:val="en-US"/>
        </w:rPr>
        <w:t>each network user and will inform them separately</w:t>
      </w:r>
      <w:r w:rsidR="004C5B82">
        <w:rPr>
          <w:lang w:val="en-US"/>
        </w:rPr>
        <w:t>.</w:t>
      </w:r>
      <w:r w:rsidR="00D46B65">
        <w:rPr>
          <w:lang w:val="en-US"/>
        </w:rPr>
        <w:t xml:space="preserve"> </w:t>
      </w:r>
      <w:r w:rsidR="0093381F">
        <w:rPr>
          <w:lang w:val="en-US"/>
        </w:rPr>
        <w:t>The</w:t>
      </w:r>
      <w:r w:rsidR="002569DC">
        <w:rPr>
          <w:lang w:val="en-US"/>
        </w:rPr>
        <w:t>s</w:t>
      </w:r>
      <w:r w:rsidR="0093381F">
        <w:rPr>
          <w:lang w:val="en-US"/>
        </w:rPr>
        <w:t>e</w:t>
      </w:r>
      <w:r w:rsidR="002569DC">
        <w:rPr>
          <w:lang w:val="en-US"/>
        </w:rPr>
        <w:t xml:space="preserve"> estimate</w:t>
      </w:r>
      <w:r w:rsidR="0093381F">
        <w:rPr>
          <w:lang w:val="en-US"/>
        </w:rPr>
        <w:t>s are</w:t>
      </w:r>
      <w:r w:rsidR="002569DC">
        <w:rPr>
          <w:lang w:val="en-US"/>
        </w:rPr>
        <w:t xml:space="preserve"> updated twice, the first one after the real measures of non</w:t>
      </w:r>
      <w:r w:rsidR="007F33DD">
        <w:rPr>
          <w:lang w:val="en-US"/>
        </w:rPr>
        <w:t>-</w:t>
      </w:r>
      <w:r w:rsidR="002569DC">
        <w:rPr>
          <w:lang w:val="en-US"/>
        </w:rPr>
        <w:t xml:space="preserve">daily metered consumption are available, and the second one after results of </w:t>
      </w:r>
      <w:r w:rsidR="00A04792">
        <w:rPr>
          <w:lang w:val="en-US"/>
        </w:rPr>
        <w:t>meters</w:t>
      </w:r>
      <w:r w:rsidR="002569DC">
        <w:rPr>
          <w:lang w:val="en-US"/>
        </w:rPr>
        <w:t xml:space="preserve"> revisions correct </w:t>
      </w:r>
      <w:r w:rsidR="00A04792">
        <w:rPr>
          <w:lang w:val="en-US"/>
        </w:rPr>
        <w:t>mistakes in the measures</w:t>
      </w:r>
      <w:r w:rsidR="00A04792" w:rsidRPr="00A04792">
        <w:rPr>
          <w:lang w:val="en-US"/>
        </w:rPr>
        <w:t xml:space="preserve"> </w:t>
      </w:r>
      <w:r w:rsidR="00A04792">
        <w:rPr>
          <w:lang w:val="en-US"/>
        </w:rPr>
        <w:t>due to a malfunction</w:t>
      </w:r>
      <w:r w:rsidR="006D4BBE">
        <w:rPr>
          <w:lang w:val="en-US"/>
        </w:rPr>
        <w:t xml:space="preserve"> of the meter</w:t>
      </w:r>
      <w:r w:rsidR="002569DC">
        <w:rPr>
          <w:lang w:val="en-US"/>
        </w:rPr>
        <w:t xml:space="preserve">. </w:t>
      </w:r>
      <w:r w:rsidR="00D46B65">
        <w:rPr>
          <w:lang w:val="en-US"/>
        </w:rPr>
        <w:t xml:space="preserve">Information is provided via SL-ATR, the IT system for the logistic of the Spanish gas system. </w:t>
      </w:r>
    </w:p>
    <w:p w:rsidR="00D941C6" w:rsidRDefault="00D941C6" w:rsidP="00735B38">
      <w:pPr>
        <w:spacing w:before="120" w:line="240" w:lineRule="auto"/>
        <w:rPr>
          <w:lang w:val="en-US"/>
        </w:rPr>
      </w:pPr>
      <w:r>
        <w:rPr>
          <w:noProof/>
          <w:lang w:val="es-ES" w:eastAsia="es-ES"/>
        </w:rPr>
        <w:drawing>
          <wp:inline distT="0" distB="0" distL="0" distR="0" wp14:anchorId="61A2E2C6" wp14:editId="40E2B1E7">
            <wp:extent cx="5553075" cy="1533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3075" cy="1533525"/>
                    </a:xfrm>
                    <a:prstGeom prst="rect">
                      <a:avLst/>
                    </a:prstGeom>
                    <a:noFill/>
                    <a:ln>
                      <a:noFill/>
                    </a:ln>
                  </pic:spPr>
                </pic:pic>
              </a:graphicData>
            </a:graphic>
          </wp:inline>
        </w:drawing>
      </w:r>
    </w:p>
    <w:p w:rsidR="00D941C6" w:rsidRPr="00C04D89" w:rsidRDefault="00241205" w:rsidP="00735B38">
      <w:pPr>
        <w:spacing w:before="120" w:line="240" w:lineRule="auto"/>
      </w:pPr>
      <w:r>
        <w:t xml:space="preserve">Figure </w:t>
      </w:r>
      <w:r w:rsidR="00392CC3">
        <w:t>12</w:t>
      </w:r>
      <w:r w:rsidR="00D941C6" w:rsidRPr="009C6960">
        <w:t>: Timeline for information provision</w:t>
      </w:r>
    </w:p>
    <w:p w:rsidR="002C3EB8" w:rsidRPr="00C04D89" w:rsidRDefault="002C3EB8" w:rsidP="00735B38">
      <w:pPr>
        <w:spacing w:before="120" w:line="240" w:lineRule="auto"/>
      </w:pPr>
    </w:p>
    <w:p w:rsidR="002C3EB8" w:rsidRPr="00A86707" w:rsidRDefault="009C6960" w:rsidP="00735B38">
      <w:pPr>
        <w:spacing w:before="120" w:line="240" w:lineRule="auto"/>
        <w:rPr>
          <w:u w:val="single"/>
        </w:rPr>
      </w:pPr>
      <w:r w:rsidRPr="00A86707">
        <w:rPr>
          <w:u w:val="single"/>
        </w:rPr>
        <w:t>France</w:t>
      </w:r>
    </w:p>
    <w:p w:rsidR="009C6960" w:rsidRDefault="009C6960" w:rsidP="00735B38">
      <w:pPr>
        <w:spacing w:before="120" w:line="240" w:lineRule="auto"/>
      </w:pPr>
    </w:p>
    <w:p w:rsidR="009C6960" w:rsidRPr="00C04D89" w:rsidRDefault="009C6960" w:rsidP="00735B38">
      <w:pPr>
        <w:spacing w:before="120" w:line="240" w:lineRule="auto"/>
      </w:pPr>
    </w:p>
    <w:p w:rsidR="002C3EB8" w:rsidRPr="009C6960" w:rsidRDefault="007E0E17" w:rsidP="00735B38">
      <w:pPr>
        <w:spacing w:before="120" w:line="240" w:lineRule="auto"/>
        <w:rPr>
          <w:u w:val="single"/>
        </w:rPr>
      </w:pPr>
      <w:r w:rsidRPr="009C6960">
        <w:rPr>
          <w:u w:val="single"/>
        </w:rPr>
        <w:t>Portugal</w:t>
      </w:r>
    </w:p>
    <w:p w:rsidR="007E0E17" w:rsidRPr="009C6960" w:rsidRDefault="007E0E17" w:rsidP="007E0E17">
      <w:pPr>
        <w:rPr>
          <w:lang w:val="en-US"/>
        </w:rPr>
      </w:pPr>
      <w:r w:rsidRPr="009C6960">
        <w:rPr>
          <w:lang w:val="en-US"/>
        </w:rPr>
        <w:t xml:space="preserve">The information provision from the GTG to the market agents (MA), regarding the application of Commission Regulation (EU) No 312/2014 of 26 March, in particular concerning the balancing status on the transmission network, occurs the day before the gas day </w:t>
      </w:r>
      <w:r w:rsidRPr="009C6960">
        <w:rPr>
          <w:i/>
          <w:lang w:val="en-US"/>
        </w:rPr>
        <w:t>d</w:t>
      </w:r>
      <w:r w:rsidRPr="009C6960">
        <w:rPr>
          <w:lang w:val="en-US"/>
        </w:rPr>
        <w:t xml:space="preserve"> (gas day </w:t>
      </w:r>
      <w:r w:rsidRPr="009C6960">
        <w:rPr>
          <w:i/>
          <w:lang w:val="en-US"/>
        </w:rPr>
        <w:t>d</w:t>
      </w:r>
      <w:r w:rsidRPr="009C6960">
        <w:rPr>
          <w:lang w:val="en-US"/>
        </w:rPr>
        <w:t xml:space="preserve">-1), during the gas day </w:t>
      </w:r>
      <w:r w:rsidRPr="009C6960">
        <w:rPr>
          <w:i/>
          <w:lang w:val="en-US"/>
        </w:rPr>
        <w:t>d</w:t>
      </w:r>
      <w:r w:rsidRPr="009C6960">
        <w:rPr>
          <w:lang w:val="en-US"/>
        </w:rPr>
        <w:t xml:space="preserve"> and after the gas day </w:t>
      </w:r>
      <w:r w:rsidRPr="009C6960">
        <w:rPr>
          <w:i/>
          <w:lang w:val="en-US"/>
        </w:rPr>
        <w:t>d</w:t>
      </w:r>
      <w:r w:rsidRPr="009C6960">
        <w:rPr>
          <w:lang w:val="en-US"/>
        </w:rPr>
        <w:t>.</w:t>
      </w:r>
    </w:p>
    <w:p w:rsidR="007E0E17" w:rsidRPr="008C4B17" w:rsidRDefault="007E0E17" w:rsidP="007E0E17">
      <w:pPr>
        <w:rPr>
          <w:lang w:val="en-US"/>
        </w:rPr>
      </w:pPr>
      <w:r w:rsidRPr="009C6960">
        <w:rPr>
          <w:rFonts w:cs="Arial"/>
          <w:color w:val="222222"/>
          <w:lang w:val="en"/>
        </w:rPr>
        <w:t xml:space="preserve">On the gas day d-1, the GTG must provide the MA relevant information concerning forecasts for the non-daily metered (NDM) portfolio’s off-takes, for </w:t>
      </w:r>
      <w:r w:rsidR="00392CC3">
        <w:rPr>
          <w:rFonts w:cs="Arial"/>
          <w:color w:val="222222"/>
          <w:lang w:val="en"/>
        </w:rPr>
        <w:t xml:space="preserve">the </w:t>
      </w:r>
      <w:r w:rsidRPr="009C6960">
        <w:rPr>
          <w:rFonts w:cs="Arial"/>
          <w:color w:val="222222"/>
          <w:lang w:val="en"/>
        </w:rPr>
        <w:t xml:space="preserve">gas day d. This process involves the GTG, the Distribution System Operators (DSOs) and the </w:t>
      </w:r>
      <w:r w:rsidR="006C5C5F">
        <w:rPr>
          <w:rFonts w:cs="Arial"/>
          <w:color w:val="222222"/>
          <w:lang w:val="en"/>
        </w:rPr>
        <w:t>E</w:t>
      </w:r>
      <w:r w:rsidRPr="009C6960">
        <w:rPr>
          <w:rFonts w:cs="Arial"/>
          <w:color w:val="222222"/>
          <w:lang w:val="en"/>
        </w:rPr>
        <w:t xml:space="preserve">ntity </w:t>
      </w:r>
      <w:r w:rsidR="006C5C5F">
        <w:rPr>
          <w:rFonts w:cs="Arial"/>
          <w:color w:val="222222"/>
          <w:lang w:val="en"/>
        </w:rPr>
        <w:t>R</w:t>
      </w:r>
      <w:r w:rsidRPr="009C6960">
        <w:rPr>
          <w:rFonts w:cs="Arial"/>
          <w:color w:val="222222"/>
          <w:lang w:val="en"/>
        </w:rPr>
        <w:t xml:space="preserve">esponsible for </w:t>
      </w:r>
      <w:r w:rsidR="006C5C5F">
        <w:rPr>
          <w:rFonts w:cs="Arial"/>
          <w:color w:val="222222"/>
          <w:lang w:val="en"/>
        </w:rPr>
        <w:t>F</w:t>
      </w:r>
      <w:r w:rsidRPr="009C6960">
        <w:rPr>
          <w:rFonts w:cs="Arial"/>
          <w:color w:val="222222"/>
          <w:lang w:val="en"/>
        </w:rPr>
        <w:t xml:space="preserve">orecasting (ERP). The following figure presents the procedure applicable to the information provision on </w:t>
      </w:r>
      <w:r w:rsidR="00392CC3">
        <w:rPr>
          <w:rFonts w:cs="Arial"/>
          <w:color w:val="222222"/>
          <w:lang w:val="en"/>
        </w:rPr>
        <w:t xml:space="preserve">the </w:t>
      </w:r>
      <w:r w:rsidRPr="009C6960">
        <w:rPr>
          <w:rFonts w:cs="Arial"/>
          <w:color w:val="222222"/>
          <w:lang w:val="en"/>
        </w:rPr>
        <w:t xml:space="preserve">gas day </w:t>
      </w:r>
      <w:r w:rsidRPr="009C6960">
        <w:rPr>
          <w:rFonts w:cs="Arial"/>
          <w:i/>
          <w:color w:val="222222"/>
          <w:lang w:val="en"/>
        </w:rPr>
        <w:t>d</w:t>
      </w:r>
      <w:r w:rsidRPr="009C6960">
        <w:rPr>
          <w:rFonts w:cs="Arial"/>
          <w:color w:val="222222"/>
          <w:lang w:val="en"/>
        </w:rPr>
        <w:t>-1, concerning the NDM off-takes.</w:t>
      </w:r>
    </w:p>
    <w:p w:rsidR="007E0E17" w:rsidRDefault="007E0E17" w:rsidP="007E0E17">
      <w:pPr>
        <w:rPr>
          <w:lang w:val="pt-PT"/>
        </w:rPr>
      </w:pPr>
      <w:r w:rsidRPr="00BE03BD">
        <w:rPr>
          <w:noProof/>
          <w:lang w:val="es-ES" w:eastAsia="es-ES"/>
        </w:rPr>
        <w:drawing>
          <wp:inline distT="0" distB="0" distL="0" distR="0" wp14:anchorId="53CFBAF1" wp14:editId="63438917">
            <wp:extent cx="5669915" cy="3150097"/>
            <wp:effectExtent l="0" t="0" r="698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9915" cy="3150097"/>
                    </a:xfrm>
                    <a:prstGeom prst="rect">
                      <a:avLst/>
                    </a:prstGeom>
                    <a:noFill/>
                    <a:ln>
                      <a:noFill/>
                    </a:ln>
                  </pic:spPr>
                </pic:pic>
              </a:graphicData>
            </a:graphic>
          </wp:inline>
        </w:drawing>
      </w:r>
    </w:p>
    <w:p w:rsidR="00392CC3" w:rsidRPr="00C04D89" w:rsidRDefault="00392CC3" w:rsidP="00392CC3">
      <w:pPr>
        <w:spacing w:before="120" w:line="240" w:lineRule="auto"/>
      </w:pPr>
      <w:r>
        <w:t>Figure 13</w:t>
      </w:r>
      <w:r w:rsidRPr="009C6960">
        <w:t>: Timeline for information provision</w:t>
      </w:r>
      <w:r>
        <w:t xml:space="preserve"> in Portugal.</w:t>
      </w:r>
    </w:p>
    <w:p w:rsidR="00615636" w:rsidRDefault="00615636" w:rsidP="007E0E17">
      <w:pPr>
        <w:rPr>
          <w:rFonts w:cs="Arial"/>
          <w:color w:val="222222"/>
          <w:lang w:val="en"/>
        </w:rPr>
      </w:pPr>
    </w:p>
    <w:p w:rsidR="007E0E17" w:rsidRPr="009C6960" w:rsidRDefault="007E0E17" w:rsidP="007E0E17">
      <w:pPr>
        <w:rPr>
          <w:rFonts w:cs="Arial"/>
          <w:color w:val="222222"/>
          <w:lang w:val="en"/>
        </w:rPr>
      </w:pPr>
      <w:r w:rsidRPr="009C6960">
        <w:rPr>
          <w:rFonts w:cs="Arial"/>
          <w:color w:val="222222"/>
          <w:lang w:val="en"/>
        </w:rPr>
        <w:t xml:space="preserve">The GTG must receive relevant information from the DSOs with the composition of the NDM costumer’s portfolio of each MA and, also updates from the forecasting party regarding the daily consumption profiles to be applied on gas day </w:t>
      </w:r>
      <w:r w:rsidRPr="009C6960">
        <w:rPr>
          <w:rFonts w:cs="Arial"/>
          <w:i/>
          <w:color w:val="222222"/>
          <w:lang w:val="en"/>
        </w:rPr>
        <w:t>d</w:t>
      </w:r>
      <w:r w:rsidRPr="009C6960">
        <w:rPr>
          <w:rFonts w:cs="Arial"/>
          <w:color w:val="222222"/>
          <w:lang w:val="en"/>
        </w:rPr>
        <w:t xml:space="preserve"> to NDM co</w:t>
      </w:r>
      <w:r w:rsidR="00A04792">
        <w:rPr>
          <w:rFonts w:cs="Arial"/>
          <w:color w:val="222222"/>
          <w:lang w:val="en"/>
        </w:rPr>
        <w:t>n</w:t>
      </w:r>
      <w:r w:rsidRPr="009C6960">
        <w:rPr>
          <w:rFonts w:cs="Arial"/>
          <w:color w:val="222222"/>
          <w:lang w:val="en"/>
        </w:rPr>
        <w:t>sumers.</w:t>
      </w:r>
    </w:p>
    <w:p w:rsidR="007E0E17" w:rsidRPr="009C6960" w:rsidRDefault="007E0E17" w:rsidP="007E0E17">
      <w:pPr>
        <w:rPr>
          <w:rFonts w:cs="Arial"/>
          <w:color w:val="222222"/>
          <w:lang w:val="en"/>
        </w:rPr>
      </w:pPr>
      <w:r w:rsidRPr="009C6960">
        <w:rPr>
          <w:rFonts w:cs="Arial"/>
          <w:color w:val="222222"/>
          <w:lang w:val="en"/>
        </w:rPr>
        <w:t xml:space="preserve">The DSOs and the forecasting party must submit the information referred in the previous paragraph, during the gas day </w:t>
      </w:r>
      <w:r w:rsidRPr="009C6960">
        <w:rPr>
          <w:rFonts w:cs="Arial"/>
          <w:i/>
          <w:color w:val="222222"/>
          <w:lang w:val="en"/>
        </w:rPr>
        <w:t>d</w:t>
      </w:r>
      <w:r w:rsidRPr="009C6960">
        <w:rPr>
          <w:rFonts w:cs="Arial"/>
          <w:color w:val="222222"/>
          <w:lang w:val="en"/>
        </w:rPr>
        <w:t>-1, until 9:30 and 11:00, respectively. If the GTG does not obtain the previously mentioned information</w:t>
      </w:r>
      <w:r w:rsidR="00282CA2" w:rsidRPr="00282CA2">
        <w:rPr>
          <w:rFonts w:cs="Arial"/>
          <w:color w:val="222222"/>
          <w:lang w:val="en"/>
        </w:rPr>
        <w:t xml:space="preserve"> </w:t>
      </w:r>
      <w:r w:rsidR="00282CA2" w:rsidRPr="009C6960">
        <w:rPr>
          <w:rFonts w:cs="Arial"/>
          <w:color w:val="222222"/>
          <w:lang w:val="en"/>
        </w:rPr>
        <w:t>from the DSOs and from the forecasting party</w:t>
      </w:r>
      <w:r w:rsidRPr="009C6960">
        <w:rPr>
          <w:rFonts w:cs="Arial"/>
          <w:color w:val="222222"/>
          <w:lang w:val="en"/>
        </w:rPr>
        <w:t xml:space="preserve">, it </w:t>
      </w:r>
      <w:r w:rsidR="00282CA2">
        <w:rPr>
          <w:rFonts w:cs="Arial"/>
          <w:color w:val="222222"/>
          <w:lang w:val="en"/>
        </w:rPr>
        <w:t xml:space="preserve">must </w:t>
      </w:r>
      <w:r w:rsidRPr="009C6960">
        <w:rPr>
          <w:rFonts w:cs="Arial"/>
          <w:color w:val="222222"/>
          <w:lang w:val="en"/>
        </w:rPr>
        <w:t>apply the data available in the last communication.</w:t>
      </w:r>
    </w:p>
    <w:p w:rsidR="007E0E17" w:rsidRPr="009C6960" w:rsidRDefault="007E0E17" w:rsidP="007E0E17">
      <w:pPr>
        <w:rPr>
          <w:rFonts w:cs="Arial"/>
          <w:color w:val="000000"/>
          <w:sz w:val="20"/>
          <w:szCs w:val="20"/>
          <w:lang w:val="en-US"/>
        </w:rPr>
      </w:pPr>
      <w:r w:rsidRPr="009C6960">
        <w:rPr>
          <w:rFonts w:cs="Arial"/>
          <w:color w:val="222222"/>
          <w:lang w:val="en"/>
        </w:rPr>
        <w:t xml:space="preserve">Once the relevant data is gathered, the GTG must aggregate for each MA the respective NDM off-take forecast. These forecasts must be provided to the MA during the gas day </w:t>
      </w:r>
      <w:r w:rsidRPr="009C6960">
        <w:rPr>
          <w:rFonts w:cs="Arial"/>
          <w:i/>
          <w:color w:val="222222"/>
          <w:lang w:val="en"/>
        </w:rPr>
        <w:t>d</w:t>
      </w:r>
      <w:r w:rsidRPr="009C6960">
        <w:rPr>
          <w:rFonts w:cs="Arial"/>
          <w:color w:val="222222"/>
          <w:lang w:val="en"/>
        </w:rPr>
        <w:t>-1, until 12:00.</w:t>
      </w:r>
    </w:p>
    <w:p w:rsidR="007E0E17" w:rsidRPr="009C6960" w:rsidRDefault="007E0E17" w:rsidP="007E0E17">
      <w:pPr>
        <w:rPr>
          <w:rFonts w:cs="Arial"/>
          <w:color w:val="000000"/>
          <w:sz w:val="20"/>
          <w:szCs w:val="20"/>
          <w:lang w:val="en-US"/>
        </w:rPr>
      </w:pPr>
      <w:r w:rsidRPr="009C6960">
        <w:rPr>
          <w:rFonts w:cs="Arial"/>
          <w:color w:val="222222"/>
          <w:lang w:val="en"/>
        </w:rPr>
        <w:t xml:space="preserve">On gas day </w:t>
      </w:r>
      <w:r w:rsidRPr="009C6960">
        <w:rPr>
          <w:rFonts w:cs="Arial"/>
          <w:i/>
          <w:color w:val="222222"/>
          <w:lang w:val="en"/>
        </w:rPr>
        <w:t>d</w:t>
      </w:r>
      <w:r w:rsidRPr="009C6960">
        <w:rPr>
          <w:rFonts w:cs="Arial"/>
          <w:color w:val="222222"/>
          <w:lang w:val="en"/>
        </w:rPr>
        <w:t xml:space="preserve">, GTG </w:t>
      </w:r>
      <w:r w:rsidR="00D060A5">
        <w:rPr>
          <w:rFonts w:cs="Arial"/>
          <w:color w:val="222222"/>
          <w:lang w:val="en"/>
        </w:rPr>
        <w:t>must</w:t>
      </w:r>
      <w:r w:rsidRPr="009C6960">
        <w:rPr>
          <w:rFonts w:cs="Arial"/>
          <w:color w:val="222222"/>
          <w:lang w:val="en"/>
        </w:rPr>
        <w:t xml:space="preserve"> provide information on intraday metered (IM) intakes and off-takes (which, in the Portuguese system, concerns the co</w:t>
      </w:r>
      <w:r w:rsidR="00D060A5">
        <w:rPr>
          <w:rFonts w:cs="Arial"/>
          <w:color w:val="222222"/>
          <w:lang w:val="en"/>
        </w:rPr>
        <w:t>ns</w:t>
      </w:r>
      <w:r w:rsidRPr="009C6960">
        <w:rPr>
          <w:rFonts w:cs="Arial"/>
          <w:color w:val="222222"/>
          <w:lang w:val="en"/>
        </w:rPr>
        <w:t>umers supplied directly from the transmission network), including a minimum of three updates, namely:</w:t>
      </w:r>
    </w:p>
    <w:p w:rsidR="007E0E17" w:rsidRPr="009C6960" w:rsidRDefault="007E0E17" w:rsidP="00A00BD4">
      <w:pPr>
        <w:pStyle w:val="Prrafodelista"/>
        <w:numPr>
          <w:ilvl w:val="0"/>
          <w:numId w:val="10"/>
        </w:numPr>
        <w:ind w:left="426" w:hanging="426"/>
        <w:rPr>
          <w:rFonts w:cs="Arial"/>
          <w:color w:val="000000"/>
          <w:sz w:val="20"/>
          <w:szCs w:val="20"/>
          <w:lang w:val="en-US"/>
        </w:rPr>
      </w:pPr>
      <w:r w:rsidRPr="009C6960">
        <w:rPr>
          <w:rFonts w:cs="Arial"/>
          <w:color w:val="000000"/>
          <w:sz w:val="20"/>
          <w:szCs w:val="20"/>
          <w:lang w:val="en-US"/>
        </w:rPr>
        <w:t>Until 13:00</w:t>
      </w:r>
      <w:r w:rsidR="00D060A5">
        <w:rPr>
          <w:rFonts w:cs="Arial"/>
          <w:color w:val="000000"/>
          <w:sz w:val="20"/>
          <w:szCs w:val="20"/>
          <w:lang w:val="en-US"/>
        </w:rPr>
        <w:t xml:space="preserve"> </w:t>
      </w:r>
      <w:r w:rsidRPr="009C6960">
        <w:rPr>
          <w:rFonts w:cs="Arial"/>
          <w:color w:val="000000"/>
          <w:sz w:val="20"/>
          <w:szCs w:val="20"/>
          <w:lang w:val="en-US"/>
        </w:rPr>
        <w:t xml:space="preserve">h, concerning the period from 05:00h to 10:00h of gas day </w:t>
      </w:r>
      <w:r w:rsidRPr="009C6960">
        <w:rPr>
          <w:rFonts w:cs="Arial"/>
          <w:i/>
          <w:color w:val="000000"/>
          <w:sz w:val="20"/>
          <w:szCs w:val="20"/>
          <w:lang w:val="en-US"/>
        </w:rPr>
        <w:t>d</w:t>
      </w:r>
      <w:r w:rsidRPr="009C6960">
        <w:rPr>
          <w:rFonts w:cs="Arial"/>
          <w:color w:val="000000"/>
          <w:sz w:val="20"/>
          <w:szCs w:val="20"/>
          <w:lang w:val="en-US"/>
        </w:rPr>
        <w:t xml:space="preserve">; </w:t>
      </w:r>
    </w:p>
    <w:p w:rsidR="007E0E17" w:rsidRPr="009C6960" w:rsidRDefault="007E0E17" w:rsidP="00A00BD4">
      <w:pPr>
        <w:pStyle w:val="Prrafodelista"/>
        <w:numPr>
          <w:ilvl w:val="0"/>
          <w:numId w:val="10"/>
        </w:numPr>
        <w:ind w:left="426" w:hanging="426"/>
        <w:rPr>
          <w:rFonts w:cs="Arial"/>
          <w:color w:val="000000"/>
          <w:sz w:val="20"/>
          <w:szCs w:val="20"/>
          <w:lang w:val="en-US"/>
        </w:rPr>
      </w:pPr>
      <w:r w:rsidRPr="009C6960">
        <w:rPr>
          <w:rFonts w:cs="Arial"/>
          <w:color w:val="000000"/>
          <w:sz w:val="20"/>
          <w:szCs w:val="20"/>
          <w:lang w:val="en-US"/>
        </w:rPr>
        <w:t>Until 20:00</w:t>
      </w:r>
      <w:r w:rsidR="00D060A5">
        <w:rPr>
          <w:rFonts w:cs="Arial"/>
          <w:color w:val="000000"/>
          <w:sz w:val="20"/>
          <w:szCs w:val="20"/>
          <w:lang w:val="en-US"/>
        </w:rPr>
        <w:t xml:space="preserve"> </w:t>
      </w:r>
      <w:r w:rsidRPr="009C6960">
        <w:rPr>
          <w:rFonts w:cs="Arial"/>
          <w:color w:val="000000"/>
          <w:sz w:val="20"/>
          <w:szCs w:val="20"/>
          <w:lang w:val="en-US"/>
        </w:rPr>
        <w:t xml:space="preserve">h, concerning the period from 05:00h to 17:00h of gas day </w:t>
      </w:r>
      <w:r w:rsidRPr="009C6960">
        <w:rPr>
          <w:rFonts w:cs="Arial"/>
          <w:i/>
          <w:color w:val="000000"/>
          <w:sz w:val="20"/>
          <w:szCs w:val="20"/>
          <w:lang w:val="en-US"/>
        </w:rPr>
        <w:t>d</w:t>
      </w:r>
      <w:r w:rsidRPr="009C6960">
        <w:rPr>
          <w:rFonts w:cs="Arial"/>
          <w:color w:val="000000"/>
          <w:sz w:val="20"/>
          <w:szCs w:val="20"/>
          <w:lang w:val="en-US"/>
        </w:rPr>
        <w:t>;</w:t>
      </w:r>
    </w:p>
    <w:p w:rsidR="007E0E17" w:rsidRPr="009C6960" w:rsidRDefault="007E0E17" w:rsidP="00A00BD4">
      <w:pPr>
        <w:pStyle w:val="Prrafodelista"/>
        <w:numPr>
          <w:ilvl w:val="0"/>
          <w:numId w:val="10"/>
        </w:numPr>
        <w:ind w:left="426" w:hanging="426"/>
        <w:rPr>
          <w:rFonts w:cs="Arial"/>
          <w:color w:val="000000"/>
          <w:sz w:val="20"/>
          <w:szCs w:val="20"/>
          <w:lang w:val="en-US"/>
        </w:rPr>
      </w:pPr>
      <w:r w:rsidRPr="009C6960">
        <w:rPr>
          <w:rFonts w:cs="Arial"/>
          <w:color w:val="000000"/>
          <w:sz w:val="20"/>
          <w:szCs w:val="20"/>
          <w:lang w:val="en-US"/>
        </w:rPr>
        <w:t>Until 01:00</w:t>
      </w:r>
      <w:r w:rsidR="00D060A5">
        <w:rPr>
          <w:rFonts w:cs="Arial"/>
          <w:color w:val="000000"/>
          <w:sz w:val="20"/>
          <w:szCs w:val="20"/>
          <w:lang w:val="en-US"/>
        </w:rPr>
        <w:t xml:space="preserve"> </w:t>
      </w:r>
      <w:r w:rsidRPr="009C6960">
        <w:rPr>
          <w:rFonts w:cs="Arial"/>
          <w:color w:val="000000"/>
          <w:sz w:val="20"/>
          <w:szCs w:val="20"/>
          <w:lang w:val="en-US"/>
        </w:rPr>
        <w:t xml:space="preserve">h, concerning the period from 05:00h to 22:00h of gas day </w:t>
      </w:r>
      <w:r w:rsidRPr="009C6960">
        <w:rPr>
          <w:rFonts w:cs="Arial"/>
          <w:i/>
          <w:color w:val="000000"/>
          <w:sz w:val="20"/>
          <w:szCs w:val="20"/>
          <w:lang w:val="en-US"/>
        </w:rPr>
        <w:t>d</w:t>
      </w:r>
      <w:r w:rsidRPr="009C6960">
        <w:rPr>
          <w:rFonts w:cs="Arial"/>
          <w:color w:val="000000"/>
          <w:sz w:val="20"/>
          <w:szCs w:val="20"/>
          <w:lang w:val="en-US"/>
        </w:rPr>
        <w:t>.</w:t>
      </w:r>
    </w:p>
    <w:p w:rsidR="007E0E17" w:rsidRPr="00311231" w:rsidRDefault="007E0E17" w:rsidP="007E0E17">
      <w:pPr>
        <w:rPr>
          <w:rFonts w:cs="Arial"/>
          <w:color w:val="000000"/>
          <w:sz w:val="20"/>
          <w:szCs w:val="20"/>
          <w:lang w:val="en-US"/>
        </w:rPr>
      </w:pPr>
      <w:r w:rsidRPr="009C6960">
        <w:rPr>
          <w:rFonts w:cs="Arial"/>
          <w:color w:val="222222"/>
          <w:lang w:val="en"/>
        </w:rPr>
        <w:t xml:space="preserve">The following figure shows schematically the information provision from the GTG to the MA on gas day </w:t>
      </w:r>
      <w:r w:rsidRPr="009C6960">
        <w:rPr>
          <w:rFonts w:cs="Arial"/>
          <w:i/>
          <w:color w:val="222222"/>
          <w:lang w:val="en"/>
        </w:rPr>
        <w:t>d</w:t>
      </w:r>
      <w:r w:rsidRPr="009C6960">
        <w:rPr>
          <w:rFonts w:cs="Arial"/>
          <w:color w:val="222222"/>
          <w:lang w:val="en"/>
        </w:rPr>
        <w:t>, concerning the IM inputs and off-takes.</w:t>
      </w:r>
    </w:p>
    <w:p w:rsidR="007E0E17" w:rsidRDefault="007E0E17" w:rsidP="007E0E17">
      <w:pPr>
        <w:spacing w:before="120" w:line="240" w:lineRule="auto"/>
        <w:jc w:val="center"/>
        <w:rPr>
          <w:lang w:val="pt-PT"/>
        </w:rPr>
      </w:pPr>
      <w:r w:rsidRPr="00311231">
        <w:rPr>
          <w:noProof/>
          <w:lang w:val="es-ES" w:eastAsia="es-ES"/>
        </w:rPr>
        <w:drawing>
          <wp:inline distT="0" distB="0" distL="0" distR="0" wp14:anchorId="30EF1385" wp14:editId="5ECC98D3">
            <wp:extent cx="4013043" cy="2862919"/>
            <wp:effectExtent l="0" t="0" r="698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5530" cy="2864693"/>
                    </a:xfrm>
                    <a:prstGeom prst="rect">
                      <a:avLst/>
                    </a:prstGeom>
                    <a:noFill/>
                    <a:ln>
                      <a:noFill/>
                    </a:ln>
                  </pic:spPr>
                </pic:pic>
              </a:graphicData>
            </a:graphic>
          </wp:inline>
        </w:drawing>
      </w:r>
    </w:p>
    <w:p w:rsidR="00D060A5" w:rsidRPr="00C04D89" w:rsidRDefault="00D060A5" w:rsidP="00D060A5">
      <w:pPr>
        <w:spacing w:before="120" w:line="240" w:lineRule="auto"/>
      </w:pPr>
      <w:r>
        <w:t>Figure 1</w:t>
      </w:r>
      <w:r w:rsidR="00A86707">
        <w:t>4</w:t>
      </w:r>
      <w:r w:rsidRPr="009C6960">
        <w:t>: Timeline for information provision</w:t>
      </w:r>
      <w:r>
        <w:t xml:space="preserve"> on intraday metered consumption.</w:t>
      </w:r>
    </w:p>
    <w:p w:rsidR="007E0E17" w:rsidRPr="00A86707" w:rsidRDefault="007E0E17" w:rsidP="007E0E17">
      <w:pPr>
        <w:spacing w:before="120" w:line="240" w:lineRule="auto"/>
      </w:pPr>
    </w:p>
    <w:p w:rsidR="007E0E17" w:rsidRPr="00F1538B" w:rsidRDefault="007E0E17" w:rsidP="007E0E17">
      <w:pPr>
        <w:rPr>
          <w:rFonts w:cs="Arial"/>
          <w:color w:val="222222"/>
          <w:lang w:val="en"/>
        </w:rPr>
      </w:pPr>
      <w:r w:rsidRPr="00F1538B">
        <w:rPr>
          <w:rFonts w:cs="Arial"/>
          <w:color w:val="222222"/>
          <w:lang w:val="en"/>
        </w:rPr>
        <w:t xml:space="preserve">In the </w:t>
      </w:r>
      <w:r w:rsidR="00D060A5">
        <w:rPr>
          <w:rFonts w:cs="Arial"/>
          <w:color w:val="222222"/>
          <w:lang w:val="en"/>
        </w:rPr>
        <w:t xml:space="preserve">day after de </w:t>
      </w:r>
      <w:r w:rsidRPr="00F1538B">
        <w:rPr>
          <w:rFonts w:cs="Arial"/>
          <w:color w:val="222222"/>
          <w:lang w:val="en"/>
        </w:rPr>
        <w:t>gas day</w:t>
      </w:r>
      <w:r w:rsidR="00D060A5">
        <w:rPr>
          <w:rFonts w:cs="Arial"/>
          <w:color w:val="222222"/>
          <w:lang w:val="en"/>
        </w:rPr>
        <w:t>, the day</w:t>
      </w:r>
      <w:r w:rsidRPr="00F1538B">
        <w:rPr>
          <w:rFonts w:cs="Arial"/>
          <w:color w:val="222222"/>
          <w:lang w:val="en"/>
        </w:rPr>
        <w:t xml:space="preserve"> </w:t>
      </w:r>
      <w:r w:rsidRPr="00F1538B">
        <w:rPr>
          <w:rFonts w:cs="Arial"/>
          <w:i/>
          <w:color w:val="222222"/>
          <w:lang w:val="en"/>
        </w:rPr>
        <w:t>d</w:t>
      </w:r>
      <w:r w:rsidRPr="00F1538B">
        <w:rPr>
          <w:rFonts w:cs="Arial"/>
          <w:color w:val="222222"/>
          <w:lang w:val="en"/>
        </w:rPr>
        <w:t xml:space="preserve">+1, the GTG must provide the MA information on gas day </w:t>
      </w:r>
      <w:r w:rsidRPr="00F1538B">
        <w:rPr>
          <w:rFonts w:cs="Arial"/>
          <w:i/>
          <w:color w:val="222222"/>
          <w:lang w:val="en"/>
        </w:rPr>
        <w:t>d</w:t>
      </w:r>
      <w:r w:rsidRPr="00F1538B">
        <w:rPr>
          <w:rFonts w:cs="Arial"/>
          <w:color w:val="222222"/>
          <w:lang w:val="en"/>
        </w:rPr>
        <w:t xml:space="preserve"> inputs and off-takes, including the initial allocation for the IM and daily metered (DM) inputs and offtakes as well as a better estimate for the NDM costumers. Also, the GTG must provide information on the initial daily imbalance quantity as well an estimate for the daily imbalance charge.</w:t>
      </w:r>
    </w:p>
    <w:p w:rsidR="007E0E17" w:rsidRPr="003C7099" w:rsidRDefault="007E0E17" w:rsidP="007E0E17">
      <w:pPr>
        <w:rPr>
          <w:rFonts w:cs="Arial"/>
          <w:color w:val="000000"/>
          <w:sz w:val="20"/>
          <w:szCs w:val="20"/>
          <w:lang w:val="en-US"/>
        </w:rPr>
      </w:pPr>
      <w:r w:rsidRPr="00F1538B">
        <w:rPr>
          <w:rFonts w:cs="Arial"/>
          <w:color w:val="222222"/>
          <w:lang w:val="en"/>
        </w:rPr>
        <w:t xml:space="preserve">On the third day of each month, the GTG must provide each MA the final daily imbalance quantity for each gas day </w:t>
      </w:r>
      <w:r w:rsidRPr="00F1538B">
        <w:rPr>
          <w:rFonts w:cs="Arial"/>
          <w:i/>
          <w:color w:val="222222"/>
          <w:lang w:val="en"/>
        </w:rPr>
        <w:t>d</w:t>
      </w:r>
      <w:r w:rsidRPr="00F1538B">
        <w:rPr>
          <w:rFonts w:cs="Arial"/>
          <w:color w:val="222222"/>
          <w:lang w:val="en"/>
        </w:rPr>
        <w:t xml:space="preserve"> of the previous month, as well as the respective daily imbalance charges.</w:t>
      </w:r>
    </w:p>
    <w:p w:rsidR="007E0E17" w:rsidRPr="00436FE3" w:rsidRDefault="007E0E17" w:rsidP="00735B38">
      <w:pPr>
        <w:spacing w:before="120" w:line="240" w:lineRule="auto"/>
        <w:rPr>
          <w:lang w:val="en-US"/>
        </w:rPr>
      </w:pPr>
    </w:p>
    <w:p w:rsidR="002C3EB8" w:rsidRDefault="006302CC" w:rsidP="00735B38">
      <w:pPr>
        <w:pStyle w:val="Ttulo2"/>
        <w:rPr>
          <w:lang w:val="en-US"/>
        </w:rPr>
      </w:pPr>
      <w:bookmarkStart w:id="32" w:name="_Toc516823943"/>
      <w:r>
        <w:rPr>
          <w:lang w:val="en-US"/>
        </w:rPr>
        <w:t>Imbalances charges</w:t>
      </w:r>
      <w:bookmarkEnd w:id="32"/>
    </w:p>
    <w:p w:rsidR="002C3EB8" w:rsidRPr="00F1538B" w:rsidRDefault="002C3EB8" w:rsidP="00735B38">
      <w:pPr>
        <w:rPr>
          <w:u w:val="single"/>
          <w:lang w:val="en-US"/>
        </w:rPr>
      </w:pPr>
      <w:r w:rsidRPr="00F1538B">
        <w:rPr>
          <w:u w:val="single"/>
          <w:lang w:val="en-US"/>
        </w:rPr>
        <w:t>Spain</w:t>
      </w:r>
    </w:p>
    <w:p w:rsidR="00C477F8" w:rsidRDefault="006302CC" w:rsidP="006302CC">
      <w:pPr>
        <w:rPr>
          <w:lang w:val="en-US"/>
        </w:rPr>
      </w:pPr>
      <w:r>
        <w:rPr>
          <w:lang w:val="en-US"/>
        </w:rPr>
        <w:t xml:space="preserve">All users begin each gas day with zero imbalance in the </w:t>
      </w:r>
      <w:r w:rsidR="006C1162">
        <w:rPr>
          <w:lang w:val="en-US"/>
        </w:rPr>
        <w:t>transmission network</w:t>
      </w:r>
      <w:r>
        <w:rPr>
          <w:lang w:val="en-US"/>
        </w:rPr>
        <w:t>. One day after the gas day</w:t>
      </w:r>
      <w:r w:rsidR="007833D6">
        <w:rPr>
          <w:lang w:val="en-US"/>
        </w:rPr>
        <w:t xml:space="preserve"> (D+1)</w:t>
      </w:r>
      <w:r>
        <w:rPr>
          <w:lang w:val="en-US"/>
        </w:rPr>
        <w:t xml:space="preserve">, </w:t>
      </w:r>
      <w:r w:rsidR="00F179D2">
        <w:rPr>
          <w:lang w:val="en-US"/>
        </w:rPr>
        <w:t>ENAGÁS GTS</w:t>
      </w:r>
      <w:r>
        <w:rPr>
          <w:lang w:val="en-US"/>
        </w:rPr>
        <w:t xml:space="preserve"> will calculate each user´s provisional imbalance for the gas day. </w:t>
      </w:r>
      <w:r w:rsidR="00F179D2">
        <w:rPr>
          <w:lang w:val="en-US"/>
        </w:rPr>
        <w:t>ENAGÁS GTS</w:t>
      </w:r>
      <w:r w:rsidR="00DF4497">
        <w:rPr>
          <w:lang w:val="en-US"/>
        </w:rPr>
        <w:t xml:space="preserve"> has developed the</w:t>
      </w:r>
      <w:r w:rsidR="002E40F1">
        <w:rPr>
          <w:lang w:val="en-US"/>
        </w:rPr>
        <w:t xml:space="preserve"> corresponding</w:t>
      </w:r>
      <w:r w:rsidR="00DF4497">
        <w:rPr>
          <w:lang w:val="en-US"/>
        </w:rPr>
        <w:t xml:space="preserve"> methodology to calculate imbalance charges</w:t>
      </w:r>
      <w:r w:rsidR="00DF4497">
        <w:rPr>
          <w:rStyle w:val="Refdenotaalpie"/>
          <w:lang w:val="en-US"/>
        </w:rPr>
        <w:footnoteReference w:id="7"/>
      </w:r>
      <w:r w:rsidR="00DF4497">
        <w:rPr>
          <w:lang w:val="en-US"/>
        </w:rPr>
        <w:t xml:space="preserve">. </w:t>
      </w:r>
      <w:r w:rsidR="00BD25A8">
        <w:rPr>
          <w:lang w:val="en-US"/>
        </w:rPr>
        <w:t xml:space="preserve">According </w:t>
      </w:r>
      <w:r w:rsidR="007833D6">
        <w:rPr>
          <w:lang w:val="en-US"/>
        </w:rPr>
        <w:t xml:space="preserve">to </w:t>
      </w:r>
      <w:r w:rsidR="00BD25A8">
        <w:rPr>
          <w:lang w:val="en-US"/>
        </w:rPr>
        <w:t>this methodology, u</w:t>
      </w:r>
      <w:r>
        <w:rPr>
          <w:lang w:val="en-US"/>
        </w:rPr>
        <w:t>ser</w:t>
      </w:r>
      <w:r w:rsidR="00BD25A8">
        <w:rPr>
          <w:lang w:val="en-US"/>
        </w:rPr>
        <w:t>s</w:t>
      </w:r>
      <w:r>
        <w:rPr>
          <w:lang w:val="en-US"/>
        </w:rPr>
        <w:t xml:space="preserve"> with a negative imbalance (short of gas) must pay </w:t>
      </w:r>
      <w:r w:rsidR="00F179D2">
        <w:rPr>
          <w:lang w:val="en-US"/>
        </w:rPr>
        <w:t>ENAGÁS GTS</w:t>
      </w:r>
      <w:r>
        <w:rPr>
          <w:lang w:val="en-US"/>
        </w:rPr>
        <w:t xml:space="preserve"> the result of multiplying the</w:t>
      </w:r>
      <w:r w:rsidR="006C1162">
        <w:rPr>
          <w:lang w:val="en-US"/>
        </w:rPr>
        <w:t>ir</w:t>
      </w:r>
      <w:r>
        <w:rPr>
          <w:lang w:val="en-US"/>
        </w:rPr>
        <w:t xml:space="preserve"> provisional individual imbalance amount by the daily imbalance tariff for that gas day (marginal buy price</w:t>
      </w:r>
      <w:r w:rsidR="007C38AC">
        <w:rPr>
          <w:rStyle w:val="Refdenotaalpie"/>
          <w:lang w:val="en-US"/>
        </w:rPr>
        <w:footnoteReference w:id="8"/>
      </w:r>
      <w:r>
        <w:rPr>
          <w:lang w:val="en-US"/>
        </w:rPr>
        <w:t xml:space="preserve">). </w:t>
      </w:r>
      <w:r w:rsidR="00BD25A8">
        <w:rPr>
          <w:lang w:val="en-US"/>
        </w:rPr>
        <w:t>On the other hand, u</w:t>
      </w:r>
      <w:r>
        <w:rPr>
          <w:lang w:val="en-US"/>
        </w:rPr>
        <w:t>ser</w:t>
      </w:r>
      <w:r w:rsidR="00BD25A8">
        <w:rPr>
          <w:lang w:val="en-US"/>
        </w:rPr>
        <w:t>s</w:t>
      </w:r>
      <w:r w:rsidR="00E70F18">
        <w:rPr>
          <w:lang w:val="en-US"/>
        </w:rPr>
        <w:t xml:space="preserve"> with positive imbalance (long</w:t>
      </w:r>
      <w:r>
        <w:rPr>
          <w:lang w:val="en-US"/>
        </w:rPr>
        <w:t xml:space="preserve"> of gas) </w:t>
      </w:r>
      <w:r w:rsidR="009C5B8D">
        <w:rPr>
          <w:lang w:val="en-US"/>
        </w:rPr>
        <w:t>are entitled</w:t>
      </w:r>
      <w:r>
        <w:rPr>
          <w:lang w:val="en-US"/>
        </w:rPr>
        <w:t xml:space="preserve"> to receive from </w:t>
      </w:r>
      <w:r w:rsidR="00F179D2">
        <w:rPr>
          <w:lang w:val="en-US"/>
        </w:rPr>
        <w:t>ENAGÁS GTS</w:t>
      </w:r>
      <w:r>
        <w:rPr>
          <w:lang w:val="en-US"/>
        </w:rPr>
        <w:t xml:space="preserve"> the result of multiplying the</w:t>
      </w:r>
      <w:r w:rsidR="006C1162">
        <w:rPr>
          <w:lang w:val="en-US"/>
        </w:rPr>
        <w:t>ir</w:t>
      </w:r>
      <w:r>
        <w:rPr>
          <w:lang w:val="en-US"/>
        </w:rPr>
        <w:t xml:space="preserve"> provisional individual imbalance amount by the daily imbalance tariff for that gas day (marginal sell price</w:t>
      </w:r>
      <w:r w:rsidR="007C38AC">
        <w:rPr>
          <w:rStyle w:val="Refdenotaalpie"/>
          <w:lang w:val="en-US"/>
        </w:rPr>
        <w:footnoteReference w:id="9"/>
      </w:r>
      <w:r>
        <w:rPr>
          <w:lang w:val="en-US"/>
        </w:rPr>
        <w:t xml:space="preserve">). </w:t>
      </w:r>
      <w:r w:rsidR="006C1162">
        <w:rPr>
          <w:lang w:val="en-US"/>
        </w:rPr>
        <w:t>The marginal buy and sell prices are calculating according to rules established in the Balancing NC, considering 2.5%</w:t>
      </w:r>
      <w:r w:rsidR="00976E52">
        <w:rPr>
          <w:lang w:val="en-US"/>
        </w:rPr>
        <w:t xml:space="preserve"> </w:t>
      </w:r>
      <w:r w:rsidR="006C1162">
        <w:rPr>
          <w:lang w:val="en-US"/>
        </w:rPr>
        <w:t xml:space="preserve">as the value for the small adjustment. </w:t>
      </w:r>
    </w:p>
    <w:p w:rsidR="00600361" w:rsidRDefault="00600361" w:rsidP="006302CC">
      <w:pPr>
        <w:rPr>
          <w:lang w:val="en-US"/>
        </w:rPr>
      </w:pPr>
      <w:r>
        <w:rPr>
          <w:lang w:val="en-US"/>
        </w:rPr>
        <w:t>Cashouts corresponding to users imbalances are invoiced weekly. The invoice can be positive or negative for the user, depending of the sign of its imbalance quantity. Provisional users’ imbalances are revised twice, after 3 and 15 months, with the best information available at that moment. Imbalances charges are then recalculated and differences with the previous ones invoiced to users.</w:t>
      </w:r>
    </w:p>
    <w:p w:rsidR="002C3EB8" w:rsidRPr="00F1538B" w:rsidRDefault="002C3EB8" w:rsidP="006302CC">
      <w:pPr>
        <w:rPr>
          <w:u w:val="single"/>
          <w:lang w:val="en-US"/>
        </w:rPr>
      </w:pPr>
      <w:r w:rsidRPr="00F1538B">
        <w:rPr>
          <w:u w:val="single"/>
          <w:lang w:val="en-US"/>
        </w:rPr>
        <w:t>France</w:t>
      </w:r>
    </w:p>
    <w:p w:rsidR="004571A2" w:rsidRDefault="004571A2" w:rsidP="00E86502">
      <w:r>
        <w:t>TIGF :</w:t>
      </w:r>
    </w:p>
    <w:p w:rsidR="007C2F12" w:rsidRDefault="00E86502" w:rsidP="00E86502">
      <w:r>
        <w:t>In accordance with current regulatory provisions (European gas networks code and the latest deliberation of the Energy Regulatory Commission approving changes in balancing rules on the TIGF transport network at 1</w:t>
      </w:r>
      <w:r w:rsidRPr="004B4238">
        <w:rPr>
          <w:vertAlign w:val="superscript"/>
        </w:rPr>
        <w:t>st</w:t>
      </w:r>
      <w:r>
        <w:t xml:space="preserve"> April and 1st October 2015, the </w:t>
      </w:r>
      <w:r w:rsidR="002124BD">
        <w:t>imbalance tariffs</w:t>
      </w:r>
      <w:r>
        <w:t xml:space="preserve"> on a given Day </w:t>
      </w:r>
      <w:r w:rsidR="002124BD">
        <w:t>are</w:t>
      </w:r>
      <w:r w:rsidR="007C2F12">
        <w:t xml:space="preserve"> the following</w:t>
      </w:r>
      <w:r w:rsidR="00A86707">
        <w:t>:</w:t>
      </w:r>
    </w:p>
    <w:p w:rsidR="00E86502" w:rsidRPr="00A86707" w:rsidRDefault="00E86502" w:rsidP="00E86502">
      <w:pPr>
        <w:rPr>
          <w:b/>
        </w:rPr>
      </w:pPr>
    </w:p>
    <w:p w:rsidR="00E86502" w:rsidRDefault="00E86502" w:rsidP="006C1162">
      <w:pPr>
        <w:ind w:left="284" w:hanging="284"/>
      </w:pPr>
      <w:r>
        <w:t xml:space="preserve">a) </w:t>
      </w:r>
      <w:r w:rsidRPr="008840CE">
        <w:rPr>
          <w:u w:val="single"/>
        </w:rPr>
        <w:t>When TIGF has not traded on the market for delivery on day D</w:t>
      </w:r>
      <w:r w:rsidR="00337B33">
        <w:rPr>
          <w:u w:val="single"/>
        </w:rPr>
        <w:t xml:space="preserve"> (withouth balancing actions)</w:t>
      </w:r>
      <w:r>
        <w:t>:</w:t>
      </w:r>
    </w:p>
    <w:p w:rsidR="00E86502" w:rsidRDefault="00E86502" w:rsidP="006C1162">
      <w:pPr>
        <w:ind w:left="426" w:hanging="142"/>
      </w:pPr>
      <w:r>
        <w:t xml:space="preserve">i. </w:t>
      </w:r>
      <w:r w:rsidR="002124BD">
        <w:t>T</w:t>
      </w:r>
      <w:r>
        <w:t xml:space="preserve">he Average Price of gas </w:t>
      </w:r>
      <w:r w:rsidR="002124BD">
        <w:t xml:space="preserve">transactions </w:t>
      </w:r>
      <w:r>
        <w:t>less a 2.5% discount</w:t>
      </w:r>
      <w:r w:rsidR="002124BD">
        <w:t>, in the case of positive imbalances</w:t>
      </w:r>
      <w:r>
        <w:t>;</w:t>
      </w:r>
    </w:p>
    <w:p w:rsidR="00E86502" w:rsidRDefault="00E86502" w:rsidP="006C1162">
      <w:pPr>
        <w:ind w:left="426" w:hanging="142"/>
      </w:pPr>
      <w:r>
        <w:t xml:space="preserve">ii. </w:t>
      </w:r>
      <w:r w:rsidR="002124BD">
        <w:t>T</w:t>
      </w:r>
      <w:r>
        <w:t xml:space="preserve">he Average Price of gas </w:t>
      </w:r>
      <w:r w:rsidR="002124BD">
        <w:t xml:space="preserve">transactions </w:t>
      </w:r>
      <w:r>
        <w:t>plus a 2.5% premium</w:t>
      </w:r>
      <w:r w:rsidR="002124BD">
        <w:t>, in the case of negative imbalances</w:t>
      </w:r>
      <w:r>
        <w:t>.</w:t>
      </w:r>
    </w:p>
    <w:p w:rsidR="00E86502" w:rsidRDefault="00E86502" w:rsidP="00E86502">
      <w:r>
        <w:t>For each day D, the Average Price of gas is the weighted average price of Within-Day transactions of all traders on the Powernext Gas Spot's TRS (Trading Region South) for delivery on day D, as calculated by Powernext.</w:t>
      </w:r>
    </w:p>
    <w:p w:rsidR="00E86502" w:rsidRDefault="00E86502" w:rsidP="00E86502">
      <w:r>
        <w:t>If Day D falls on a weekend and there are no Within-Day transactions for delivery on day D in the TRS, the Average Price is the weighted average of transactions made in the TRS by all traders on Powernext for the weekend maturity date that includes day D, as calculated by Powernext.</w:t>
      </w:r>
    </w:p>
    <w:p w:rsidR="00E86502" w:rsidRDefault="00E86502" w:rsidP="00E86502">
      <w:r>
        <w:t>If Day D is a Bank holiday in the sense of the Powernext calendar, and there are no WithinDay transactions for delivery on Day D in the TRS, the Average Price is the weighted average of Bank Holiday product transactions made in the TRS for the maturity date of Day D.</w:t>
      </w:r>
    </w:p>
    <w:p w:rsidR="00E86502" w:rsidRDefault="00E86502" w:rsidP="004D46FF">
      <w:pPr>
        <w:ind w:left="284" w:hanging="284"/>
      </w:pPr>
      <w:r>
        <w:t xml:space="preserve">b) </w:t>
      </w:r>
      <w:r w:rsidRPr="008840CE">
        <w:rPr>
          <w:u w:val="single"/>
        </w:rPr>
        <w:t>When TIGF and/or GRTgaz have traded on the market for delivery on day D</w:t>
      </w:r>
      <w:r w:rsidR="00337B33">
        <w:rPr>
          <w:u w:val="single"/>
        </w:rPr>
        <w:t xml:space="preserve"> (with balancing actions)</w:t>
      </w:r>
      <w:r>
        <w:t>:</w:t>
      </w:r>
    </w:p>
    <w:p w:rsidR="00815AEA" w:rsidRDefault="00E86502" w:rsidP="00A86707">
      <w:pPr>
        <w:ind w:left="284"/>
      </w:pPr>
      <w:r>
        <w:t xml:space="preserve">i. </w:t>
      </w:r>
      <w:r w:rsidR="002124BD">
        <w:t xml:space="preserve">If </w:t>
      </w:r>
      <w:r>
        <w:t xml:space="preserve">the Transmission System Operator purchases </w:t>
      </w:r>
      <w:r w:rsidR="00815AEA">
        <w:t xml:space="preserve">gas </w:t>
      </w:r>
      <w:r>
        <w:t xml:space="preserve">from the </w:t>
      </w:r>
      <w:r w:rsidR="002124BD">
        <w:t>users</w:t>
      </w:r>
      <w:r w:rsidR="00815AEA">
        <w:t>,</w:t>
      </w:r>
      <w:r w:rsidR="002124BD">
        <w:t xml:space="preserve"> </w:t>
      </w:r>
      <w:r w:rsidR="00815AEA" w:rsidRPr="00815AEA">
        <w:t xml:space="preserve"> </w:t>
      </w:r>
      <w:r w:rsidR="00815AEA">
        <w:t xml:space="preserve">the </w:t>
      </w:r>
      <w:r w:rsidR="007C2F12">
        <w:t>imbalance tariff for negative imbalances</w:t>
      </w:r>
      <w:r w:rsidR="00815AEA">
        <w:t xml:space="preserve"> is the highe of the following two prices:</w:t>
      </w:r>
    </w:p>
    <w:p w:rsidR="00815AEA" w:rsidRDefault="00815AEA" w:rsidP="00A86707">
      <w:pPr>
        <w:pStyle w:val="Prrafodelista"/>
        <w:numPr>
          <w:ilvl w:val="0"/>
          <w:numId w:val="28"/>
        </w:numPr>
      </w:pPr>
      <w:r>
        <w:t xml:space="preserve">the highest of all the purchases of gas by </w:t>
      </w:r>
      <w:r w:rsidR="00A86707">
        <w:rPr>
          <w:color w:val="000000" w:themeColor="text1"/>
          <w:lang w:val="en-GB"/>
        </w:rPr>
        <w:t>TIGF</w:t>
      </w:r>
      <w:r w:rsidR="00A86707">
        <w:t xml:space="preserve"> </w:t>
      </w:r>
      <w:r>
        <w:t>and/or GRTgaz on the Powernext trading platform in respect of balancing for the gas day in question</w:t>
      </w:r>
    </w:p>
    <w:p w:rsidR="00815AEA" w:rsidRDefault="00815AEA" w:rsidP="00A86707">
      <w:pPr>
        <w:pStyle w:val="Prrafodelista"/>
        <w:numPr>
          <w:ilvl w:val="0"/>
          <w:numId w:val="28"/>
        </w:numPr>
      </w:pPr>
      <w:r>
        <w:t xml:space="preserve">the Average Price of gas </w:t>
      </w:r>
      <w:r w:rsidR="007C2F12">
        <w:t xml:space="preserve">transactions </w:t>
      </w:r>
      <w:r>
        <w:t xml:space="preserve">for the gas day in question, plus a 2.5% premium. </w:t>
      </w:r>
    </w:p>
    <w:p w:rsidR="00E86502" w:rsidRDefault="007C2F12" w:rsidP="00A86707">
      <w:pPr>
        <w:ind w:left="284"/>
      </w:pPr>
      <w:r>
        <w:t>For positive imbalances then, the imbalance tariff is the the Average Price of gas transactions less a 2.5% discount.</w:t>
      </w:r>
    </w:p>
    <w:p w:rsidR="00E86502" w:rsidRDefault="00E86502" w:rsidP="007C2F12">
      <w:pPr>
        <w:ind w:left="426" w:hanging="142"/>
      </w:pPr>
      <w:r>
        <w:t xml:space="preserve">ii. </w:t>
      </w:r>
      <w:r w:rsidR="007C2F12">
        <w:t xml:space="preserve">If </w:t>
      </w:r>
      <w:r>
        <w:t xml:space="preserve">the Transmission System Operator sells to the </w:t>
      </w:r>
      <w:r w:rsidR="002124BD">
        <w:t xml:space="preserve">user </w:t>
      </w:r>
      <w:r>
        <w:t>at the Marginal Purchase Price</w:t>
      </w:r>
      <w:r w:rsidR="007C2F12">
        <w:t>,</w:t>
      </w:r>
      <w:r w:rsidR="007C2F12" w:rsidRPr="007C2F12">
        <w:t xml:space="preserve"> </w:t>
      </w:r>
      <w:r w:rsidR="007C2F12">
        <w:t>the imbalance tariff for positive imbalances</w:t>
      </w:r>
      <w:r>
        <w:t xml:space="preserve"> is the lowe</w:t>
      </w:r>
      <w:r w:rsidR="007C2F12">
        <w:t>st</w:t>
      </w:r>
      <w:r>
        <w:t xml:space="preserve"> of the following two prices:</w:t>
      </w:r>
    </w:p>
    <w:p w:rsidR="00E86502" w:rsidRDefault="00E86502" w:rsidP="00A86707">
      <w:pPr>
        <w:pStyle w:val="Prrafodelista"/>
        <w:numPr>
          <w:ilvl w:val="0"/>
          <w:numId w:val="28"/>
        </w:numPr>
      </w:pPr>
      <w:r>
        <w:t>o the lowe</w:t>
      </w:r>
      <w:r w:rsidR="007C2F12">
        <w:t>st</w:t>
      </w:r>
      <w:r>
        <w:t xml:space="preserve"> of all the sales of gas of </w:t>
      </w:r>
      <w:r w:rsidR="007C2F12" w:rsidRPr="00A86707">
        <w:t>Teréga</w:t>
      </w:r>
      <w:r>
        <w:t xml:space="preserve"> and/or GRTgaz on the Powernext trading platform in respect of balancing for the gas day in question</w:t>
      </w:r>
    </w:p>
    <w:p w:rsidR="00E6067B" w:rsidRDefault="00E86502" w:rsidP="00A86707">
      <w:pPr>
        <w:pStyle w:val="Prrafodelista"/>
        <w:numPr>
          <w:ilvl w:val="0"/>
          <w:numId w:val="28"/>
        </w:numPr>
      </w:pPr>
      <w:r>
        <w:t xml:space="preserve">o the Average Price of gas </w:t>
      </w:r>
      <w:r w:rsidR="007C2F12">
        <w:t xml:space="preserve">transactions </w:t>
      </w:r>
      <w:r>
        <w:t xml:space="preserve">for the gas day in question, less a 2.5% discount </w:t>
      </w:r>
    </w:p>
    <w:p w:rsidR="00E86502" w:rsidRDefault="00E86502" w:rsidP="00E86502">
      <w:r>
        <w:t>GRTgaz :</w:t>
      </w:r>
    </w:p>
    <w:p w:rsidR="00E86502" w:rsidRDefault="00E86502" w:rsidP="00E86502">
      <w:r>
        <w:t>Marginal Price of purchase for th  South Balancing area is the highest of the two following prices:</w:t>
      </w:r>
    </w:p>
    <w:p w:rsidR="00E86502" w:rsidRDefault="00E86502" w:rsidP="00E86502">
      <w:pPr>
        <w:pStyle w:val="Prrafodelista"/>
        <w:numPr>
          <w:ilvl w:val="0"/>
          <w:numId w:val="9"/>
        </w:numPr>
      </w:pPr>
      <w:r>
        <w:t>the highest of all buying prices offered by GRTgaz and/or  TIGF and concerning the TRS Perimeter on the Balancing Gas Exchange for the gas day concerned;</w:t>
      </w:r>
    </w:p>
    <w:p w:rsidR="007C2F12" w:rsidRDefault="00E86502" w:rsidP="00F27BC9">
      <w:pPr>
        <w:pStyle w:val="Prrafodelista"/>
        <w:numPr>
          <w:ilvl w:val="0"/>
          <w:numId w:val="9"/>
        </w:numPr>
      </w:pPr>
      <w:r>
        <w:t>the Average Price for the TRS perimeter and the gas day in question plus a 2.5% small adujstment.</w:t>
      </w:r>
      <w:r w:rsidR="00302598">
        <w:t xml:space="preserve"> </w:t>
      </w:r>
    </w:p>
    <w:p w:rsidR="00E86502" w:rsidRDefault="00E86502" w:rsidP="00E86502">
      <w:r>
        <w:t>Marginal Price of sale for the South Balancing area is the lowest of the two following</w:t>
      </w:r>
      <w:r w:rsidR="00302598">
        <w:t xml:space="preserve"> </w:t>
      </w:r>
      <w:r>
        <w:t>prices:</w:t>
      </w:r>
    </w:p>
    <w:p w:rsidR="00E86502" w:rsidRDefault="00E86502" w:rsidP="00E86502">
      <w:pPr>
        <w:pStyle w:val="Prrafodelista"/>
        <w:numPr>
          <w:ilvl w:val="0"/>
          <w:numId w:val="9"/>
        </w:numPr>
      </w:pPr>
      <w:r>
        <w:t xml:space="preserve">the lowest of all selling prices offered by GRTgaz and/or  TIGF for the TRS Perimeter on the Balancing Gas Exchange for the gas day concerned; </w:t>
      </w:r>
    </w:p>
    <w:p w:rsidR="00E86502" w:rsidRDefault="00E86502" w:rsidP="00E86502">
      <w:pPr>
        <w:pStyle w:val="Prrafodelista"/>
        <w:numPr>
          <w:ilvl w:val="0"/>
          <w:numId w:val="9"/>
        </w:numPr>
      </w:pPr>
      <w:r>
        <w:t>the Average  Price  for  the  TRS  perimeter  and  the  gas  day  concerned  minus  a 2.5% small adjustment.</w:t>
      </w:r>
    </w:p>
    <w:p w:rsidR="00E86502" w:rsidRPr="008840CE" w:rsidRDefault="00E86502" w:rsidP="00E86502">
      <w:r>
        <w:t>Distribution of TRS imbalance quantities to be cashed out by GRTgaz : these quantities are the TRS daily imbalance multiplied by the ratio between the total quantities  delivered  to  the  consumer  delivery  points  connected to the South Balancing area and the total quantities delivered to the consumer delivery points connected to the GRTgaz south balancing area and to the TIGF balancing area.</w:t>
      </w:r>
    </w:p>
    <w:p w:rsidR="002C3EB8" w:rsidRPr="00F1538B" w:rsidRDefault="002C3EB8" w:rsidP="006302CC">
      <w:pPr>
        <w:rPr>
          <w:u w:val="single"/>
          <w:lang w:val="en-US"/>
        </w:rPr>
      </w:pPr>
      <w:r w:rsidRPr="00F1538B">
        <w:rPr>
          <w:u w:val="single"/>
          <w:lang w:val="en-US"/>
        </w:rPr>
        <w:t>Portugal</w:t>
      </w:r>
    </w:p>
    <w:p w:rsidR="007E0E17" w:rsidRPr="00F1538B" w:rsidRDefault="007E0E17" w:rsidP="007E0E17">
      <w:pPr>
        <w:rPr>
          <w:lang w:val="en-US"/>
        </w:rPr>
      </w:pPr>
      <w:r w:rsidRPr="00F1538B">
        <w:rPr>
          <w:lang w:val="en-US"/>
        </w:rPr>
        <w:t xml:space="preserve">The daily imbalance charges are determined taking into account the final daily imbalance quantities, determined by the real flows from IM inputs and off-takes and DM off-takes and also the forecasts of the NMD off-takes provided by the GTG to the MA on gas day </w:t>
      </w:r>
      <w:r w:rsidRPr="00F1538B">
        <w:rPr>
          <w:i/>
          <w:lang w:val="en-US"/>
        </w:rPr>
        <w:t>d</w:t>
      </w:r>
      <w:r w:rsidRPr="00F1538B">
        <w:rPr>
          <w:lang w:val="en-US"/>
        </w:rPr>
        <w:t>-1. The determination of the final daily imbalances also considers the linepack flexibility service.</w:t>
      </w:r>
    </w:p>
    <w:p w:rsidR="007E0E17" w:rsidRPr="00F1538B" w:rsidRDefault="007E0E17" w:rsidP="007E0E17">
      <w:pPr>
        <w:rPr>
          <w:lang w:val="en-US"/>
        </w:rPr>
      </w:pPr>
      <w:r w:rsidRPr="00F1538B">
        <w:rPr>
          <w:lang w:val="en-US"/>
        </w:rPr>
        <w:t xml:space="preserve">The daily imbalance charges results from the application of the average prices from MIBGAS, </w:t>
      </w:r>
      <w:r w:rsidR="0086627E">
        <w:rPr>
          <w:lang w:val="en-US"/>
        </w:rPr>
        <w:t xml:space="preserve">the </w:t>
      </w:r>
      <w:r w:rsidRPr="00F1538B">
        <w:rPr>
          <w:lang w:val="en-US"/>
        </w:rPr>
        <w:t xml:space="preserve">Spanish trading platform, to the final daily imbalance quantities, for each day gas </w:t>
      </w:r>
      <w:r w:rsidRPr="00F1538B">
        <w:rPr>
          <w:i/>
          <w:lang w:val="en-US"/>
        </w:rPr>
        <w:t>d</w:t>
      </w:r>
      <w:r w:rsidRPr="00F1538B">
        <w:rPr>
          <w:lang w:val="en-US"/>
        </w:rPr>
        <w:t>. The daily imbalance charges are positive or negative in case of excess or default of gas in the balance area (transport network), respectively.</w:t>
      </w:r>
    </w:p>
    <w:p w:rsidR="007E0E17" w:rsidRPr="00F1538B" w:rsidRDefault="007E0E17" w:rsidP="007E0E17">
      <w:pPr>
        <w:rPr>
          <w:lang w:val="en-US"/>
        </w:rPr>
      </w:pPr>
      <w:r w:rsidRPr="00F1538B">
        <w:rPr>
          <w:lang w:val="en-US"/>
        </w:rPr>
        <w:t>The imbalance prices corresponds to the weighted average prices for natural gas purchase or sale in MIBGAS, adjusted by plus/less 2</w:t>
      </w:r>
      <w:r w:rsidR="0086627E">
        <w:rPr>
          <w:lang w:val="en-US"/>
        </w:rPr>
        <w:t>.</w:t>
      </w:r>
      <w:r w:rsidRPr="00F1538B">
        <w:rPr>
          <w:lang w:val="en-US"/>
        </w:rPr>
        <w:t>5% respectively. The daily imbalance charges also includes interconnection tariffs in the direction of Spain-Portugal (in the case of an imbalance by default) or Portugal-Spain (in case of an imbalance due to excess of gas in the transport network).</w:t>
      </w:r>
    </w:p>
    <w:p w:rsidR="0086627E" w:rsidRDefault="007E0E17" w:rsidP="007E0E17">
      <w:pPr>
        <w:rPr>
          <w:lang w:val="en-US"/>
        </w:rPr>
      </w:pPr>
      <w:r w:rsidRPr="00F1538B">
        <w:rPr>
          <w:lang w:val="en-US"/>
        </w:rPr>
        <w:t xml:space="preserve">The application of daily imbalance charges reconciles the MA position in the transmission network at the end of each gas day </w:t>
      </w:r>
      <w:r w:rsidRPr="00F1538B">
        <w:rPr>
          <w:i/>
          <w:lang w:val="en-US"/>
        </w:rPr>
        <w:t>d</w:t>
      </w:r>
      <w:r w:rsidRPr="00F1538B">
        <w:rPr>
          <w:lang w:val="en-US"/>
        </w:rPr>
        <w:t xml:space="preserve">. </w:t>
      </w:r>
    </w:p>
    <w:p w:rsidR="00F1538B" w:rsidRPr="002A235F" w:rsidRDefault="00F1538B" w:rsidP="007E0E17">
      <w:pPr>
        <w:rPr>
          <w:highlight w:val="lightGray"/>
          <w:lang w:val="en-US"/>
        </w:rPr>
      </w:pPr>
    </w:p>
    <w:p w:rsidR="006302CC" w:rsidRDefault="006302CC" w:rsidP="00735B38">
      <w:pPr>
        <w:pStyle w:val="Ttulo2"/>
        <w:rPr>
          <w:lang w:val="en-US"/>
        </w:rPr>
      </w:pPr>
      <w:bookmarkStart w:id="33" w:name="_Toc516823944"/>
      <w:r>
        <w:rPr>
          <w:lang w:val="en-US"/>
        </w:rPr>
        <w:t>Financial neutrality</w:t>
      </w:r>
      <w:r w:rsidR="009B4278">
        <w:rPr>
          <w:lang w:val="en-US"/>
        </w:rPr>
        <w:t xml:space="preserve"> of the T</w:t>
      </w:r>
      <w:r w:rsidR="00302598">
        <w:rPr>
          <w:lang w:val="en-US"/>
        </w:rPr>
        <w:t xml:space="preserve">ransmission </w:t>
      </w:r>
      <w:r w:rsidR="009B4278">
        <w:rPr>
          <w:lang w:val="en-US"/>
        </w:rPr>
        <w:t>S</w:t>
      </w:r>
      <w:r w:rsidR="00302598">
        <w:rPr>
          <w:lang w:val="en-US"/>
        </w:rPr>
        <w:t xml:space="preserve">ystem </w:t>
      </w:r>
      <w:r w:rsidR="009B4278">
        <w:rPr>
          <w:lang w:val="en-US"/>
        </w:rPr>
        <w:t>M</w:t>
      </w:r>
      <w:r w:rsidR="00302598">
        <w:rPr>
          <w:lang w:val="en-US"/>
        </w:rPr>
        <w:t>anager</w:t>
      </w:r>
      <w:r w:rsidR="009B4278">
        <w:rPr>
          <w:lang w:val="en-US"/>
        </w:rPr>
        <w:t>: allocation of balancing actions costs</w:t>
      </w:r>
      <w:bookmarkEnd w:id="33"/>
    </w:p>
    <w:p w:rsidR="006302CC" w:rsidRDefault="006302CC" w:rsidP="006302CC">
      <w:pPr>
        <w:rPr>
          <w:lang w:val="en-US"/>
        </w:rPr>
      </w:pPr>
      <w:r>
        <w:rPr>
          <w:lang w:val="en-US"/>
        </w:rPr>
        <w:t xml:space="preserve">The balancing actions </w:t>
      </w:r>
      <w:r w:rsidR="009B4278">
        <w:rPr>
          <w:lang w:val="en-US"/>
        </w:rPr>
        <w:t>are</w:t>
      </w:r>
      <w:r>
        <w:rPr>
          <w:lang w:val="en-US"/>
        </w:rPr>
        <w:t xml:space="preserve"> performed</w:t>
      </w:r>
      <w:r w:rsidR="009B4278">
        <w:rPr>
          <w:lang w:val="en-US"/>
        </w:rPr>
        <w:t xml:space="preserve"> by the </w:t>
      </w:r>
      <w:r w:rsidR="0086627E">
        <w:rPr>
          <w:lang w:val="en-US"/>
        </w:rPr>
        <w:t xml:space="preserve">TSOs </w:t>
      </w:r>
      <w:r>
        <w:rPr>
          <w:lang w:val="en-US"/>
        </w:rPr>
        <w:t xml:space="preserve">without </w:t>
      </w:r>
      <w:r w:rsidR="009B4278">
        <w:rPr>
          <w:lang w:val="en-US"/>
        </w:rPr>
        <w:t xml:space="preserve">any </w:t>
      </w:r>
      <w:r>
        <w:rPr>
          <w:lang w:val="en-US"/>
        </w:rPr>
        <w:t>benefit or cost</w:t>
      </w:r>
      <w:r w:rsidR="0086627E">
        <w:rPr>
          <w:lang w:val="en-US"/>
        </w:rPr>
        <w:t>,</w:t>
      </w:r>
      <w:r>
        <w:rPr>
          <w:lang w:val="en-US"/>
        </w:rPr>
        <w:t xml:space="preserve"> provided that these are performed efficiently. </w:t>
      </w:r>
      <w:r w:rsidR="00600361">
        <w:rPr>
          <w:lang w:val="en-US"/>
        </w:rPr>
        <w:t xml:space="preserve">Impact of users’ imbalance charges are also neutral to </w:t>
      </w:r>
      <w:r w:rsidR="0086627E">
        <w:rPr>
          <w:lang w:val="en-US"/>
        </w:rPr>
        <w:t>TSOs</w:t>
      </w:r>
      <w:r w:rsidR="00600361">
        <w:rPr>
          <w:lang w:val="en-US"/>
        </w:rPr>
        <w:t xml:space="preserve">. </w:t>
      </w:r>
      <w:r>
        <w:rPr>
          <w:lang w:val="en-US"/>
        </w:rPr>
        <w:t xml:space="preserve"> </w:t>
      </w:r>
    </w:p>
    <w:p w:rsidR="00007024" w:rsidRPr="00DE026E" w:rsidRDefault="00007024" w:rsidP="006302CC">
      <w:pPr>
        <w:rPr>
          <w:u w:val="single"/>
          <w:lang w:val="en-US"/>
        </w:rPr>
      </w:pPr>
      <w:r w:rsidRPr="00DE026E">
        <w:rPr>
          <w:u w:val="single"/>
          <w:lang w:val="en-US"/>
        </w:rPr>
        <w:t>Spain</w:t>
      </w:r>
    </w:p>
    <w:p w:rsidR="00D46B65" w:rsidRDefault="006302CC" w:rsidP="006302CC">
      <w:pPr>
        <w:rPr>
          <w:lang w:val="en-US"/>
        </w:rPr>
      </w:pPr>
      <w:r>
        <w:rPr>
          <w:lang w:val="en-US"/>
        </w:rPr>
        <w:t>The balancing actions</w:t>
      </w:r>
      <w:r w:rsidR="003C220D">
        <w:rPr>
          <w:lang w:val="en-US"/>
        </w:rPr>
        <w:t xml:space="preserve"> of sales/purchases of title products in PVB</w:t>
      </w:r>
      <w:r>
        <w:rPr>
          <w:lang w:val="en-US"/>
        </w:rPr>
        <w:t xml:space="preserve"> </w:t>
      </w:r>
      <w:r w:rsidR="003C220D">
        <w:rPr>
          <w:lang w:val="en-US"/>
        </w:rPr>
        <w:t xml:space="preserve">performed by </w:t>
      </w:r>
      <w:r w:rsidR="00F179D2">
        <w:rPr>
          <w:lang w:val="en-US"/>
        </w:rPr>
        <w:t>ENAGÁS GTS</w:t>
      </w:r>
      <w:r w:rsidR="003C220D">
        <w:rPr>
          <w:lang w:val="en-US"/>
        </w:rPr>
        <w:t xml:space="preserve"> </w:t>
      </w:r>
      <w:r>
        <w:rPr>
          <w:lang w:val="en-US"/>
        </w:rPr>
        <w:t>are settled monthly</w:t>
      </w:r>
      <w:r w:rsidR="003C220D">
        <w:rPr>
          <w:lang w:val="en-US"/>
        </w:rPr>
        <w:t xml:space="preserve">. </w:t>
      </w:r>
      <w:r w:rsidR="00F179D2">
        <w:rPr>
          <w:lang w:val="en-US"/>
        </w:rPr>
        <w:t>ENAGÁS GTS</w:t>
      </w:r>
      <w:r w:rsidR="003C220D">
        <w:rPr>
          <w:lang w:val="en-US"/>
        </w:rPr>
        <w:t xml:space="preserve"> calculates the overall net financial result</w:t>
      </w:r>
      <w:r>
        <w:rPr>
          <w:lang w:val="en-US"/>
        </w:rPr>
        <w:t xml:space="preserve"> </w:t>
      </w:r>
      <w:r w:rsidR="003C220D">
        <w:rPr>
          <w:lang w:val="en-US"/>
        </w:rPr>
        <w:t>of</w:t>
      </w:r>
      <w:r>
        <w:rPr>
          <w:lang w:val="en-US"/>
        </w:rPr>
        <w:t xml:space="preserve"> the settlement of </w:t>
      </w:r>
      <w:r w:rsidR="0086627E">
        <w:rPr>
          <w:lang w:val="en-US"/>
        </w:rPr>
        <w:t>users’</w:t>
      </w:r>
      <w:r>
        <w:rPr>
          <w:lang w:val="en-US"/>
        </w:rPr>
        <w:t xml:space="preserve"> imbalances </w:t>
      </w:r>
      <w:r w:rsidR="003C220D">
        <w:rPr>
          <w:lang w:val="en-US"/>
        </w:rPr>
        <w:t xml:space="preserve">for the month M and the balancing actions performed by </w:t>
      </w:r>
      <w:r w:rsidR="00F179D2">
        <w:rPr>
          <w:lang w:val="en-US"/>
        </w:rPr>
        <w:t>ENAGÁS GTS</w:t>
      </w:r>
      <w:r w:rsidR="003C220D">
        <w:rPr>
          <w:lang w:val="en-US"/>
        </w:rPr>
        <w:t xml:space="preserve"> (sales/purchases of title products in PVB) </w:t>
      </w:r>
      <w:r w:rsidR="00600361">
        <w:rPr>
          <w:lang w:val="en-US"/>
        </w:rPr>
        <w:t>during that month</w:t>
      </w:r>
      <w:r w:rsidR="003C220D">
        <w:rPr>
          <w:lang w:val="en-US"/>
        </w:rPr>
        <w:t>. Additionally</w:t>
      </w:r>
      <w:r w:rsidR="00584030">
        <w:rPr>
          <w:lang w:val="en-US"/>
        </w:rPr>
        <w:t>,</w:t>
      </w:r>
      <w:r w:rsidR="003C220D">
        <w:rPr>
          <w:lang w:val="en-US"/>
        </w:rPr>
        <w:t xml:space="preserve"> </w:t>
      </w:r>
      <w:r w:rsidR="0086627E">
        <w:rPr>
          <w:lang w:val="en-US"/>
        </w:rPr>
        <w:t xml:space="preserve">for each user </w:t>
      </w:r>
      <w:r w:rsidR="00F179D2">
        <w:rPr>
          <w:lang w:val="en-US"/>
        </w:rPr>
        <w:t>ENAGÁS GTS</w:t>
      </w:r>
      <w:r w:rsidR="003C220D">
        <w:rPr>
          <w:lang w:val="en-US"/>
        </w:rPr>
        <w:t xml:space="preserve"> calculates the </w:t>
      </w:r>
      <w:r w:rsidR="00600361">
        <w:rPr>
          <w:lang w:val="en-US"/>
        </w:rPr>
        <w:t xml:space="preserve">sum of </w:t>
      </w:r>
      <w:r w:rsidR="0086627E">
        <w:rPr>
          <w:lang w:val="en-US"/>
        </w:rPr>
        <w:t xml:space="preserve">their </w:t>
      </w:r>
      <w:r w:rsidR="00600361">
        <w:rPr>
          <w:lang w:val="en-US"/>
        </w:rPr>
        <w:t xml:space="preserve">absolute values of imbalance quantities </w:t>
      </w:r>
      <w:r w:rsidR="003C220D">
        <w:rPr>
          <w:lang w:val="en-US"/>
        </w:rPr>
        <w:t xml:space="preserve">accumulated </w:t>
      </w:r>
      <w:r w:rsidR="00600361">
        <w:rPr>
          <w:lang w:val="en-US"/>
        </w:rPr>
        <w:t xml:space="preserve">during the </w:t>
      </w:r>
      <w:r w:rsidR="003C220D">
        <w:rPr>
          <w:lang w:val="en-US"/>
        </w:rPr>
        <w:t>month.</w:t>
      </w:r>
      <w:r w:rsidR="004F74A5">
        <w:rPr>
          <w:lang w:val="en-US"/>
        </w:rPr>
        <w:t xml:space="preserve"> </w:t>
      </w:r>
      <w:r w:rsidR="003C220D">
        <w:rPr>
          <w:lang w:val="en-US"/>
        </w:rPr>
        <w:t>Where the net financial result</w:t>
      </w:r>
      <w:r w:rsidR="00600361">
        <w:rPr>
          <w:lang w:val="en-US"/>
        </w:rPr>
        <w:t xml:space="preserve"> (as calculated in the paragraph above)</w:t>
      </w:r>
      <w:r w:rsidR="00F6634E">
        <w:rPr>
          <w:lang w:val="en-US"/>
        </w:rPr>
        <w:t xml:space="preserve"> is negative for </w:t>
      </w:r>
      <w:r w:rsidR="00F179D2">
        <w:rPr>
          <w:lang w:val="en-US"/>
        </w:rPr>
        <w:t>ENAGÁS GTS</w:t>
      </w:r>
      <w:r w:rsidR="00BD53E1">
        <w:rPr>
          <w:lang w:val="en-US"/>
        </w:rPr>
        <w:t>,</w:t>
      </w:r>
      <w:r w:rsidR="003C220D">
        <w:rPr>
          <w:lang w:val="en-US"/>
        </w:rPr>
        <w:t xml:space="preserve"> the network users with an accumulated monthly imbalance will pay</w:t>
      </w:r>
      <w:r w:rsidR="00F968E9">
        <w:rPr>
          <w:lang w:val="en-US"/>
        </w:rPr>
        <w:t xml:space="preserve"> </w:t>
      </w:r>
      <w:r w:rsidR="00F179D2">
        <w:rPr>
          <w:lang w:val="en-US"/>
        </w:rPr>
        <w:t>ENAGÁS GTS</w:t>
      </w:r>
      <w:r w:rsidR="00F968E9">
        <w:rPr>
          <w:lang w:val="en-US"/>
        </w:rPr>
        <w:t xml:space="preserve"> proportionally to their accumulated monthly imbalance. On the contrary, if the result is positive the result will be consider</w:t>
      </w:r>
      <w:r w:rsidR="004F74A5">
        <w:rPr>
          <w:lang w:val="en-US"/>
        </w:rPr>
        <w:t>ed</w:t>
      </w:r>
      <w:r w:rsidR="00F968E9">
        <w:rPr>
          <w:lang w:val="en-US"/>
        </w:rPr>
        <w:t xml:space="preserve"> as an </w:t>
      </w:r>
      <w:r w:rsidR="00600361">
        <w:rPr>
          <w:lang w:val="en-US"/>
        </w:rPr>
        <w:t>income</w:t>
      </w:r>
      <w:r w:rsidR="006A004F">
        <w:rPr>
          <w:lang w:val="en-US"/>
        </w:rPr>
        <w:t xml:space="preserve"> </w:t>
      </w:r>
      <w:r w:rsidR="00600361">
        <w:rPr>
          <w:lang w:val="en-US"/>
        </w:rPr>
        <w:t>for</w:t>
      </w:r>
      <w:r w:rsidR="006A004F">
        <w:rPr>
          <w:lang w:val="en-US"/>
        </w:rPr>
        <w:t xml:space="preserve"> the gas system</w:t>
      </w:r>
      <w:r w:rsidR="00600361">
        <w:rPr>
          <w:lang w:val="en-US"/>
        </w:rPr>
        <w:t xml:space="preserve"> and used to reduce system’s costs and TPA tariffs</w:t>
      </w:r>
      <w:r w:rsidR="00FF0267">
        <w:rPr>
          <w:lang w:val="en-US"/>
        </w:rPr>
        <w:t xml:space="preserve"> in the future</w:t>
      </w:r>
      <w:r w:rsidR="00F968E9">
        <w:rPr>
          <w:lang w:val="en-US"/>
        </w:rPr>
        <w:t>.</w:t>
      </w:r>
    </w:p>
    <w:p w:rsidR="00615636" w:rsidRDefault="00615636" w:rsidP="006302CC">
      <w:pPr>
        <w:rPr>
          <w:u w:val="single"/>
          <w:lang w:val="en-US"/>
        </w:rPr>
      </w:pPr>
    </w:p>
    <w:p w:rsidR="00007024" w:rsidRPr="00DE026E" w:rsidRDefault="00007024" w:rsidP="006302CC">
      <w:pPr>
        <w:rPr>
          <w:u w:val="single"/>
          <w:lang w:val="en-US"/>
        </w:rPr>
      </w:pPr>
      <w:r w:rsidRPr="00DE026E">
        <w:rPr>
          <w:u w:val="single"/>
          <w:lang w:val="en-US"/>
        </w:rPr>
        <w:t>France</w:t>
      </w:r>
    </w:p>
    <w:p w:rsidR="002F2A8C" w:rsidRPr="00400E57" w:rsidRDefault="002F2A8C" w:rsidP="002F2A8C">
      <w:pPr>
        <w:rPr>
          <w:b/>
          <w:lang w:val="en-US"/>
        </w:rPr>
      </w:pPr>
      <w:r w:rsidRPr="00400E57">
        <w:rPr>
          <w:b/>
          <w:lang w:val="en-US"/>
        </w:rPr>
        <w:t>TIGF:</w:t>
      </w:r>
    </w:p>
    <w:p w:rsidR="002F2A8C" w:rsidRPr="00F0351B" w:rsidRDefault="002F2A8C" w:rsidP="002F2A8C">
      <w:r w:rsidRPr="00F0351B">
        <w:t xml:space="preserve">An overall calculation is made for each </w:t>
      </w:r>
      <w:r w:rsidR="000064BD">
        <w:t>user</w:t>
      </w:r>
      <w:r w:rsidR="000064BD" w:rsidRPr="00F0351B">
        <w:t xml:space="preserve">’s </w:t>
      </w:r>
      <w:r w:rsidRPr="00F0351B">
        <w:t xml:space="preserve">contractual imbalance in the Trading South Region (TRS). </w:t>
      </w:r>
      <w:r w:rsidR="000064BD">
        <w:t>To determine the contractual imbalance, t</w:t>
      </w:r>
      <w:r w:rsidRPr="00F0351B">
        <w:t>he TSO</w:t>
      </w:r>
      <w:r w:rsidR="000064BD">
        <w:t>s</w:t>
      </w:r>
      <w:r w:rsidRPr="00F0351B">
        <w:t xml:space="preserve"> distribute each </w:t>
      </w:r>
      <w:r w:rsidR="000064BD">
        <w:t>user</w:t>
      </w:r>
      <w:r w:rsidRPr="00F0351B">
        <w:t xml:space="preserve">’s imbalance between the two balancing zones </w:t>
      </w:r>
      <w:r>
        <w:t xml:space="preserve">(TIGF and GRTgaz) </w:t>
      </w:r>
      <w:r w:rsidRPr="00F0351B">
        <w:t xml:space="preserve">using a specific code for each </w:t>
      </w:r>
      <w:r w:rsidR="000064BD">
        <w:t>user</w:t>
      </w:r>
      <w:r w:rsidR="000064BD" w:rsidRPr="00F0351B">
        <w:t xml:space="preserve"> </w:t>
      </w:r>
      <w:r w:rsidRPr="00F0351B">
        <w:t xml:space="preserve">depending on the total amount of its capacity allocations at exit points (delivery points, PIR, PITS) in each balancing zone. </w:t>
      </w:r>
    </w:p>
    <w:p w:rsidR="002F2A8C" w:rsidRPr="00F0351B" w:rsidRDefault="002F2A8C" w:rsidP="002F2A8C">
      <w:r w:rsidRPr="00F0351B">
        <w:t xml:space="preserve">This code takes into account the segmentation of </w:t>
      </w:r>
      <w:r w:rsidR="000064BD">
        <w:t>user</w:t>
      </w:r>
      <w:r w:rsidR="000064BD" w:rsidRPr="00F0351B">
        <w:t xml:space="preserve">s </w:t>
      </w:r>
      <w:r w:rsidRPr="00F0351B">
        <w:t xml:space="preserve">into 4 categories, on a monthly basis, depending on their portfolio capacities: </w:t>
      </w:r>
    </w:p>
    <w:p w:rsidR="002F2A8C" w:rsidRPr="00F0351B" w:rsidRDefault="002F2A8C" w:rsidP="000064BD">
      <w:pPr>
        <w:ind w:left="426" w:hanging="142"/>
      </w:pPr>
      <w:r w:rsidRPr="00F0351B">
        <w:t xml:space="preserve">- </w:t>
      </w:r>
      <w:r w:rsidR="000064BD">
        <w:t>us</w:t>
      </w:r>
      <w:r w:rsidR="000064BD" w:rsidRPr="00F0351B">
        <w:t xml:space="preserve">ers </w:t>
      </w:r>
      <w:r w:rsidRPr="00F0351B">
        <w:t xml:space="preserve">with delivery capacities to end users or to the PITDs make up segment 1; </w:t>
      </w:r>
    </w:p>
    <w:p w:rsidR="002F2A8C" w:rsidRPr="00F0351B" w:rsidRDefault="002F2A8C" w:rsidP="000064BD">
      <w:pPr>
        <w:ind w:left="426" w:hanging="142"/>
      </w:pPr>
      <w:r w:rsidRPr="00F0351B">
        <w:t xml:space="preserve">- </w:t>
      </w:r>
      <w:r w:rsidR="000064BD">
        <w:t>us</w:t>
      </w:r>
      <w:r w:rsidR="000064BD" w:rsidRPr="00F0351B">
        <w:t xml:space="preserve">ers </w:t>
      </w:r>
      <w:r w:rsidRPr="00F0351B">
        <w:t xml:space="preserve">with transport capacity but no delivery capacity to end users or to PITDs make up segment 2; </w:t>
      </w:r>
    </w:p>
    <w:p w:rsidR="002F2A8C" w:rsidRPr="00F0351B" w:rsidRDefault="002F2A8C" w:rsidP="000064BD">
      <w:pPr>
        <w:ind w:left="426" w:hanging="142"/>
      </w:pPr>
      <w:r w:rsidRPr="00F0351B">
        <w:t xml:space="preserve">- </w:t>
      </w:r>
      <w:r w:rsidR="000064BD">
        <w:t>us</w:t>
      </w:r>
      <w:r w:rsidR="000064BD" w:rsidRPr="00F0351B">
        <w:t xml:space="preserve">ers </w:t>
      </w:r>
      <w:r w:rsidRPr="00F0351B">
        <w:t xml:space="preserve">with no transport capacity (pure traders) make up segment 3; </w:t>
      </w:r>
    </w:p>
    <w:p w:rsidR="002F2A8C" w:rsidRPr="00F0351B" w:rsidRDefault="002F2A8C" w:rsidP="000064BD">
      <w:pPr>
        <w:ind w:left="426" w:hanging="142"/>
      </w:pPr>
      <w:r w:rsidRPr="00F0351B">
        <w:t xml:space="preserve">- inactive </w:t>
      </w:r>
      <w:r w:rsidR="000064BD">
        <w:t>us</w:t>
      </w:r>
      <w:r w:rsidR="000064BD" w:rsidRPr="00F0351B">
        <w:t xml:space="preserve">ers </w:t>
      </w:r>
      <w:r w:rsidRPr="00F0351B">
        <w:t xml:space="preserve">make up segment 4. </w:t>
      </w:r>
    </w:p>
    <w:p w:rsidR="002F2A8C" w:rsidRDefault="002F2A8C" w:rsidP="002F2A8C">
      <w:r>
        <w:t>E</w:t>
      </w:r>
      <w:r w:rsidRPr="004A1150">
        <w:t>ach day</w:t>
      </w:r>
      <w:r w:rsidR="0093381F">
        <w:t>, the procedure is applied as follows</w:t>
      </w:r>
      <w:r w:rsidRPr="004A1150">
        <w:t>:</w:t>
      </w:r>
    </w:p>
    <w:p w:rsidR="002F2A8C" w:rsidRDefault="002F2A8C" w:rsidP="0093381F">
      <w:pPr>
        <w:ind w:left="426" w:hanging="142"/>
      </w:pPr>
      <w:r w:rsidRPr="004A1150">
        <w:t xml:space="preserve"> - a </w:t>
      </w:r>
      <w:r w:rsidR="003D7878">
        <w:t>us</w:t>
      </w:r>
      <w:r w:rsidRPr="004A1150">
        <w:t>er’s imbalance after delivery to end users is distributed pro-rata between the two balancing zones</w:t>
      </w:r>
      <w:r>
        <w:t xml:space="preserve"> (TRS TIGF, TRS GRTgaz)</w:t>
      </w:r>
      <w:r w:rsidRPr="004A1150">
        <w:t xml:space="preserve"> to the allocations at delivery points, using a segment-specific formula;</w:t>
      </w:r>
    </w:p>
    <w:p w:rsidR="002F2A8C" w:rsidRDefault="002F2A8C" w:rsidP="0093381F">
      <w:pPr>
        <w:ind w:left="426" w:hanging="142"/>
      </w:pPr>
      <w:r w:rsidRPr="004A1150">
        <w:t xml:space="preserve"> - a </w:t>
      </w:r>
      <w:r w:rsidR="003D7878">
        <w:t>us</w:t>
      </w:r>
      <w:r w:rsidRPr="004A1150">
        <w:t>er’s imbalance with only volume allocations at the entry and exit of the TRS, is distributed pro-rata to allocations at the entry and exit of the TRS (PIR, PITTM, PITS), using a segment-specific formula;</w:t>
      </w:r>
    </w:p>
    <w:p w:rsidR="002F2A8C" w:rsidRDefault="002F2A8C" w:rsidP="0093381F">
      <w:pPr>
        <w:ind w:left="426" w:hanging="142"/>
      </w:pPr>
      <w:r w:rsidRPr="004A1150">
        <w:t xml:space="preserve"> - a </w:t>
      </w:r>
      <w:r w:rsidR="003D7878">
        <w:t>u</w:t>
      </w:r>
      <w:r w:rsidRPr="004A1150">
        <w:t>ser’s imbalance, after having exclusively conducted transactions with</w:t>
      </w:r>
      <w:r w:rsidR="00D13811">
        <w:t>in</w:t>
      </w:r>
      <w:r w:rsidRPr="004A1150">
        <w:t xml:space="preserve"> the TRS, is entirely allocated to GRTgaz South zone;</w:t>
      </w:r>
    </w:p>
    <w:p w:rsidR="002F2A8C" w:rsidRPr="004A1150" w:rsidRDefault="002F2A8C" w:rsidP="0093381F">
      <w:pPr>
        <w:ind w:left="426" w:hanging="142"/>
        <w:rPr>
          <w:lang w:val="en-US"/>
        </w:rPr>
      </w:pPr>
      <w:r w:rsidRPr="004A1150">
        <w:t xml:space="preserve"> - for reasons of practicality and simplicity in </w:t>
      </w:r>
      <w:r>
        <w:t xml:space="preserve">IT </w:t>
      </w:r>
      <w:r w:rsidRPr="004A1150">
        <w:t>implementation, TIGF and GRTgaz agree to join forces for the operational management under the “traders” and “inactive shippers” categories.</w:t>
      </w:r>
    </w:p>
    <w:p w:rsidR="002F2A8C" w:rsidRDefault="002F2A8C" w:rsidP="002F2A8C">
      <w:pPr>
        <w:rPr>
          <w:bCs/>
          <w:lang w:val="en-GB"/>
        </w:rPr>
      </w:pPr>
      <w:r>
        <w:rPr>
          <w:bCs/>
          <w:lang w:val="en-GB"/>
        </w:rPr>
        <w:t>GRTgaz:</w:t>
      </w:r>
    </w:p>
    <w:p w:rsidR="002F2A8C" w:rsidRPr="00715046" w:rsidRDefault="002F2A8C" w:rsidP="002F2A8C">
      <w:pPr>
        <w:rPr>
          <w:bCs/>
          <w:lang w:val="en-GB"/>
        </w:rPr>
      </w:pPr>
      <w:r>
        <w:rPr>
          <w:bCs/>
          <w:lang w:val="en-GB"/>
        </w:rPr>
        <w:t>The balancing r</w:t>
      </w:r>
      <w:r w:rsidRPr="00715046">
        <w:rPr>
          <w:bCs/>
          <w:lang w:val="en-GB"/>
        </w:rPr>
        <w:t>esult for</w:t>
      </w:r>
      <w:r>
        <w:rPr>
          <w:bCs/>
          <w:lang w:val="en-GB"/>
        </w:rPr>
        <w:t xml:space="preserve"> a given month</w:t>
      </w:r>
      <w:r w:rsidRPr="00715046">
        <w:rPr>
          <w:bCs/>
          <w:lang w:val="en-GB"/>
        </w:rPr>
        <w:t xml:space="preserve"> is equal to the diffe</w:t>
      </w:r>
      <w:r>
        <w:rPr>
          <w:bCs/>
          <w:lang w:val="en-GB"/>
        </w:rPr>
        <w:t>rence between, on the one hand:</w:t>
      </w:r>
    </w:p>
    <w:p w:rsidR="002F2A8C" w:rsidRPr="008965CC" w:rsidRDefault="002F2A8C" w:rsidP="002F2A8C">
      <w:pPr>
        <w:pStyle w:val="Prrafodelista"/>
        <w:numPr>
          <w:ilvl w:val="0"/>
          <w:numId w:val="9"/>
        </w:numPr>
        <w:rPr>
          <w:bCs/>
          <w:lang w:val="en-GB"/>
        </w:rPr>
      </w:pPr>
      <w:r w:rsidRPr="008965CC">
        <w:rPr>
          <w:bCs/>
          <w:lang w:val="en-GB"/>
        </w:rPr>
        <w:t xml:space="preserve">the amount of natural gas sold by GRTgaz on  the Balancing Gas  Exchange deducting the variable proportion of transaction costs on the Balancing Gas Exchange with some </w:t>
      </w:r>
      <w:r w:rsidR="00D5655B">
        <w:rPr>
          <w:bCs/>
          <w:lang w:val="en-GB"/>
        </w:rPr>
        <w:t>use</w:t>
      </w:r>
      <w:r w:rsidRPr="008965CC">
        <w:rPr>
          <w:bCs/>
          <w:lang w:val="en-GB"/>
        </w:rPr>
        <w:t xml:space="preserve">rs delivered between the first and the last day of </w:t>
      </w:r>
      <w:r>
        <w:rPr>
          <w:bCs/>
          <w:lang w:val="en-GB"/>
        </w:rPr>
        <w:t>the month</w:t>
      </w:r>
      <w:r w:rsidRPr="008965CC">
        <w:rPr>
          <w:bCs/>
          <w:lang w:val="en-GB"/>
        </w:rPr>
        <w:t>,</w:t>
      </w:r>
    </w:p>
    <w:p w:rsidR="002F2A8C" w:rsidRPr="008965CC" w:rsidRDefault="002F2A8C" w:rsidP="002F2A8C">
      <w:pPr>
        <w:pStyle w:val="Prrafodelista"/>
        <w:numPr>
          <w:ilvl w:val="0"/>
          <w:numId w:val="9"/>
        </w:numPr>
        <w:rPr>
          <w:bCs/>
          <w:lang w:val="en-GB"/>
        </w:rPr>
      </w:pPr>
      <w:r w:rsidRPr="00BB66F6">
        <w:rPr>
          <w:bCs/>
          <w:lang w:val="en-GB"/>
        </w:rPr>
        <w:t xml:space="preserve">the amount of natural gas sold by GRTgaz to the </w:t>
      </w:r>
      <w:r w:rsidR="00D5655B">
        <w:rPr>
          <w:bCs/>
          <w:lang w:val="en-GB"/>
        </w:rPr>
        <w:t>us</w:t>
      </w:r>
      <w:r w:rsidRPr="00BB66F6">
        <w:rPr>
          <w:bCs/>
          <w:lang w:val="en-GB"/>
        </w:rPr>
        <w:t xml:space="preserve">ers under the transmission contracts for each day of </w:t>
      </w:r>
      <w:r>
        <w:rPr>
          <w:bCs/>
          <w:lang w:val="en-GB"/>
        </w:rPr>
        <w:t>the month</w:t>
      </w:r>
      <w:r w:rsidRPr="008965CC">
        <w:rPr>
          <w:bCs/>
          <w:lang w:val="en-GB"/>
        </w:rPr>
        <w:t>,</w:t>
      </w:r>
    </w:p>
    <w:p w:rsidR="002F2A8C" w:rsidRDefault="002F2A8C" w:rsidP="002F2A8C">
      <w:pPr>
        <w:pStyle w:val="Prrafodelista"/>
        <w:numPr>
          <w:ilvl w:val="0"/>
          <w:numId w:val="9"/>
        </w:numPr>
        <w:rPr>
          <w:bCs/>
          <w:lang w:val="en-GB"/>
        </w:rPr>
      </w:pPr>
      <w:r w:rsidRPr="00BB66F6">
        <w:rPr>
          <w:bCs/>
          <w:lang w:val="en-GB"/>
        </w:rPr>
        <w:t xml:space="preserve">the sale by GRTgaz of the difference between the quantities purchased and the quantities sold </w:t>
      </w:r>
      <w:r>
        <w:rPr>
          <w:bCs/>
          <w:lang w:val="en-GB"/>
        </w:rPr>
        <w:t>by the latter</w:t>
      </w:r>
      <w:r w:rsidRPr="008965CC">
        <w:rPr>
          <w:bCs/>
          <w:lang w:val="en-GB"/>
        </w:rPr>
        <w:t xml:space="preserve"> via the Balancing Gas  Exchange  under the transmission contracts, should this difference be positive,</w:t>
      </w:r>
    </w:p>
    <w:p w:rsidR="002F2A8C" w:rsidRPr="008965CC" w:rsidRDefault="002F2A8C" w:rsidP="002F2A8C">
      <w:pPr>
        <w:pStyle w:val="Prrafodelista"/>
        <w:ind w:left="360"/>
        <w:rPr>
          <w:bCs/>
          <w:lang w:val="en-GB"/>
        </w:rPr>
      </w:pPr>
      <w:r w:rsidRPr="008965CC">
        <w:rPr>
          <w:bCs/>
          <w:lang w:val="en-GB"/>
        </w:rPr>
        <w:t>and, on the other</w:t>
      </w:r>
      <w:r>
        <w:rPr>
          <w:bCs/>
          <w:lang w:val="en-GB"/>
        </w:rPr>
        <w:t xml:space="preserve"> hand</w:t>
      </w:r>
      <w:r w:rsidRPr="008965CC">
        <w:rPr>
          <w:bCs/>
          <w:lang w:val="en-GB"/>
        </w:rPr>
        <w:t>,</w:t>
      </w:r>
    </w:p>
    <w:p w:rsidR="002F2A8C" w:rsidRPr="008965CC" w:rsidRDefault="002F2A8C" w:rsidP="002F2A8C">
      <w:pPr>
        <w:pStyle w:val="Prrafodelista"/>
        <w:numPr>
          <w:ilvl w:val="0"/>
          <w:numId w:val="9"/>
        </w:numPr>
        <w:rPr>
          <w:bCs/>
          <w:lang w:val="en-GB"/>
        </w:rPr>
      </w:pPr>
      <w:r w:rsidRPr="008965CC">
        <w:rPr>
          <w:bCs/>
          <w:lang w:val="en-GB"/>
        </w:rPr>
        <w:t xml:space="preserve">the amount of natural gas purchased by GRTgaz on the Balancing Gas Exchange including the variable proportion of transaction costs on the Balancing Gas Exchange with some </w:t>
      </w:r>
      <w:r w:rsidR="00D5655B">
        <w:rPr>
          <w:bCs/>
          <w:lang w:val="en-GB"/>
        </w:rPr>
        <w:t>us</w:t>
      </w:r>
      <w:r w:rsidRPr="008965CC">
        <w:rPr>
          <w:bCs/>
          <w:lang w:val="en-GB"/>
        </w:rPr>
        <w:t xml:space="preserve">ers delivered between the first and the last day of </w:t>
      </w:r>
      <w:r>
        <w:rPr>
          <w:bCs/>
          <w:lang w:val="en-GB"/>
        </w:rPr>
        <w:t>the month</w:t>
      </w:r>
      <w:r w:rsidRPr="008965CC">
        <w:rPr>
          <w:bCs/>
          <w:lang w:val="en-GB"/>
        </w:rPr>
        <w:t>,</w:t>
      </w:r>
    </w:p>
    <w:p w:rsidR="002F2A8C" w:rsidRPr="008965CC" w:rsidRDefault="002F2A8C" w:rsidP="002F2A8C">
      <w:pPr>
        <w:pStyle w:val="Prrafodelista"/>
        <w:numPr>
          <w:ilvl w:val="0"/>
          <w:numId w:val="9"/>
        </w:numPr>
        <w:rPr>
          <w:bCs/>
          <w:lang w:val="en-GB"/>
        </w:rPr>
      </w:pPr>
      <w:r w:rsidRPr="00BB66F6">
        <w:rPr>
          <w:bCs/>
          <w:lang w:val="en-GB"/>
        </w:rPr>
        <w:t xml:space="preserve">the amount of natural gas purchased by GRTgaz from the  </w:t>
      </w:r>
      <w:r w:rsidR="00D5655B">
        <w:rPr>
          <w:bCs/>
          <w:lang w:val="en-GB"/>
        </w:rPr>
        <w:t>us</w:t>
      </w:r>
      <w:r w:rsidR="00D5655B" w:rsidRPr="00BB66F6">
        <w:rPr>
          <w:bCs/>
          <w:lang w:val="en-GB"/>
        </w:rPr>
        <w:t xml:space="preserve">ers </w:t>
      </w:r>
      <w:r w:rsidRPr="00BB66F6">
        <w:rPr>
          <w:bCs/>
          <w:lang w:val="en-GB"/>
        </w:rPr>
        <w:t xml:space="preserve">under the transmission contracts for each day of </w:t>
      </w:r>
      <w:r>
        <w:rPr>
          <w:bCs/>
          <w:lang w:val="en-GB"/>
        </w:rPr>
        <w:t>the month</w:t>
      </w:r>
      <w:r w:rsidRPr="008965CC">
        <w:rPr>
          <w:bCs/>
          <w:lang w:val="en-GB"/>
        </w:rPr>
        <w:t>,</w:t>
      </w:r>
    </w:p>
    <w:p w:rsidR="002F2A8C" w:rsidRPr="008965CC" w:rsidRDefault="002F2A8C" w:rsidP="002F2A8C">
      <w:pPr>
        <w:pStyle w:val="Prrafodelista"/>
        <w:numPr>
          <w:ilvl w:val="0"/>
          <w:numId w:val="9"/>
        </w:numPr>
        <w:rPr>
          <w:bCs/>
          <w:lang w:val="en-GB"/>
        </w:rPr>
      </w:pPr>
      <w:r w:rsidRPr="00BB66F6">
        <w:rPr>
          <w:bCs/>
          <w:lang w:val="en-GB"/>
        </w:rPr>
        <w:t>the purchase by GRTgaz of the difference between the quantities purchased and the quantities sold by  the latter</w:t>
      </w:r>
      <w:r>
        <w:rPr>
          <w:bCs/>
          <w:lang w:val="en-GB"/>
        </w:rPr>
        <w:t xml:space="preserve"> </w:t>
      </w:r>
      <w:r w:rsidRPr="008965CC">
        <w:rPr>
          <w:bCs/>
          <w:lang w:val="en-GB"/>
        </w:rPr>
        <w:t xml:space="preserve">via  the Balancing </w:t>
      </w:r>
      <w:r>
        <w:rPr>
          <w:bCs/>
          <w:lang w:val="en-GB"/>
        </w:rPr>
        <w:t>Gas  Exchange</w:t>
      </w:r>
      <w:r w:rsidRPr="008965CC">
        <w:rPr>
          <w:bCs/>
          <w:lang w:val="en-GB"/>
        </w:rPr>
        <w:t xml:space="preserve"> under</w:t>
      </w:r>
      <w:r>
        <w:rPr>
          <w:bCs/>
          <w:lang w:val="en-GB"/>
        </w:rPr>
        <w:t xml:space="preserve"> the transmission contracts,</w:t>
      </w:r>
      <w:r w:rsidRPr="008965CC">
        <w:rPr>
          <w:bCs/>
          <w:lang w:val="en-GB"/>
        </w:rPr>
        <w:t xml:space="preserve"> should this difference be positive.</w:t>
      </w:r>
    </w:p>
    <w:p w:rsidR="002F2A8C" w:rsidRPr="00715046" w:rsidRDefault="002F2A8C" w:rsidP="002F2A8C">
      <w:pPr>
        <w:rPr>
          <w:bCs/>
          <w:lang w:val="en-GB"/>
        </w:rPr>
      </w:pPr>
      <w:r>
        <w:rPr>
          <w:bCs/>
          <w:lang w:val="en-GB"/>
        </w:rPr>
        <w:t>The balancing result for the month is broken down between the</w:t>
      </w:r>
      <w:r w:rsidRPr="00715046">
        <w:rPr>
          <w:bCs/>
          <w:lang w:val="en-GB"/>
        </w:rPr>
        <w:t xml:space="preserve"> </w:t>
      </w:r>
      <w:r w:rsidR="00D5655B">
        <w:rPr>
          <w:bCs/>
          <w:lang w:val="en-GB"/>
        </w:rPr>
        <w:t>us</w:t>
      </w:r>
      <w:r w:rsidRPr="00715046">
        <w:rPr>
          <w:bCs/>
          <w:lang w:val="en-GB"/>
        </w:rPr>
        <w:t>ers</w:t>
      </w:r>
      <w:r>
        <w:rPr>
          <w:bCs/>
          <w:lang w:val="en-GB"/>
        </w:rPr>
        <w:t xml:space="preserve"> holding a valid </w:t>
      </w:r>
      <w:r w:rsidRPr="00715046">
        <w:rPr>
          <w:bCs/>
          <w:lang w:val="en-GB"/>
        </w:rPr>
        <w:t>transmission contract with GRTgaz during</w:t>
      </w:r>
      <w:r>
        <w:rPr>
          <w:bCs/>
          <w:lang w:val="en-GB"/>
        </w:rPr>
        <w:t xml:space="preserve"> the month, in proportion to the quantities delivered to the consumer delivery p</w:t>
      </w:r>
      <w:r w:rsidRPr="00715046">
        <w:rPr>
          <w:bCs/>
          <w:lang w:val="en-GB"/>
        </w:rPr>
        <w:t xml:space="preserve">oints that </w:t>
      </w:r>
      <w:r>
        <w:rPr>
          <w:bCs/>
          <w:lang w:val="en-GB"/>
        </w:rPr>
        <w:t xml:space="preserve">they have </w:t>
      </w:r>
      <w:r w:rsidRPr="00715046">
        <w:rPr>
          <w:bCs/>
          <w:lang w:val="en-GB"/>
        </w:rPr>
        <w:t>been a</w:t>
      </w:r>
      <w:r>
        <w:rPr>
          <w:bCs/>
          <w:lang w:val="en-GB"/>
        </w:rPr>
        <w:t>llocated for each day of the month</w:t>
      </w:r>
      <w:r w:rsidRPr="00715046">
        <w:rPr>
          <w:bCs/>
          <w:lang w:val="en-GB"/>
        </w:rPr>
        <w:t>.</w:t>
      </w:r>
    </w:p>
    <w:p w:rsidR="002F2A8C" w:rsidRPr="007D2C40" w:rsidRDefault="002F2A8C" w:rsidP="002F2A8C">
      <w:pPr>
        <w:rPr>
          <w:bCs/>
          <w:lang w:val="en-US"/>
        </w:rPr>
      </w:pPr>
      <w:r>
        <w:rPr>
          <w:bCs/>
          <w:lang w:val="en-GB"/>
        </w:rPr>
        <w:t>If the balancing r</w:t>
      </w:r>
      <w:r w:rsidRPr="00715046">
        <w:rPr>
          <w:bCs/>
          <w:lang w:val="en-GB"/>
        </w:rPr>
        <w:t>esult is greater than zero (0), G</w:t>
      </w:r>
      <w:r>
        <w:rPr>
          <w:bCs/>
          <w:lang w:val="en-GB"/>
        </w:rPr>
        <w:t xml:space="preserve">RTgaz shall pay to the </w:t>
      </w:r>
      <w:r w:rsidR="00D5655B">
        <w:rPr>
          <w:bCs/>
          <w:lang w:val="en-GB"/>
        </w:rPr>
        <w:t xml:space="preserve">user </w:t>
      </w:r>
      <w:r>
        <w:rPr>
          <w:bCs/>
          <w:lang w:val="en-GB"/>
        </w:rPr>
        <w:t xml:space="preserve">the portion the </w:t>
      </w:r>
      <w:r w:rsidR="00D5655B">
        <w:rPr>
          <w:bCs/>
          <w:lang w:val="en-GB"/>
        </w:rPr>
        <w:t xml:space="preserve">user </w:t>
      </w:r>
      <w:r>
        <w:rPr>
          <w:bCs/>
          <w:lang w:val="en-GB"/>
        </w:rPr>
        <w:t>is entitled to of the balancing r</w:t>
      </w:r>
      <w:r w:rsidRPr="00715046">
        <w:rPr>
          <w:bCs/>
          <w:lang w:val="en-GB"/>
        </w:rPr>
        <w:t>esult as defined above.</w:t>
      </w:r>
    </w:p>
    <w:p w:rsidR="002F2A8C" w:rsidRPr="00735B38" w:rsidRDefault="002F2A8C" w:rsidP="002F2A8C">
      <w:pPr>
        <w:rPr>
          <w:highlight w:val="yellow"/>
          <w:lang w:val="en-US"/>
        </w:rPr>
      </w:pPr>
      <w:r w:rsidRPr="00715046">
        <w:rPr>
          <w:bCs/>
          <w:lang w:val="en-GB"/>
        </w:rPr>
        <w:t>Othe</w:t>
      </w:r>
      <w:r>
        <w:rPr>
          <w:bCs/>
          <w:lang w:val="en-GB"/>
        </w:rPr>
        <w:t xml:space="preserve">rwise, if the balancing result </w:t>
      </w:r>
      <w:r w:rsidRPr="00715046">
        <w:rPr>
          <w:bCs/>
          <w:lang w:val="en-GB"/>
        </w:rPr>
        <w:t>is lower than zero (0), t</w:t>
      </w:r>
      <w:r>
        <w:rPr>
          <w:bCs/>
          <w:lang w:val="en-GB"/>
        </w:rPr>
        <w:t xml:space="preserve">he shipper shall pay to GRTgaz the said portion of the balancing result as </w:t>
      </w:r>
      <w:r w:rsidRPr="00715046">
        <w:rPr>
          <w:bCs/>
          <w:lang w:val="en-GB"/>
        </w:rPr>
        <w:t>defined above</w:t>
      </w:r>
      <w:r>
        <w:rPr>
          <w:bCs/>
          <w:lang w:val="en-GB"/>
        </w:rPr>
        <w:t>.</w:t>
      </w:r>
    </w:p>
    <w:p w:rsidR="00007024" w:rsidRPr="00DE026E" w:rsidRDefault="00007024" w:rsidP="006302CC">
      <w:pPr>
        <w:rPr>
          <w:u w:val="single"/>
          <w:lang w:val="en-US"/>
        </w:rPr>
      </w:pPr>
      <w:r w:rsidRPr="00DE026E">
        <w:rPr>
          <w:u w:val="single"/>
          <w:lang w:val="en-US"/>
        </w:rPr>
        <w:t>Portugal</w:t>
      </w:r>
    </w:p>
    <w:p w:rsidR="007E0E17" w:rsidRPr="007A6AF6" w:rsidRDefault="007E0E17" w:rsidP="007E0E17">
      <w:pPr>
        <w:rPr>
          <w:lang w:val="en-US"/>
        </w:rPr>
      </w:pPr>
      <w:r w:rsidRPr="007A6AF6">
        <w:rPr>
          <w:lang w:val="en-US"/>
        </w:rPr>
        <w:t>The regulatory framework (MPGTG) contains the rules and methodology for allocating costs and revenues related to the payment (or receipt) of daily imbalance charges, balancing actions a</w:t>
      </w:r>
      <w:r w:rsidR="00615636">
        <w:rPr>
          <w:lang w:val="en-US"/>
        </w:rPr>
        <w:t>nd</w:t>
      </w:r>
      <w:r w:rsidRPr="007A6AF6">
        <w:rPr>
          <w:lang w:val="en-US"/>
        </w:rPr>
        <w:t xml:space="preserve"> revenues from the linepack flexibility service, assuring the neutrality of revenues (and costs) </w:t>
      </w:r>
      <w:r w:rsidR="00D5655B">
        <w:rPr>
          <w:lang w:val="en-US"/>
        </w:rPr>
        <w:t>of</w:t>
      </w:r>
      <w:r w:rsidRPr="007A6AF6">
        <w:rPr>
          <w:lang w:val="en-US"/>
        </w:rPr>
        <w:t xml:space="preserve"> the GTG.</w:t>
      </w:r>
    </w:p>
    <w:p w:rsidR="007E0E17" w:rsidRPr="007A6AF6" w:rsidRDefault="007E0E17" w:rsidP="007E0E17">
      <w:pPr>
        <w:rPr>
          <w:lang w:val="en-US"/>
        </w:rPr>
      </w:pPr>
      <w:r w:rsidRPr="007A6AF6">
        <w:rPr>
          <w:lang w:val="en-US"/>
        </w:rPr>
        <w:t xml:space="preserve">The costs and revenues taken into account for the purpose of establishing a neutrality methodology are the following: </w:t>
      </w:r>
    </w:p>
    <w:p w:rsidR="007E0E17" w:rsidRPr="007A6AF6" w:rsidRDefault="007E0E17" w:rsidP="00D5655B">
      <w:pPr>
        <w:ind w:left="142" w:hanging="142"/>
        <w:rPr>
          <w:lang w:val="en-US"/>
        </w:rPr>
      </w:pPr>
      <w:r w:rsidRPr="007A6AF6">
        <w:rPr>
          <w:lang w:val="en-US"/>
        </w:rPr>
        <w:t>1. The daily imbalance charges.</w:t>
      </w:r>
    </w:p>
    <w:p w:rsidR="007E0E17" w:rsidRPr="007A6AF6" w:rsidRDefault="007E0E17" w:rsidP="00D5655B">
      <w:pPr>
        <w:ind w:left="142" w:hanging="142"/>
        <w:rPr>
          <w:lang w:val="en-US"/>
        </w:rPr>
      </w:pPr>
      <w:r w:rsidRPr="007A6AF6">
        <w:rPr>
          <w:lang w:val="en-US"/>
        </w:rPr>
        <w:t>2. Balancing actions, via purchase and/or sale of natural gas in short-term markets or through balancing services (currently the only option).</w:t>
      </w:r>
    </w:p>
    <w:p w:rsidR="007E0E17" w:rsidRPr="007A6AF6" w:rsidRDefault="007E0E17" w:rsidP="00D5655B">
      <w:pPr>
        <w:ind w:left="142" w:hanging="142"/>
        <w:rPr>
          <w:lang w:val="en-US"/>
        </w:rPr>
      </w:pPr>
      <w:r w:rsidRPr="007A6AF6">
        <w:rPr>
          <w:lang w:val="en-US"/>
        </w:rPr>
        <w:t>3. The revenues related to the linepack flexibility service.</w:t>
      </w:r>
    </w:p>
    <w:p w:rsidR="007E0E17" w:rsidRPr="007A6AF6" w:rsidRDefault="007E0E17" w:rsidP="00D5655B">
      <w:pPr>
        <w:ind w:left="284" w:hanging="284"/>
        <w:rPr>
          <w:lang w:val="en-US"/>
        </w:rPr>
      </w:pPr>
      <w:r w:rsidRPr="007A6AF6">
        <w:rPr>
          <w:lang w:val="en-US"/>
        </w:rPr>
        <w:t xml:space="preserve">4. Other variable costs, such as the cost of access to trading platforms for the purchase and sale of gas. </w:t>
      </w:r>
    </w:p>
    <w:p w:rsidR="007E0E17" w:rsidRPr="007A6AF6" w:rsidRDefault="007E0E17" w:rsidP="007E0E17">
      <w:pPr>
        <w:rPr>
          <w:lang w:val="en-US"/>
        </w:rPr>
      </w:pPr>
      <w:r w:rsidRPr="007A6AF6">
        <w:rPr>
          <w:lang w:val="en-US"/>
        </w:rPr>
        <w:t>With regard to the cost-sharing methodology, the GTG should assess the neutrality charges by adding, for each month, the costs and revenues associated with the balancing activity of the transmission network, considering the referred costs/revenues.</w:t>
      </w:r>
    </w:p>
    <w:p w:rsidR="007E0E17" w:rsidRPr="007A6AF6" w:rsidRDefault="007E0E17" w:rsidP="007E0E17">
      <w:pPr>
        <w:rPr>
          <w:lang w:val="en-US"/>
        </w:rPr>
      </w:pPr>
      <w:r w:rsidRPr="007A6AF6">
        <w:rPr>
          <w:lang w:val="en-US"/>
        </w:rPr>
        <w:t>The model for allocating the neutrality charges by MA is proportional to the sum of inputs and off-takes of natural gas in the balancing area (transmission network) over the course of each month.</w:t>
      </w:r>
    </w:p>
    <w:p w:rsidR="007E0E17" w:rsidRPr="006C6F9F" w:rsidRDefault="007E0E17" w:rsidP="007E0E17">
      <w:pPr>
        <w:rPr>
          <w:lang w:val="en-US"/>
        </w:rPr>
      </w:pPr>
      <w:r w:rsidRPr="007A6AF6">
        <w:rPr>
          <w:lang w:val="en-US"/>
        </w:rPr>
        <w:t>As regards to transparency obligations, the GTG's should publish on his website the neutrality charges, sending monthly detailed invoices to the MA, and relevant information to ERSE, on a quarterly basis.</w:t>
      </w:r>
    </w:p>
    <w:p w:rsidR="007E0E17" w:rsidRDefault="007E0E17" w:rsidP="006302CC">
      <w:pPr>
        <w:rPr>
          <w:lang w:val="en-US"/>
        </w:rPr>
      </w:pPr>
    </w:p>
    <w:p w:rsidR="00B760DC" w:rsidRPr="007A6AF6" w:rsidRDefault="007A3510" w:rsidP="007A3510">
      <w:pPr>
        <w:pStyle w:val="Ttulo2"/>
        <w:rPr>
          <w:lang w:val="es-ES"/>
        </w:rPr>
      </w:pPr>
      <w:bookmarkStart w:id="34" w:name="_Toc516823945"/>
      <w:r w:rsidRPr="007A6AF6">
        <w:rPr>
          <w:lang w:val="es-ES"/>
        </w:rPr>
        <w:t>T</w:t>
      </w:r>
      <w:r w:rsidR="007A6AF6">
        <w:rPr>
          <w:lang w:val="es-ES"/>
        </w:rPr>
        <w:t>ransmission System</w:t>
      </w:r>
      <w:r w:rsidR="00EB0027" w:rsidRPr="007A6AF6">
        <w:rPr>
          <w:lang w:val="es-ES"/>
        </w:rPr>
        <w:t xml:space="preserve"> Manager </w:t>
      </w:r>
      <w:r w:rsidRPr="007A6AF6">
        <w:rPr>
          <w:lang w:val="es-ES"/>
        </w:rPr>
        <w:t>incentives</w:t>
      </w:r>
      <w:bookmarkEnd w:id="34"/>
    </w:p>
    <w:p w:rsidR="007A3510" w:rsidRPr="007A6AF6" w:rsidRDefault="007A3510" w:rsidP="006302CC">
      <w:pPr>
        <w:rPr>
          <w:u w:val="single"/>
          <w:lang w:val="en-US"/>
        </w:rPr>
      </w:pPr>
      <w:r w:rsidRPr="007A6AF6">
        <w:rPr>
          <w:u w:val="single"/>
          <w:lang w:val="en-US"/>
        </w:rPr>
        <w:t>Spain</w:t>
      </w:r>
    </w:p>
    <w:p w:rsidR="007A3510" w:rsidRDefault="007A3510" w:rsidP="006302CC">
      <w:pPr>
        <w:rPr>
          <w:lang w:val="en-US"/>
        </w:rPr>
      </w:pPr>
      <w:r w:rsidRPr="007A3510">
        <w:rPr>
          <w:lang w:val="en-US"/>
        </w:rPr>
        <w:t>Enagas GTS has already submitted for approval to CNMC a proposal of incentive</w:t>
      </w:r>
      <w:r w:rsidR="00550312">
        <w:rPr>
          <w:lang w:val="en-US"/>
        </w:rPr>
        <w:t>s</w:t>
      </w:r>
      <w:r w:rsidRPr="007A3510">
        <w:rPr>
          <w:lang w:val="en-US"/>
        </w:rPr>
        <w:t xml:space="preserve"> mechanism that is currently </w:t>
      </w:r>
      <w:r w:rsidR="002276E5">
        <w:rPr>
          <w:lang w:val="en-US"/>
        </w:rPr>
        <w:t xml:space="preserve">in CNMC </w:t>
      </w:r>
      <w:r w:rsidRPr="007A3510">
        <w:rPr>
          <w:lang w:val="en-US"/>
        </w:rPr>
        <w:t xml:space="preserve">under review. The mechanism </w:t>
      </w:r>
      <w:r w:rsidR="00D5655B">
        <w:rPr>
          <w:lang w:val="en-US"/>
        </w:rPr>
        <w:t xml:space="preserve">has been recently approved and will apply as from the next gas year, starting </w:t>
      </w:r>
      <w:r w:rsidR="00C3358E">
        <w:rPr>
          <w:lang w:val="en-US"/>
        </w:rPr>
        <w:t>on 1 October 2018</w:t>
      </w:r>
      <w:r w:rsidRPr="007A3510">
        <w:rPr>
          <w:lang w:val="en-US"/>
        </w:rPr>
        <w:t>.</w:t>
      </w:r>
    </w:p>
    <w:p w:rsidR="007D2C40" w:rsidRDefault="007D2C40" w:rsidP="007D2C40">
      <w:pPr>
        <w:rPr>
          <w:u w:val="single"/>
          <w:lang w:val="en-US"/>
        </w:rPr>
      </w:pPr>
    </w:p>
    <w:p w:rsidR="007D2C40" w:rsidRPr="00DE026E" w:rsidRDefault="007D2C40" w:rsidP="007D2C40">
      <w:pPr>
        <w:rPr>
          <w:u w:val="single"/>
          <w:lang w:val="en-US"/>
        </w:rPr>
      </w:pPr>
      <w:bookmarkStart w:id="35" w:name="_GoBack"/>
      <w:bookmarkEnd w:id="35"/>
      <w:r w:rsidRPr="00DE026E">
        <w:rPr>
          <w:u w:val="single"/>
          <w:lang w:val="en-US"/>
        </w:rPr>
        <w:t>Portugal</w:t>
      </w:r>
    </w:p>
    <w:p w:rsidR="007D2C40" w:rsidRPr="007D2C40" w:rsidRDefault="007D2C40" w:rsidP="007D2C40">
      <w:pPr>
        <w:rPr>
          <w:lang w:val="en-US"/>
        </w:rPr>
      </w:pPr>
      <w:r w:rsidRPr="007D2C40">
        <w:rPr>
          <w:lang w:val="en-US"/>
        </w:rPr>
        <w:t>According Regulation for Operation of Infrastructures (ROI), published in April 2016, ERSE can approve incentives to NSNG's Global Technical Manager (GTG).  T</w:t>
      </w:r>
      <w:r w:rsidRPr="007D2C40">
        <w:rPr>
          <w:rFonts w:cs="Arial"/>
          <w:color w:val="222222"/>
          <w:lang w:val="en"/>
        </w:rPr>
        <w:t>he aim of this incentive is to GTG efficiently carry out compensation actions or to maximize the performance of compensation actions using standardized short-term products.</w:t>
      </w:r>
    </w:p>
    <w:p w:rsidR="007D2C40" w:rsidRPr="00C51B29" w:rsidRDefault="007D2C40" w:rsidP="007D2C40">
      <w:pPr>
        <w:rPr>
          <w:lang w:val="en-US"/>
        </w:rPr>
      </w:pPr>
      <w:r w:rsidRPr="007D2C40">
        <w:rPr>
          <w:lang w:val="en-US"/>
        </w:rPr>
        <w:t>The granting of an incentive scheme shall be preceded by prior consultation with the interested parties, promoted by the ERSE. So far, ERSE was not been asked to implement any incentive mechanisms by the GTG.</w:t>
      </w:r>
    </w:p>
    <w:p w:rsidR="00605788" w:rsidRPr="007A3510" w:rsidRDefault="00605788" w:rsidP="006302CC">
      <w:pPr>
        <w:rPr>
          <w:lang w:val="en-US"/>
        </w:rPr>
      </w:pPr>
    </w:p>
    <w:p w:rsidR="00AA22F6" w:rsidRPr="00C72042" w:rsidRDefault="00605788" w:rsidP="00C72042">
      <w:pPr>
        <w:pStyle w:val="Ttulo1"/>
        <w:rPr>
          <w:b w:val="0"/>
          <w:color w:val="548DD4" w:themeColor="text2" w:themeTint="99"/>
          <w:sz w:val="26"/>
          <w:szCs w:val="26"/>
          <w:u w:val="none"/>
          <w:lang w:val="en-US"/>
        </w:rPr>
      </w:pPr>
      <w:bookmarkStart w:id="36" w:name="_Toc516823946"/>
      <w:r>
        <w:rPr>
          <w:sz w:val="26"/>
          <w:szCs w:val="26"/>
          <w:lang w:val="en-US"/>
        </w:rPr>
        <w:t>F</w:t>
      </w:r>
      <w:r w:rsidR="00CF7EBB" w:rsidRPr="00C72042">
        <w:rPr>
          <w:sz w:val="26"/>
          <w:szCs w:val="26"/>
          <w:lang w:val="en-US"/>
        </w:rPr>
        <w:t>unctioning of the balancing schemes since its application (1st October 2015 in France and 1st October 2016 in Portugal and Spain) to 30th September 2017</w:t>
      </w:r>
      <w:bookmarkEnd w:id="36"/>
    </w:p>
    <w:p w:rsidR="003236B6" w:rsidRDefault="003236B6" w:rsidP="003236B6">
      <w:pPr>
        <w:spacing w:before="0" w:after="0" w:line="240" w:lineRule="auto"/>
        <w:rPr>
          <w:color w:val="5981BD"/>
          <w:lang w:val="en-US"/>
        </w:rPr>
      </w:pPr>
    </w:p>
    <w:p w:rsidR="004F4155" w:rsidRPr="00F86093" w:rsidRDefault="004F4155" w:rsidP="00A00BD4">
      <w:pPr>
        <w:pStyle w:val="Prrafodelista"/>
        <w:numPr>
          <w:ilvl w:val="1"/>
          <w:numId w:val="12"/>
        </w:numPr>
        <w:spacing w:before="0" w:after="0" w:line="240" w:lineRule="auto"/>
        <w:contextualSpacing w:val="0"/>
        <w:jc w:val="left"/>
        <w:rPr>
          <w:b/>
          <w:lang w:val="en-US"/>
        </w:rPr>
      </w:pPr>
      <w:r w:rsidRPr="00F86093">
        <w:rPr>
          <w:b/>
          <w:lang w:val="en-US"/>
        </w:rPr>
        <w:t>Operational balancing</w:t>
      </w:r>
    </w:p>
    <w:p w:rsidR="004F4155" w:rsidRDefault="004F4155" w:rsidP="004F4155">
      <w:pPr>
        <w:pStyle w:val="Prrafodelista"/>
        <w:spacing w:before="0" w:after="0" w:line="240" w:lineRule="auto"/>
        <w:ind w:left="360"/>
        <w:contextualSpacing w:val="0"/>
        <w:jc w:val="left"/>
        <w:rPr>
          <w:lang w:val="en-US"/>
        </w:rPr>
      </w:pPr>
    </w:p>
    <w:p w:rsidR="00036054" w:rsidRPr="00036054" w:rsidRDefault="00036054" w:rsidP="00036054">
      <w:pPr>
        <w:spacing w:before="0" w:after="0" w:line="240" w:lineRule="auto"/>
        <w:rPr>
          <w:b/>
          <w:lang w:val="en-US"/>
        </w:rPr>
      </w:pPr>
      <w:r w:rsidRPr="00036054">
        <w:rPr>
          <w:b/>
          <w:lang w:val="en-US"/>
        </w:rPr>
        <w:t>SPAIN</w:t>
      </w:r>
    </w:p>
    <w:p w:rsidR="00036054" w:rsidRPr="005025F4" w:rsidRDefault="00036054" w:rsidP="00036054">
      <w:pPr>
        <w:pStyle w:val="Prrafodelista"/>
        <w:spacing w:before="0" w:after="0" w:line="240" w:lineRule="auto"/>
        <w:ind w:left="0"/>
        <w:contextualSpacing w:val="0"/>
        <w:jc w:val="left"/>
        <w:rPr>
          <w:lang w:val="en-US"/>
        </w:rPr>
      </w:pPr>
    </w:p>
    <w:p w:rsidR="004F4155" w:rsidRPr="005025F4" w:rsidRDefault="004F4155" w:rsidP="00A00BD4">
      <w:pPr>
        <w:pStyle w:val="Prrafodelista"/>
        <w:numPr>
          <w:ilvl w:val="0"/>
          <w:numId w:val="11"/>
        </w:numPr>
        <w:spacing w:before="0" w:after="0" w:line="240" w:lineRule="auto"/>
        <w:contextualSpacing w:val="0"/>
        <w:jc w:val="left"/>
        <w:rPr>
          <w:lang w:val="en-US"/>
        </w:rPr>
      </w:pPr>
      <w:r w:rsidRPr="005025F4">
        <w:rPr>
          <w:lang w:val="en-US"/>
        </w:rPr>
        <w:t xml:space="preserve">Number of days balancing actions taken: 80 </w:t>
      </w:r>
    </w:p>
    <w:p w:rsidR="004F4155" w:rsidRPr="005025F4" w:rsidRDefault="004F4155" w:rsidP="00A00BD4">
      <w:pPr>
        <w:pStyle w:val="Prrafodelista"/>
        <w:numPr>
          <w:ilvl w:val="0"/>
          <w:numId w:val="11"/>
        </w:numPr>
        <w:spacing w:before="0" w:after="0" w:line="240" w:lineRule="auto"/>
        <w:contextualSpacing w:val="0"/>
        <w:jc w:val="left"/>
        <w:rPr>
          <w:lang w:val="en-US"/>
        </w:rPr>
      </w:pPr>
      <w:r w:rsidRPr="005025F4">
        <w:rPr>
          <w:lang w:val="en-US"/>
        </w:rPr>
        <w:t xml:space="preserve">Number of balancing actions (acquisition of STSP) per day </w:t>
      </w:r>
    </w:p>
    <w:p w:rsidR="004F4155" w:rsidRPr="005025F4" w:rsidRDefault="004F4155" w:rsidP="004F4155">
      <w:pPr>
        <w:spacing w:before="0" w:after="0" w:line="240" w:lineRule="auto"/>
        <w:ind w:left="720"/>
        <w:jc w:val="left"/>
        <w:rPr>
          <w:lang w:val="en-US"/>
        </w:rPr>
      </w:pPr>
      <w:r w:rsidRPr="005025F4">
        <w:rPr>
          <w:lang w:val="en-US"/>
        </w:rPr>
        <w:t>Product DA:</w:t>
      </w:r>
    </w:p>
    <w:p w:rsidR="004F4155" w:rsidRPr="005025F4" w:rsidRDefault="004F4155" w:rsidP="00A00BD4">
      <w:pPr>
        <w:pStyle w:val="Prrafodelista"/>
        <w:numPr>
          <w:ilvl w:val="1"/>
          <w:numId w:val="11"/>
        </w:numPr>
        <w:spacing w:before="0" w:after="0" w:line="240" w:lineRule="auto"/>
        <w:contextualSpacing w:val="0"/>
        <w:jc w:val="left"/>
        <w:rPr>
          <w:lang w:val="en-US"/>
        </w:rPr>
      </w:pPr>
      <w:r w:rsidRPr="005025F4">
        <w:rPr>
          <w:lang w:val="en-US"/>
        </w:rPr>
        <w:t>Sell balancing actions: 4</w:t>
      </w:r>
    </w:p>
    <w:p w:rsidR="004F4155" w:rsidRPr="005025F4" w:rsidRDefault="004F4155" w:rsidP="00A00BD4">
      <w:pPr>
        <w:pStyle w:val="Prrafodelista"/>
        <w:numPr>
          <w:ilvl w:val="1"/>
          <w:numId w:val="11"/>
        </w:numPr>
        <w:spacing w:before="0" w:after="0" w:line="240" w:lineRule="auto"/>
        <w:contextualSpacing w:val="0"/>
        <w:jc w:val="left"/>
        <w:rPr>
          <w:lang w:val="en-US"/>
        </w:rPr>
      </w:pPr>
      <w:r w:rsidRPr="005025F4">
        <w:rPr>
          <w:lang w:val="en-US"/>
        </w:rPr>
        <w:t>Buy balancing actions: 17</w:t>
      </w:r>
    </w:p>
    <w:p w:rsidR="004F4155" w:rsidRPr="005025F4" w:rsidRDefault="004F4155" w:rsidP="004F4155">
      <w:pPr>
        <w:pStyle w:val="Prrafodelista"/>
        <w:spacing w:before="0" w:after="0" w:line="240" w:lineRule="auto"/>
        <w:ind w:left="1440"/>
        <w:contextualSpacing w:val="0"/>
        <w:jc w:val="left"/>
        <w:rPr>
          <w:lang w:val="en-US"/>
        </w:rPr>
      </w:pPr>
    </w:p>
    <w:p w:rsidR="004F4155" w:rsidRPr="005025F4" w:rsidRDefault="004F4155" w:rsidP="004F4155">
      <w:pPr>
        <w:spacing w:before="0" w:after="0" w:line="240" w:lineRule="auto"/>
        <w:ind w:left="708"/>
        <w:jc w:val="left"/>
        <w:rPr>
          <w:lang w:val="en-US"/>
        </w:rPr>
      </w:pPr>
      <w:r w:rsidRPr="005025F4">
        <w:rPr>
          <w:lang w:val="en-US"/>
        </w:rPr>
        <w:t>Product WD:</w:t>
      </w:r>
    </w:p>
    <w:p w:rsidR="004F4155" w:rsidRPr="005025F4" w:rsidRDefault="004F4155" w:rsidP="00A00BD4">
      <w:pPr>
        <w:pStyle w:val="Prrafodelista"/>
        <w:numPr>
          <w:ilvl w:val="1"/>
          <w:numId w:val="11"/>
        </w:numPr>
        <w:spacing w:before="0" w:after="0" w:line="240" w:lineRule="auto"/>
        <w:contextualSpacing w:val="0"/>
        <w:jc w:val="left"/>
        <w:rPr>
          <w:lang w:val="en-US"/>
        </w:rPr>
      </w:pPr>
      <w:r w:rsidRPr="005025F4">
        <w:rPr>
          <w:lang w:val="en-US"/>
        </w:rPr>
        <w:t>Sell balancing actions: 13</w:t>
      </w:r>
    </w:p>
    <w:p w:rsidR="004F4155" w:rsidRPr="005025F4" w:rsidRDefault="004F4155" w:rsidP="00A00BD4">
      <w:pPr>
        <w:pStyle w:val="Prrafodelista"/>
        <w:numPr>
          <w:ilvl w:val="1"/>
          <w:numId w:val="11"/>
        </w:numPr>
        <w:spacing w:before="0" w:after="0" w:line="240" w:lineRule="auto"/>
        <w:contextualSpacing w:val="0"/>
        <w:jc w:val="left"/>
        <w:rPr>
          <w:lang w:val="en-US"/>
        </w:rPr>
      </w:pPr>
      <w:r w:rsidRPr="005025F4">
        <w:rPr>
          <w:lang w:val="en-US"/>
        </w:rPr>
        <w:t>Buy balancing actions: 46</w:t>
      </w:r>
    </w:p>
    <w:p w:rsidR="004F4155" w:rsidRPr="005025F4" w:rsidRDefault="004F4155" w:rsidP="00036054">
      <w:pPr>
        <w:spacing w:before="0" w:after="0" w:line="240" w:lineRule="auto"/>
        <w:jc w:val="left"/>
        <w:rPr>
          <w:lang w:val="en-US"/>
        </w:rPr>
      </w:pPr>
    </w:p>
    <w:p w:rsidR="004F4155" w:rsidRPr="005025F4" w:rsidRDefault="004F4155" w:rsidP="00A00BD4">
      <w:pPr>
        <w:pStyle w:val="Prrafodelista"/>
        <w:numPr>
          <w:ilvl w:val="0"/>
          <w:numId w:val="11"/>
        </w:numPr>
        <w:spacing w:before="0" w:after="0" w:line="240" w:lineRule="auto"/>
        <w:contextualSpacing w:val="0"/>
        <w:jc w:val="left"/>
        <w:rPr>
          <w:lang w:val="en-US"/>
        </w:rPr>
      </w:pPr>
      <w:r w:rsidRPr="005025F4">
        <w:rPr>
          <w:lang w:val="en-US"/>
        </w:rPr>
        <w:t xml:space="preserve">Volumes of STSP acquired, by type and indicating sells and buys, per day. </w:t>
      </w:r>
    </w:p>
    <w:p w:rsidR="004F4155" w:rsidRDefault="004F4155" w:rsidP="004F4155">
      <w:pPr>
        <w:pStyle w:val="Prrafodelista"/>
        <w:spacing w:before="0" w:after="0" w:line="240" w:lineRule="auto"/>
        <w:contextualSpacing w:val="0"/>
        <w:jc w:val="left"/>
        <w:rPr>
          <w:color w:val="FF0000"/>
          <w:lang w:val="en-US"/>
        </w:rPr>
      </w:pPr>
    </w:p>
    <w:p w:rsidR="00CC53F9" w:rsidRDefault="00CC53F9" w:rsidP="004F4155">
      <w:pPr>
        <w:pStyle w:val="Prrafodelista"/>
        <w:spacing w:before="0" w:after="0" w:line="240" w:lineRule="auto"/>
        <w:contextualSpacing w:val="0"/>
        <w:jc w:val="left"/>
        <w:rPr>
          <w:color w:val="FF0000"/>
          <w:lang w:val="en-US"/>
        </w:rPr>
      </w:pPr>
    </w:p>
    <w:p w:rsidR="004F4155" w:rsidRDefault="004F4155" w:rsidP="004F4155">
      <w:pPr>
        <w:pStyle w:val="Prrafodelista"/>
        <w:spacing w:before="0" w:after="0" w:line="240" w:lineRule="auto"/>
        <w:contextualSpacing w:val="0"/>
        <w:jc w:val="center"/>
        <w:rPr>
          <w:color w:val="FF0000"/>
          <w:lang w:val="en-US"/>
        </w:rPr>
      </w:pPr>
      <w:r>
        <w:rPr>
          <w:noProof/>
          <w:color w:val="FF0000"/>
          <w:lang w:val="es-ES" w:eastAsia="es-ES"/>
        </w:rPr>
        <w:drawing>
          <wp:inline distT="0" distB="0" distL="0" distR="0" wp14:anchorId="6A0FC9BD" wp14:editId="7ABB57DC">
            <wp:extent cx="5410200" cy="2887980"/>
            <wp:effectExtent l="0" t="0" r="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0200" cy="2887980"/>
                    </a:xfrm>
                    <a:prstGeom prst="rect">
                      <a:avLst/>
                    </a:prstGeom>
                    <a:noFill/>
                  </pic:spPr>
                </pic:pic>
              </a:graphicData>
            </a:graphic>
          </wp:inline>
        </w:drawing>
      </w:r>
    </w:p>
    <w:p w:rsidR="004F4155" w:rsidRDefault="004F4155" w:rsidP="004F4155">
      <w:pPr>
        <w:pStyle w:val="Prrafodelista"/>
        <w:spacing w:before="0" w:after="0" w:line="240" w:lineRule="auto"/>
        <w:contextualSpacing w:val="0"/>
        <w:jc w:val="left"/>
        <w:rPr>
          <w:lang w:val="en-US"/>
        </w:rPr>
      </w:pPr>
    </w:p>
    <w:p w:rsidR="004F4155" w:rsidRDefault="004F4155" w:rsidP="004F4155">
      <w:pPr>
        <w:pStyle w:val="Prrafodelista"/>
        <w:spacing w:before="0" w:after="0" w:line="240" w:lineRule="auto"/>
        <w:contextualSpacing w:val="0"/>
        <w:jc w:val="left"/>
        <w:rPr>
          <w:lang w:val="en-US"/>
        </w:rPr>
      </w:pPr>
    </w:p>
    <w:p w:rsidR="004F4155" w:rsidRPr="00863F77" w:rsidRDefault="004F4155" w:rsidP="004F4155">
      <w:pPr>
        <w:pStyle w:val="Prrafodelista"/>
        <w:spacing w:before="0" w:after="0" w:line="240" w:lineRule="auto"/>
        <w:contextualSpacing w:val="0"/>
        <w:jc w:val="left"/>
        <w:rPr>
          <w:lang w:val="en-US"/>
        </w:rPr>
      </w:pPr>
      <w:r>
        <w:rPr>
          <w:noProof/>
          <w:lang w:val="es-ES" w:eastAsia="es-ES"/>
        </w:rPr>
        <w:drawing>
          <wp:inline distT="0" distB="0" distL="0" distR="0" wp14:anchorId="00268AF6" wp14:editId="61ADB28B">
            <wp:extent cx="5394960" cy="288036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4960" cy="2880360"/>
                    </a:xfrm>
                    <a:prstGeom prst="rect">
                      <a:avLst/>
                    </a:prstGeom>
                    <a:noFill/>
                  </pic:spPr>
                </pic:pic>
              </a:graphicData>
            </a:graphic>
          </wp:inline>
        </w:drawing>
      </w:r>
    </w:p>
    <w:p w:rsidR="004F4155" w:rsidRDefault="004F4155" w:rsidP="004F4155">
      <w:pPr>
        <w:pStyle w:val="Prrafodelista"/>
        <w:spacing w:before="0" w:after="0" w:line="240" w:lineRule="auto"/>
        <w:contextualSpacing w:val="0"/>
        <w:jc w:val="left"/>
        <w:rPr>
          <w:lang w:val="en-US"/>
        </w:rPr>
      </w:pPr>
    </w:p>
    <w:p w:rsidR="00F64729" w:rsidRPr="00863F77" w:rsidRDefault="00F64729" w:rsidP="004F4155">
      <w:pPr>
        <w:pStyle w:val="Prrafodelista"/>
        <w:spacing w:before="0" w:after="0" w:line="240" w:lineRule="auto"/>
        <w:contextualSpacing w:val="0"/>
        <w:jc w:val="left"/>
        <w:rPr>
          <w:lang w:val="en-US"/>
        </w:rPr>
      </w:pPr>
    </w:p>
    <w:p w:rsidR="004F4155" w:rsidRPr="00C3358E" w:rsidRDefault="004F4155" w:rsidP="00041A0A">
      <w:pPr>
        <w:pStyle w:val="Prrafodelista"/>
        <w:numPr>
          <w:ilvl w:val="0"/>
          <w:numId w:val="11"/>
        </w:numPr>
        <w:spacing w:before="0" w:after="0" w:line="240" w:lineRule="auto"/>
        <w:contextualSpacing w:val="0"/>
        <w:jc w:val="left"/>
        <w:rPr>
          <w:lang w:val="en-US"/>
        </w:rPr>
      </w:pPr>
      <w:r w:rsidRPr="00C3358E">
        <w:rPr>
          <w:lang w:val="en-US"/>
        </w:rPr>
        <w:t>Days when STSP selling and buying gas were necessary (in the same day):</w:t>
      </w:r>
      <w:r w:rsidR="00C3358E" w:rsidRPr="00C3358E">
        <w:rPr>
          <w:lang w:val="en-US"/>
        </w:rPr>
        <w:t xml:space="preserve"> </w:t>
      </w:r>
      <w:r w:rsidRPr="00C3358E">
        <w:rPr>
          <w:lang w:val="en-US"/>
        </w:rPr>
        <w:t>None</w:t>
      </w:r>
      <w:r w:rsidR="00F64729">
        <w:rPr>
          <w:lang w:val="en-US"/>
        </w:rPr>
        <w:t>.</w:t>
      </w:r>
    </w:p>
    <w:p w:rsidR="004F4155" w:rsidRPr="00EA0C42" w:rsidRDefault="004F4155" w:rsidP="00A00BD4">
      <w:pPr>
        <w:pStyle w:val="Prrafodelista"/>
        <w:numPr>
          <w:ilvl w:val="0"/>
          <w:numId w:val="11"/>
        </w:numPr>
        <w:spacing w:before="0" w:after="0" w:line="240" w:lineRule="auto"/>
        <w:contextualSpacing w:val="0"/>
        <w:rPr>
          <w:lang w:val="en-US"/>
        </w:rPr>
      </w:pPr>
      <w:r w:rsidRPr="00EA0C42">
        <w:rPr>
          <w:lang w:val="en-US"/>
        </w:rPr>
        <w:t xml:space="preserve">Maximum, minimum and average sell/buy quantities and costs and revenues by STSP. (MWh and € namely). </w:t>
      </w:r>
    </w:p>
    <w:p w:rsidR="004F4155" w:rsidRDefault="004F4155" w:rsidP="004F4155">
      <w:pPr>
        <w:spacing w:before="0" w:after="0" w:line="240" w:lineRule="auto"/>
        <w:jc w:val="left"/>
        <w:rPr>
          <w:lang w:val="en-US"/>
        </w:rPr>
      </w:pPr>
    </w:p>
    <w:p w:rsidR="004F4155" w:rsidRDefault="004F4155" w:rsidP="004F4155">
      <w:pPr>
        <w:spacing w:before="0" w:after="0" w:line="240" w:lineRule="auto"/>
        <w:jc w:val="left"/>
        <w:rPr>
          <w:lang w:val="en-US"/>
        </w:rPr>
      </w:pPr>
    </w:p>
    <w:tbl>
      <w:tblPr>
        <w:tblStyle w:val="Listaclara-nfasis11"/>
        <w:tblW w:w="8038" w:type="dxa"/>
        <w:jc w:val="center"/>
        <w:tblLook w:val="04A0" w:firstRow="1" w:lastRow="0" w:firstColumn="1" w:lastColumn="0" w:noHBand="0" w:noVBand="1"/>
      </w:tblPr>
      <w:tblGrid>
        <w:gridCol w:w="1503"/>
        <w:gridCol w:w="236"/>
        <w:gridCol w:w="1217"/>
        <w:gridCol w:w="1821"/>
        <w:gridCol w:w="1440"/>
        <w:gridCol w:w="1821"/>
      </w:tblGrid>
      <w:tr w:rsidR="004F4155" w:rsidRPr="002D7BCA" w:rsidTr="004F4155">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0" w:type="auto"/>
            <w:gridSpan w:val="6"/>
            <w:tcBorders>
              <w:top w:val="single" w:sz="8" w:space="0" w:color="92D050"/>
              <w:left w:val="single" w:sz="8" w:space="0" w:color="92D050"/>
              <w:bottom w:val="single" w:sz="8" w:space="0" w:color="92D050"/>
              <w:right w:val="single" w:sz="8" w:space="0" w:color="92D050"/>
            </w:tcBorders>
            <w:shd w:val="clear" w:color="auto" w:fill="92D050"/>
            <w:vAlign w:val="center"/>
          </w:tcPr>
          <w:p w:rsidR="004F4155" w:rsidRPr="002D7BCA" w:rsidRDefault="004F4155" w:rsidP="004F4155">
            <w:pPr>
              <w:spacing w:before="0" w:after="0" w:line="240" w:lineRule="auto"/>
              <w:jc w:val="center"/>
              <w:rPr>
                <w:rFonts w:ascii="Verdana" w:hAnsi="Verdana"/>
                <w:sz w:val="24"/>
                <w:lang w:val="en-US"/>
              </w:rPr>
            </w:pPr>
            <w:r w:rsidRPr="007245FB">
              <w:rPr>
                <w:rFonts w:ascii="Verdana" w:hAnsi="Verdana"/>
                <w:lang w:val="en-US"/>
              </w:rPr>
              <w:t>Purchase Balancing Actions</w:t>
            </w:r>
          </w:p>
        </w:tc>
      </w:tr>
      <w:tr w:rsidR="004F4155" w:rsidRPr="002D7BCA" w:rsidTr="00041A0A">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92D050"/>
              <w:left w:val="single" w:sz="8" w:space="0" w:color="92D050"/>
              <w:bottom w:val="single" w:sz="8" w:space="0" w:color="92D050"/>
              <w:right w:val="single" w:sz="4" w:space="0" w:color="4F81BD" w:themeColor="accent1"/>
            </w:tcBorders>
            <w:vAlign w:val="center"/>
          </w:tcPr>
          <w:p w:rsidR="004F4155" w:rsidRPr="002D7BCA" w:rsidRDefault="004F4155" w:rsidP="004F4155">
            <w:pPr>
              <w:spacing w:before="0" w:after="0" w:line="240" w:lineRule="auto"/>
              <w:jc w:val="center"/>
              <w:rPr>
                <w:rFonts w:ascii="Verdana" w:hAnsi="Verdana"/>
                <w:szCs w:val="22"/>
                <w:lang w:val="en-US"/>
              </w:rPr>
            </w:pPr>
            <w:r w:rsidRPr="002D7BCA">
              <w:rPr>
                <w:rFonts w:ascii="Verdana" w:hAnsi="Verdana"/>
                <w:szCs w:val="22"/>
                <w:lang w:val="en-US"/>
              </w:rPr>
              <w:t>Value</w:t>
            </w:r>
          </w:p>
        </w:tc>
        <w:tc>
          <w:tcPr>
            <w:tcW w:w="0" w:type="auto"/>
            <w:tcBorders>
              <w:top w:val="single" w:sz="8" w:space="0" w:color="92D050"/>
              <w:left w:val="single" w:sz="4" w:space="0" w:color="4F81BD" w:themeColor="accent1"/>
              <w:bottom w:val="single" w:sz="8" w:space="0" w:color="92D050"/>
            </w:tcBorders>
            <w:vAlign w:val="center"/>
          </w:tcPr>
          <w:p w:rsidR="004F4155" w:rsidRPr="002D7BCA" w:rsidRDefault="004F4155" w:rsidP="004F415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bCs/>
                <w:szCs w:val="22"/>
                <w:lang w:val="en-US"/>
              </w:rPr>
            </w:pPr>
          </w:p>
        </w:tc>
        <w:tc>
          <w:tcPr>
            <w:tcW w:w="0" w:type="auto"/>
            <w:gridSpan w:val="2"/>
            <w:tcBorders>
              <w:top w:val="single" w:sz="8" w:space="0" w:color="92D050"/>
              <w:bottom w:val="single" w:sz="8" w:space="0" w:color="92D050"/>
              <w:right w:val="single" w:sz="4" w:space="0" w:color="4F81BD" w:themeColor="accent1"/>
            </w:tcBorders>
            <w:vAlign w:val="center"/>
          </w:tcPr>
          <w:p w:rsidR="004F4155" w:rsidRPr="002D7BCA" w:rsidRDefault="004F4155" w:rsidP="004F415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b/>
                <w:szCs w:val="22"/>
                <w:lang w:val="en-US"/>
              </w:rPr>
            </w:pPr>
            <w:r w:rsidRPr="002D7BCA">
              <w:rPr>
                <w:rFonts w:ascii="Verdana" w:hAnsi="Verdana"/>
                <w:b/>
                <w:szCs w:val="22"/>
                <w:lang w:val="en-US"/>
              </w:rPr>
              <w:t>Within-Day</w:t>
            </w:r>
          </w:p>
        </w:tc>
        <w:tc>
          <w:tcPr>
            <w:tcW w:w="0" w:type="auto"/>
            <w:gridSpan w:val="2"/>
            <w:tcBorders>
              <w:top w:val="single" w:sz="8" w:space="0" w:color="92D050"/>
              <w:left w:val="single" w:sz="4" w:space="0" w:color="4F81BD" w:themeColor="accent1"/>
              <w:bottom w:val="single" w:sz="8" w:space="0" w:color="92D050"/>
              <w:right w:val="single" w:sz="8" w:space="0" w:color="92D050"/>
            </w:tcBorders>
            <w:vAlign w:val="center"/>
          </w:tcPr>
          <w:p w:rsidR="004F4155" w:rsidRPr="002D7BCA" w:rsidRDefault="004F4155" w:rsidP="004F415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b/>
                <w:szCs w:val="22"/>
                <w:lang w:val="en-US"/>
              </w:rPr>
            </w:pPr>
            <w:r w:rsidRPr="002D7BCA">
              <w:rPr>
                <w:rFonts w:ascii="Verdana" w:hAnsi="Verdana"/>
                <w:b/>
                <w:szCs w:val="22"/>
                <w:lang w:val="en-US"/>
              </w:rPr>
              <w:t>Day-Ahead</w:t>
            </w:r>
          </w:p>
        </w:tc>
      </w:tr>
      <w:tr w:rsidR="004F4155" w:rsidRPr="002D7BCA" w:rsidTr="00041A0A">
        <w:trPr>
          <w:trHeight w:val="225"/>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92D050"/>
              <w:left w:val="single" w:sz="8" w:space="0" w:color="92D050"/>
              <w:bottom w:val="single" w:sz="8" w:space="0" w:color="92D050"/>
              <w:right w:val="single" w:sz="4" w:space="0" w:color="4F81BD" w:themeColor="accent1"/>
            </w:tcBorders>
            <w:vAlign w:val="center"/>
          </w:tcPr>
          <w:p w:rsidR="004F4155" w:rsidRPr="002D7BCA" w:rsidRDefault="004F4155" w:rsidP="004F4155">
            <w:pPr>
              <w:spacing w:before="0" w:after="0" w:line="240" w:lineRule="auto"/>
              <w:jc w:val="left"/>
              <w:rPr>
                <w:rFonts w:ascii="Verdana" w:hAnsi="Verdana"/>
                <w:szCs w:val="22"/>
                <w:lang w:val="en-US"/>
              </w:rPr>
            </w:pPr>
          </w:p>
        </w:tc>
        <w:tc>
          <w:tcPr>
            <w:tcW w:w="0" w:type="auto"/>
            <w:tcBorders>
              <w:top w:val="single" w:sz="8" w:space="0" w:color="92D050"/>
              <w:left w:val="single" w:sz="4" w:space="0" w:color="4F81BD" w:themeColor="accent1"/>
              <w:bottom w:val="single" w:sz="8" w:space="0" w:color="92D050"/>
            </w:tcBorders>
            <w:vAlign w:val="center"/>
          </w:tcPr>
          <w:p w:rsidR="004F4155" w:rsidRPr="002D7BCA" w:rsidRDefault="004F4155" w:rsidP="004F415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bCs/>
                <w:szCs w:val="22"/>
                <w:lang w:val="en-US"/>
              </w:rPr>
            </w:pPr>
          </w:p>
        </w:tc>
        <w:tc>
          <w:tcPr>
            <w:tcW w:w="0" w:type="auto"/>
            <w:tcBorders>
              <w:top w:val="single" w:sz="8" w:space="0" w:color="92D050"/>
              <w:bottom w:val="single" w:sz="8" w:space="0" w:color="92D050"/>
              <w:right w:val="single" w:sz="4" w:space="0" w:color="auto"/>
            </w:tcBorders>
            <w:vAlign w:val="center"/>
          </w:tcPr>
          <w:p w:rsidR="004F4155" w:rsidRPr="002D7BCA" w:rsidRDefault="004F4155" w:rsidP="004F415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b/>
                <w:szCs w:val="22"/>
                <w:lang w:val="en-US"/>
              </w:rPr>
            </w:pPr>
            <w:r w:rsidRPr="002D7BCA">
              <w:rPr>
                <w:rFonts w:ascii="Verdana" w:hAnsi="Verdana"/>
                <w:b/>
                <w:szCs w:val="22"/>
                <w:lang w:val="en-US"/>
              </w:rPr>
              <w:t>Volume</w:t>
            </w:r>
          </w:p>
        </w:tc>
        <w:tc>
          <w:tcPr>
            <w:tcW w:w="0" w:type="auto"/>
            <w:tcBorders>
              <w:top w:val="single" w:sz="8" w:space="0" w:color="92D050"/>
              <w:left w:val="single" w:sz="4" w:space="0" w:color="auto"/>
              <w:bottom w:val="single" w:sz="8" w:space="0" w:color="92D050"/>
              <w:right w:val="single" w:sz="4" w:space="0" w:color="auto"/>
            </w:tcBorders>
            <w:vAlign w:val="center"/>
          </w:tcPr>
          <w:p w:rsidR="004F4155" w:rsidRPr="002D7BCA"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b/>
                <w:szCs w:val="22"/>
                <w:lang w:val="en-US"/>
              </w:rPr>
            </w:pPr>
            <w:r>
              <w:rPr>
                <w:rFonts w:ascii="Verdana" w:hAnsi="Verdana"/>
                <w:b/>
                <w:szCs w:val="22"/>
                <w:lang w:val="en-US"/>
              </w:rPr>
              <w:t>Expenditure</w:t>
            </w:r>
          </w:p>
        </w:tc>
        <w:tc>
          <w:tcPr>
            <w:tcW w:w="0" w:type="auto"/>
            <w:tcBorders>
              <w:top w:val="single" w:sz="8" w:space="0" w:color="92D050"/>
              <w:left w:val="single" w:sz="4" w:space="0" w:color="auto"/>
              <w:bottom w:val="single" w:sz="8" w:space="0" w:color="92D050"/>
              <w:right w:val="single" w:sz="4" w:space="0" w:color="auto"/>
            </w:tcBorders>
            <w:vAlign w:val="center"/>
          </w:tcPr>
          <w:p w:rsidR="004F4155" w:rsidRPr="002D7BCA" w:rsidRDefault="004F4155" w:rsidP="004F415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b/>
                <w:szCs w:val="22"/>
                <w:lang w:val="en-US"/>
              </w:rPr>
            </w:pPr>
            <w:r w:rsidRPr="002D7BCA">
              <w:rPr>
                <w:rFonts w:ascii="Verdana" w:hAnsi="Verdana"/>
                <w:b/>
                <w:szCs w:val="22"/>
                <w:lang w:val="en-US"/>
              </w:rPr>
              <w:t>Volume</w:t>
            </w:r>
          </w:p>
        </w:tc>
        <w:tc>
          <w:tcPr>
            <w:tcW w:w="0" w:type="auto"/>
            <w:tcBorders>
              <w:top w:val="single" w:sz="8" w:space="0" w:color="92D050"/>
              <w:left w:val="single" w:sz="4" w:space="0" w:color="auto"/>
              <w:bottom w:val="single" w:sz="8" w:space="0" w:color="92D050"/>
              <w:right w:val="single" w:sz="8" w:space="0" w:color="92D050"/>
            </w:tcBorders>
            <w:vAlign w:val="center"/>
          </w:tcPr>
          <w:p w:rsidR="004F4155" w:rsidRPr="002D7BCA"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b/>
                <w:szCs w:val="22"/>
                <w:lang w:val="en-US"/>
              </w:rPr>
            </w:pPr>
            <w:r>
              <w:rPr>
                <w:rFonts w:ascii="Verdana" w:hAnsi="Verdana"/>
                <w:b/>
                <w:szCs w:val="22"/>
                <w:lang w:val="en-US"/>
              </w:rPr>
              <w:t>Expenditure</w:t>
            </w:r>
          </w:p>
        </w:tc>
      </w:tr>
      <w:tr w:rsidR="004F4155" w:rsidRPr="00863F77" w:rsidTr="00041A0A">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92D050"/>
              <w:left w:val="single" w:sz="8" w:space="0" w:color="92D050"/>
              <w:bottom w:val="single" w:sz="8" w:space="0" w:color="92D050"/>
              <w:right w:val="single" w:sz="4" w:space="0" w:color="4F81BD" w:themeColor="accent1"/>
            </w:tcBorders>
            <w:vAlign w:val="center"/>
          </w:tcPr>
          <w:p w:rsidR="004F4155" w:rsidRPr="00863F77" w:rsidRDefault="004F4155" w:rsidP="004F4155">
            <w:pPr>
              <w:spacing w:before="0" w:after="0" w:line="240" w:lineRule="auto"/>
              <w:jc w:val="left"/>
              <w:rPr>
                <w:rFonts w:ascii="Verdana" w:hAnsi="Verdana"/>
                <w:szCs w:val="22"/>
                <w:lang w:val="en-US"/>
              </w:rPr>
            </w:pPr>
            <w:r w:rsidRPr="00863F77">
              <w:rPr>
                <w:rFonts w:ascii="Verdana" w:hAnsi="Verdana"/>
                <w:szCs w:val="22"/>
                <w:lang w:val="en-US"/>
              </w:rPr>
              <w:t>Maximum</w:t>
            </w:r>
          </w:p>
        </w:tc>
        <w:tc>
          <w:tcPr>
            <w:tcW w:w="0" w:type="auto"/>
            <w:tcBorders>
              <w:top w:val="single" w:sz="8" w:space="0" w:color="92D050"/>
              <w:left w:val="single" w:sz="4" w:space="0" w:color="4F81BD" w:themeColor="accent1"/>
              <w:bottom w:val="single" w:sz="8" w:space="0" w:color="92D050"/>
            </w:tcBorders>
            <w:vAlign w:val="center"/>
          </w:tcPr>
          <w:p w:rsidR="004F4155" w:rsidRPr="00863F77" w:rsidRDefault="004F4155" w:rsidP="004F415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Verdana" w:hAnsi="Verdana"/>
                <w:bCs/>
                <w:szCs w:val="22"/>
                <w:lang w:val="en-US"/>
              </w:rPr>
            </w:pPr>
          </w:p>
        </w:tc>
        <w:tc>
          <w:tcPr>
            <w:tcW w:w="0" w:type="auto"/>
            <w:tcBorders>
              <w:top w:val="single" w:sz="8" w:space="0" w:color="92D050"/>
              <w:bottom w:val="single" w:sz="8" w:space="0" w:color="92D050"/>
              <w:right w:val="single" w:sz="4" w:space="0" w:color="auto"/>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Pr>
                <w:rFonts w:ascii="Verdana" w:hAnsi="Verdana"/>
                <w:szCs w:val="22"/>
                <w:lang w:val="en-US"/>
              </w:rPr>
              <w:t>52,018</w:t>
            </w:r>
          </w:p>
        </w:tc>
        <w:tc>
          <w:tcPr>
            <w:tcW w:w="0" w:type="auto"/>
            <w:tcBorders>
              <w:top w:val="single" w:sz="8" w:space="0" w:color="92D050"/>
              <w:left w:val="single" w:sz="4" w:space="0" w:color="auto"/>
              <w:bottom w:val="single" w:sz="8" w:space="0" w:color="92D050"/>
              <w:right w:val="single" w:sz="4" w:space="0" w:color="auto"/>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Pr>
                <w:rFonts w:ascii="Verdana" w:hAnsi="Verdana"/>
                <w:szCs w:val="22"/>
                <w:lang w:val="en-US"/>
              </w:rPr>
              <w:t>1,632,776.80</w:t>
            </w:r>
          </w:p>
        </w:tc>
        <w:tc>
          <w:tcPr>
            <w:tcW w:w="0" w:type="auto"/>
            <w:tcBorders>
              <w:top w:val="single" w:sz="8" w:space="0" w:color="92D050"/>
              <w:left w:val="single" w:sz="4" w:space="0" w:color="auto"/>
              <w:bottom w:val="single" w:sz="8" w:space="0" w:color="92D050"/>
              <w:right w:val="single" w:sz="4" w:space="0" w:color="auto"/>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sidRPr="00863F77">
              <w:rPr>
                <w:rFonts w:ascii="Verdana" w:hAnsi="Verdana"/>
                <w:szCs w:val="22"/>
                <w:lang w:val="en-US"/>
              </w:rPr>
              <w:t>49</w:t>
            </w:r>
            <w:r>
              <w:rPr>
                <w:rFonts w:ascii="Verdana" w:hAnsi="Verdana"/>
                <w:szCs w:val="22"/>
                <w:lang w:val="en-US"/>
              </w:rPr>
              <w:t>,</w:t>
            </w:r>
            <w:r w:rsidRPr="00863F77">
              <w:rPr>
                <w:rFonts w:ascii="Verdana" w:hAnsi="Verdana"/>
                <w:szCs w:val="22"/>
                <w:lang w:val="en-US"/>
              </w:rPr>
              <w:t>0</w:t>
            </w:r>
            <w:r>
              <w:rPr>
                <w:rFonts w:ascii="Verdana" w:hAnsi="Verdana"/>
                <w:szCs w:val="22"/>
                <w:lang w:val="en-US"/>
              </w:rPr>
              <w:t>88</w:t>
            </w:r>
          </w:p>
        </w:tc>
        <w:tc>
          <w:tcPr>
            <w:tcW w:w="0" w:type="auto"/>
            <w:tcBorders>
              <w:top w:val="single" w:sz="8" w:space="0" w:color="92D050"/>
              <w:left w:val="single" w:sz="4" w:space="0" w:color="auto"/>
              <w:bottom w:val="single" w:sz="8" w:space="0" w:color="92D050"/>
              <w:right w:val="single" w:sz="8" w:space="0" w:color="92D050"/>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Pr>
                <w:rFonts w:ascii="Verdana" w:hAnsi="Verdana"/>
                <w:szCs w:val="22"/>
                <w:lang w:val="en-US"/>
              </w:rPr>
              <w:t>1,593,911.25</w:t>
            </w:r>
          </w:p>
        </w:tc>
      </w:tr>
      <w:tr w:rsidR="004F4155" w:rsidRPr="00863F77" w:rsidTr="00041A0A">
        <w:trPr>
          <w:trHeight w:val="104"/>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92D050"/>
              <w:left w:val="single" w:sz="8" w:space="0" w:color="92D050"/>
              <w:bottom w:val="single" w:sz="8" w:space="0" w:color="92D050"/>
              <w:right w:val="single" w:sz="4" w:space="0" w:color="4F81BD" w:themeColor="accent1"/>
            </w:tcBorders>
            <w:vAlign w:val="center"/>
          </w:tcPr>
          <w:p w:rsidR="004F4155" w:rsidRPr="00863F77" w:rsidRDefault="004F4155" w:rsidP="004F4155">
            <w:pPr>
              <w:spacing w:before="0" w:after="0" w:line="240" w:lineRule="auto"/>
              <w:jc w:val="left"/>
              <w:rPr>
                <w:rFonts w:ascii="Verdana" w:hAnsi="Verdana"/>
                <w:szCs w:val="22"/>
                <w:lang w:val="en-US"/>
              </w:rPr>
            </w:pPr>
            <w:r w:rsidRPr="00863F77">
              <w:rPr>
                <w:rFonts w:ascii="Verdana" w:hAnsi="Verdana"/>
                <w:szCs w:val="22"/>
                <w:lang w:val="en-US"/>
              </w:rPr>
              <w:t>Minimum</w:t>
            </w:r>
          </w:p>
        </w:tc>
        <w:tc>
          <w:tcPr>
            <w:tcW w:w="0" w:type="auto"/>
            <w:tcBorders>
              <w:top w:val="single" w:sz="8" w:space="0" w:color="92D050"/>
              <w:left w:val="single" w:sz="4" w:space="0" w:color="4F81BD" w:themeColor="accent1"/>
              <w:bottom w:val="single" w:sz="8" w:space="0" w:color="92D050"/>
            </w:tcBorders>
            <w:vAlign w:val="center"/>
          </w:tcPr>
          <w:p w:rsidR="004F4155" w:rsidRPr="00863F77" w:rsidRDefault="004F4155" w:rsidP="004F415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bCs/>
                <w:szCs w:val="22"/>
                <w:lang w:val="en-US"/>
              </w:rPr>
            </w:pPr>
          </w:p>
        </w:tc>
        <w:tc>
          <w:tcPr>
            <w:tcW w:w="0" w:type="auto"/>
            <w:tcBorders>
              <w:top w:val="single" w:sz="8" w:space="0" w:color="92D050"/>
              <w:bottom w:val="single" w:sz="8" w:space="0" w:color="92D050"/>
              <w:right w:val="single" w:sz="4" w:space="0" w:color="auto"/>
            </w:tcBorders>
            <w:vAlign w:val="center"/>
          </w:tcPr>
          <w:p w:rsidR="004F4155" w:rsidRPr="00863F77"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szCs w:val="22"/>
                <w:lang w:val="en-US"/>
              </w:rPr>
            </w:pPr>
            <w:r>
              <w:rPr>
                <w:rFonts w:ascii="Verdana" w:hAnsi="Verdana"/>
                <w:szCs w:val="22"/>
                <w:lang w:val="en-US"/>
              </w:rPr>
              <w:t>480</w:t>
            </w:r>
          </w:p>
        </w:tc>
        <w:tc>
          <w:tcPr>
            <w:tcW w:w="0" w:type="auto"/>
            <w:tcBorders>
              <w:top w:val="single" w:sz="8" w:space="0" w:color="92D050"/>
              <w:left w:val="single" w:sz="4" w:space="0" w:color="auto"/>
              <w:bottom w:val="single" w:sz="8" w:space="0" w:color="92D050"/>
              <w:right w:val="single" w:sz="4" w:space="0" w:color="auto"/>
            </w:tcBorders>
            <w:vAlign w:val="center"/>
          </w:tcPr>
          <w:p w:rsidR="004F4155" w:rsidRPr="00863F77"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szCs w:val="22"/>
                <w:lang w:val="en-US"/>
              </w:rPr>
            </w:pPr>
            <w:r>
              <w:rPr>
                <w:rFonts w:ascii="Verdana" w:hAnsi="Verdana"/>
                <w:szCs w:val="22"/>
                <w:lang w:val="en-US"/>
              </w:rPr>
              <w:t>7,872.00</w:t>
            </w:r>
          </w:p>
        </w:tc>
        <w:tc>
          <w:tcPr>
            <w:tcW w:w="0" w:type="auto"/>
            <w:tcBorders>
              <w:top w:val="single" w:sz="8" w:space="0" w:color="92D050"/>
              <w:left w:val="single" w:sz="4" w:space="0" w:color="auto"/>
              <w:bottom w:val="single" w:sz="8" w:space="0" w:color="92D050"/>
              <w:right w:val="single" w:sz="4" w:space="0" w:color="auto"/>
            </w:tcBorders>
            <w:vAlign w:val="center"/>
          </w:tcPr>
          <w:p w:rsidR="004F4155" w:rsidRPr="00863F77"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szCs w:val="22"/>
                <w:lang w:val="en-US"/>
              </w:rPr>
            </w:pPr>
            <w:r>
              <w:rPr>
                <w:rFonts w:ascii="Verdana" w:hAnsi="Verdana"/>
                <w:szCs w:val="22"/>
                <w:lang w:val="en-US"/>
              </w:rPr>
              <w:t>3,500</w:t>
            </w:r>
          </w:p>
        </w:tc>
        <w:tc>
          <w:tcPr>
            <w:tcW w:w="0" w:type="auto"/>
            <w:tcBorders>
              <w:top w:val="single" w:sz="8" w:space="0" w:color="92D050"/>
              <w:left w:val="single" w:sz="4" w:space="0" w:color="auto"/>
              <w:bottom w:val="single" w:sz="8" w:space="0" w:color="92D050"/>
              <w:right w:val="single" w:sz="8" w:space="0" w:color="92D050"/>
            </w:tcBorders>
            <w:vAlign w:val="center"/>
          </w:tcPr>
          <w:p w:rsidR="004F4155" w:rsidRPr="00863F77"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szCs w:val="22"/>
                <w:lang w:val="en-US"/>
              </w:rPr>
            </w:pPr>
            <w:r>
              <w:rPr>
                <w:rFonts w:ascii="Verdana" w:hAnsi="Verdana"/>
                <w:szCs w:val="22"/>
                <w:lang w:val="en-US"/>
              </w:rPr>
              <w:t>85,088</w:t>
            </w:r>
          </w:p>
        </w:tc>
      </w:tr>
      <w:tr w:rsidR="004F4155" w:rsidRPr="00863F77" w:rsidTr="00041A0A">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92D050"/>
              <w:left w:val="single" w:sz="8" w:space="0" w:color="92D050"/>
              <w:bottom w:val="single" w:sz="8" w:space="0" w:color="92D050"/>
              <w:right w:val="single" w:sz="4" w:space="0" w:color="4F81BD" w:themeColor="accent1"/>
            </w:tcBorders>
            <w:vAlign w:val="center"/>
          </w:tcPr>
          <w:p w:rsidR="004F4155" w:rsidRPr="00863F77" w:rsidRDefault="004F4155" w:rsidP="004F4155">
            <w:pPr>
              <w:spacing w:before="0" w:after="0" w:line="240" w:lineRule="auto"/>
              <w:jc w:val="left"/>
              <w:rPr>
                <w:rFonts w:ascii="Verdana" w:hAnsi="Verdana"/>
                <w:szCs w:val="22"/>
                <w:lang w:val="en-US"/>
              </w:rPr>
            </w:pPr>
            <w:r w:rsidRPr="00863F77">
              <w:rPr>
                <w:rFonts w:ascii="Verdana" w:hAnsi="Verdana"/>
                <w:szCs w:val="22"/>
                <w:lang w:val="en-US"/>
              </w:rPr>
              <w:t>Average</w:t>
            </w:r>
          </w:p>
        </w:tc>
        <w:tc>
          <w:tcPr>
            <w:tcW w:w="0" w:type="auto"/>
            <w:tcBorders>
              <w:top w:val="single" w:sz="8" w:space="0" w:color="92D050"/>
              <w:left w:val="single" w:sz="4" w:space="0" w:color="4F81BD" w:themeColor="accent1"/>
              <w:bottom w:val="single" w:sz="8" w:space="0" w:color="92D050"/>
            </w:tcBorders>
            <w:vAlign w:val="center"/>
          </w:tcPr>
          <w:p w:rsidR="004F4155" w:rsidRPr="00863F77" w:rsidRDefault="004F4155" w:rsidP="004F415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Verdana" w:hAnsi="Verdana"/>
                <w:bCs/>
                <w:szCs w:val="22"/>
                <w:lang w:val="en-US"/>
              </w:rPr>
            </w:pPr>
          </w:p>
        </w:tc>
        <w:tc>
          <w:tcPr>
            <w:tcW w:w="0" w:type="auto"/>
            <w:tcBorders>
              <w:top w:val="single" w:sz="8" w:space="0" w:color="92D050"/>
              <w:bottom w:val="single" w:sz="8" w:space="0" w:color="92D050"/>
              <w:right w:val="single" w:sz="4" w:space="0" w:color="auto"/>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Pr>
                <w:rFonts w:ascii="Verdana" w:hAnsi="Verdana"/>
                <w:szCs w:val="22"/>
                <w:lang w:val="en-US"/>
              </w:rPr>
              <w:t>17,728</w:t>
            </w:r>
          </w:p>
        </w:tc>
        <w:tc>
          <w:tcPr>
            <w:tcW w:w="0" w:type="auto"/>
            <w:tcBorders>
              <w:top w:val="single" w:sz="8" w:space="0" w:color="92D050"/>
              <w:left w:val="single" w:sz="4" w:space="0" w:color="auto"/>
              <w:bottom w:val="single" w:sz="8" w:space="0" w:color="92D050"/>
              <w:right w:val="single" w:sz="4" w:space="0" w:color="4F81BD" w:themeColor="accent1"/>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Pr>
                <w:rFonts w:ascii="Verdana" w:hAnsi="Verdana"/>
                <w:szCs w:val="22"/>
                <w:lang w:val="en-US"/>
              </w:rPr>
              <w:t>401,352.97</w:t>
            </w:r>
          </w:p>
        </w:tc>
        <w:tc>
          <w:tcPr>
            <w:tcW w:w="0" w:type="auto"/>
            <w:tcBorders>
              <w:top w:val="single" w:sz="8" w:space="0" w:color="92D050"/>
              <w:left w:val="single" w:sz="4" w:space="0" w:color="4F81BD" w:themeColor="accent1"/>
              <w:bottom w:val="single" w:sz="8" w:space="0" w:color="92D050"/>
              <w:right w:val="single" w:sz="4" w:space="0" w:color="auto"/>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Pr>
                <w:rFonts w:ascii="Verdana" w:hAnsi="Verdana"/>
                <w:szCs w:val="22"/>
                <w:lang w:val="en-US"/>
              </w:rPr>
              <w:t>19,751.53</w:t>
            </w:r>
          </w:p>
        </w:tc>
        <w:tc>
          <w:tcPr>
            <w:tcW w:w="0" w:type="auto"/>
            <w:tcBorders>
              <w:top w:val="single" w:sz="8" w:space="0" w:color="92D050"/>
              <w:left w:val="single" w:sz="4" w:space="0" w:color="auto"/>
              <w:bottom w:val="single" w:sz="8" w:space="0" w:color="92D050"/>
              <w:right w:val="single" w:sz="8" w:space="0" w:color="92D050"/>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Pr>
                <w:rFonts w:ascii="Verdana" w:hAnsi="Verdana"/>
                <w:szCs w:val="22"/>
                <w:lang w:val="en-US"/>
              </w:rPr>
              <w:t>511,415.18</w:t>
            </w:r>
          </w:p>
        </w:tc>
      </w:tr>
    </w:tbl>
    <w:p w:rsidR="004F4155" w:rsidRDefault="004F4155" w:rsidP="004F4155">
      <w:pPr>
        <w:spacing w:before="0" w:after="0" w:line="240" w:lineRule="auto"/>
        <w:jc w:val="left"/>
        <w:rPr>
          <w:lang w:val="en-US"/>
        </w:rPr>
      </w:pPr>
    </w:p>
    <w:p w:rsidR="004F4155" w:rsidRDefault="004F4155" w:rsidP="004F4155">
      <w:pPr>
        <w:spacing w:before="0" w:after="0" w:line="240" w:lineRule="auto"/>
        <w:jc w:val="left"/>
        <w:rPr>
          <w:lang w:val="en-US"/>
        </w:rPr>
      </w:pPr>
    </w:p>
    <w:tbl>
      <w:tblPr>
        <w:tblStyle w:val="Listaclara-nfasis11"/>
        <w:tblW w:w="8046" w:type="dxa"/>
        <w:jc w:val="center"/>
        <w:tblLook w:val="04A0" w:firstRow="1" w:lastRow="0" w:firstColumn="1" w:lastColumn="0" w:noHBand="0" w:noVBand="1"/>
      </w:tblPr>
      <w:tblGrid>
        <w:gridCol w:w="1472"/>
        <w:gridCol w:w="231"/>
        <w:gridCol w:w="1408"/>
        <w:gridCol w:w="1553"/>
        <w:gridCol w:w="1408"/>
        <w:gridCol w:w="1974"/>
      </w:tblGrid>
      <w:tr w:rsidR="004F4155" w:rsidRPr="00863F77" w:rsidTr="004F4155">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8046" w:type="dxa"/>
            <w:gridSpan w:val="6"/>
            <w:vAlign w:val="center"/>
          </w:tcPr>
          <w:p w:rsidR="004F4155" w:rsidRPr="002D7BCA" w:rsidRDefault="004F4155" w:rsidP="004F4155">
            <w:pPr>
              <w:spacing w:before="0" w:after="0" w:line="240" w:lineRule="auto"/>
              <w:jc w:val="center"/>
              <w:rPr>
                <w:rFonts w:ascii="Verdana" w:hAnsi="Verdana"/>
                <w:sz w:val="24"/>
                <w:lang w:val="en-US"/>
              </w:rPr>
            </w:pPr>
            <w:r w:rsidRPr="00A82031">
              <w:rPr>
                <w:rFonts w:ascii="Verdana" w:hAnsi="Verdana"/>
                <w:lang w:val="en-US"/>
              </w:rPr>
              <w:t>Sell Balancing Actions</w:t>
            </w:r>
          </w:p>
        </w:tc>
      </w:tr>
      <w:tr w:rsidR="004F4155" w:rsidRPr="00863F77" w:rsidTr="00041A0A">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4F81BD" w:themeColor="accent1"/>
            </w:tcBorders>
            <w:vAlign w:val="center"/>
          </w:tcPr>
          <w:p w:rsidR="004F4155" w:rsidRPr="002D7BCA" w:rsidRDefault="004F4155" w:rsidP="004F4155">
            <w:pPr>
              <w:spacing w:before="0" w:after="0" w:line="240" w:lineRule="auto"/>
              <w:jc w:val="center"/>
              <w:rPr>
                <w:rFonts w:ascii="Verdana" w:hAnsi="Verdana"/>
                <w:szCs w:val="22"/>
                <w:lang w:val="en-US"/>
              </w:rPr>
            </w:pPr>
            <w:r w:rsidRPr="002D7BCA">
              <w:rPr>
                <w:rFonts w:ascii="Verdana" w:hAnsi="Verdana"/>
                <w:szCs w:val="22"/>
                <w:lang w:val="en-US"/>
              </w:rPr>
              <w:t>Value</w:t>
            </w:r>
          </w:p>
        </w:tc>
        <w:tc>
          <w:tcPr>
            <w:tcW w:w="0" w:type="auto"/>
            <w:tcBorders>
              <w:left w:val="single" w:sz="4" w:space="0" w:color="4F81BD" w:themeColor="accent1"/>
            </w:tcBorders>
            <w:vAlign w:val="center"/>
          </w:tcPr>
          <w:p w:rsidR="004F4155" w:rsidRPr="002D7BCA" w:rsidRDefault="004F4155" w:rsidP="004F415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bCs/>
                <w:szCs w:val="22"/>
                <w:lang w:val="en-US"/>
              </w:rPr>
            </w:pPr>
          </w:p>
        </w:tc>
        <w:tc>
          <w:tcPr>
            <w:tcW w:w="0" w:type="auto"/>
            <w:gridSpan w:val="2"/>
            <w:tcBorders>
              <w:bottom w:val="nil"/>
              <w:right w:val="single" w:sz="4" w:space="0" w:color="4F81BD" w:themeColor="accent1"/>
            </w:tcBorders>
            <w:vAlign w:val="center"/>
          </w:tcPr>
          <w:p w:rsidR="004F4155" w:rsidRPr="002D7BCA" w:rsidRDefault="004F4155" w:rsidP="004F415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b/>
                <w:szCs w:val="22"/>
                <w:lang w:val="en-US"/>
              </w:rPr>
            </w:pPr>
            <w:r w:rsidRPr="002D7BCA">
              <w:rPr>
                <w:rFonts w:ascii="Verdana" w:hAnsi="Verdana"/>
                <w:b/>
                <w:szCs w:val="22"/>
                <w:lang w:val="en-US"/>
              </w:rPr>
              <w:t>Within-Day</w:t>
            </w:r>
          </w:p>
        </w:tc>
        <w:tc>
          <w:tcPr>
            <w:tcW w:w="3327" w:type="dxa"/>
            <w:gridSpan w:val="2"/>
            <w:tcBorders>
              <w:left w:val="single" w:sz="4" w:space="0" w:color="4F81BD" w:themeColor="accent1"/>
              <w:bottom w:val="nil"/>
            </w:tcBorders>
            <w:vAlign w:val="center"/>
          </w:tcPr>
          <w:p w:rsidR="004F4155" w:rsidRPr="002D7BCA" w:rsidRDefault="004F4155" w:rsidP="004F415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Verdana" w:hAnsi="Verdana"/>
                <w:b/>
                <w:szCs w:val="22"/>
                <w:lang w:val="en-US"/>
              </w:rPr>
            </w:pPr>
            <w:r w:rsidRPr="002D7BCA">
              <w:rPr>
                <w:rFonts w:ascii="Verdana" w:hAnsi="Verdana"/>
                <w:b/>
                <w:szCs w:val="22"/>
                <w:lang w:val="en-US"/>
              </w:rPr>
              <w:t>Day-Ahead</w:t>
            </w:r>
          </w:p>
        </w:tc>
      </w:tr>
      <w:tr w:rsidR="004F4155" w:rsidRPr="00863F77" w:rsidTr="00041A0A">
        <w:trPr>
          <w:trHeight w:val="184"/>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4F81BD" w:themeColor="accent1"/>
            </w:tcBorders>
            <w:vAlign w:val="center"/>
          </w:tcPr>
          <w:p w:rsidR="004F4155" w:rsidRPr="002D7BCA" w:rsidRDefault="004F4155" w:rsidP="004F4155">
            <w:pPr>
              <w:spacing w:before="0" w:after="0" w:line="240" w:lineRule="auto"/>
              <w:jc w:val="left"/>
              <w:rPr>
                <w:rFonts w:ascii="Verdana" w:hAnsi="Verdana"/>
                <w:szCs w:val="22"/>
                <w:lang w:val="en-US"/>
              </w:rPr>
            </w:pPr>
          </w:p>
        </w:tc>
        <w:tc>
          <w:tcPr>
            <w:tcW w:w="0" w:type="auto"/>
            <w:tcBorders>
              <w:left w:val="single" w:sz="4" w:space="0" w:color="4F81BD" w:themeColor="accent1"/>
            </w:tcBorders>
            <w:vAlign w:val="center"/>
          </w:tcPr>
          <w:p w:rsidR="004F4155" w:rsidRPr="002D7BCA" w:rsidRDefault="004F4155" w:rsidP="004F415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bCs/>
                <w:szCs w:val="22"/>
                <w:lang w:val="en-US"/>
              </w:rPr>
            </w:pPr>
          </w:p>
        </w:tc>
        <w:tc>
          <w:tcPr>
            <w:tcW w:w="0" w:type="auto"/>
            <w:tcBorders>
              <w:top w:val="nil"/>
              <w:bottom w:val="single" w:sz="8" w:space="0" w:color="007AAE"/>
              <w:right w:val="single" w:sz="4" w:space="0" w:color="auto"/>
            </w:tcBorders>
            <w:vAlign w:val="center"/>
          </w:tcPr>
          <w:p w:rsidR="004F4155" w:rsidRPr="002D7BCA" w:rsidRDefault="004F4155" w:rsidP="004F415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b/>
                <w:szCs w:val="22"/>
                <w:lang w:val="en-US"/>
              </w:rPr>
            </w:pPr>
            <w:r w:rsidRPr="002D7BCA">
              <w:rPr>
                <w:rFonts w:ascii="Verdana" w:hAnsi="Verdana"/>
                <w:b/>
                <w:szCs w:val="22"/>
                <w:lang w:val="en-US"/>
              </w:rPr>
              <w:t>Volume</w:t>
            </w:r>
          </w:p>
        </w:tc>
        <w:tc>
          <w:tcPr>
            <w:tcW w:w="0" w:type="auto"/>
            <w:tcBorders>
              <w:top w:val="nil"/>
              <w:left w:val="single" w:sz="4" w:space="0" w:color="auto"/>
              <w:bottom w:val="single" w:sz="8" w:space="0" w:color="007AAE"/>
              <w:right w:val="single" w:sz="4" w:space="0" w:color="4F81BD" w:themeColor="accent1"/>
            </w:tcBorders>
            <w:vAlign w:val="center"/>
          </w:tcPr>
          <w:p w:rsidR="004F4155" w:rsidRPr="002D7BCA"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b/>
                <w:szCs w:val="22"/>
                <w:lang w:val="en-US"/>
              </w:rPr>
            </w:pPr>
            <w:r w:rsidRPr="002D7BCA">
              <w:rPr>
                <w:rFonts w:ascii="Verdana" w:hAnsi="Verdana"/>
                <w:b/>
                <w:szCs w:val="22"/>
                <w:lang w:val="en-US"/>
              </w:rPr>
              <w:t>Income</w:t>
            </w:r>
          </w:p>
        </w:tc>
        <w:tc>
          <w:tcPr>
            <w:tcW w:w="0" w:type="auto"/>
            <w:tcBorders>
              <w:top w:val="nil"/>
              <w:left w:val="single" w:sz="4" w:space="0" w:color="4F81BD" w:themeColor="accent1"/>
              <w:bottom w:val="single" w:sz="8" w:space="0" w:color="007AAE"/>
              <w:right w:val="single" w:sz="4" w:space="0" w:color="auto"/>
            </w:tcBorders>
            <w:vAlign w:val="center"/>
          </w:tcPr>
          <w:p w:rsidR="004F4155" w:rsidRPr="002D7BCA" w:rsidRDefault="004F4155" w:rsidP="004F415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Verdana" w:hAnsi="Verdana"/>
                <w:b/>
                <w:szCs w:val="22"/>
                <w:lang w:val="en-US"/>
              </w:rPr>
            </w:pPr>
            <w:r w:rsidRPr="002D7BCA">
              <w:rPr>
                <w:rFonts w:ascii="Verdana" w:hAnsi="Verdana"/>
                <w:b/>
                <w:szCs w:val="22"/>
                <w:lang w:val="en-US"/>
              </w:rPr>
              <w:t>Volume</w:t>
            </w:r>
          </w:p>
        </w:tc>
        <w:tc>
          <w:tcPr>
            <w:tcW w:w="1901" w:type="dxa"/>
            <w:tcBorders>
              <w:top w:val="nil"/>
              <w:left w:val="single" w:sz="4" w:space="0" w:color="auto"/>
              <w:bottom w:val="single" w:sz="8" w:space="0" w:color="007AAE"/>
            </w:tcBorders>
            <w:vAlign w:val="center"/>
          </w:tcPr>
          <w:p w:rsidR="004F4155" w:rsidRPr="002D7BCA"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b/>
                <w:szCs w:val="22"/>
                <w:lang w:val="en-US"/>
              </w:rPr>
            </w:pPr>
            <w:r w:rsidRPr="002D7BCA">
              <w:rPr>
                <w:rFonts w:ascii="Verdana" w:hAnsi="Verdana"/>
                <w:b/>
                <w:szCs w:val="22"/>
                <w:lang w:val="en-US"/>
              </w:rPr>
              <w:t>Income</w:t>
            </w:r>
          </w:p>
        </w:tc>
      </w:tr>
      <w:tr w:rsidR="004F4155" w:rsidRPr="00863F77" w:rsidTr="00041A0A">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hemeColor="accent1"/>
            </w:tcBorders>
            <w:vAlign w:val="center"/>
          </w:tcPr>
          <w:p w:rsidR="004F4155" w:rsidRPr="00863F77" w:rsidRDefault="004F4155" w:rsidP="004F4155">
            <w:pPr>
              <w:spacing w:before="0" w:after="0" w:line="240" w:lineRule="auto"/>
              <w:jc w:val="left"/>
              <w:rPr>
                <w:rFonts w:ascii="Verdana" w:hAnsi="Verdana"/>
                <w:szCs w:val="22"/>
                <w:lang w:val="en-US"/>
              </w:rPr>
            </w:pPr>
            <w:r w:rsidRPr="00863F77">
              <w:rPr>
                <w:rFonts w:ascii="Verdana" w:hAnsi="Verdana"/>
                <w:szCs w:val="22"/>
                <w:lang w:val="en-US"/>
              </w:rPr>
              <w:t>Maximum</w:t>
            </w:r>
          </w:p>
        </w:tc>
        <w:tc>
          <w:tcPr>
            <w:tcW w:w="0" w:type="auto"/>
            <w:tcBorders>
              <w:left w:val="single" w:sz="4" w:space="0" w:color="4F81BD" w:themeColor="accent1"/>
            </w:tcBorders>
            <w:vAlign w:val="center"/>
          </w:tcPr>
          <w:p w:rsidR="004F4155" w:rsidRPr="00863F77" w:rsidRDefault="004F4155" w:rsidP="004F415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Verdana" w:hAnsi="Verdana"/>
                <w:bCs/>
                <w:szCs w:val="22"/>
                <w:lang w:val="en-US"/>
              </w:rPr>
            </w:pPr>
          </w:p>
        </w:tc>
        <w:tc>
          <w:tcPr>
            <w:tcW w:w="0" w:type="auto"/>
            <w:tcBorders>
              <w:right w:val="single" w:sz="4" w:space="0" w:color="auto"/>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sidRPr="00863F77">
              <w:rPr>
                <w:rFonts w:ascii="Verdana" w:hAnsi="Verdana"/>
                <w:szCs w:val="22"/>
                <w:lang w:val="en-US"/>
              </w:rPr>
              <w:t>40</w:t>
            </w:r>
            <w:r>
              <w:rPr>
                <w:rFonts w:ascii="Verdana" w:hAnsi="Verdana"/>
                <w:szCs w:val="22"/>
                <w:lang w:val="en-US"/>
              </w:rPr>
              <w:t>,</w:t>
            </w:r>
            <w:r w:rsidRPr="00863F77">
              <w:rPr>
                <w:rFonts w:ascii="Verdana" w:hAnsi="Verdana"/>
                <w:szCs w:val="22"/>
                <w:lang w:val="en-US"/>
              </w:rPr>
              <w:t>000</w:t>
            </w:r>
          </w:p>
        </w:tc>
        <w:tc>
          <w:tcPr>
            <w:tcW w:w="0" w:type="auto"/>
            <w:tcBorders>
              <w:left w:val="single" w:sz="4" w:space="0" w:color="auto"/>
              <w:right w:val="single" w:sz="4" w:space="0" w:color="4F81BD" w:themeColor="accent1"/>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sidRPr="00863F77">
              <w:rPr>
                <w:rFonts w:ascii="Verdana" w:hAnsi="Verdana"/>
                <w:szCs w:val="22"/>
                <w:lang w:val="en-US"/>
              </w:rPr>
              <w:t>658</w:t>
            </w:r>
            <w:r>
              <w:rPr>
                <w:rFonts w:ascii="Verdana" w:hAnsi="Verdana"/>
                <w:szCs w:val="22"/>
                <w:lang w:val="en-US"/>
              </w:rPr>
              <w:t>,</w:t>
            </w:r>
            <w:r w:rsidRPr="00863F77">
              <w:rPr>
                <w:rFonts w:ascii="Verdana" w:hAnsi="Verdana"/>
                <w:szCs w:val="22"/>
                <w:lang w:val="en-US"/>
              </w:rPr>
              <w:t>744</w:t>
            </w:r>
          </w:p>
        </w:tc>
        <w:tc>
          <w:tcPr>
            <w:tcW w:w="0" w:type="auto"/>
            <w:tcBorders>
              <w:left w:val="single" w:sz="4" w:space="0" w:color="4F81BD" w:themeColor="accent1"/>
              <w:right w:val="single" w:sz="4" w:space="0" w:color="auto"/>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sidRPr="00863F77">
              <w:rPr>
                <w:rFonts w:ascii="Verdana" w:hAnsi="Verdana"/>
                <w:szCs w:val="22"/>
                <w:lang w:val="en-US"/>
              </w:rPr>
              <w:t>49</w:t>
            </w:r>
            <w:r>
              <w:rPr>
                <w:rFonts w:ascii="Verdana" w:hAnsi="Verdana"/>
                <w:szCs w:val="22"/>
                <w:lang w:val="en-US"/>
              </w:rPr>
              <w:t>,</w:t>
            </w:r>
            <w:r w:rsidRPr="00863F77">
              <w:rPr>
                <w:rFonts w:ascii="Verdana" w:hAnsi="Verdana"/>
                <w:szCs w:val="22"/>
                <w:lang w:val="en-US"/>
              </w:rPr>
              <w:t>000</w:t>
            </w:r>
          </w:p>
        </w:tc>
        <w:tc>
          <w:tcPr>
            <w:tcW w:w="1901" w:type="dxa"/>
            <w:tcBorders>
              <w:left w:val="single" w:sz="4" w:space="0" w:color="auto"/>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sidRPr="00863F77">
              <w:rPr>
                <w:rFonts w:ascii="Verdana" w:hAnsi="Verdana"/>
                <w:szCs w:val="22"/>
                <w:lang w:val="en-US"/>
              </w:rPr>
              <w:t>863</w:t>
            </w:r>
            <w:r>
              <w:rPr>
                <w:rFonts w:ascii="Verdana" w:hAnsi="Verdana"/>
                <w:szCs w:val="22"/>
                <w:lang w:val="en-US"/>
              </w:rPr>
              <w:t>,</w:t>
            </w:r>
            <w:r w:rsidRPr="00863F77">
              <w:rPr>
                <w:rFonts w:ascii="Verdana" w:hAnsi="Verdana"/>
                <w:szCs w:val="22"/>
                <w:lang w:val="en-US"/>
              </w:rPr>
              <w:t>600</w:t>
            </w:r>
          </w:p>
        </w:tc>
      </w:tr>
      <w:tr w:rsidR="004F4155" w:rsidRPr="00863F77" w:rsidTr="00041A0A">
        <w:trPr>
          <w:trHeight w:val="85"/>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hemeColor="accent1"/>
            </w:tcBorders>
            <w:vAlign w:val="center"/>
          </w:tcPr>
          <w:p w:rsidR="004F4155" w:rsidRPr="00863F77" w:rsidRDefault="004F4155" w:rsidP="004F4155">
            <w:pPr>
              <w:spacing w:before="0" w:after="0" w:line="240" w:lineRule="auto"/>
              <w:jc w:val="left"/>
              <w:rPr>
                <w:rFonts w:ascii="Verdana" w:hAnsi="Verdana"/>
                <w:szCs w:val="22"/>
                <w:lang w:val="en-US"/>
              </w:rPr>
            </w:pPr>
            <w:r w:rsidRPr="00863F77">
              <w:rPr>
                <w:rFonts w:ascii="Verdana" w:hAnsi="Verdana"/>
                <w:szCs w:val="22"/>
                <w:lang w:val="en-US"/>
              </w:rPr>
              <w:t>Minimum</w:t>
            </w:r>
          </w:p>
        </w:tc>
        <w:tc>
          <w:tcPr>
            <w:tcW w:w="0" w:type="auto"/>
            <w:tcBorders>
              <w:left w:val="single" w:sz="4" w:space="0" w:color="4F81BD" w:themeColor="accent1"/>
            </w:tcBorders>
            <w:vAlign w:val="center"/>
          </w:tcPr>
          <w:p w:rsidR="004F4155" w:rsidRPr="00863F77" w:rsidRDefault="004F4155" w:rsidP="004F4155">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Verdana" w:hAnsi="Verdana"/>
                <w:bCs/>
                <w:szCs w:val="22"/>
                <w:lang w:val="en-US"/>
              </w:rPr>
            </w:pPr>
          </w:p>
        </w:tc>
        <w:tc>
          <w:tcPr>
            <w:tcW w:w="0" w:type="auto"/>
            <w:tcBorders>
              <w:top w:val="single" w:sz="8" w:space="0" w:color="007AAE"/>
              <w:bottom w:val="single" w:sz="8" w:space="0" w:color="007AAE"/>
              <w:right w:val="single" w:sz="4" w:space="0" w:color="auto"/>
            </w:tcBorders>
            <w:vAlign w:val="center"/>
          </w:tcPr>
          <w:p w:rsidR="004F4155" w:rsidRPr="00863F77"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szCs w:val="22"/>
                <w:lang w:val="en-US"/>
              </w:rPr>
            </w:pPr>
            <w:r w:rsidRPr="00863F77">
              <w:rPr>
                <w:rFonts w:ascii="Verdana" w:hAnsi="Verdana"/>
                <w:szCs w:val="22"/>
                <w:lang w:val="en-US"/>
              </w:rPr>
              <w:t>2</w:t>
            </w:r>
            <w:r>
              <w:rPr>
                <w:rFonts w:ascii="Verdana" w:hAnsi="Verdana"/>
                <w:szCs w:val="22"/>
                <w:lang w:val="en-US"/>
              </w:rPr>
              <w:t>,</w:t>
            </w:r>
            <w:r w:rsidRPr="00863F77">
              <w:rPr>
                <w:rFonts w:ascii="Verdana" w:hAnsi="Verdana"/>
                <w:szCs w:val="22"/>
                <w:lang w:val="en-US"/>
              </w:rPr>
              <w:t>500</w:t>
            </w:r>
          </w:p>
        </w:tc>
        <w:tc>
          <w:tcPr>
            <w:tcW w:w="0" w:type="auto"/>
            <w:tcBorders>
              <w:top w:val="single" w:sz="8" w:space="0" w:color="007AAE"/>
              <w:left w:val="single" w:sz="4" w:space="0" w:color="auto"/>
              <w:bottom w:val="single" w:sz="8" w:space="0" w:color="007AAE"/>
              <w:right w:val="single" w:sz="4" w:space="0" w:color="4F81BD" w:themeColor="accent1"/>
            </w:tcBorders>
            <w:vAlign w:val="center"/>
          </w:tcPr>
          <w:p w:rsidR="004F4155" w:rsidRPr="00863F77"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szCs w:val="22"/>
                <w:lang w:val="en-US"/>
              </w:rPr>
            </w:pPr>
            <w:r w:rsidRPr="00863F77">
              <w:rPr>
                <w:rFonts w:ascii="Verdana" w:hAnsi="Verdana"/>
                <w:szCs w:val="22"/>
                <w:lang w:val="en-US"/>
              </w:rPr>
              <w:t>41</w:t>
            </w:r>
            <w:r>
              <w:rPr>
                <w:rFonts w:ascii="Verdana" w:hAnsi="Verdana"/>
                <w:szCs w:val="22"/>
                <w:lang w:val="en-US"/>
              </w:rPr>
              <w:t>,</w:t>
            </w:r>
            <w:r w:rsidRPr="00863F77">
              <w:rPr>
                <w:rFonts w:ascii="Verdana" w:hAnsi="Verdana"/>
                <w:szCs w:val="22"/>
                <w:lang w:val="en-US"/>
              </w:rPr>
              <w:t>030</w:t>
            </w:r>
          </w:p>
        </w:tc>
        <w:tc>
          <w:tcPr>
            <w:tcW w:w="0" w:type="auto"/>
            <w:tcBorders>
              <w:top w:val="single" w:sz="8" w:space="0" w:color="007AAE"/>
              <w:left w:val="single" w:sz="4" w:space="0" w:color="4F81BD" w:themeColor="accent1"/>
              <w:bottom w:val="single" w:sz="8" w:space="0" w:color="007AAE"/>
              <w:right w:val="single" w:sz="4" w:space="0" w:color="auto"/>
            </w:tcBorders>
            <w:vAlign w:val="center"/>
          </w:tcPr>
          <w:p w:rsidR="004F4155" w:rsidRPr="00863F77"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szCs w:val="22"/>
                <w:lang w:val="en-US"/>
              </w:rPr>
            </w:pPr>
            <w:r w:rsidRPr="00863F77">
              <w:rPr>
                <w:rFonts w:ascii="Verdana" w:hAnsi="Verdana"/>
                <w:szCs w:val="22"/>
                <w:lang w:val="en-US"/>
              </w:rPr>
              <w:t>10</w:t>
            </w:r>
            <w:r>
              <w:rPr>
                <w:rFonts w:ascii="Verdana" w:hAnsi="Verdana"/>
                <w:szCs w:val="22"/>
                <w:lang w:val="en-US"/>
              </w:rPr>
              <w:t>,</w:t>
            </w:r>
            <w:r w:rsidRPr="00863F77">
              <w:rPr>
                <w:rFonts w:ascii="Verdana" w:hAnsi="Verdana"/>
                <w:szCs w:val="22"/>
                <w:lang w:val="en-US"/>
              </w:rPr>
              <w:t>000</w:t>
            </w:r>
          </w:p>
        </w:tc>
        <w:tc>
          <w:tcPr>
            <w:tcW w:w="1901" w:type="dxa"/>
            <w:tcBorders>
              <w:top w:val="single" w:sz="8" w:space="0" w:color="007AAE"/>
              <w:left w:val="single" w:sz="4" w:space="0" w:color="auto"/>
              <w:bottom w:val="single" w:sz="8" w:space="0" w:color="007AAE"/>
            </w:tcBorders>
            <w:vAlign w:val="center"/>
          </w:tcPr>
          <w:p w:rsidR="004F4155" w:rsidRPr="00863F77" w:rsidRDefault="004F4155" w:rsidP="004F4155">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Verdana" w:hAnsi="Verdana"/>
                <w:szCs w:val="22"/>
                <w:lang w:val="en-US"/>
              </w:rPr>
            </w:pPr>
            <w:r w:rsidRPr="00863F77">
              <w:rPr>
                <w:rFonts w:ascii="Verdana" w:hAnsi="Verdana"/>
                <w:szCs w:val="22"/>
                <w:lang w:val="en-US"/>
              </w:rPr>
              <w:t>158</w:t>
            </w:r>
            <w:r>
              <w:rPr>
                <w:rFonts w:ascii="Verdana" w:hAnsi="Verdana"/>
                <w:szCs w:val="22"/>
                <w:lang w:val="en-US"/>
              </w:rPr>
              <w:t>,</w:t>
            </w:r>
            <w:r w:rsidRPr="00863F77">
              <w:rPr>
                <w:rFonts w:ascii="Verdana" w:hAnsi="Verdana"/>
                <w:szCs w:val="22"/>
                <w:lang w:val="en-US"/>
              </w:rPr>
              <w:t>250</w:t>
            </w:r>
          </w:p>
        </w:tc>
      </w:tr>
      <w:tr w:rsidR="004F4155" w:rsidRPr="00863F77" w:rsidTr="00041A0A">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F81BD" w:themeColor="accent1"/>
            </w:tcBorders>
            <w:vAlign w:val="center"/>
          </w:tcPr>
          <w:p w:rsidR="004F4155" w:rsidRPr="00863F77" w:rsidRDefault="004F4155" w:rsidP="004F4155">
            <w:pPr>
              <w:spacing w:before="0" w:after="0" w:line="240" w:lineRule="auto"/>
              <w:jc w:val="left"/>
              <w:rPr>
                <w:rFonts w:ascii="Verdana" w:hAnsi="Verdana"/>
                <w:szCs w:val="22"/>
                <w:lang w:val="en-US"/>
              </w:rPr>
            </w:pPr>
            <w:r w:rsidRPr="00863F77">
              <w:rPr>
                <w:rFonts w:ascii="Verdana" w:hAnsi="Verdana"/>
                <w:szCs w:val="22"/>
                <w:lang w:val="en-US"/>
              </w:rPr>
              <w:t>Average</w:t>
            </w:r>
          </w:p>
        </w:tc>
        <w:tc>
          <w:tcPr>
            <w:tcW w:w="0" w:type="auto"/>
            <w:tcBorders>
              <w:left w:val="single" w:sz="4" w:space="0" w:color="4F81BD" w:themeColor="accent1"/>
            </w:tcBorders>
            <w:vAlign w:val="center"/>
          </w:tcPr>
          <w:p w:rsidR="004F4155" w:rsidRPr="00863F77" w:rsidRDefault="004F4155" w:rsidP="004F4155">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Verdana" w:hAnsi="Verdana"/>
                <w:bCs/>
                <w:szCs w:val="22"/>
                <w:lang w:val="en-US"/>
              </w:rPr>
            </w:pPr>
          </w:p>
        </w:tc>
        <w:tc>
          <w:tcPr>
            <w:tcW w:w="0" w:type="auto"/>
            <w:tcBorders>
              <w:right w:val="single" w:sz="4" w:space="0" w:color="auto"/>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sidRPr="00863F77">
              <w:rPr>
                <w:rFonts w:ascii="Verdana" w:hAnsi="Verdana"/>
                <w:szCs w:val="22"/>
                <w:lang w:val="en-US"/>
              </w:rPr>
              <w:t>20</w:t>
            </w:r>
            <w:r>
              <w:rPr>
                <w:rFonts w:ascii="Verdana" w:hAnsi="Verdana"/>
                <w:szCs w:val="22"/>
                <w:lang w:val="en-US"/>
              </w:rPr>
              <w:t>,</w:t>
            </w:r>
            <w:r w:rsidRPr="00863F77">
              <w:rPr>
                <w:rFonts w:ascii="Verdana" w:hAnsi="Verdana"/>
                <w:szCs w:val="22"/>
                <w:lang w:val="en-US"/>
              </w:rPr>
              <w:t>416</w:t>
            </w:r>
            <w:r>
              <w:rPr>
                <w:rFonts w:ascii="Verdana" w:hAnsi="Verdana"/>
                <w:szCs w:val="22"/>
                <w:lang w:val="en-US"/>
              </w:rPr>
              <w:t>.</w:t>
            </w:r>
            <w:r w:rsidRPr="00863F77">
              <w:rPr>
                <w:rFonts w:ascii="Verdana" w:hAnsi="Verdana"/>
                <w:szCs w:val="22"/>
                <w:lang w:val="en-US"/>
              </w:rPr>
              <w:t>85</w:t>
            </w:r>
          </w:p>
        </w:tc>
        <w:tc>
          <w:tcPr>
            <w:tcW w:w="0" w:type="auto"/>
            <w:tcBorders>
              <w:left w:val="single" w:sz="4" w:space="0" w:color="auto"/>
              <w:right w:val="single" w:sz="4" w:space="0" w:color="4F81BD" w:themeColor="accent1"/>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sidRPr="00863F77">
              <w:rPr>
                <w:rFonts w:ascii="Verdana" w:hAnsi="Verdana"/>
                <w:szCs w:val="22"/>
                <w:lang w:val="en-US"/>
              </w:rPr>
              <w:t>350</w:t>
            </w:r>
            <w:r>
              <w:rPr>
                <w:rFonts w:ascii="Verdana" w:hAnsi="Verdana"/>
                <w:szCs w:val="22"/>
                <w:lang w:val="en-US"/>
              </w:rPr>
              <w:t>,</w:t>
            </w:r>
            <w:r w:rsidRPr="00863F77">
              <w:rPr>
                <w:rFonts w:ascii="Verdana" w:hAnsi="Verdana"/>
                <w:szCs w:val="22"/>
                <w:lang w:val="en-US"/>
              </w:rPr>
              <w:t>309</w:t>
            </w:r>
            <w:r>
              <w:rPr>
                <w:rFonts w:ascii="Verdana" w:hAnsi="Verdana"/>
                <w:szCs w:val="22"/>
                <w:lang w:val="en-US"/>
              </w:rPr>
              <w:t>.</w:t>
            </w:r>
            <w:r w:rsidRPr="00863F77">
              <w:rPr>
                <w:rFonts w:ascii="Verdana" w:hAnsi="Verdana"/>
                <w:szCs w:val="22"/>
                <w:lang w:val="en-US"/>
              </w:rPr>
              <w:t>27</w:t>
            </w:r>
          </w:p>
        </w:tc>
        <w:tc>
          <w:tcPr>
            <w:tcW w:w="0" w:type="auto"/>
            <w:tcBorders>
              <w:left w:val="single" w:sz="4" w:space="0" w:color="4F81BD" w:themeColor="accent1"/>
              <w:right w:val="single" w:sz="4" w:space="0" w:color="auto"/>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sidRPr="00863F77">
              <w:rPr>
                <w:rFonts w:ascii="Verdana" w:hAnsi="Verdana"/>
                <w:szCs w:val="22"/>
                <w:lang w:val="en-US"/>
              </w:rPr>
              <w:t>19</w:t>
            </w:r>
            <w:r>
              <w:rPr>
                <w:rFonts w:ascii="Verdana" w:hAnsi="Verdana"/>
                <w:szCs w:val="22"/>
                <w:lang w:val="en-US"/>
              </w:rPr>
              <w:t>,</w:t>
            </w:r>
            <w:r w:rsidRPr="00863F77">
              <w:rPr>
                <w:rFonts w:ascii="Verdana" w:hAnsi="Verdana"/>
                <w:szCs w:val="22"/>
                <w:lang w:val="en-US"/>
              </w:rPr>
              <w:t>056</w:t>
            </w:r>
            <w:r>
              <w:rPr>
                <w:rFonts w:ascii="Verdana" w:hAnsi="Verdana"/>
                <w:szCs w:val="22"/>
                <w:lang w:val="en-US"/>
              </w:rPr>
              <w:t>.</w:t>
            </w:r>
            <w:r w:rsidRPr="00863F77">
              <w:rPr>
                <w:rFonts w:ascii="Verdana" w:hAnsi="Verdana"/>
                <w:szCs w:val="22"/>
                <w:lang w:val="en-US"/>
              </w:rPr>
              <w:t>14</w:t>
            </w:r>
          </w:p>
        </w:tc>
        <w:tc>
          <w:tcPr>
            <w:tcW w:w="1901" w:type="dxa"/>
            <w:tcBorders>
              <w:left w:val="single" w:sz="4" w:space="0" w:color="auto"/>
            </w:tcBorders>
            <w:vAlign w:val="center"/>
          </w:tcPr>
          <w:p w:rsidR="004F4155" w:rsidRPr="00863F77" w:rsidRDefault="004F4155" w:rsidP="004F4155">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szCs w:val="22"/>
                <w:lang w:val="en-US"/>
              </w:rPr>
            </w:pPr>
            <w:r w:rsidRPr="00863F77">
              <w:rPr>
                <w:rFonts w:ascii="Verdana" w:hAnsi="Verdana"/>
                <w:szCs w:val="22"/>
                <w:lang w:val="en-US"/>
              </w:rPr>
              <w:t>341</w:t>
            </w:r>
            <w:r>
              <w:rPr>
                <w:rFonts w:ascii="Verdana" w:hAnsi="Verdana"/>
                <w:szCs w:val="22"/>
                <w:lang w:val="en-US"/>
              </w:rPr>
              <w:t>,</w:t>
            </w:r>
            <w:r w:rsidRPr="00863F77">
              <w:rPr>
                <w:rFonts w:ascii="Verdana" w:hAnsi="Verdana"/>
                <w:szCs w:val="22"/>
                <w:lang w:val="en-US"/>
              </w:rPr>
              <w:t>606</w:t>
            </w:r>
            <w:r>
              <w:rPr>
                <w:rFonts w:ascii="Verdana" w:hAnsi="Verdana"/>
                <w:szCs w:val="22"/>
                <w:lang w:val="en-US"/>
              </w:rPr>
              <w:t>.</w:t>
            </w:r>
            <w:r w:rsidRPr="00863F77">
              <w:rPr>
                <w:rFonts w:ascii="Verdana" w:hAnsi="Verdana"/>
                <w:szCs w:val="22"/>
                <w:lang w:val="en-US"/>
              </w:rPr>
              <w:t>97</w:t>
            </w:r>
          </w:p>
        </w:tc>
      </w:tr>
    </w:tbl>
    <w:p w:rsidR="004F4155" w:rsidRDefault="004F4155" w:rsidP="004F4155">
      <w:pPr>
        <w:spacing w:before="0" w:after="0" w:line="240" w:lineRule="auto"/>
        <w:jc w:val="left"/>
        <w:rPr>
          <w:lang w:val="en-US"/>
        </w:rPr>
      </w:pPr>
    </w:p>
    <w:p w:rsidR="004F4155" w:rsidRDefault="004F4155" w:rsidP="004F4155">
      <w:pPr>
        <w:spacing w:before="0" w:after="0" w:line="240" w:lineRule="auto"/>
        <w:jc w:val="left"/>
        <w:rPr>
          <w:lang w:val="en-US"/>
        </w:rPr>
      </w:pPr>
    </w:p>
    <w:p w:rsidR="004F4155" w:rsidRPr="00EA0C42" w:rsidRDefault="004F4155" w:rsidP="00A00BD4">
      <w:pPr>
        <w:pStyle w:val="Prrafodelista"/>
        <w:numPr>
          <w:ilvl w:val="0"/>
          <w:numId w:val="11"/>
        </w:numPr>
        <w:spacing w:before="0" w:after="0" w:line="240" w:lineRule="auto"/>
        <w:contextualSpacing w:val="0"/>
        <w:jc w:val="left"/>
        <w:rPr>
          <w:lang w:val="en-US"/>
        </w:rPr>
      </w:pPr>
      <w:r w:rsidRPr="00EA0C42">
        <w:rPr>
          <w:lang w:val="en-US"/>
        </w:rPr>
        <w:t>The TSOs’ balancing action defines the marginal price: number of days, spread with average users’ trades’ prices, etc.</w:t>
      </w:r>
    </w:p>
    <w:p w:rsidR="004F4155" w:rsidRPr="00EA0C42" w:rsidRDefault="004F4155" w:rsidP="004F4155">
      <w:pPr>
        <w:spacing w:before="0" w:after="0" w:line="240" w:lineRule="auto"/>
        <w:ind w:left="360" w:firstLine="348"/>
        <w:jc w:val="left"/>
        <w:rPr>
          <w:lang w:val="en-US"/>
        </w:rPr>
      </w:pPr>
      <w:r w:rsidRPr="00EA0C42">
        <w:rPr>
          <w:lang w:val="en-US"/>
        </w:rPr>
        <w:t>Number of days the TSOs´ buy balancing actions defines the marginal price: 21</w:t>
      </w:r>
    </w:p>
    <w:p w:rsidR="004F4155" w:rsidRPr="00EA0C42" w:rsidRDefault="004F4155" w:rsidP="004F4155">
      <w:pPr>
        <w:spacing w:before="0" w:after="0" w:line="240" w:lineRule="auto"/>
        <w:ind w:left="360" w:firstLine="348"/>
        <w:jc w:val="left"/>
        <w:rPr>
          <w:lang w:val="en-US"/>
        </w:rPr>
      </w:pPr>
      <w:r w:rsidRPr="00EA0C42">
        <w:rPr>
          <w:lang w:val="en-US"/>
        </w:rPr>
        <w:t>Number of days the TSOs´ sell balancing actions defines the marginal price: 3</w:t>
      </w:r>
    </w:p>
    <w:p w:rsidR="004F4155" w:rsidRDefault="004F4155" w:rsidP="004F4155">
      <w:pPr>
        <w:spacing w:before="0" w:after="0" w:line="240" w:lineRule="auto"/>
        <w:jc w:val="left"/>
        <w:rPr>
          <w:lang w:val="en-US"/>
        </w:rPr>
      </w:pPr>
    </w:p>
    <w:p w:rsidR="00CC53F9" w:rsidRPr="0082286C" w:rsidRDefault="00CC53F9" w:rsidP="004F4155">
      <w:pPr>
        <w:spacing w:before="0" w:after="0" w:line="240" w:lineRule="auto"/>
        <w:jc w:val="left"/>
        <w:rPr>
          <w:lang w:val="en-US"/>
        </w:rPr>
      </w:pPr>
    </w:p>
    <w:p w:rsidR="004F4155" w:rsidRPr="00863F77" w:rsidRDefault="004F4155" w:rsidP="004F4155">
      <w:pPr>
        <w:spacing w:before="0" w:after="0" w:line="240" w:lineRule="auto"/>
        <w:ind w:left="360"/>
        <w:jc w:val="center"/>
        <w:rPr>
          <w:color w:val="5981BD"/>
          <w:lang w:val="en-US"/>
        </w:rPr>
      </w:pPr>
      <w:r>
        <w:rPr>
          <w:noProof/>
          <w:color w:val="5981BD"/>
          <w:lang w:val="es-ES" w:eastAsia="es-ES"/>
        </w:rPr>
        <w:drawing>
          <wp:inline distT="0" distB="0" distL="0" distR="0" wp14:anchorId="5FA75AA8" wp14:editId="324DD74B">
            <wp:extent cx="5410200" cy="2887980"/>
            <wp:effectExtent l="0" t="0" r="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0200" cy="2887980"/>
                    </a:xfrm>
                    <a:prstGeom prst="rect">
                      <a:avLst/>
                    </a:prstGeom>
                    <a:noFill/>
                  </pic:spPr>
                </pic:pic>
              </a:graphicData>
            </a:graphic>
          </wp:inline>
        </w:drawing>
      </w:r>
    </w:p>
    <w:p w:rsidR="004F4155" w:rsidRDefault="004F4155" w:rsidP="004F4155">
      <w:pPr>
        <w:spacing w:before="0" w:after="0" w:line="240" w:lineRule="auto"/>
        <w:ind w:left="360"/>
        <w:jc w:val="left"/>
        <w:rPr>
          <w:color w:val="5981BD"/>
          <w:lang w:val="en-US"/>
        </w:rPr>
      </w:pPr>
    </w:p>
    <w:p w:rsidR="00CC53F9" w:rsidRPr="00863F77" w:rsidRDefault="00CC53F9" w:rsidP="004F4155">
      <w:pPr>
        <w:spacing w:before="0" w:after="0" w:line="240" w:lineRule="auto"/>
        <w:ind w:left="360"/>
        <w:jc w:val="left"/>
        <w:rPr>
          <w:color w:val="5981BD"/>
          <w:lang w:val="en-US"/>
        </w:rPr>
      </w:pPr>
    </w:p>
    <w:p w:rsidR="004F4155" w:rsidRPr="00EA0C42" w:rsidRDefault="004F4155" w:rsidP="00A00BD4">
      <w:pPr>
        <w:pStyle w:val="Prrafodelista"/>
        <w:numPr>
          <w:ilvl w:val="0"/>
          <w:numId w:val="11"/>
        </w:numPr>
        <w:spacing w:before="0" w:after="0" w:line="240" w:lineRule="auto"/>
        <w:contextualSpacing w:val="0"/>
        <w:rPr>
          <w:lang w:val="en-US"/>
        </w:rPr>
      </w:pPr>
      <w:r w:rsidRPr="00EA0C42">
        <w:rPr>
          <w:lang w:val="en-US"/>
        </w:rPr>
        <w:t>Main reasons for balancing actions</w:t>
      </w:r>
    </w:p>
    <w:p w:rsidR="004F4155" w:rsidRPr="00EA0C42" w:rsidRDefault="004F4155" w:rsidP="004F4155">
      <w:pPr>
        <w:pStyle w:val="Prrafodelista"/>
        <w:spacing w:before="0" w:after="0" w:line="240" w:lineRule="auto"/>
        <w:contextualSpacing w:val="0"/>
        <w:rPr>
          <w:lang w:val="en-US"/>
        </w:rPr>
      </w:pPr>
    </w:p>
    <w:p w:rsidR="004F4155" w:rsidRPr="00EA0C42" w:rsidRDefault="004F4155" w:rsidP="004F4155">
      <w:pPr>
        <w:spacing w:before="0" w:after="0" w:line="240" w:lineRule="auto"/>
        <w:ind w:left="720"/>
        <w:rPr>
          <w:lang w:val="en-US"/>
        </w:rPr>
      </w:pPr>
      <w:r w:rsidRPr="00EA0C42">
        <w:rPr>
          <w:lang w:val="en-US"/>
        </w:rPr>
        <w:t>The transmission network aggregated imbalance (DQA)</w:t>
      </w:r>
      <w:r w:rsidR="00CC53F9">
        <w:rPr>
          <w:lang w:val="en-US"/>
        </w:rPr>
        <w:t>, calculated according to users’ nominations for the gas day,</w:t>
      </w:r>
      <w:r w:rsidRPr="00EA0C42">
        <w:rPr>
          <w:lang w:val="en-US"/>
        </w:rPr>
        <w:t xml:space="preserve"> at the begining of the gas day was located into the Monitoring or the Alert Band. Into the Monitoring Band, the balancing action execution has taken into account:</w:t>
      </w:r>
    </w:p>
    <w:p w:rsidR="004F4155" w:rsidRPr="00EA0C42" w:rsidRDefault="004F4155" w:rsidP="004F4155">
      <w:pPr>
        <w:spacing w:before="0" w:after="0" w:line="240" w:lineRule="auto"/>
        <w:ind w:left="1056"/>
        <w:rPr>
          <w:lang w:val="en-US"/>
        </w:rPr>
      </w:pPr>
    </w:p>
    <w:p w:rsidR="004F4155" w:rsidRPr="00EA0C42" w:rsidRDefault="004F4155" w:rsidP="004F4155">
      <w:pPr>
        <w:spacing w:before="0" w:after="0" w:line="240" w:lineRule="auto"/>
        <w:ind w:left="1056"/>
        <w:rPr>
          <w:lang w:val="en-US"/>
        </w:rPr>
      </w:pPr>
      <w:r w:rsidRPr="00EA0C42">
        <w:rPr>
          <w:lang w:val="en-US"/>
        </w:rPr>
        <w:t xml:space="preserve">   • The linepack.</w:t>
      </w:r>
    </w:p>
    <w:p w:rsidR="004F4155" w:rsidRPr="00EA0C42" w:rsidRDefault="004F4155" w:rsidP="004F4155">
      <w:pPr>
        <w:spacing w:before="0" w:after="0" w:line="240" w:lineRule="auto"/>
        <w:ind w:left="1056"/>
        <w:rPr>
          <w:lang w:val="en-US"/>
        </w:rPr>
      </w:pPr>
      <w:r w:rsidRPr="00EA0C42">
        <w:rPr>
          <w:lang w:val="en-US"/>
        </w:rPr>
        <w:t xml:space="preserve">   • The forecast of future evolution of linepack.</w:t>
      </w:r>
    </w:p>
    <w:p w:rsidR="004F4155" w:rsidRPr="00EA0C42" w:rsidRDefault="004F4155" w:rsidP="004F4155">
      <w:pPr>
        <w:spacing w:before="0" w:after="0" w:line="240" w:lineRule="auto"/>
        <w:ind w:left="1056"/>
        <w:rPr>
          <w:lang w:val="en-US"/>
        </w:rPr>
      </w:pPr>
      <w:r w:rsidRPr="00EA0C42">
        <w:rPr>
          <w:lang w:val="en-US"/>
        </w:rPr>
        <w:t xml:space="preserve">   • The liquidity and the gas prices at </w:t>
      </w:r>
      <w:r w:rsidR="00CC53F9">
        <w:rPr>
          <w:lang w:val="en-US"/>
        </w:rPr>
        <w:t>the o</w:t>
      </w:r>
      <w:r w:rsidRPr="00EA0C42">
        <w:rPr>
          <w:lang w:val="en-US"/>
        </w:rPr>
        <w:t xml:space="preserve">rganised </w:t>
      </w:r>
      <w:r w:rsidR="00CC53F9">
        <w:rPr>
          <w:lang w:val="en-US"/>
        </w:rPr>
        <w:t>g</w:t>
      </w:r>
      <w:r w:rsidRPr="00EA0C42">
        <w:rPr>
          <w:lang w:val="en-US"/>
        </w:rPr>
        <w:t xml:space="preserve">as </w:t>
      </w:r>
      <w:r w:rsidR="00CC53F9">
        <w:rPr>
          <w:lang w:val="en-US"/>
        </w:rPr>
        <w:t>m</w:t>
      </w:r>
      <w:r w:rsidRPr="00EA0C42">
        <w:rPr>
          <w:lang w:val="en-US"/>
        </w:rPr>
        <w:t>arket.</w:t>
      </w:r>
    </w:p>
    <w:p w:rsidR="004F4155" w:rsidRPr="00EA0C42" w:rsidRDefault="004F4155" w:rsidP="004F4155">
      <w:pPr>
        <w:spacing w:before="0" w:after="0" w:line="240" w:lineRule="auto"/>
        <w:ind w:left="1056"/>
        <w:rPr>
          <w:lang w:val="en-US"/>
        </w:rPr>
      </w:pPr>
    </w:p>
    <w:p w:rsidR="004F4155" w:rsidRPr="00EA0C42" w:rsidRDefault="004F4155" w:rsidP="00A00BD4">
      <w:pPr>
        <w:pStyle w:val="Prrafodelista"/>
        <w:numPr>
          <w:ilvl w:val="0"/>
          <w:numId w:val="11"/>
        </w:numPr>
        <w:spacing w:before="0" w:after="0" w:line="240" w:lineRule="auto"/>
        <w:contextualSpacing w:val="0"/>
        <w:rPr>
          <w:lang w:val="en-US"/>
        </w:rPr>
      </w:pPr>
      <w:r w:rsidRPr="00EA0C42">
        <w:rPr>
          <w:lang w:val="en-US"/>
        </w:rPr>
        <w:t>Use of balancing services: description of the balancing services, reason of its necessity, quantities and cost involved, number of occasions that it has been used a</w:t>
      </w:r>
      <w:r w:rsidR="00036054">
        <w:rPr>
          <w:lang w:val="en-US"/>
        </w:rPr>
        <w:t>n</w:t>
      </w:r>
      <w:r w:rsidRPr="00EA0C42">
        <w:rPr>
          <w:lang w:val="en-US"/>
        </w:rPr>
        <w:t xml:space="preserve">d reasons for its use. </w:t>
      </w:r>
    </w:p>
    <w:p w:rsidR="004F4155" w:rsidRPr="00EA0C42" w:rsidRDefault="004F4155" w:rsidP="004F4155">
      <w:pPr>
        <w:spacing w:before="0" w:after="0" w:line="240" w:lineRule="auto"/>
        <w:ind w:left="360"/>
        <w:rPr>
          <w:lang w:val="en-US"/>
        </w:rPr>
      </w:pPr>
    </w:p>
    <w:p w:rsidR="004F4155" w:rsidRPr="00EA0C42" w:rsidRDefault="004F4155" w:rsidP="004F4155">
      <w:pPr>
        <w:spacing w:before="0" w:after="0" w:line="240" w:lineRule="auto"/>
        <w:ind w:left="708"/>
        <w:rPr>
          <w:lang w:val="en-US"/>
        </w:rPr>
      </w:pPr>
      <w:r w:rsidRPr="00EA0C42">
        <w:rPr>
          <w:lang w:val="en-US"/>
        </w:rPr>
        <w:t xml:space="preserve">Balancing services </w:t>
      </w:r>
      <w:r w:rsidR="00036054">
        <w:rPr>
          <w:lang w:val="en-US"/>
        </w:rPr>
        <w:t>were</w:t>
      </w:r>
      <w:r w:rsidRPr="00EA0C42">
        <w:rPr>
          <w:lang w:val="en-US"/>
        </w:rPr>
        <w:t xml:space="preserve"> not </w:t>
      </w:r>
      <w:r w:rsidR="00CC53F9">
        <w:rPr>
          <w:lang w:val="en-US"/>
        </w:rPr>
        <w:t xml:space="preserve">considered necessary and therefore, not </w:t>
      </w:r>
      <w:r w:rsidRPr="00EA0C42">
        <w:rPr>
          <w:lang w:val="en-US"/>
        </w:rPr>
        <w:t>provided</w:t>
      </w:r>
      <w:r w:rsidR="00CC53F9">
        <w:rPr>
          <w:lang w:val="en-US"/>
        </w:rPr>
        <w:t>.</w:t>
      </w:r>
    </w:p>
    <w:p w:rsidR="004F4155" w:rsidRPr="00EA0C42" w:rsidRDefault="004F4155" w:rsidP="004F4155">
      <w:pPr>
        <w:spacing w:before="0" w:after="0" w:line="240" w:lineRule="auto"/>
        <w:rPr>
          <w:lang w:val="en-US"/>
        </w:rPr>
      </w:pPr>
    </w:p>
    <w:p w:rsidR="004F4155" w:rsidRPr="00EA0C42" w:rsidRDefault="004F4155" w:rsidP="00A00BD4">
      <w:pPr>
        <w:pStyle w:val="Prrafodelista"/>
        <w:numPr>
          <w:ilvl w:val="0"/>
          <w:numId w:val="11"/>
        </w:numPr>
        <w:spacing w:before="0" w:after="0" w:line="240" w:lineRule="auto"/>
        <w:contextualSpacing w:val="0"/>
        <w:rPr>
          <w:lang w:val="en-US"/>
        </w:rPr>
      </w:pPr>
      <w:r w:rsidRPr="00EA0C42">
        <w:rPr>
          <w:lang w:val="en-US"/>
        </w:rPr>
        <w:t>Information provided to users:</w:t>
      </w:r>
    </w:p>
    <w:p w:rsidR="004F4155" w:rsidRPr="00EA0C42" w:rsidRDefault="004F4155" w:rsidP="004F4155">
      <w:pPr>
        <w:pStyle w:val="Prrafodelista"/>
        <w:spacing w:before="0" w:after="0" w:line="240" w:lineRule="auto"/>
        <w:contextualSpacing w:val="0"/>
        <w:rPr>
          <w:lang w:val="en-US"/>
        </w:rPr>
      </w:pPr>
    </w:p>
    <w:p w:rsidR="004F4155" w:rsidRPr="00EA0C42" w:rsidRDefault="004F4155" w:rsidP="004F4155">
      <w:pPr>
        <w:spacing w:before="0" w:after="0" w:line="240" w:lineRule="auto"/>
        <w:ind w:left="708"/>
        <w:rPr>
          <w:lang w:val="en-US"/>
        </w:rPr>
      </w:pPr>
      <w:r w:rsidRPr="00EA0C42">
        <w:rPr>
          <w:lang w:val="en-US"/>
        </w:rPr>
        <w:t>- Network Imbalance Index (IDQ): Network’s aggregated imbalance forecast at the end of the current gas day.</w:t>
      </w:r>
    </w:p>
    <w:p w:rsidR="004F4155" w:rsidRPr="00EA0C42" w:rsidRDefault="004F4155" w:rsidP="004F4155">
      <w:pPr>
        <w:spacing w:before="0" w:after="0" w:line="240" w:lineRule="auto"/>
        <w:ind w:left="708"/>
        <w:rPr>
          <w:lang w:val="en-US"/>
        </w:rPr>
      </w:pPr>
      <w:r w:rsidRPr="00EA0C42">
        <w:rPr>
          <w:lang w:val="en-US"/>
        </w:rPr>
        <w:t>- Daily Projected Closing Imbalance (DBP): Network users’ daily imbalance forecast at the end of the current gas day.</w:t>
      </w:r>
    </w:p>
    <w:p w:rsidR="004F4155" w:rsidRPr="00EA0C42" w:rsidRDefault="004F4155" w:rsidP="004F4155">
      <w:pPr>
        <w:spacing w:before="0" w:after="0" w:line="240" w:lineRule="auto"/>
        <w:ind w:left="708"/>
        <w:rPr>
          <w:lang w:val="en-US"/>
        </w:rPr>
      </w:pPr>
      <w:r w:rsidRPr="00EA0C42">
        <w:rPr>
          <w:lang w:val="en-US"/>
        </w:rPr>
        <w:t>- Network’s Estimated Aggregated Imbalance (DQA): Last update of the network’s aggregated imbalance previous to the beginning of the current gas day.</w:t>
      </w:r>
    </w:p>
    <w:p w:rsidR="004F4155" w:rsidRPr="00EA0C42" w:rsidRDefault="004F4155" w:rsidP="004F4155">
      <w:pPr>
        <w:spacing w:before="0" w:after="0" w:line="240" w:lineRule="auto"/>
        <w:ind w:left="708"/>
        <w:rPr>
          <w:lang w:val="en-US"/>
        </w:rPr>
      </w:pPr>
      <w:r w:rsidRPr="00EA0C42">
        <w:rPr>
          <w:lang w:val="en-US"/>
        </w:rPr>
        <w:t>- Information about the Technical Manager of the Gas System balancing actions: Quantity, Cost, Average Price, Min. Price, Max. Price, Justification</w:t>
      </w:r>
    </w:p>
    <w:p w:rsidR="004F4155" w:rsidRPr="00EA0C42" w:rsidRDefault="004F4155" w:rsidP="004F4155">
      <w:pPr>
        <w:pStyle w:val="Prrafodelista"/>
        <w:spacing w:before="0" w:after="0" w:line="240" w:lineRule="auto"/>
        <w:contextualSpacing w:val="0"/>
        <w:rPr>
          <w:lang w:val="en-US"/>
        </w:rPr>
      </w:pPr>
    </w:p>
    <w:p w:rsidR="004F4155" w:rsidRPr="00EA0C42" w:rsidRDefault="004F4155" w:rsidP="00A00BD4">
      <w:pPr>
        <w:pStyle w:val="Prrafodelista"/>
        <w:numPr>
          <w:ilvl w:val="0"/>
          <w:numId w:val="11"/>
        </w:numPr>
        <w:spacing w:before="0" w:after="0" w:line="240" w:lineRule="auto"/>
        <w:contextualSpacing w:val="0"/>
        <w:rPr>
          <w:lang w:val="en-US"/>
        </w:rPr>
      </w:pPr>
      <w:r w:rsidRPr="00EA0C42">
        <w:rPr>
          <w:lang w:val="en-US"/>
        </w:rPr>
        <w:t>Conclusions that can be drawn from the figures (e.g. potential for cross-border balancing actions).</w:t>
      </w:r>
    </w:p>
    <w:p w:rsidR="004F4155" w:rsidRPr="00EA0C42" w:rsidRDefault="004F4155" w:rsidP="004F4155">
      <w:pPr>
        <w:spacing w:before="0" w:after="0" w:line="240" w:lineRule="auto"/>
        <w:rPr>
          <w:lang w:val="en-US"/>
        </w:rPr>
      </w:pPr>
    </w:p>
    <w:p w:rsidR="004F4155" w:rsidRPr="00EA0C42" w:rsidRDefault="004F4155" w:rsidP="004F4155">
      <w:pPr>
        <w:spacing w:before="0" w:after="0" w:line="240" w:lineRule="auto"/>
        <w:ind w:left="708"/>
        <w:rPr>
          <w:lang w:val="en-US"/>
        </w:rPr>
      </w:pPr>
      <w:r w:rsidRPr="00EA0C42">
        <w:rPr>
          <w:lang w:val="en-US"/>
        </w:rPr>
        <w:t>The number and the volume of sell balancing actions is around the 27% of the buy balancing actions.</w:t>
      </w:r>
    </w:p>
    <w:p w:rsidR="00FC4853" w:rsidRDefault="00FC4853" w:rsidP="00FC4853">
      <w:pPr>
        <w:spacing w:before="0" w:after="0" w:line="240" w:lineRule="auto"/>
        <w:rPr>
          <w:lang w:val="en-US"/>
        </w:rPr>
      </w:pPr>
    </w:p>
    <w:p w:rsidR="00FC4853" w:rsidRPr="00FC4853" w:rsidRDefault="00FC4853" w:rsidP="00FC4853">
      <w:pPr>
        <w:spacing w:before="0" w:after="0" w:line="240" w:lineRule="auto"/>
        <w:rPr>
          <w:b/>
          <w:lang w:val="en-US"/>
        </w:rPr>
      </w:pPr>
      <w:r w:rsidRPr="00FC4853">
        <w:rPr>
          <w:b/>
          <w:lang w:val="en-US"/>
        </w:rPr>
        <w:t>FRANCE</w:t>
      </w:r>
    </w:p>
    <w:p w:rsidR="00CC53F9" w:rsidRPr="00041A0A" w:rsidRDefault="00036054" w:rsidP="00036054">
      <w:pPr>
        <w:rPr>
          <w:lang w:val="en-US"/>
        </w:rPr>
      </w:pPr>
      <w:r>
        <w:rPr>
          <w:lang w:val="en-US"/>
        </w:rPr>
        <w:t>Period from October 2015 to October 2017:</w:t>
      </w:r>
    </w:p>
    <w:p w:rsidR="00036054" w:rsidRDefault="00036054" w:rsidP="00036054">
      <w:pPr>
        <w:pStyle w:val="Prrafodelista"/>
        <w:numPr>
          <w:ilvl w:val="0"/>
          <w:numId w:val="26"/>
        </w:numPr>
        <w:rPr>
          <w:lang w:val="en-US"/>
        </w:rPr>
      </w:pPr>
      <w:r w:rsidRPr="00E12FB0">
        <w:rPr>
          <w:lang w:val="en-US"/>
        </w:rPr>
        <w:t xml:space="preserve">Sum up of </w:t>
      </w:r>
      <w:r>
        <w:rPr>
          <w:lang w:val="en-US"/>
        </w:rPr>
        <w:t xml:space="preserve">the 23 buying </w:t>
      </w:r>
      <w:r w:rsidRPr="00E12FB0">
        <w:rPr>
          <w:lang w:val="en-US"/>
        </w:rPr>
        <w:t>interventions on PEGAS platform;</w:t>
      </w:r>
      <w:r w:rsidR="00CC53F9">
        <w:rPr>
          <w:lang w:val="en-US"/>
        </w:rPr>
        <w:t xml:space="preserve"> </w:t>
      </w:r>
    </w:p>
    <w:tbl>
      <w:tblPr>
        <w:tblW w:w="8926" w:type="dxa"/>
        <w:tblCellMar>
          <w:left w:w="70" w:type="dxa"/>
          <w:right w:w="70" w:type="dxa"/>
        </w:tblCellMar>
        <w:tblLook w:val="04A0" w:firstRow="1" w:lastRow="0" w:firstColumn="1" w:lastColumn="0" w:noHBand="0" w:noVBand="1"/>
      </w:tblPr>
      <w:tblGrid>
        <w:gridCol w:w="1960"/>
        <w:gridCol w:w="4556"/>
        <w:gridCol w:w="2410"/>
      </w:tblGrid>
      <w:tr w:rsidR="00036054" w:rsidRPr="005B5CA2" w:rsidTr="00036054">
        <w:trPr>
          <w:trHeight w:val="288"/>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Pr>
                <w:rFonts w:ascii="Calibri" w:hAnsi="Calibri"/>
                <w:color w:val="000000"/>
                <w:szCs w:val="22"/>
              </w:rPr>
              <w:t>Oct</w:t>
            </w:r>
            <w:r w:rsidRPr="005B5CA2">
              <w:rPr>
                <w:rFonts w:ascii="Calibri" w:hAnsi="Calibri"/>
                <w:color w:val="000000"/>
                <w:szCs w:val="22"/>
              </w:rPr>
              <w:t>2015-</w:t>
            </w:r>
            <w:r>
              <w:rPr>
                <w:rFonts w:ascii="Calibri" w:hAnsi="Calibri"/>
                <w:color w:val="000000"/>
                <w:szCs w:val="22"/>
              </w:rPr>
              <w:t>Oct</w:t>
            </w:r>
            <w:r w:rsidRPr="005B5CA2">
              <w:rPr>
                <w:rFonts w:ascii="Calibri" w:hAnsi="Calibri"/>
                <w:color w:val="000000"/>
                <w:szCs w:val="22"/>
              </w:rPr>
              <w:t>2016</w:t>
            </w:r>
          </w:p>
        </w:tc>
        <w:tc>
          <w:tcPr>
            <w:tcW w:w="4556" w:type="dxa"/>
            <w:tcBorders>
              <w:top w:val="single" w:sz="4" w:space="0" w:color="auto"/>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19</w:t>
            </w:r>
            <w:r w:rsidR="00CC53F9">
              <w:rPr>
                <w:rFonts w:ascii="Calibri" w:hAnsi="Calibri"/>
                <w:color w:val="000000"/>
                <w:szCs w:val="22"/>
              </w:rPr>
              <w:t>,</w:t>
            </w:r>
            <w:r w:rsidRPr="005B5CA2">
              <w:rPr>
                <w:rFonts w:ascii="Calibri" w:hAnsi="Calibri"/>
                <w:color w:val="000000"/>
                <w:szCs w:val="22"/>
              </w:rPr>
              <w:t>500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MWh 25°C</w:t>
            </w:r>
          </w:p>
        </w:tc>
      </w:tr>
      <w:tr w:rsidR="00036054" w:rsidRPr="005B5CA2" w:rsidTr="00036054">
        <w:trPr>
          <w:trHeight w:val="288"/>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Pr>
                <w:rFonts w:ascii="Calibri" w:hAnsi="Calibri"/>
                <w:color w:val="000000"/>
                <w:szCs w:val="22"/>
              </w:rPr>
              <w:t>Oct</w:t>
            </w:r>
            <w:r w:rsidRPr="005B5CA2">
              <w:rPr>
                <w:rFonts w:ascii="Calibri" w:hAnsi="Calibri"/>
                <w:color w:val="000000"/>
                <w:szCs w:val="22"/>
              </w:rPr>
              <w:t>2016-</w:t>
            </w:r>
            <w:r>
              <w:rPr>
                <w:rFonts w:ascii="Calibri" w:hAnsi="Calibri"/>
                <w:color w:val="000000"/>
                <w:szCs w:val="22"/>
              </w:rPr>
              <w:t>Oct</w:t>
            </w:r>
            <w:r w:rsidRPr="005B5CA2">
              <w:rPr>
                <w:rFonts w:ascii="Calibri" w:hAnsi="Calibri"/>
                <w:color w:val="000000"/>
                <w:szCs w:val="22"/>
              </w:rPr>
              <w:t>2017</w:t>
            </w:r>
          </w:p>
        </w:tc>
        <w:tc>
          <w:tcPr>
            <w:tcW w:w="4556" w:type="dxa"/>
            <w:tcBorders>
              <w:top w:val="nil"/>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17</w:t>
            </w:r>
            <w:r w:rsidR="00CC53F9">
              <w:rPr>
                <w:rFonts w:ascii="Calibri" w:hAnsi="Calibri"/>
                <w:color w:val="000000"/>
                <w:szCs w:val="22"/>
              </w:rPr>
              <w:t>,</w:t>
            </w:r>
            <w:r w:rsidRPr="005B5CA2">
              <w:rPr>
                <w:rFonts w:ascii="Calibri" w:hAnsi="Calibri"/>
                <w:color w:val="000000"/>
                <w:szCs w:val="22"/>
              </w:rPr>
              <w:t>930</w:t>
            </w:r>
          </w:p>
        </w:tc>
        <w:tc>
          <w:tcPr>
            <w:tcW w:w="2410" w:type="dxa"/>
            <w:tcBorders>
              <w:top w:val="nil"/>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MWh 25°C</w:t>
            </w:r>
          </w:p>
        </w:tc>
      </w:tr>
      <w:tr w:rsidR="00036054" w:rsidRPr="005B5CA2" w:rsidTr="00036054">
        <w:trPr>
          <w:trHeight w:val="288"/>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Total</w:t>
            </w:r>
          </w:p>
        </w:tc>
        <w:tc>
          <w:tcPr>
            <w:tcW w:w="4556" w:type="dxa"/>
            <w:tcBorders>
              <w:top w:val="nil"/>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b/>
                <w:bCs/>
                <w:color w:val="000000"/>
                <w:szCs w:val="22"/>
              </w:rPr>
            </w:pPr>
            <w:r w:rsidRPr="005B5CA2">
              <w:rPr>
                <w:rFonts w:ascii="Calibri" w:hAnsi="Calibri"/>
                <w:b/>
                <w:bCs/>
                <w:color w:val="000000"/>
                <w:szCs w:val="22"/>
              </w:rPr>
              <w:t>37</w:t>
            </w:r>
            <w:r w:rsidR="00CC53F9">
              <w:rPr>
                <w:rFonts w:ascii="Calibri" w:hAnsi="Calibri"/>
                <w:b/>
                <w:bCs/>
                <w:color w:val="000000"/>
                <w:szCs w:val="22"/>
              </w:rPr>
              <w:t>,</w:t>
            </w:r>
            <w:r w:rsidRPr="005B5CA2">
              <w:rPr>
                <w:rFonts w:ascii="Calibri" w:hAnsi="Calibri"/>
                <w:b/>
                <w:bCs/>
                <w:color w:val="000000"/>
                <w:szCs w:val="22"/>
              </w:rPr>
              <w:t>430</w:t>
            </w:r>
          </w:p>
        </w:tc>
        <w:tc>
          <w:tcPr>
            <w:tcW w:w="2410" w:type="dxa"/>
            <w:tcBorders>
              <w:top w:val="nil"/>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MWh 25°C</w:t>
            </w:r>
          </w:p>
        </w:tc>
      </w:tr>
    </w:tbl>
    <w:p w:rsidR="00036054" w:rsidRPr="00957C2A" w:rsidRDefault="00036054" w:rsidP="00036054">
      <w:pPr>
        <w:rPr>
          <w:lang w:val="en-US"/>
        </w:rPr>
      </w:pPr>
    </w:p>
    <w:p w:rsidR="00036054" w:rsidRDefault="00036054" w:rsidP="00FC4853">
      <w:pPr>
        <w:spacing w:before="0" w:after="0" w:line="240" w:lineRule="auto"/>
        <w:rPr>
          <w:b/>
          <w:lang w:val="en-US"/>
        </w:rPr>
      </w:pPr>
    </w:p>
    <w:p w:rsidR="00036054" w:rsidRDefault="00036054" w:rsidP="00036054">
      <w:pPr>
        <w:jc w:val="center"/>
        <w:rPr>
          <w:lang w:val="en-US"/>
        </w:rPr>
      </w:pPr>
      <w:r>
        <w:rPr>
          <w:noProof/>
          <w:lang w:val="es-ES" w:eastAsia="es-ES"/>
        </w:rPr>
        <w:drawing>
          <wp:inline distT="0" distB="0" distL="0" distR="0" wp14:anchorId="6F49202D" wp14:editId="63644692">
            <wp:extent cx="5664917" cy="3409950"/>
            <wp:effectExtent l="0" t="0" r="0" b="0"/>
            <wp:docPr id="1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3833" cy="3415317"/>
                    </a:xfrm>
                    <a:prstGeom prst="rect">
                      <a:avLst/>
                    </a:prstGeom>
                    <a:noFill/>
                  </pic:spPr>
                </pic:pic>
              </a:graphicData>
            </a:graphic>
          </wp:inline>
        </w:drawing>
      </w:r>
    </w:p>
    <w:p w:rsidR="00CC53F9" w:rsidRDefault="00CC53F9" w:rsidP="00036054">
      <w:pPr>
        <w:jc w:val="center"/>
        <w:rPr>
          <w:lang w:val="en-US"/>
        </w:rPr>
      </w:pPr>
    </w:p>
    <w:p w:rsidR="00036054" w:rsidRDefault="00036054" w:rsidP="00036054">
      <w:pPr>
        <w:pStyle w:val="Prrafodelista"/>
        <w:numPr>
          <w:ilvl w:val="0"/>
          <w:numId w:val="26"/>
        </w:numPr>
        <w:rPr>
          <w:lang w:val="en-US"/>
        </w:rPr>
      </w:pPr>
      <w:r w:rsidRPr="00106449">
        <w:rPr>
          <w:lang w:val="en-US"/>
        </w:rPr>
        <w:t xml:space="preserve">Sum up of </w:t>
      </w:r>
      <w:r>
        <w:rPr>
          <w:lang w:val="en-US"/>
        </w:rPr>
        <w:t xml:space="preserve">the 116 selling </w:t>
      </w:r>
      <w:r w:rsidRPr="00106449">
        <w:rPr>
          <w:lang w:val="en-US"/>
        </w:rPr>
        <w:t>interventions on PEGAS platform;</w:t>
      </w:r>
    </w:p>
    <w:tbl>
      <w:tblPr>
        <w:tblW w:w="8926" w:type="dxa"/>
        <w:tblCellMar>
          <w:left w:w="70" w:type="dxa"/>
          <w:right w:w="70" w:type="dxa"/>
        </w:tblCellMar>
        <w:tblLook w:val="04A0" w:firstRow="1" w:lastRow="0" w:firstColumn="1" w:lastColumn="0" w:noHBand="0" w:noVBand="1"/>
      </w:tblPr>
      <w:tblGrid>
        <w:gridCol w:w="1960"/>
        <w:gridCol w:w="5280"/>
        <w:gridCol w:w="1686"/>
      </w:tblGrid>
      <w:tr w:rsidR="00036054" w:rsidRPr="005B5CA2" w:rsidTr="00036054">
        <w:trPr>
          <w:trHeight w:val="288"/>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Pr>
                <w:rFonts w:ascii="Calibri" w:hAnsi="Calibri"/>
                <w:color w:val="000000"/>
                <w:szCs w:val="22"/>
              </w:rPr>
              <w:t>Oct</w:t>
            </w:r>
            <w:r w:rsidRPr="005B5CA2">
              <w:rPr>
                <w:rFonts w:ascii="Calibri" w:hAnsi="Calibri"/>
                <w:color w:val="000000"/>
                <w:szCs w:val="22"/>
              </w:rPr>
              <w:t>2015-</w:t>
            </w:r>
            <w:r>
              <w:rPr>
                <w:rFonts w:ascii="Calibri" w:hAnsi="Calibri"/>
                <w:color w:val="000000"/>
                <w:szCs w:val="22"/>
              </w:rPr>
              <w:t>Oct</w:t>
            </w:r>
            <w:r w:rsidRPr="005B5CA2">
              <w:rPr>
                <w:rFonts w:ascii="Calibri" w:hAnsi="Calibri"/>
                <w:color w:val="000000"/>
                <w:szCs w:val="22"/>
              </w:rPr>
              <w:t>2016</w:t>
            </w:r>
          </w:p>
        </w:tc>
        <w:tc>
          <w:tcPr>
            <w:tcW w:w="5280" w:type="dxa"/>
            <w:tcBorders>
              <w:top w:val="single" w:sz="4" w:space="0" w:color="auto"/>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149</w:t>
            </w:r>
            <w:r w:rsidR="00CC53F9">
              <w:rPr>
                <w:rFonts w:ascii="Calibri" w:hAnsi="Calibri"/>
                <w:color w:val="000000"/>
                <w:szCs w:val="22"/>
              </w:rPr>
              <w:t>,</w:t>
            </w:r>
            <w:r w:rsidRPr="005B5CA2">
              <w:rPr>
                <w:rFonts w:ascii="Calibri" w:hAnsi="Calibri"/>
                <w:color w:val="000000"/>
                <w:szCs w:val="22"/>
              </w:rPr>
              <w:t>940</w:t>
            </w:r>
            <w:r w:rsidR="00CC53F9">
              <w:rPr>
                <w:rFonts w:ascii="Calibri" w:hAnsi="Calibri"/>
                <w:color w:val="000000"/>
                <w:szCs w:val="22"/>
              </w:rPr>
              <w:t>.</w:t>
            </w:r>
            <w:r w:rsidRPr="005B5CA2">
              <w:rPr>
                <w:rFonts w:ascii="Calibri" w:hAnsi="Calibri"/>
                <w:color w:val="000000"/>
                <w:szCs w:val="22"/>
              </w:rPr>
              <w:t>4</w:t>
            </w:r>
          </w:p>
        </w:tc>
        <w:tc>
          <w:tcPr>
            <w:tcW w:w="1686" w:type="dxa"/>
            <w:tcBorders>
              <w:top w:val="single" w:sz="4" w:space="0" w:color="auto"/>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MWh 25°C</w:t>
            </w:r>
          </w:p>
        </w:tc>
      </w:tr>
      <w:tr w:rsidR="00036054" w:rsidRPr="005B5CA2" w:rsidTr="00036054">
        <w:trPr>
          <w:trHeight w:val="288"/>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Pr>
                <w:rFonts w:ascii="Calibri" w:hAnsi="Calibri"/>
                <w:color w:val="000000"/>
                <w:szCs w:val="22"/>
              </w:rPr>
              <w:t>Oct</w:t>
            </w:r>
            <w:r w:rsidRPr="005B5CA2">
              <w:rPr>
                <w:rFonts w:ascii="Calibri" w:hAnsi="Calibri"/>
                <w:color w:val="000000"/>
                <w:szCs w:val="22"/>
              </w:rPr>
              <w:t>2016-</w:t>
            </w:r>
            <w:r>
              <w:rPr>
                <w:rFonts w:ascii="Calibri" w:hAnsi="Calibri"/>
                <w:color w:val="000000"/>
                <w:szCs w:val="22"/>
              </w:rPr>
              <w:t>Oct</w:t>
            </w:r>
            <w:r w:rsidRPr="005B5CA2">
              <w:rPr>
                <w:rFonts w:ascii="Calibri" w:hAnsi="Calibri"/>
                <w:color w:val="000000"/>
                <w:szCs w:val="22"/>
              </w:rPr>
              <w:t>2017</w:t>
            </w:r>
          </w:p>
        </w:tc>
        <w:tc>
          <w:tcPr>
            <w:tcW w:w="5280" w:type="dxa"/>
            <w:tcBorders>
              <w:top w:val="nil"/>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61</w:t>
            </w:r>
            <w:r w:rsidR="00CC53F9">
              <w:rPr>
                <w:rFonts w:ascii="Calibri" w:hAnsi="Calibri"/>
                <w:color w:val="000000"/>
                <w:szCs w:val="22"/>
              </w:rPr>
              <w:t>,</w:t>
            </w:r>
            <w:r w:rsidRPr="005B5CA2">
              <w:rPr>
                <w:rFonts w:ascii="Calibri" w:hAnsi="Calibri"/>
                <w:color w:val="000000"/>
                <w:szCs w:val="22"/>
              </w:rPr>
              <w:t>730</w:t>
            </w:r>
          </w:p>
        </w:tc>
        <w:tc>
          <w:tcPr>
            <w:tcW w:w="1686" w:type="dxa"/>
            <w:tcBorders>
              <w:top w:val="nil"/>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MWh 25°C</w:t>
            </w:r>
          </w:p>
        </w:tc>
      </w:tr>
      <w:tr w:rsidR="00036054" w:rsidRPr="005B5CA2" w:rsidTr="00036054">
        <w:trPr>
          <w:trHeight w:val="288"/>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Total</w:t>
            </w:r>
          </w:p>
        </w:tc>
        <w:tc>
          <w:tcPr>
            <w:tcW w:w="5280" w:type="dxa"/>
            <w:tcBorders>
              <w:top w:val="nil"/>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b/>
                <w:bCs/>
                <w:color w:val="000000"/>
                <w:szCs w:val="22"/>
              </w:rPr>
            </w:pPr>
            <w:r w:rsidRPr="005B5CA2">
              <w:rPr>
                <w:rFonts w:ascii="Calibri" w:hAnsi="Calibri"/>
                <w:b/>
                <w:bCs/>
                <w:color w:val="000000"/>
                <w:szCs w:val="22"/>
              </w:rPr>
              <w:t>211</w:t>
            </w:r>
            <w:r w:rsidR="00CC53F9">
              <w:rPr>
                <w:rFonts w:ascii="Calibri" w:hAnsi="Calibri"/>
                <w:b/>
                <w:bCs/>
                <w:color w:val="000000"/>
                <w:szCs w:val="22"/>
              </w:rPr>
              <w:t>,</w:t>
            </w:r>
            <w:r w:rsidRPr="005B5CA2">
              <w:rPr>
                <w:rFonts w:ascii="Calibri" w:hAnsi="Calibri"/>
                <w:b/>
                <w:bCs/>
                <w:color w:val="000000"/>
                <w:szCs w:val="22"/>
              </w:rPr>
              <w:t>670</w:t>
            </w:r>
            <w:r w:rsidR="00CC53F9">
              <w:rPr>
                <w:rFonts w:ascii="Calibri" w:hAnsi="Calibri"/>
                <w:b/>
                <w:bCs/>
                <w:color w:val="000000"/>
                <w:szCs w:val="22"/>
              </w:rPr>
              <w:t>.</w:t>
            </w:r>
            <w:r w:rsidRPr="005B5CA2">
              <w:rPr>
                <w:rFonts w:ascii="Calibri" w:hAnsi="Calibri"/>
                <w:b/>
                <w:bCs/>
                <w:color w:val="000000"/>
                <w:szCs w:val="22"/>
              </w:rPr>
              <w:t>4</w:t>
            </w:r>
          </w:p>
        </w:tc>
        <w:tc>
          <w:tcPr>
            <w:tcW w:w="1686" w:type="dxa"/>
            <w:tcBorders>
              <w:top w:val="nil"/>
              <w:left w:val="nil"/>
              <w:bottom w:val="single" w:sz="4" w:space="0" w:color="auto"/>
              <w:right w:val="single" w:sz="4" w:space="0" w:color="auto"/>
            </w:tcBorders>
            <w:shd w:val="clear" w:color="auto" w:fill="auto"/>
            <w:noWrap/>
            <w:vAlign w:val="bottom"/>
            <w:hideMark/>
          </w:tcPr>
          <w:p w:rsidR="00036054" w:rsidRPr="005B5CA2" w:rsidRDefault="00036054" w:rsidP="00036054">
            <w:pPr>
              <w:spacing w:before="0" w:after="0" w:line="240" w:lineRule="auto"/>
              <w:jc w:val="center"/>
              <w:rPr>
                <w:rFonts w:ascii="Calibri" w:hAnsi="Calibri"/>
                <w:color w:val="000000"/>
                <w:szCs w:val="22"/>
              </w:rPr>
            </w:pPr>
            <w:r w:rsidRPr="005B5CA2">
              <w:rPr>
                <w:rFonts w:ascii="Calibri" w:hAnsi="Calibri"/>
                <w:color w:val="000000"/>
                <w:szCs w:val="22"/>
              </w:rPr>
              <w:t>MWh 25°C</w:t>
            </w:r>
          </w:p>
        </w:tc>
      </w:tr>
    </w:tbl>
    <w:p w:rsidR="00036054" w:rsidRDefault="00036054" w:rsidP="00036054">
      <w:pPr>
        <w:jc w:val="center"/>
        <w:rPr>
          <w:lang w:val="en-US"/>
        </w:rPr>
      </w:pPr>
      <w:r>
        <w:rPr>
          <w:noProof/>
          <w:lang w:val="es-ES" w:eastAsia="es-ES"/>
        </w:rPr>
        <w:drawing>
          <wp:inline distT="0" distB="0" distL="0" distR="0" wp14:anchorId="18F4425B" wp14:editId="6DA26570">
            <wp:extent cx="5657850" cy="3213176"/>
            <wp:effectExtent l="0" t="0" r="0" b="6350"/>
            <wp:docPr id="12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5029" cy="3217253"/>
                    </a:xfrm>
                    <a:prstGeom prst="rect">
                      <a:avLst/>
                    </a:prstGeom>
                    <a:noFill/>
                  </pic:spPr>
                </pic:pic>
              </a:graphicData>
            </a:graphic>
          </wp:inline>
        </w:drawing>
      </w:r>
    </w:p>
    <w:p w:rsidR="00036054" w:rsidRPr="00041A0A" w:rsidRDefault="00036054" w:rsidP="00036054">
      <w:pPr>
        <w:rPr>
          <w:b/>
          <w:u w:val="single"/>
          <w:lang w:val="en-US"/>
        </w:rPr>
      </w:pPr>
      <w:r w:rsidRPr="00041A0A">
        <w:rPr>
          <w:b/>
          <w:u w:val="single"/>
          <w:lang w:val="en-US"/>
        </w:rPr>
        <w:t>GRTgaz</w:t>
      </w:r>
    </w:p>
    <w:p w:rsidR="00036054" w:rsidRDefault="00036054" w:rsidP="00036054">
      <w:pPr>
        <w:rPr>
          <w:lang w:val="en-US"/>
        </w:rPr>
      </w:pPr>
      <w:r>
        <w:rPr>
          <w:lang w:val="en-US"/>
        </w:rPr>
        <w:t xml:space="preserve">Thanks to the Concertation Gaz </w:t>
      </w:r>
      <w:r w:rsidR="00CC53F9">
        <w:rPr>
          <w:lang w:val="en-US"/>
        </w:rPr>
        <w:t xml:space="preserve">group </w:t>
      </w:r>
      <w:r>
        <w:rPr>
          <w:lang w:val="en-US"/>
        </w:rPr>
        <w:t xml:space="preserve">gathering </w:t>
      </w:r>
      <w:r w:rsidR="00CC53F9">
        <w:rPr>
          <w:lang w:val="en-US"/>
        </w:rPr>
        <w:t>us</w:t>
      </w:r>
      <w:r>
        <w:rPr>
          <w:lang w:val="en-US"/>
        </w:rPr>
        <w:t xml:space="preserve">ers, clients and the French energy regulatory commission, a continuous assessment of the balancing regime of GRTgaz is in place. Permanent interactions with the market enable evolutions of the balancing regime as required by the participants, taking duly into account the feedback from stakeholders. </w:t>
      </w:r>
    </w:p>
    <w:p w:rsidR="00CC53F9" w:rsidRDefault="00CC53F9" w:rsidP="00036054">
      <w:pPr>
        <w:rPr>
          <w:lang w:val="en-US"/>
        </w:rPr>
      </w:pPr>
    </w:p>
    <w:p w:rsidR="00CC53F9" w:rsidRDefault="00036054" w:rsidP="00036054">
      <w:pPr>
        <w:rPr>
          <w:lang w:val="en-US"/>
        </w:rPr>
      </w:pPr>
      <w:r>
        <w:rPr>
          <w:noProof/>
          <w:lang w:val="es-ES" w:eastAsia="es-ES"/>
        </w:rPr>
        <w:drawing>
          <wp:inline distT="0" distB="0" distL="0" distR="0" wp14:anchorId="0A1A655D" wp14:editId="31AF5503">
            <wp:extent cx="5669915" cy="3703320"/>
            <wp:effectExtent l="0" t="0" r="6985" b="11430"/>
            <wp:docPr id="128"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C53F9" w:rsidRDefault="00CC53F9" w:rsidP="00036054">
      <w:pPr>
        <w:rPr>
          <w:lang w:val="en-US"/>
        </w:rPr>
      </w:pPr>
    </w:p>
    <w:p w:rsidR="00036054" w:rsidRDefault="00036054" w:rsidP="00036054">
      <w:pPr>
        <w:rPr>
          <w:lang w:val="en-US"/>
        </w:rPr>
      </w:pPr>
      <w:r>
        <w:rPr>
          <w:lang w:val="en-US"/>
        </w:rPr>
        <w:t xml:space="preserve">From October 2016 to October 2017, GRTgaz did 132 balancing actions </w:t>
      </w:r>
      <w:r w:rsidR="00CC53F9">
        <w:rPr>
          <w:lang w:val="en-US"/>
        </w:rPr>
        <w:t>corresponding to</w:t>
      </w:r>
      <w:r>
        <w:rPr>
          <w:lang w:val="en-US"/>
        </w:rPr>
        <w:t xml:space="preserve"> TRS</w:t>
      </w:r>
      <w:r w:rsidR="00CC53F9">
        <w:rPr>
          <w:lang w:val="en-US"/>
        </w:rPr>
        <w:t xml:space="preserve"> zone</w:t>
      </w:r>
      <w:r>
        <w:rPr>
          <w:lang w:val="en-US"/>
        </w:rPr>
        <w:t xml:space="preserve">, with almost a perfect balance between buy and sell actions. There actions were performed on PEGAS except on 2 days where locational products were used. </w:t>
      </w:r>
    </w:p>
    <w:p w:rsidR="00036054" w:rsidRDefault="00036054" w:rsidP="00036054">
      <w:pPr>
        <w:rPr>
          <w:lang w:val="en-US"/>
        </w:rPr>
      </w:pPr>
      <w:r>
        <w:rPr>
          <w:lang w:val="en-US"/>
        </w:rPr>
        <w:t xml:space="preserve">It appears that the system worked well to ensure that </w:t>
      </w:r>
      <w:r w:rsidR="00917839">
        <w:rPr>
          <w:lang w:val="en-US"/>
        </w:rPr>
        <w:t xml:space="preserve">users </w:t>
      </w:r>
      <w:r>
        <w:rPr>
          <w:lang w:val="en-US"/>
        </w:rPr>
        <w:t xml:space="preserve">are balanced. The balancing actions of GRTgaz sent an effective signal to encourage </w:t>
      </w:r>
      <w:r w:rsidR="00917839">
        <w:rPr>
          <w:lang w:val="en-US"/>
        </w:rPr>
        <w:t xml:space="preserve">users </w:t>
      </w:r>
      <w:r>
        <w:rPr>
          <w:lang w:val="en-US"/>
        </w:rPr>
        <w:t>to be balanced.</w:t>
      </w:r>
    </w:p>
    <w:p w:rsidR="00036054" w:rsidRDefault="00036054" w:rsidP="00FC4853">
      <w:pPr>
        <w:spacing w:before="0" w:after="0" w:line="240" w:lineRule="auto"/>
        <w:rPr>
          <w:b/>
          <w:lang w:val="en-US"/>
        </w:rPr>
      </w:pPr>
    </w:p>
    <w:p w:rsidR="00FC4853" w:rsidRDefault="00FC4853" w:rsidP="00FC4853">
      <w:pPr>
        <w:spacing w:before="0" w:after="0" w:line="240" w:lineRule="auto"/>
        <w:rPr>
          <w:b/>
          <w:lang w:val="en-US"/>
        </w:rPr>
      </w:pPr>
      <w:r w:rsidRPr="00FC4853">
        <w:rPr>
          <w:b/>
          <w:lang w:val="en-US"/>
        </w:rPr>
        <w:t>PORTUGAL</w:t>
      </w:r>
    </w:p>
    <w:p w:rsidR="00FC4853" w:rsidRDefault="00FC4853" w:rsidP="00FC4853">
      <w:pPr>
        <w:pStyle w:val="Prrafodelista"/>
        <w:ind w:left="1440"/>
        <w:rPr>
          <w:lang w:val="en-US"/>
        </w:rPr>
      </w:pPr>
    </w:p>
    <w:tbl>
      <w:tblPr>
        <w:tblW w:w="10270" w:type="dxa"/>
        <w:jc w:val="center"/>
        <w:tblCellMar>
          <w:left w:w="0" w:type="dxa"/>
          <w:right w:w="0" w:type="dxa"/>
        </w:tblCellMar>
        <w:tblLook w:val="04A0" w:firstRow="1" w:lastRow="0" w:firstColumn="1" w:lastColumn="0" w:noHBand="0" w:noVBand="1"/>
      </w:tblPr>
      <w:tblGrid>
        <w:gridCol w:w="1587"/>
        <w:gridCol w:w="964"/>
        <w:gridCol w:w="964"/>
        <w:gridCol w:w="965"/>
        <w:gridCol w:w="965"/>
        <w:gridCol w:w="965"/>
        <w:gridCol w:w="965"/>
        <w:gridCol w:w="965"/>
        <w:gridCol w:w="965"/>
        <w:gridCol w:w="965"/>
      </w:tblGrid>
      <w:tr w:rsidR="00FC4853" w:rsidTr="008154E2">
        <w:trPr>
          <w:trHeight w:val="397"/>
          <w:jc w:val="center"/>
        </w:trPr>
        <w:tc>
          <w:tcPr>
            <w:tcW w:w="1587" w:type="dxa"/>
            <w:tcMar>
              <w:top w:w="0" w:type="dxa"/>
              <w:left w:w="108" w:type="dxa"/>
              <w:bottom w:w="0" w:type="dxa"/>
              <w:right w:w="108" w:type="dxa"/>
            </w:tcMar>
          </w:tcPr>
          <w:p w:rsidR="00FC4853" w:rsidRDefault="00FC4853" w:rsidP="008154E2">
            <w:pPr>
              <w:pStyle w:val="balancingimage"/>
              <w:spacing w:before="0" w:after="0" w:line="240" w:lineRule="auto"/>
              <w:rPr>
                <w:rFonts w:ascii="Arial" w:hAnsi="Arial" w:cs="Arial"/>
                <w:sz w:val="14"/>
                <w:szCs w:val="14"/>
                <w:lang w:val="en-GB"/>
              </w:rPr>
            </w:pPr>
          </w:p>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MWh</w:t>
            </w:r>
          </w:p>
        </w:tc>
        <w:tc>
          <w:tcPr>
            <w:tcW w:w="964" w:type="dxa"/>
            <w:shd w:val="clear" w:color="auto" w:fill="2F5496"/>
            <w:tcMar>
              <w:top w:w="0" w:type="dxa"/>
              <w:left w:w="108" w:type="dxa"/>
              <w:bottom w:w="0" w:type="dxa"/>
              <w:right w:w="108" w:type="dxa"/>
            </w:tcMar>
            <w:vAlign w:val="center"/>
            <w:hideMark/>
          </w:tcPr>
          <w:p w:rsidR="00FC4853" w:rsidRDefault="00FC4853" w:rsidP="008154E2">
            <w:pPr>
              <w:pStyle w:val="Balancingtableheading1-2"/>
              <w:rPr>
                <w:lang w:val="sl-SI"/>
              </w:rPr>
            </w:pPr>
            <w:r>
              <w:rPr>
                <w:lang w:val="sl-SI"/>
              </w:rPr>
              <w:t>Annual Quantity</w:t>
            </w:r>
          </w:p>
        </w:tc>
        <w:tc>
          <w:tcPr>
            <w:tcW w:w="964" w:type="dxa"/>
            <w:shd w:val="clear" w:color="auto" w:fill="2F5496"/>
            <w:tcMar>
              <w:top w:w="0" w:type="dxa"/>
              <w:left w:w="108" w:type="dxa"/>
              <w:bottom w:w="0" w:type="dxa"/>
              <w:right w:w="108" w:type="dxa"/>
            </w:tcMar>
            <w:vAlign w:val="center"/>
            <w:hideMark/>
          </w:tcPr>
          <w:p w:rsidR="00FC4853" w:rsidRDefault="00FC4853" w:rsidP="008154E2">
            <w:pPr>
              <w:pStyle w:val="Balancingtableheading1-2"/>
              <w:rPr>
                <w:lang w:val="sl-SI"/>
              </w:rPr>
            </w:pPr>
            <w:r>
              <w:rPr>
                <w:lang w:val="sl-SI"/>
              </w:rPr>
              <w:t>% of annual entries</w:t>
            </w:r>
          </w:p>
        </w:tc>
        <w:tc>
          <w:tcPr>
            <w:tcW w:w="965" w:type="dxa"/>
            <w:shd w:val="clear" w:color="auto" w:fill="2F5496"/>
            <w:tcMar>
              <w:top w:w="0" w:type="dxa"/>
              <w:left w:w="108" w:type="dxa"/>
              <w:bottom w:w="0" w:type="dxa"/>
              <w:right w:w="108" w:type="dxa"/>
            </w:tcMar>
            <w:vAlign w:val="center"/>
            <w:hideMark/>
          </w:tcPr>
          <w:p w:rsidR="00FC4853" w:rsidRDefault="00FC4853" w:rsidP="008154E2">
            <w:pPr>
              <w:pStyle w:val="Balancingtableheading1-2"/>
              <w:rPr>
                <w:lang w:val="sl-SI"/>
              </w:rPr>
            </w:pPr>
            <w:r>
              <w:rPr>
                <w:lang w:val="sl-SI"/>
              </w:rPr>
              <w:t>Number of days</w:t>
            </w:r>
          </w:p>
        </w:tc>
        <w:tc>
          <w:tcPr>
            <w:tcW w:w="965" w:type="dxa"/>
            <w:shd w:val="clear" w:color="auto" w:fill="2F5496"/>
            <w:tcMar>
              <w:top w:w="0" w:type="dxa"/>
              <w:left w:w="108" w:type="dxa"/>
              <w:bottom w:w="0" w:type="dxa"/>
              <w:right w:w="108" w:type="dxa"/>
            </w:tcMar>
            <w:vAlign w:val="center"/>
            <w:hideMark/>
          </w:tcPr>
          <w:p w:rsidR="00FC4853" w:rsidRDefault="00FC4853" w:rsidP="008154E2">
            <w:pPr>
              <w:pStyle w:val="Balancingtableheading1-2"/>
              <w:rPr>
                <w:lang w:val="sl-SI"/>
              </w:rPr>
            </w:pPr>
            <w:r>
              <w:rPr>
                <w:lang w:val="sl-SI"/>
              </w:rPr>
              <w:t>Average daily Quantity</w:t>
            </w:r>
          </w:p>
        </w:tc>
        <w:tc>
          <w:tcPr>
            <w:tcW w:w="965" w:type="dxa"/>
            <w:shd w:val="clear" w:color="auto" w:fill="2F5496"/>
            <w:tcMar>
              <w:top w:w="0" w:type="dxa"/>
              <w:left w:w="108" w:type="dxa"/>
              <w:bottom w:w="0" w:type="dxa"/>
              <w:right w:w="108" w:type="dxa"/>
            </w:tcMar>
            <w:vAlign w:val="center"/>
            <w:hideMark/>
          </w:tcPr>
          <w:p w:rsidR="00FC4853" w:rsidRDefault="00FC4853" w:rsidP="008154E2">
            <w:pPr>
              <w:pStyle w:val="Balancingtableheading1-2"/>
              <w:rPr>
                <w:lang w:val="sl-SI"/>
              </w:rPr>
            </w:pPr>
            <w:r>
              <w:rPr>
                <w:lang w:val="sl-SI"/>
              </w:rPr>
              <w:t>Max Daily Quantity</w:t>
            </w:r>
          </w:p>
        </w:tc>
        <w:tc>
          <w:tcPr>
            <w:tcW w:w="965" w:type="dxa"/>
            <w:shd w:val="clear" w:color="auto" w:fill="2F5496"/>
            <w:tcMar>
              <w:top w:w="0" w:type="dxa"/>
              <w:left w:w="108" w:type="dxa"/>
              <w:bottom w:w="0" w:type="dxa"/>
              <w:right w:w="108" w:type="dxa"/>
            </w:tcMar>
            <w:hideMark/>
          </w:tcPr>
          <w:p w:rsidR="00FC4853" w:rsidRDefault="00FC4853" w:rsidP="008154E2">
            <w:pPr>
              <w:pStyle w:val="Balancingtableheading1-2"/>
              <w:rPr>
                <w:lang w:val="sl-SI"/>
              </w:rPr>
            </w:pPr>
            <w:r>
              <w:rPr>
                <w:lang w:val="sl-SI"/>
              </w:rPr>
              <w:t>Min Daily</w:t>
            </w:r>
          </w:p>
          <w:p w:rsidR="00FC4853" w:rsidRDefault="00FC4853" w:rsidP="008154E2">
            <w:pPr>
              <w:pStyle w:val="Balancingtableheading1-2"/>
              <w:rPr>
                <w:lang w:val="sl-SI"/>
              </w:rPr>
            </w:pPr>
            <w:r>
              <w:rPr>
                <w:lang w:val="sl-SI"/>
              </w:rPr>
              <w:t>Quantity</w:t>
            </w:r>
          </w:p>
        </w:tc>
        <w:tc>
          <w:tcPr>
            <w:tcW w:w="965" w:type="dxa"/>
            <w:shd w:val="clear" w:color="auto" w:fill="2F5496"/>
            <w:tcMar>
              <w:top w:w="0" w:type="dxa"/>
              <w:left w:w="108" w:type="dxa"/>
              <w:bottom w:w="0" w:type="dxa"/>
              <w:right w:w="108" w:type="dxa"/>
            </w:tcMar>
            <w:hideMark/>
          </w:tcPr>
          <w:p w:rsidR="00FC4853" w:rsidRDefault="00FC4853" w:rsidP="008154E2">
            <w:pPr>
              <w:pStyle w:val="Balancingtableheading1-2"/>
              <w:rPr>
                <w:lang w:val="sl-SI"/>
              </w:rPr>
            </w:pPr>
            <w:r>
              <w:rPr>
                <w:lang w:val="sl-SI"/>
              </w:rPr>
              <w:t>Max price</w:t>
            </w:r>
          </w:p>
          <w:p w:rsidR="00FC4853" w:rsidRDefault="00FC4853" w:rsidP="008154E2">
            <w:pPr>
              <w:pStyle w:val="Balancingtableheading1-2"/>
              <w:rPr>
                <w:lang w:val="sl-SI"/>
              </w:rPr>
            </w:pPr>
            <w:r>
              <w:rPr>
                <w:lang w:val="sl-SI"/>
              </w:rPr>
              <w:t>(€/MWh)</w:t>
            </w:r>
          </w:p>
        </w:tc>
        <w:tc>
          <w:tcPr>
            <w:tcW w:w="965" w:type="dxa"/>
            <w:shd w:val="clear" w:color="auto" w:fill="2F5496"/>
            <w:tcMar>
              <w:top w:w="0" w:type="dxa"/>
              <w:left w:w="108" w:type="dxa"/>
              <w:bottom w:w="0" w:type="dxa"/>
              <w:right w:w="108" w:type="dxa"/>
            </w:tcMar>
            <w:hideMark/>
          </w:tcPr>
          <w:p w:rsidR="00FC4853" w:rsidRDefault="00FC4853" w:rsidP="008154E2">
            <w:pPr>
              <w:pStyle w:val="Balancingtableheading1-2"/>
              <w:rPr>
                <w:lang w:val="sl-SI"/>
              </w:rPr>
            </w:pPr>
            <w:r>
              <w:rPr>
                <w:lang w:val="sl-SI"/>
              </w:rPr>
              <w:t>Min price</w:t>
            </w:r>
          </w:p>
          <w:p w:rsidR="00FC4853" w:rsidRDefault="00FC4853" w:rsidP="008154E2">
            <w:pPr>
              <w:pStyle w:val="Balancingtableheading1-2"/>
              <w:rPr>
                <w:lang w:val="sl-SI"/>
              </w:rPr>
            </w:pPr>
            <w:r>
              <w:rPr>
                <w:lang w:val="sl-SI"/>
              </w:rPr>
              <w:t>(€/MWh)</w:t>
            </w:r>
          </w:p>
        </w:tc>
        <w:tc>
          <w:tcPr>
            <w:tcW w:w="965" w:type="dxa"/>
            <w:shd w:val="clear" w:color="auto" w:fill="2F5496"/>
            <w:tcMar>
              <w:top w:w="0" w:type="dxa"/>
              <w:left w:w="108" w:type="dxa"/>
              <w:bottom w:w="0" w:type="dxa"/>
              <w:right w:w="108" w:type="dxa"/>
            </w:tcMar>
            <w:vAlign w:val="center"/>
            <w:hideMark/>
          </w:tcPr>
          <w:p w:rsidR="00FC4853" w:rsidRDefault="00FC4853" w:rsidP="008154E2">
            <w:pPr>
              <w:pStyle w:val="Balancingtableheading1-2"/>
              <w:rPr>
                <w:lang w:val="sl-SI"/>
              </w:rPr>
            </w:pPr>
            <w:r>
              <w:rPr>
                <w:lang w:val="sl-SI"/>
              </w:rPr>
              <w:t>Average Price (€/MWh)</w:t>
            </w:r>
          </w:p>
        </w:tc>
      </w:tr>
      <w:tr w:rsidR="00FC4853" w:rsidTr="008154E2">
        <w:trPr>
          <w:trHeight w:val="227"/>
          <w:jc w:val="center"/>
        </w:trPr>
        <w:tc>
          <w:tcPr>
            <w:tcW w:w="1587" w:type="dxa"/>
            <w:shd w:val="clear" w:color="auto" w:fill="2F5496"/>
            <w:noWrap/>
            <w:tcMar>
              <w:top w:w="0" w:type="dxa"/>
              <w:left w:w="108" w:type="dxa"/>
              <w:bottom w:w="0" w:type="dxa"/>
              <w:right w:w="108" w:type="dxa"/>
            </w:tcMar>
            <w:vAlign w:val="center"/>
            <w:hideMark/>
          </w:tcPr>
          <w:p w:rsidR="00FC4853" w:rsidRDefault="00FC4853" w:rsidP="008154E2">
            <w:pPr>
              <w:pStyle w:val="balancingimage"/>
              <w:spacing w:before="0" w:after="0" w:line="240" w:lineRule="auto"/>
              <w:rPr>
                <w:rFonts w:ascii="Arial" w:hAnsi="Arial" w:cs="Arial"/>
                <w:b/>
                <w:bCs/>
                <w:color w:val="FFFFFF"/>
                <w:sz w:val="14"/>
                <w:szCs w:val="14"/>
                <w:lang w:val="en-GB"/>
              </w:rPr>
            </w:pPr>
            <w:r>
              <w:rPr>
                <w:rFonts w:ascii="Arial" w:hAnsi="Arial" w:cs="Arial"/>
                <w:b/>
                <w:bCs/>
                <w:color w:val="FFFFFF"/>
                <w:sz w:val="14"/>
                <w:szCs w:val="14"/>
                <w:lang w:val="en-GB"/>
              </w:rPr>
              <w:t>System Buys</w:t>
            </w:r>
          </w:p>
        </w:tc>
        <w:tc>
          <w:tcPr>
            <w:tcW w:w="964" w:type="dxa"/>
            <w:shd w:val="clear" w:color="auto" w:fill="DEEAF6"/>
            <w:noWrap/>
            <w:tcMar>
              <w:top w:w="0" w:type="dxa"/>
              <w:left w:w="108" w:type="dxa"/>
              <w:bottom w:w="0" w:type="dxa"/>
              <w:right w:w="108" w:type="dxa"/>
            </w:tcMar>
            <w:vAlign w:val="cente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42 000</w:t>
            </w:r>
          </w:p>
        </w:tc>
        <w:tc>
          <w:tcPr>
            <w:tcW w:w="964" w:type="dxa"/>
            <w:shd w:val="clear" w:color="auto" w:fill="DEEAF6"/>
            <w:noWrap/>
            <w:tcMar>
              <w:top w:w="0" w:type="dxa"/>
              <w:left w:w="108" w:type="dxa"/>
              <w:bottom w:w="0" w:type="dxa"/>
              <w:right w:w="108" w:type="dxa"/>
            </w:tcMar>
            <w:vAlign w:val="center"/>
          </w:tcPr>
          <w:p w:rsidR="00FC4853" w:rsidRDefault="00FC4853" w:rsidP="008154E2">
            <w:pPr>
              <w:pStyle w:val="balancingimage"/>
              <w:spacing w:before="0" w:after="0" w:line="240" w:lineRule="auto"/>
              <w:rPr>
                <w:rFonts w:ascii="Arial" w:hAnsi="Arial" w:cs="Arial"/>
                <w:sz w:val="14"/>
                <w:szCs w:val="14"/>
                <w:lang w:val="en-GB"/>
              </w:rPr>
            </w:pPr>
          </w:p>
        </w:tc>
        <w:tc>
          <w:tcPr>
            <w:tcW w:w="965" w:type="dxa"/>
            <w:shd w:val="clear" w:color="auto" w:fill="DEEAF6"/>
            <w:noWrap/>
            <w:tcMar>
              <w:top w:w="0" w:type="dxa"/>
              <w:left w:w="108" w:type="dxa"/>
              <w:bottom w:w="0" w:type="dxa"/>
              <w:right w:w="108" w:type="dxa"/>
            </w:tcMar>
            <w:vAlign w:val="cente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7</w:t>
            </w:r>
          </w:p>
        </w:tc>
        <w:tc>
          <w:tcPr>
            <w:tcW w:w="965" w:type="dxa"/>
            <w:shd w:val="clear" w:color="auto" w:fill="DEEAF6"/>
            <w:noWrap/>
            <w:tcMar>
              <w:top w:w="0" w:type="dxa"/>
              <w:left w:w="108" w:type="dxa"/>
              <w:bottom w:w="0" w:type="dxa"/>
              <w:right w:w="108" w:type="dxa"/>
            </w:tcMar>
            <w:vAlign w:val="cente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6 000</w:t>
            </w:r>
          </w:p>
        </w:tc>
        <w:tc>
          <w:tcPr>
            <w:tcW w:w="965" w:type="dxa"/>
            <w:shd w:val="clear" w:color="auto" w:fill="DEEAF6"/>
            <w:tcMar>
              <w:top w:w="0" w:type="dxa"/>
              <w:left w:w="108" w:type="dxa"/>
              <w:bottom w:w="0" w:type="dxa"/>
              <w:right w:w="108" w:type="dxa"/>
            </w:tcMar>
            <w:vAlign w:val="center"/>
          </w:tcPr>
          <w:p w:rsidR="00FC4853" w:rsidRPr="009A1A4F" w:rsidRDefault="00FC4853" w:rsidP="008154E2">
            <w:pPr>
              <w:pStyle w:val="Balancingtableheading1-2"/>
              <w:rPr>
                <w:b w:val="0"/>
                <w:bCs w:val="0"/>
                <w:color w:val="auto"/>
                <w:lang w:val="en-GB"/>
              </w:rPr>
            </w:pPr>
            <w:r w:rsidRPr="009A1A4F">
              <w:rPr>
                <w:b w:val="0"/>
                <w:bCs w:val="0"/>
                <w:color w:val="auto"/>
                <w:lang w:val="en-GB"/>
              </w:rPr>
              <w:t>6 000</w:t>
            </w:r>
          </w:p>
        </w:tc>
        <w:tc>
          <w:tcPr>
            <w:tcW w:w="965" w:type="dxa"/>
            <w:shd w:val="clear" w:color="auto" w:fill="DEEAF6"/>
            <w:tcMar>
              <w:top w:w="0" w:type="dxa"/>
              <w:left w:w="108" w:type="dxa"/>
              <w:bottom w:w="0" w:type="dxa"/>
              <w:right w:w="108" w:type="dxa"/>
            </w:tcMa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6 000</w:t>
            </w:r>
          </w:p>
        </w:tc>
        <w:tc>
          <w:tcPr>
            <w:tcW w:w="965" w:type="dxa"/>
            <w:shd w:val="clear" w:color="auto" w:fill="DEEAF6"/>
            <w:tcMar>
              <w:top w:w="0" w:type="dxa"/>
              <w:left w:w="108" w:type="dxa"/>
              <w:bottom w:w="0" w:type="dxa"/>
              <w:right w:w="108" w:type="dxa"/>
            </w:tcMa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19,57</w:t>
            </w:r>
          </w:p>
        </w:tc>
        <w:tc>
          <w:tcPr>
            <w:tcW w:w="965" w:type="dxa"/>
            <w:shd w:val="clear" w:color="auto" w:fill="DEEAF6"/>
            <w:tcMar>
              <w:top w:w="0" w:type="dxa"/>
              <w:left w:w="108" w:type="dxa"/>
              <w:bottom w:w="0" w:type="dxa"/>
              <w:right w:w="108" w:type="dxa"/>
            </w:tcMa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18,51</w:t>
            </w:r>
          </w:p>
        </w:tc>
        <w:tc>
          <w:tcPr>
            <w:tcW w:w="965" w:type="dxa"/>
            <w:shd w:val="clear" w:color="auto" w:fill="DEEAF6"/>
            <w:noWrap/>
            <w:tcMar>
              <w:top w:w="0" w:type="dxa"/>
              <w:left w:w="108" w:type="dxa"/>
              <w:bottom w:w="0" w:type="dxa"/>
              <w:right w:w="108" w:type="dxa"/>
            </w:tcMar>
            <w:vAlign w:val="cente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19,13</w:t>
            </w:r>
          </w:p>
        </w:tc>
      </w:tr>
      <w:tr w:rsidR="00FC4853" w:rsidTr="008154E2">
        <w:trPr>
          <w:trHeight w:val="227"/>
          <w:jc w:val="center"/>
        </w:trPr>
        <w:tc>
          <w:tcPr>
            <w:tcW w:w="1587" w:type="dxa"/>
            <w:shd w:val="clear" w:color="auto" w:fill="2F5496"/>
            <w:noWrap/>
            <w:tcMar>
              <w:top w:w="0" w:type="dxa"/>
              <w:left w:w="108" w:type="dxa"/>
              <w:bottom w:w="0" w:type="dxa"/>
              <w:right w:w="108" w:type="dxa"/>
            </w:tcMar>
            <w:vAlign w:val="center"/>
            <w:hideMark/>
          </w:tcPr>
          <w:p w:rsidR="00FC4853" w:rsidRDefault="00FC4853" w:rsidP="008154E2">
            <w:pPr>
              <w:pStyle w:val="balancingimage"/>
              <w:spacing w:before="0" w:after="0" w:line="240" w:lineRule="auto"/>
              <w:rPr>
                <w:rFonts w:ascii="Arial" w:hAnsi="Arial" w:cs="Arial"/>
                <w:b/>
                <w:bCs/>
                <w:color w:val="FFFFFF"/>
                <w:sz w:val="14"/>
                <w:szCs w:val="14"/>
                <w:lang w:val="en-GB"/>
              </w:rPr>
            </w:pPr>
            <w:r>
              <w:rPr>
                <w:rFonts w:ascii="Arial" w:hAnsi="Arial" w:cs="Arial"/>
                <w:b/>
                <w:bCs/>
                <w:color w:val="FFFFFF"/>
                <w:sz w:val="14"/>
                <w:szCs w:val="14"/>
                <w:lang w:val="en-GB"/>
              </w:rPr>
              <w:t>System Sells</w:t>
            </w:r>
          </w:p>
        </w:tc>
        <w:tc>
          <w:tcPr>
            <w:tcW w:w="964" w:type="dxa"/>
            <w:noWrap/>
            <w:tcMar>
              <w:top w:w="0" w:type="dxa"/>
              <w:left w:w="108" w:type="dxa"/>
              <w:bottom w:w="0" w:type="dxa"/>
              <w:right w:w="108" w:type="dxa"/>
            </w:tcMar>
            <w:vAlign w:val="cente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0</w:t>
            </w:r>
          </w:p>
        </w:tc>
        <w:tc>
          <w:tcPr>
            <w:tcW w:w="964" w:type="dxa"/>
            <w:noWrap/>
            <w:tcMar>
              <w:top w:w="0" w:type="dxa"/>
              <w:left w:w="108" w:type="dxa"/>
              <w:bottom w:w="0" w:type="dxa"/>
              <w:right w:w="108" w:type="dxa"/>
            </w:tcMar>
            <w:vAlign w:val="cente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w:t>
            </w:r>
          </w:p>
        </w:tc>
        <w:tc>
          <w:tcPr>
            <w:tcW w:w="965" w:type="dxa"/>
            <w:noWrap/>
            <w:tcMar>
              <w:top w:w="0" w:type="dxa"/>
              <w:left w:w="108" w:type="dxa"/>
              <w:bottom w:w="0" w:type="dxa"/>
              <w:right w:w="108" w:type="dxa"/>
            </w:tcMar>
            <w:vAlign w:val="cente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0</w:t>
            </w:r>
          </w:p>
        </w:tc>
        <w:tc>
          <w:tcPr>
            <w:tcW w:w="965" w:type="dxa"/>
            <w:noWrap/>
            <w:tcMar>
              <w:top w:w="0" w:type="dxa"/>
              <w:left w:w="108" w:type="dxa"/>
              <w:bottom w:w="0" w:type="dxa"/>
              <w:right w:w="108" w:type="dxa"/>
            </w:tcMar>
            <w:vAlign w:val="cente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w:t>
            </w:r>
          </w:p>
        </w:tc>
        <w:tc>
          <w:tcPr>
            <w:tcW w:w="965" w:type="dxa"/>
            <w:tcMar>
              <w:top w:w="0" w:type="dxa"/>
              <w:left w:w="108" w:type="dxa"/>
              <w:bottom w:w="0" w:type="dxa"/>
              <w:right w:w="108" w:type="dxa"/>
            </w:tcMar>
            <w:vAlign w:val="center"/>
          </w:tcPr>
          <w:p w:rsidR="00FC4853" w:rsidRPr="009A1A4F" w:rsidRDefault="00FC4853" w:rsidP="008154E2">
            <w:pPr>
              <w:pStyle w:val="Balancingtableheading1-2"/>
              <w:rPr>
                <w:b w:val="0"/>
                <w:lang w:val="sl-SI"/>
              </w:rPr>
            </w:pPr>
            <w:r w:rsidRPr="009A1A4F">
              <w:rPr>
                <w:b w:val="0"/>
                <w:color w:val="auto"/>
                <w:lang w:val="sl-SI"/>
              </w:rPr>
              <w:t>-</w:t>
            </w:r>
          </w:p>
        </w:tc>
        <w:tc>
          <w:tcPr>
            <w:tcW w:w="965" w:type="dxa"/>
            <w:tcMar>
              <w:top w:w="0" w:type="dxa"/>
              <w:left w:w="108" w:type="dxa"/>
              <w:bottom w:w="0" w:type="dxa"/>
              <w:right w:w="108" w:type="dxa"/>
            </w:tcMa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w:t>
            </w:r>
          </w:p>
        </w:tc>
        <w:tc>
          <w:tcPr>
            <w:tcW w:w="965" w:type="dxa"/>
            <w:tcMar>
              <w:top w:w="0" w:type="dxa"/>
              <w:left w:w="108" w:type="dxa"/>
              <w:bottom w:w="0" w:type="dxa"/>
              <w:right w:w="108" w:type="dxa"/>
            </w:tcMa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w:t>
            </w:r>
          </w:p>
        </w:tc>
        <w:tc>
          <w:tcPr>
            <w:tcW w:w="965" w:type="dxa"/>
            <w:tcMar>
              <w:top w:w="0" w:type="dxa"/>
              <w:left w:w="108" w:type="dxa"/>
              <w:bottom w:w="0" w:type="dxa"/>
              <w:right w:w="108" w:type="dxa"/>
            </w:tcMa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w:t>
            </w:r>
          </w:p>
        </w:tc>
        <w:tc>
          <w:tcPr>
            <w:tcW w:w="965" w:type="dxa"/>
            <w:noWrap/>
            <w:tcMar>
              <w:top w:w="0" w:type="dxa"/>
              <w:left w:w="108" w:type="dxa"/>
              <w:bottom w:w="0" w:type="dxa"/>
              <w:right w:w="108" w:type="dxa"/>
            </w:tcMar>
            <w:vAlign w:val="center"/>
          </w:tcPr>
          <w:p w:rsidR="00FC4853" w:rsidRDefault="00FC4853" w:rsidP="008154E2">
            <w:pPr>
              <w:pStyle w:val="balancingimage"/>
              <w:spacing w:before="0" w:after="0" w:line="240" w:lineRule="auto"/>
              <w:rPr>
                <w:rFonts w:ascii="Arial" w:hAnsi="Arial" w:cs="Arial"/>
                <w:sz w:val="14"/>
                <w:szCs w:val="14"/>
                <w:lang w:val="en-GB"/>
              </w:rPr>
            </w:pPr>
            <w:r>
              <w:rPr>
                <w:rFonts w:ascii="Arial" w:hAnsi="Arial" w:cs="Arial"/>
                <w:sz w:val="14"/>
                <w:szCs w:val="14"/>
                <w:lang w:val="en-GB"/>
              </w:rPr>
              <w:t>-</w:t>
            </w:r>
          </w:p>
        </w:tc>
      </w:tr>
    </w:tbl>
    <w:p w:rsidR="00917839" w:rsidRDefault="00917839" w:rsidP="00FC4853">
      <w:pPr>
        <w:rPr>
          <w:lang w:val="en-US"/>
        </w:rPr>
      </w:pPr>
    </w:p>
    <w:p w:rsidR="00FC4853" w:rsidRPr="00FC4853" w:rsidRDefault="00FC4853" w:rsidP="00FC4853">
      <w:pPr>
        <w:rPr>
          <w:lang w:val="en-US"/>
        </w:rPr>
      </w:pPr>
      <w:r w:rsidRPr="00FC4853">
        <w:rPr>
          <w:lang w:val="en-US"/>
        </w:rPr>
        <w:t xml:space="preserve">According to the national methodology for the determination of the quantities due to be bought/sell for balancing actions by the TSO as a means of repositioning of the conditions for operating the network, and considering there is no trading platform available, all the balancing actions were made through balancing services by auctions. </w:t>
      </w:r>
    </w:p>
    <w:p w:rsidR="00FC4853" w:rsidRDefault="00FC4853" w:rsidP="00FC4853">
      <w:pPr>
        <w:spacing w:line="264" w:lineRule="auto"/>
        <w:rPr>
          <w:color w:val="365F91" w:themeColor="accent1" w:themeShade="BF"/>
          <w:lang w:val="en-GB"/>
        </w:rPr>
      </w:pPr>
    </w:p>
    <w:p w:rsidR="00FC4853" w:rsidRPr="001210C3" w:rsidRDefault="00FC4853" w:rsidP="00FC4853">
      <w:pPr>
        <w:spacing w:line="264" w:lineRule="auto"/>
        <w:jc w:val="center"/>
        <w:rPr>
          <w:color w:val="365F91" w:themeColor="accent1" w:themeShade="BF"/>
          <w:lang w:val="en-GB"/>
        </w:rPr>
      </w:pPr>
      <w:r w:rsidRPr="00261A84">
        <w:rPr>
          <w:noProof/>
          <w:color w:val="365F91" w:themeColor="accent1" w:themeShade="BF"/>
          <w:lang w:val="es-ES" w:eastAsia="es-ES"/>
        </w:rPr>
        <mc:AlternateContent>
          <mc:Choice Requires="wps">
            <w:drawing>
              <wp:anchor distT="0" distB="0" distL="114300" distR="114300" simplePos="0" relativeHeight="251676672" behindDoc="0" locked="0" layoutInCell="1" allowOverlap="1" wp14:anchorId="2E5D1EB8" wp14:editId="45704F63">
                <wp:simplePos x="0" y="0"/>
                <wp:positionH relativeFrom="column">
                  <wp:posOffset>2703616</wp:posOffset>
                </wp:positionH>
                <wp:positionV relativeFrom="paragraph">
                  <wp:posOffset>515381</wp:posOffset>
                </wp:positionV>
                <wp:extent cx="1857498" cy="5938"/>
                <wp:effectExtent l="0" t="0" r="28575" b="32385"/>
                <wp:wrapNone/>
                <wp:docPr id="30" name="Straight Connector 49"/>
                <wp:cNvGraphicFramePr/>
                <a:graphic xmlns:a="http://schemas.openxmlformats.org/drawingml/2006/main">
                  <a:graphicData uri="http://schemas.microsoft.com/office/word/2010/wordprocessingShape">
                    <wps:wsp>
                      <wps:cNvCnPr/>
                      <wps:spPr bwMode="auto">
                        <a:xfrm flipV="1">
                          <a:off x="0" y="0"/>
                          <a:ext cx="1857498" cy="5938"/>
                        </a:xfrm>
                        <a:prstGeom prst="line">
                          <a:avLst/>
                        </a:prstGeom>
                        <a:noFill/>
                        <a:ln w="15875" cap="flat" cmpd="dbl" algn="ctr">
                          <a:solidFill>
                            <a:srgbClr val="007AAE"/>
                          </a:solidFill>
                          <a:prstDash val="solid"/>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1F36A3C" id="Straight Connector 49"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9pt,40.6pt" to="359.1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" strokecolor="#007aae" strokeweight="1.25pt">
                <v:stroke linestyle="thinThin"/>
              </v:line>
            </w:pict>
          </mc:Fallback>
        </mc:AlternateContent>
      </w:r>
      <w:r>
        <w:rPr>
          <w:noProof/>
          <w:lang w:val="es-ES" w:eastAsia="es-ES"/>
        </w:rPr>
        <mc:AlternateContent>
          <mc:Choice Requires="wps">
            <w:drawing>
              <wp:anchor distT="0" distB="0" distL="114300" distR="114300" simplePos="0" relativeHeight="251677696" behindDoc="0" locked="0" layoutInCell="1" allowOverlap="1" wp14:anchorId="00A25AF1" wp14:editId="6F877816">
                <wp:simplePos x="0" y="0"/>
                <wp:positionH relativeFrom="column">
                  <wp:posOffset>838200</wp:posOffset>
                </wp:positionH>
                <wp:positionV relativeFrom="paragraph">
                  <wp:posOffset>1216025</wp:posOffset>
                </wp:positionV>
                <wp:extent cx="0" cy="232146"/>
                <wp:effectExtent l="0" t="0" r="19050" b="0"/>
                <wp:wrapNone/>
                <wp:docPr id="36" name="Straight Connector 36"/>
                <wp:cNvGraphicFramePr/>
                <a:graphic xmlns:a="http://schemas.openxmlformats.org/drawingml/2006/main">
                  <a:graphicData uri="http://schemas.microsoft.com/office/word/2010/wordprocessingShape">
                    <wps:wsp>
                      <wps:cNvCnPr/>
                      <wps:spPr>
                        <a:xfrm>
                          <a:off x="0" y="0"/>
                          <a:ext cx="0" cy="232146"/>
                        </a:xfrm>
                        <a:prstGeom prst="line">
                          <a:avLst/>
                        </a:prstGeom>
                        <a:ln w="9525">
                          <a:solidFill>
                            <a:schemeClr val="accent5">
                              <a:lumMod val="60000"/>
                              <a:lumOff val="4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EF19E" id="Straight Connector 3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95.75pt" to="66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" strokecolor="#92cddc [1944]">
                <v:stroke dashstyle="1 1"/>
              </v:line>
            </w:pict>
          </mc:Fallback>
        </mc:AlternateContent>
      </w:r>
      <w:r w:rsidRPr="00261A84">
        <w:rPr>
          <w:noProof/>
          <w:color w:val="365F91" w:themeColor="accent1" w:themeShade="BF"/>
          <w:lang w:val="es-ES" w:eastAsia="es-ES"/>
        </w:rPr>
        <mc:AlternateContent>
          <mc:Choice Requires="wps">
            <w:drawing>
              <wp:anchor distT="0" distB="0" distL="114300" distR="114300" simplePos="0" relativeHeight="251675648" behindDoc="0" locked="0" layoutInCell="1" allowOverlap="1" wp14:anchorId="3B16C819" wp14:editId="74073FDF">
                <wp:simplePos x="0" y="0"/>
                <wp:positionH relativeFrom="column">
                  <wp:posOffset>2692400</wp:posOffset>
                </wp:positionH>
                <wp:positionV relativeFrom="paragraph">
                  <wp:posOffset>353060</wp:posOffset>
                </wp:positionV>
                <wp:extent cx="2133600" cy="245745"/>
                <wp:effectExtent l="0" t="0" r="0" b="0"/>
                <wp:wrapNone/>
                <wp:docPr id="31" name="TextBox 26"/>
                <wp:cNvGraphicFramePr/>
                <a:graphic xmlns:a="http://schemas.openxmlformats.org/drawingml/2006/main">
                  <a:graphicData uri="http://schemas.microsoft.com/office/word/2010/wordprocessingShape">
                    <wps:wsp>
                      <wps:cNvSpPr txBox="1"/>
                      <wps:spPr>
                        <a:xfrm>
                          <a:off x="0" y="0"/>
                          <a:ext cx="2133600" cy="245745"/>
                        </a:xfrm>
                        <a:prstGeom prst="rect">
                          <a:avLst/>
                        </a:prstGeom>
                        <a:noFill/>
                      </wps:spPr>
                      <wps:txbx>
                        <w:txbxContent>
                          <w:p w:rsidR="006D446E" w:rsidRPr="00261A84" w:rsidRDefault="006D446E" w:rsidP="00FC4853">
                            <w:pPr>
                              <w:pStyle w:val="NormalWeb"/>
                              <w:spacing w:before="0" w:beforeAutospacing="0" w:after="0" w:afterAutospacing="0"/>
                              <w:textAlignment w:val="baseline"/>
                              <w:rPr>
                                <w:sz w:val="14"/>
                                <w:szCs w:val="14"/>
                              </w:rPr>
                            </w:pPr>
                            <w:r w:rsidRPr="00261A84">
                              <w:rPr>
                                <w:rFonts w:cs="Arial"/>
                                <w:bCs/>
                                <w:kern w:val="24"/>
                                <w:sz w:val="14"/>
                                <w:szCs w:val="14"/>
                              </w:rPr>
                              <w:t>Total Balancing Actions: buy of 42 000 MWh</w:t>
                            </w:r>
                          </w:p>
                        </w:txbxContent>
                      </wps:txbx>
                      <wps:bodyPr wrap="square" rtlCol="0">
                        <a:spAutoFit/>
                      </wps:bodyPr>
                    </wps:wsp>
                  </a:graphicData>
                </a:graphic>
                <wp14:sizeRelH relativeFrom="margin">
                  <wp14:pctWidth>0</wp14:pctWidth>
                </wp14:sizeRelH>
              </wp:anchor>
            </w:drawing>
          </mc:Choice>
          <mc:Fallback>
            <w:pict>
              <v:shapetype w14:anchorId="3B16C819" id="_x0000_t202" coordsize="21600,21600" o:spt="202" path="m,l,21600r21600,l21600,xe">
                <v:stroke joinstyle="miter"/>
                <v:path gradientshapeok="t" o:connecttype="rect"/>
              </v:shapetype>
              <v:shape id="TextBox 26" o:spid="_x0000_s1026" type="#_x0000_t202" style="position:absolute;left:0;text-align:left;margin-left:212pt;margin-top:27.8pt;width:168pt;height:19.3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" filled="f" stroked="f">
                <v:textbox style="mso-fit-shape-to-text:t">
                  <w:txbxContent>
                    <w:p w:rsidR="006D446E" w:rsidRPr="00261A84" w:rsidRDefault="006D446E" w:rsidP="00FC4853">
                      <w:pPr>
                        <w:pStyle w:val="NormalWeb"/>
                        <w:spacing w:before="0" w:beforeAutospacing="0" w:after="0" w:afterAutospacing="0"/>
                        <w:textAlignment w:val="baseline"/>
                        <w:rPr>
                          <w:sz w:val="14"/>
                          <w:szCs w:val="14"/>
                        </w:rPr>
                      </w:pPr>
                      <w:r w:rsidRPr="00261A84">
                        <w:rPr>
                          <w:rFonts w:cs="Arial"/>
                          <w:bCs/>
                          <w:kern w:val="24"/>
                          <w:sz w:val="14"/>
                          <w:szCs w:val="14"/>
                        </w:rPr>
                        <w:t>Total Balancing Actions: buy of 42 000 MWh</w:t>
                      </w:r>
                    </w:p>
                  </w:txbxContent>
                </v:textbox>
              </v:shape>
            </w:pict>
          </mc:Fallback>
        </mc:AlternateContent>
      </w:r>
      <w:r>
        <w:rPr>
          <w:noProof/>
          <w:lang w:val="es-ES" w:eastAsia="es-ES"/>
        </w:rPr>
        <mc:AlternateContent>
          <mc:Choice Requires="wps">
            <w:drawing>
              <wp:anchor distT="0" distB="0" distL="114300" distR="114300" simplePos="0" relativeHeight="251674624" behindDoc="0" locked="0" layoutInCell="1" allowOverlap="1" wp14:anchorId="552A3137" wp14:editId="4EAEF7B3">
                <wp:simplePos x="0" y="0"/>
                <wp:positionH relativeFrom="column">
                  <wp:posOffset>3962400</wp:posOffset>
                </wp:positionH>
                <wp:positionV relativeFrom="paragraph">
                  <wp:posOffset>876300</wp:posOffset>
                </wp:positionV>
                <wp:extent cx="349250" cy="184150"/>
                <wp:effectExtent l="0" t="0" r="0" b="6350"/>
                <wp:wrapNone/>
                <wp:docPr id="32" name="Text Box 53"/>
                <wp:cNvGraphicFramePr/>
                <a:graphic xmlns:a="http://schemas.openxmlformats.org/drawingml/2006/main">
                  <a:graphicData uri="http://schemas.microsoft.com/office/word/2010/wordprocessingShape">
                    <wps:wsp>
                      <wps:cNvSpPr txBox="1"/>
                      <wps:spPr>
                        <a:xfrm>
                          <a:off x="0" y="0"/>
                          <a:ext cx="349250" cy="184150"/>
                        </a:xfrm>
                        <a:prstGeom prst="rect">
                          <a:avLst/>
                        </a:prstGeom>
                        <a:noFill/>
                        <a:ln w="6350">
                          <a:noFill/>
                        </a:ln>
                      </wps:spPr>
                      <wps:txbx>
                        <w:txbxContent>
                          <w:p w:rsidR="006D446E" w:rsidRDefault="006D446E" w:rsidP="00FC4853">
                            <w:pPr>
                              <w:pStyle w:val="NormalWeb"/>
                              <w:spacing w:before="0" w:beforeAutospacing="0" w:after="0" w:afterAutospacing="0"/>
                            </w:pPr>
                            <w:r>
                              <w:rPr>
                                <w:rFonts w:ascii="Calibri" w:eastAsia="Calibri" w:hAnsi="Calibri"/>
                                <w:sz w:val="14"/>
                                <w:szCs w:val="14"/>
                              </w:rPr>
                              <w:t>30/Jun</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552A3137" id="Text Box 53" o:spid="_x0000_s1027" type="#_x0000_t202" style="position:absolute;left:0;text-align:left;margin-left:312pt;margin-top:69pt;width:27.5pt;height:1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" filled="f" stroked="f" strokeweight=".5pt">
                <v:textbox inset="1mm,1mm,1mm,1mm">
                  <w:txbxContent>
                    <w:p w:rsidR="006D446E" w:rsidRDefault="006D446E" w:rsidP="00FC4853">
                      <w:pPr>
                        <w:pStyle w:val="NormalWeb"/>
                        <w:spacing w:before="0" w:beforeAutospacing="0" w:after="0" w:afterAutospacing="0"/>
                      </w:pPr>
                      <w:r>
                        <w:rPr>
                          <w:rFonts w:ascii="Calibri" w:eastAsia="Calibri" w:hAnsi="Calibri"/>
                          <w:sz w:val="14"/>
                          <w:szCs w:val="14"/>
                        </w:rPr>
                        <w:t>30/Jun</w:t>
                      </w:r>
                    </w:p>
                  </w:txbxContent>
                </v:textbox>
              </v:shape>
            </w:pict>
          </mc:Fallback>
        </mc:AlternateContent>
      </w:r>
      <w:r>
        <w:rPr>
          <w:noProof/>
          <w:lang w:val="es-ES" w:eastAsia="es-ES"/>
        </w:rPr>
        <mc:AlternateContent>
          <mc:Choice Requires="wps">
            <w:drawing>
              <wp:anchor distT="0" distB="0" distL="114300" distR="114300" simplePos="0" relativeHeight="251673600" behindDoc="0" locked="0" layoutInCell="1" allowOverlap="1" wp14:anchorId="29617D5F" wp14:editId="1C137C35">
                <wp:simplePos x="0" y="0"/>
                <wp:positionH relativeFrom="column">
                  <wp:posOffset>3835400</wp:posOffset>
                </wp:positionH>
                <wp:positionV relativeFrom="paragraph">
                  <wp:posOffset>746760</wp:posOffset>
                </wp:positionV>
                <wp:extent cx="349250" cy="184150"/>
                <wp:effectExtent l="0" t="0" r="0" b="6350"/>
                <wp:wrapNone/>
                <wp:docPr id="34" name="Text Box 53"/>
                <wp:cNvGraphicFramePr/>
                <a:graphic xmlns:a="http://schemas.openxmlformats.org/drawingml/2006/main">
                  <a:graphicData uri="http://schemas.microsoft.com/office/word/2010/wordprocessingShape">
                    <wps:wsp>
                      <wps:cNvSpPr txBox="1"/>
                      <wps:spPr>
                        <a:xfrm>
                          <a:off x="0" y="0"/>
                          <a:ext cx="349250" cy="184150"/>
                        </a:xfrm>
                        <a:prstGeom prst="rect">
                          <a:avLst/>
                        </a:prstGeom>
                        <a:noFill/>
                        <a:ln w="6350">
                          <a:noFill/>
                        </a:ln>
                      </wps:spPr>
                      <wps:txbx>
                        <w:txbxContent>
                          <w:p w:rsidR="006D446E" w:rsidRDefault="006D446E" w:rsidP="00FC4853">
                            <w:pPr>
                              <w:pStyle w:val="NormalWeb"/>
                              <w:spacing w:before="0" w:beforeAutospacing="0" w:after="0" w:afterAutospacing="0"/>
                            </w:pPr>
                            <w:r>
                              <w:rPr>
                                <w:rFonts w:ascii="Calibri" w:eastAsia="Calibri" w:hAnsi="Calibri"/>
                                <w:sz w:val="14"/>
                                <w:szCs w:val="14"/>
                              </w:rPr>
                              <w:t>23/Jun</w:t>
                            </w:r>
                          </w:p>
                        </w:txbxContent>
                      </wps:txbx>
                      <wps:bodyPr rot="0" spcFirstLastPara="0"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w14:anchorId="29617D5F" id="_x0000_s1028" type="#_x0000_t202" style="position:absolute;left:0;text-align:left;margin-left:302pt;margin-top:58.8pt;width:27.5pt;height:1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" filled="f" stroked="f" strokeweight=".5pt">
                <v:textbox inset="1mm,1mm,1mm,1mm">
                  <w:txbxContent>
                    <w:p w:rsidR="006D446E" w:rsidRDefault="006D446E" w:rsidP="00FC4853">
                      <w:pPr>
                        <w:pStyle w:val="NormalWeb"/>
                        <w:spacing w:before="0" w:beforeAutospacing="0" w:after="0" w:afterAutospacing="0"/>
                      </w:pPr>
                      <w:r>
                        <w:rPr>
                          <w:rFonts w:ascii="Calibri" w:eastAsia="Calibri" w:hAnsi="Calibri"/>
                          <w:sz w:val="14"/>
                          <w:szCs w:val="14"/>
                        </w:rPr>
                        <w:t>23/Jun</w:t>
                      </w:r>
                    </w:p>
                  </w:txbxContent>
                </v:textbox>
              </v:shape>
            </w:pict>
          </mc:Fallback>
        </mc:AlternateContent>
      </w:r>
      <w:r>
        <w:rPr>
          <w:noProof/>
          <w:lang w:val="es-ES" w:eastAsia="es-ES"/>
        </w:rPr>
        <mc:AlternateContent>
          <mc:Choice Requires="wps">
            <w:drawing>
              <wp:anchor distT="0" distB="0" distL="114300" distR="114300" simplePos="0" relativeHeight="251669504" behindDoc="0" locked="0" layoutInCell="1" allowOverlap="1" wp14:anchorId="3290B6CD" wp14:editId="74C19D21">
                <wp:simplePos x="0" y="0"/>
                <wp:positionH relativeFrom="column">
                  <wp:posOffset>2927350</wp:posOffset>
                </wp:positionH>
                <wp:positionV relativeFrom="paragraph">
                  <wp:posOffset>568960</wp:posOffset>
                </wp:positionV>
                <wp:extent cx="349250" cy="184150"/>
                <wp:effectExtent l="0" t="0" r="0" b="6350"/>
                <wp:wrapNone/>
                <wp:docPr id="35" name="Text Box 53"/>
                <wp:cNvGraphicFramePr/>
                <a:graphic xmlns:a="http://schemas.openxmlformats.org/drawingml/2006/main">
                  <a:graphicData uri="http://schemas.microsoft.com/office/word/2010/wordprocessingShape">
                    <wps:wsp>
                      <wps:cNvSpPr txBox="1"/>
                      <wps:spPr>
                        <a:xfrm>
                          <a:off x="0" y="0"/>
                          <a:ext cx="349250" cy="184150"/>
                        </a:xfrm>
                        <a:prstGeom prst="rect">
                          <a:avLst/>
                        </a:prstGeom>
                        <a:noFill/>
                        <a:ln w="6350">
                          <a:noFill/>
                        </a:ln>
                      </wps:spPr>
                      <wps:txbx>
                        <w:txbxContent>
                          <w:p w:rsidR="006D446E" w:rsidRPr="00264510" w:rsidRDefault="006D446E" w:rsidP="00FC4853">
                            <w:pPr>
                              <w:rPr>
                                <w:sz w:val="14"/>
                                <w:szCs w:val="14"/>
                                <w:lang w:val="pt-PT"/>
                              </w:rPr>
                            </w:pPr>
                            <w:r w:rsidRPr="00264510">
                              <w:rPr>
                                <w:sz w:val="14"/>
                                <w:szCs w:val="14"/>
                                <w:lang w:val="pt-PT"/>
                              </w:rPr>
                              <w:t>20/Apr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0B6CD" id="_x0000_s1029" type="#_x0000_t202" style="position:absolute;left:0;text-align:left;margin-left:230.5pt;margin-top:44.8pt;width:27.5pt;height: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" filled="f" stroked="f" strokeweight=".5pt">
                <v:textbox inset="1mm,1mm,1mm,1mm">
                  <w:txbxContent>
                    <w:p w:rsidR="006D446E" w:rsidRPr="00264510" w:rsidRDefault="006D446E" w:rsidP="00FC4853">
                      <w:pPr>
                        <w:rPr>
                          <w:sz w:val="14"/>
                          <w:szCs w:val="14"/>
                          <w:lang w:val="pt-PT"/>
                        </w:rPr>
                      </w:pPr>
                      <w:r w:rsidRPr="00264510">
                        <w:rPr>
                          <w:sz w:val="14"/>
                          <w:szCs w:val="14"/>
                          <w:lang w:val="pt-PT"/>
                        </w:rPr>
                        <w:t>20/Apr</w:t>
                      </w:r>
                    </w:p>
                  </w:txbxContent>
                </v:textbox>
              </v:shape>
            </w:pict>
          </mc:Fallback>
        </mc:AlternateContent>
      </w:r>
      <w:r>
        <w:rPr>
          <w:noProof/>
          <w:lang w:val="es-ES" w:eastAsia="es-ES"/>
        </w:rPr>
        <mc:AlternateContent>
          <mc:Choice Requires="wps">
            <w:drawing>
              <wp:anchor distT="0" distB="0" distL="114300" distR="114300" simplePos="0" relativeHeight="251672576" behindDoc="0" locked="0" layoutInCell="1" allowOverlap="1" wp14:anchorId="42B5DFD8" wp14:editId="565927D3">
                <wp:simplePos x="0" y="0"/>
                <wp:positionH relativeFrom="column">
                  <wp:posOffset>3308350</wp:posOffset>
                </wp:positionH>
                <wp:positionV relativeFrom="paragraph">
                  <wp:posOffset>977900</wp:posOffset>
                </wp:positionV>
                <wp:extent cx="381000" cy="184150"/>
                <wp:effectExtent l="0" t="0" r="0" b="6350"/>
                <wp:wrapNone/>
                <wp:docPr id="37" name="Text Box 56"/>
                <wp:cNvGraphicFramePr/>
                <a:graphic xmlns:a="http://schemas.openxmlformats.org/drawingml/2006/main">
                  <a:graphicData uri="http://schemas.microsoft.com/office/word/2010/wordprocessingShape">
                    <wps:wsp>
                      <wps:cNvSpPr txBox="1"/>
                      <wps:spPr>
                        <a:xfrm>
                          <a:off x="0" y="0"/>
                          <a:ext cx="381000" cy="184150"/>
                        </a:xfrm>
                        <a:prstGeom prst="rect">
                          <a:avLst/>
                        </a:prstGeom>
                        <a:noFill/>
                        <a:ln w="6350">
                          <a:noFill/>
                        </a:ln>
                      </wps:spPr>
                      <wps:txbx>
                        <w:txbxContent>
                          <w:p w:rsidR="006D446E" w:rsidRPr="00264510" w:rsidRDefault="006D446E" w:rsidP="00FC4853">
                            <w:pPr>
                              <w:rPr>
                                <w:sz w:val="14"/>
                                <w:szCs w:val="14"/>
                                <w:lang w:val="pt-PT"/>
                              </w:rPr>
                            </w:pPr>
                            <w:r>
                              <w:rPr>
                                <w:sz w:val="14"/>
                                <w:szCs w:val="14"/>
                                <w:lang w:val="pt-PT"/>
                              </w:rPr>
                              <w:t>12</w:t>
                            </w:r>
                            <w:r w:rsidRPr="00264510">
                              <w:rPr>
                                <w:sz w:val="14"/>
                                <w:szCs w:val="14"/>
                                <w:lang w:val="pt-PT"/>
                              </w:rPr>
                              <w:t>/</w:t>
                            </w:r>
                            <w:r>
                              <w:rPr>
                                <w:sz w:val="14"/>
                                <w:szCs w:val="14"/>
                                <w:lang w:val="pt-PT"/>
                              </w:rPr>
                              <w:t>May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5DFD8" id="Text Box 56" o:spid="_x0000_s1030" type="#_x0000_t202" style="position:absolute;left:0;text-align:left;margin-left:260.5pt;margin-top:77pt;width:30pt;height: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" filled="f" stroked="f" strokeweight=".5pt">
                <v:textbox inset="1mm,1mm,1mm,1mm">
                  <w:txbxContent>
                    <w:p w:rsidR="006D446E" w:rsidRPr="00264510" w:rsidRDefault="006D446E" w:rsidP="00FC4853">
                      <w:pPr>
                        <w:rPr>
                          <w:sz w:val="14"/>
                          <w:szCs w:val="14"/>
                          <w:lang w:val="pt-PT"/>
                        </w:rPr>
                      </w:pPr>
                      <w:r>
                        <w:rPr>
                          <w:sz w:val="14"/>
                          <w:szCs w:val="14"/>
                          <w:lang w:val="pt-PT"/>
                        </w:rPr>
                        <w:t>12</w:t>
                      </w:r>
                      <w:r w:rsidRPr="00264510">
                        <w:rPr>
                          <w:sz w:val="14"/>
                          <w:szCs w:val="14"/>
                          <w:lang w:val="pt-PT"/>
                        </w:rPr>
                        <w:t>/</w:t>
                      </w:r>
                      <w:r>
                        <w:rPr>
                          <w:sz w:val="14"/>
                          <w:szCs w:val="14"/>
                          <w:lang w:val="pt-PT"/>
                        </w:rPr>
                        <w:t>May</w:t>
                      </w:r>
                    </w:p>
                  </w:txbxContent>
                </v:textbox>
              </v:shape>
            </w:pict>
          </mc:Fallback>
        </mc:AlternateContent>
      </w:r>
      <w:r>
        <w:rPr>
          <w:noProof/>
          <w:lang w:val="es-ES" w:eastAsia="es-ES"/>
        </w:rPr>
        <mc:AlternateContent>
          <mc:Choice Requires="wps">
            <w:drawing>
              <wp:anchor distT="0" distB="0" distL="114300" distR="114300" simplePos="0" relativeHeight="251671552" behindDoc="0" locked="0" layoutInCell="1" allowOverlap="1" wp14:anchorId="3559B8FF" wp14:editId="4E1AE554">
                <wp:simplePos x="0" y="0"/>
                <wp:positionH relativeFrom="column">
                  <wp:posOffset>3181350</wp:posOffset>
                </wp:positionH>
                <wp:positionV relativeFrom="paragraph">
                  <wp:posOffset>880110</wp:posOffset>
                </wp:positionV>
                <wp:extent cx="0" cy="723900"/>
                <wp:effectExtent l="0" t="0" r="19050" b="0"/>
                <wp:wrapNone/>
                <wp:docPr id="38" name="Straight Connector 55"/>
                <wp:cNvGraphicFramePr/>
                <a:graphic xmlns:a="http://schemas.openxmlformats.org/drawingml/2006/main">
                  <a:graphicData uri="http://schemas.microsoft.com/office/word/2010/wordprocessingShape">
                    <wps:wsp>
                      <wps:cNvCnPr/>
                      <wps:spPr>
                        <a:xfrm>
                          <a:off x="0" y="0"/>
                          <a:ext cx="0" cy="723900"/>
                        </a:xfrm>
                        <a:prstGeom prst="line">
                          <a:avLst/>
                        </a:prstGeom>
                        <a:ln w="9525">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A7B8A" id="Straight Connector 5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69.3pt" to="250.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" strokecolor="#c0504d [3205]">
                <v:stroke dashstyle="1 1"/>
              </v:line>
            </w:pict>
          </mc:Fallback>
        </mc:AlternateContent>
      </w:r>
      <w:r>
        <w:rPr>
          <w:noProof/>
          <w:lang w:val="es-ES" w:eastAsia="es-ES"/>
        </w:rPr>
        <mc:AlternateContent>
          <mc:Choice Requires="wps">
            <w:drawing>
              <wp:anchor distT="0" distB="0" distL="114300" distR="114300" simplePos="0" relativeHeight="251670528" behindDoc="0" locked="0" layoutInCell="1" allowOverlap="1" wp14:anchorId="78DCA76C" wp14:editId="440FC741">
                <wp:simplePos x="0" y="0"/>
                <wp:positionH relativeFrom="column">
                  <wp:posOffset>3200400</wp:posOffset>
                </wp:positionH>
                <wp:positionV relativeFrom="paragraph">
                  <wp:posOffset>842010</wp:posOffset>
                </wp:positionV>
                <wp:extent cx="381000" cy="184150"/>
                <wp:effectExtent l="0" t="0" r="0" b="6350"/>
                <wp:wrapNone/>
                <wp:docPr id="39" name="Text Box 54"/>
                <wp:cNvGraphicFramePr/>
                <a:graphic xmlns:a="http://schemas.openxmlformats.org/drawingml/2006/main">
                  <a:graphicData uri="http://schemas.microsoft.com/office/word/2010/wordprocessingShape">
                    <wps:wsp>
                      <wps:cNvSpPr txBox="1"/>
                      <wps:spPr>
                        <a:xfrm>
                          <a:off x="0" y="0"/>
                          <a:ext cx="381000" cy="184150"/>
                        </a:xfrm>
                        <a:prstGeom prst="rect">
                          <a:avLst/>
                        </a:prstGeom>
                        <a:solidFill>
                          <a:schemeClr val="lt1"/>
                        </a:solidFill>
                        <a:ln w="6350">
                          <a:noFill/>
                        </a:ln>
                      </wps:spPr>
                      <wps:txbx>
                        <w:txbxContent>
                          <w:p w:rsidR="006D446E" w:rsidRPr="00264510" w:rsidRDefault="006D446E" w:rsidP="00FC4853">
                            <w:pPr>
                              <w:rPr>
                                <w:sz w:val="14"/>
                                <w:szCs w:val="14"/>
                                <w:lang w:val="pt-PT"/>
                              </w:rPr>
                            </w:pPr>
                            <w:r>
                              <w:rPr>
                                <w:sz w:val="14"/>
                                <w:szCs w:val="14"/>
                                <w:lang w:val="pt-PT"/>
                              </w:rPr>
                              <w:t>05</w:t>
                            </w:r>
                            <w:r w:rsidRPr="00264510">
                              <w:rPr>
                                <w:sz w:val="14"/>
                                <w:szCs w:val="14"/>
                                <w:lang w:val="pt-PT"/>
                              </w:rPr>
                              <w:t>/</w:t>
                            </w:r>
                            <w:r>
                              <w:rPr>
                                <w:sz w:val="14"/>
                                <w:szCs w:val="14"/>
                                <w:lang w:val="pt-PT"/>
                              </w:rPr>
                              <w:t>May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CA76C" id="Text Box 54" o:spid="_x0000_s1031" type="#_x0000_t202" style="position:absolute;left:0;text-align:left;margin-left:252pt;margin-top:66.3pt;width:30pt;height: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" fillcolor="white [3201]" stroked="f" strokeweight=".5pt">
                <v:textbox inset="1mm,1mm,1mm,1mm">
                  <w:txbxContent>
                    <w:p w:rsidR="006D446E" w:rsidRPr="00264510" w:rsidRDefault="006D446E" w:rsidP="00FC4853">
                      <w:pPr>
                        <w:rPr>
                          <w:sz w:val="14"/>
                          <w:szCs w:val="14"/>
                          <w:lang w:val="pt-PT"/>
                        </w:rPr>
                      </w:pPr>
                      <w:r>
                        <w:rPr>
                          <w:sz w:val="14"/>
                          <w:szCs w:val="14"/>
                          <w:lang w:val="pt-PT"/>
                        </w:rPr>
                        <w:t>05</w:t>
                      </w:r>
                      <w:r w:rsidRPr="00264510">
                        <w:rPr>
                          <w:sz w:val="14"/>
                          <w:szCs w:val="14"/>
                          <w:lang w:val="pt-PT"/>
                        </w:rPr>
                        <w:t>/</w:t>
                      </w:r>
                      <w:r>
                        <w:rPr>
                          <w:sz w:val="14"/>
                          <w:szCs w:val="14"/>
                          <w:lang w:val="pt-PT"/>
                        </w:rPr>
                        <w:t>May</w:t>
                      </w:r>
                    </w:p>
                  </w:txbxContent>
                </v:textbox>
              </v:shape>
            </w:pict>
          </mc:Fallback>
        </mc:AlternateContent>
      </w:r>
      <w:r>
        <w:rPr>
          <w:noProof/>
          <w:lang w:val="es-ES" w:eastAsia="es-ES"/>
        </w:rPr>
        <mc:AlternateContent>
          <mc:Choice Requires="wps">
            <w:drawing>
              <wp:anchor distT="0" distB="0" distL="114300" distR="114300" simplePos="0" relativeHeight="251668480" behindDoc="0" locked="0" layoutInCell="1" allowOverlap="1" wp14:anchorId="2C5BED8B" wp14:editId="5DB4BAAC">
                <wp:simplePos x="0" y="0"/>
                <wp:positionH relativeFrom="column">
                  <wp:posOffset>4038600</wp:posOffset>
                </wp:positionH>
                <wp:positionV relativeFrom="paragraph">
                  <wp:posOffset>1019810</wp:posOffset>
                </wp:positionV>
                <wp:extent cx="0" cy="323850"/>
                <wp:effectExtent l="0" t="0" r="19050" b="19050"/>
                <wp:wrapNone/>
                <wp:docPr id="40" name="Straight Connector 46"/>
                <wp:cNvGraphicFramePr/>
                <a:graphic xmlns:a="http://schemas.openxmlformats.org/drawingml/2006/main">
                  <a:graphicData uri="http://schemas.microsoft.com/office/word/2010/wordprocessingShape">
                    <wps:wsp>
                      <wps:cNvCnPr/>
                      <wps:spPr>
                        <a:xfrm>
                          <a:off x="0" y="0"/>
                          <a:ext cx="0" cy="323850"/>
                        </a:xfrm>
                        <a:prstGeom prst="line">
                          <a:avLst/>
                        </a:prstGeom>
                        <a:ln w="9525">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3E629" id="Straight Connector 4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80.3pt" to="318pt,1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" strokecolor="#c0504d [3205]">
                <v:stroke dashstyle="1 1"/>
              </v:line>
            </w:pict>
          </mc:Fallback>
        </mc:AlternateContent>
      </w:r>
      <w:r>
        <w:rPr>
          <w:noProof/>
          <w:lang w:val="es-ES" w:eastAsia="es-ES"/>
        </w:rPr>
        <mc:AlternateContent>
          <mc:Choice Requires="wps">
            <w:drawing>
              <wp:anchor distT="0" distB="0" distL="114300" distR="114300" simplePos="0" relativeHeight="251667456" behindDoc="0" locked="0" layoutInCell="1" allowOverlap="1" wp14:anchorId="796A35C4" wp14:editId="7A9DA5DF">
                <wp:simplePos x="0" y="0"/>
                <wp:positionH relativeFrom="column">
                  <wp:posOffset>3924300</wp:posOffset>
                </wp:positionH>
                <wp:positionV relativeFrom="paragraph">
                  <wp:posOffset>899160</wp:posOffset>
                </wp:positionV>
                <wp:extent cx="0" cy="596900"/>
                <wp:effectExtent l="0" t="0" r="19050" b="12700"/>
                <wp:wrapNone/>
                <wp:docPr id="72" name="Straight Connector 45"/>
                <wp:cNvGraphicFramePr/>
                <a:graphic xmlns:a="http://schemas.openxmlformats.org/drawingml/2006/main">
                  <a:graphicData uri="http://schemas.microsoft.com/office/word/2010/wordprocessingShape">
                    <wps:wsp>
                      <wps:cNvCnPr/>
                      <wps:spPr>
                        <a:xfrm>
                          <a:off x="0" y="0"/>
                          <a:ext cx="0" cy="596900"/>
                        </a:xfrm>
                        <a:prstGeom prst="line">
                          <a:avLst/>
                        </a:prstGeom>
                        <a:ln w="9525">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7B1D66" id="Straight Connector 4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pt,70.8pt" to="309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" strokecolor="#c0504d [3205]">
                <v:stroke dashstyle="1 1"/>
              </v:line>
            </w:pict>
          </mc:Fallback>
        </mc:AlternateContent>
      </w:r>
      <w:r>
        <w:rPr>
          <w:noProof/>
          <w:lang w:val="es-ES" w:eastAsia="es-ES"/>
        </w:rPr>
        <mc:AlternateContent>
          <mc:Choice Requires="wps">
            <w:drawing>
              <wp:anchor distT="0" distB="0" distL="114300" distR="114300" simplePos="0" relativeHeight="251666432" behindDoc="0" locked="0" layoutInCell="1" allowOverlap="1" wp14:anchorId="0CF15E04" wp14:editId="22B078A0">
                <wp:simplePos x="0" y="0"/>
                <wp:positionH relativeFrom="column">
                  <wp:posOffset>3740150</wp:posOffset>
                </wp:positionH>
                <wp:positionV relativeFrom="paragraph">
                  <wp:posOffset>715010</wp:posOffset>
                </wp:positionV>
                <wp:extent cx="0" cy="901700"/>
                <wp:effectExtent l="0" t="0" r="19050" b="12700"/>
                <wp:wrapNone/>
                <wp:docPr id="77" name="Straight Connector 43"/>
                <wp:cNvGraphicFramePr/>
                <a:graphic xmlns:a="http://schemas.openxmlformats.org/drawingml/2006/main">
                  <a:graphicData uri="http://schemas.microsoft.com/office/word/2010/wordprocessingShape">
                    <wps:wsp>
                      <wps:cNvCnPr/>
                      <wps:spPr>
                        <a:xfrm>
                          <a:off x="0" y="0"/>
                          <a:ext cx="0" cy="901700"/>
                        </a:xfrm>
                        <a:prstGeom prst="line">
                          <a:avLst/>
                        </a:prstGeom>
                        <a:ln w="9525">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1B332" id="Straight Connector 4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pt,56.3pt" to="294.5pt,1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" strokecolor="#c0504d [3205]">
                <v:stroke dashstyle="1 1"/>
              </v:line>
            </w:pict>
          </mc:Fallback>
        </mc:AlternateContent>
      </w:r>
      <w:r>
        <w:rPr>
          <w:noProof/>
          <w:lang w:val="es-ES" w:eastAsia="es-ES"/>
        </w:rPr>
        <mc:AlternateContent>
          <mc:Choice Requires="wps">
            <w:drawing>
              <wp:anchor distT="0" distB="0" distL="114300" distR="114300" simplePos="0" relativeHeight="251665408" behindDoc="0" locked="0" layoutInCell="1" allowOverlap="1" wp14:anchorId="67105C4D" wp14:editId="79B1EF6E">
                <wp:simplePos x="0" y="0"/>
                <wp:positionH relativeFrom="column">
                  <wp:posOffset>3371850</wp:posOffset>
                </wp:positionH>
                <wp:positionV relativeFrom="paragraph">
                  <wp:posOffset>1108710</wp:posOffset>
                </wp:positionV>
                <wp:extent cx="0" cy="374650"/>
                <wp:effectExtent l="0" t="0" r="19050" b="6350"/>
                <wp:wrapNone/>
                <wp:docPr id="86" name="Straight Connector 42"/>
                <wp:cNvGraphicFramePr/>
                <a:graphic xmlns:a="http://schemas.openxmlformats.org/drawingml/2006/main">
                  <a:graphicData uri="http://schemas.microsoft.com/office/word/2010/wordprocessingShape">
                    <wps:wsp>
                      <wps:cNvCnPr/>
                      <wps:spPr>
                        <a:xfrm>
                          <a:off x="0" y="0"/>
                          <a:ext cx="0" cy="374650"/>
                        </a:xfrm>
                        <a:prstGeom prst="line">
                          <a:avLst/>
                        </a:prstGeom>
                        <a:ln w="9525">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16405D" id="Straight Connector 4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87.3pt" to="265.5pt,1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" strokecolor="#c0504d [3205]">
                <v:stroke dashstyle="1 1"/>
              </v:line>
            </w:pict>
          </mc:Fallback>
        </mc:AlternateContent>
      </w:r>
      <w:r>
        <w:rPr>
          <w:noProof/>
          <w:lang w:val="es-ES" w:eastAsia="es-ES"/>
        </w:rPr>
        <mc:AlternateContent>
          <mc:Choice Requires="wps">
            <w:drawing>
              <wp:anchor distT="0" distB="0" distL="114300" distR="114300" simplePos="0" relativeHeight="251664384" behindDoc="0" locked="0" layoutInCell="1" allowOverlap="1" wp14:anchorId="3A3B39A9" wp14:editId="0D1FD50D">
                <wp:simplePos x="0" y="0"/>
                <wp:positionH relativeFrom="column">
                  <wp:posOffset>3289300</wp:posOffset>
                </wp:positionH>
                <wp:positionV relativeFrom="paragraph">
                  <wp:posOffset>1000760</wp:posOffset>
                </wp:positionV>
                <wp:extent cx="0" cy="565150"/>
                <wp:effectExtent l="0" t="0" r="19050" b="6350"/>
                <wp:wrapNone/>
                <wp:docPr id="88" name="Straight Connector 41"/>
                <wp:cNvGraphicFramePr/>
                <a:graphic xmlns:a="http://schemas.openxmlformats.org/drawingml/2006/main">
                  <a:graphicData uri="http://schemas.microsoft.com/office/word/2010/wordprocessingShape">
                    <wps:wsp>
                      <wps:cNvCnPr/>
                      <wps:spPr>
                        <a:xfrm>
                          <a:off x="0" y="0"/>
                          <a:ext cx="0" cy="565150"/>
                        </a:xfrm>
                        <a:prstGeom prst="line">
                          <a:avLst/>
                        </a:prstGeom>
                        <a:ln w="9525">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39066" id="Straight Connector 4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78.8pt" to="259pt,1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" strokecolor="#c0504d [3205]">
                <v:stroke dashstyle="1 1"/>
              </v:line>
            </w:pict>
          </mc:Fallback>
        </mc:AlternateContent>
      </w:r>
      <w:r>
        <w:rPr>
          <w:noProof/>
          <w:lang w:val="es-ES" w:eastAsia="es-ES"/>
        </w:rPr>
        <mc:AlternateContent>
          <mc:Choice Requires="wps">
            <w:drawing>
              <wp:anchor distT="0" distB="0" distL="114300" distR="114300" simplePos="0" relativeHeight="251663360" behindDoc="0" locked="0" layoutInCell="1" allowOverlap="1" wp14:anchorId="193D003C" wp14:editId="543EAD3A">
                <wp:simplePos x="0" y="0"/>
                <wp:positionH relativeFrom="column">
                  <wp:posOffset>3079750</wp:posOffset>
                </wp:positionH>
                <wp:positionV relativeFrom="paragraph">
                  <wp:posOffset>740410</wp:posOffset>
                </wp:positionV>
                <wp:extent cx="0" cy="901700"/>
                <wp:effectExtent l="0" t="0" r="19050" b="12700"/>
                <wp:wrapNone/>
                <wp:docPr id="90" name="Straight Connector 37"/>
                <wp:cNvGraphicFramePr/>
                <a:graphic xmlns:a="http://schemas.openxmlformats.org/drawingml/2006/main">
                  <a:graphicData uri="http://schemas.microsoft.com/office/word/2010/wordprocessingShape">
                    <wps:wsp>
                      <wps:cNvCnPr/>
                      <wps:spPr>
                        <a:xfrm>
                          <a:off x="0" y="0"/>
                          <a:ext cx="0" cy="901700"/>
                        </a:xfrm>
                        <a:prstGeom prst="line">
                          <a:avLst/>
                        </a:prstGeom>
                        <a:ln w="9525">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EE015" id="Straight Connector 3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58.3pt" to="242.5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" strokecolor="#c0504d [3205]">
                <v:stroke dashstyle="1 1"/>
              </v:line>
            </w:pict>
          </mc:Fallback>
        </mc:AlternateContent>
      </w:r>
      <w:r>
        <w:rPr>
          <w:noProof/>
          <w:lang w:val="es-ES" w:eastAsia="es-ES"/>
        </w:rPr>
        <w:drawing>
          <wp:inline distT="0" distB="0" distL="0" distR="0" wp14:anchorId="03886317" wp14:editId="224E14BE">
            <wp:extent cx="5400675" cy="2272030"/>
            <wp:effectExtent l="0" t="0" r="0" b="6985"/>
            <wp:docPr id="91"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C4853" w:rsidRDefault="00FC4853" w:rsidP="00FC4853">
      <w:pPr>
        <w:pStyle w:val="Prrafodelista"/>
        <w:spacing w:line="264" w:lineRule="auto"/>
        <w:rPr>
          <w:color w:val="365F91" w:themeColor="accent1" w:themeShade="BF"/>
          <w:lang w:val="en-GB"/>
        </w:rPr>
      </w:pPr>
    </w:p>
    <w:p w:rsidR="00FC4853" w:rsidRPr="00FC4853" w:rsidRDefault="00FC4853" w:rsidP="00FC4853">
      <w:pPr>
        <w:rPr>
          <w:lang w:val="en-US"/>
        </w:rPr>
      </w:pPr>
      <w:r w:rsidRPr="00FC4853">
        <w:rPr>
          <w:lang w:val="en-US"/>
        </w:rPr>
        <w:t xml:space="preserve">After an initial period of adaptation of the overall stakeholders to the new balancing scheme, there was an improvement on the behavior of the system. The first winter period and the lack of gas that affected some of the </w:t>
      </w:r>
      <w:r w:rsidR="008B02D8">
        <w:rPr>
          <w:lang w:val="en-US"/>
        </w:rPr>
        <w:t>users</w:t>
      </w:r>
      <w:r w:rsidR="008B02D8" w:rsidRPr="00FC4853">
        <w:rPr>
          <w:lang w:val="en-US"/>
        </w:rPr>
        <w:t xml:space="preserve"> </w:t>
      </w:r>
      <w:r w:rsidRPr="00FC4853">
        <w:rPr>
          <w:lang w:val="en-US"/>
        </w:rPr>
        <w:t>at Iberian Peninsula caused an accumulated imbalance that took an amount of operational gas to be compensated by balancing services.</w:t>
      </w:r>
    </w:p>
    <w:p w:rsidR="00FC4853" w:rsidRDefault="00FC4853" w:rsidP="00FC4853">
      <w:pPr>
        <w:rPr>
          <w:lang w:val="en-US"/>
        </w:rPr>
      </w:pPr>
      <w:r w:rsidRPr="00FC4853">
        <w:rPr>
          <w:lang w:val="en-US"/>
        </w:rPr>
        <w:t>The total amount of balancing actions taken on this first year totalized a purchase of 42</w:t>
      </w:r>
      <w:r w:rsidR="008B02D8">
        <w:rPr>
          <w:lang w:val="en-US"/>
        </w:rPr>
        <w:t>,</w:t>
      </w:r>
      <w:r w:rsidRPr="00FC4853">
        <w:rPr>
          <w:lang w:val="en-US"/>
        </w:rPr>
        <w:t>000 MWh. This amount of gas was acquired through seven auctions performed over the first year of implementation of the network code, which were triggered when the accumulated deviations were affecting the operational gas available at the TSO disposal.</w:t>
      </w:r>
    </w:p>
    <w:p w:rsidR="00AF43F8" w:rsidRPr="00FC4853" w:rsidRDefault="00AF43F8" w:rsidP="00FC4853">
      <w:pPr>
        <w:rPr>
          <w:lang w:val="en-US"/>
        </w:rPr>
      </w:pPr>
    </w:p>
    <w:tbl>
      <w:tblPr>
        <w:tblW w:w="5704" w:type="dxa"/>
        <w:tblInd w:w="1985" w:type="dxa"/>
        <w:tblCellMar>
          <w:left w:w="0" w:type="dxa"/>
          <w:right w:w="0" w:type="dxa"/>
        </w:tblCellMar>
        <w:tblLook w:val="0600" w:firstRow="0" w:lastRow="0" w:firstColumn="0" w:lastColumn="0" w:noHBand="1" w:noVBand="1"/>
      </w:tblPr>
      <w:tblGrid>
        <w:gridCol w:w="1284"/>
        <w:gridCol w:w="1399"/>
        <w:gridCol w:w="1346"/>
        <w:gridCol w:w="1675"/>
      </w:tblGrid>
      <w:tr w:rsidR="00FC4853" w:rsidRPr="00224B2C" w:rsidTr="00AF43F8">
        <w:trPr>
          <w:trHeight w:val="477"/>
        </w:trPr>
        <w:tc>
          <w:tcPr>
            <w:tcW w:w="1284" w:type="dxa"/>
            <w:tcBorders>
              <w:top w:val="single" w:sz="8" w:space="0" w:color="793335"/>
              <w:left w:val="nil"/>
              <w:bottom w:val="nil"/>
              <w:right w:val="nil"/>
            </w:tcBorders>
            <w:shd w:val="clear" w:color="auto" w:fill="auto"/>
            <w:tcMar>
              <w:top w:w="15" w:type="dxa"/>
              <w:left w:w="15" w:type="dxa"/>
              <w:bottom w:w="0" w:type="dxa"/>
              <w:right w:w="15" w:type="dxa"/>
            </w:tcMar>
            <w:vAlign w:val="center"/>
            <w:hideMark/>
          </w:tcPr>
          <w:p w:rsidR="00FC4853" w:rsidRPr="00170F52" w:rsidRDefault="00FC4853" w:rsidP="008154E2">
            <w:pPr>
              <w:pStyle w:val="Prrafodelista"/>
              <w:rPr>
                <w:sz w:val="16"/>
                <w:szCs w:val="16"/>
                <w:lang w:val="en-US"/>
              </w:rPr>
            </w:pPr>
            <w:r w:rsidRPr="00170F52">
              <w:rPr>
                <w:b/>
                <w:bCs/>
                <w:sz w:val="16"/>
                <w:szCs w:val="16"/>
                <w:lang w:val="en-US"/>
              </w:rPr>
              <w:t> </w:t>
            </w:r>
          </w:p>
        </w:tc>
        <w:tc>
          <w:tcPr>
            <w:tcW w:w="1399" w:type="dxa"/>
            <w:tcBorders>
              <w:top w:val="single" w:sz="8" w:space="0" w:color="793335"/>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jc w:val="center"/>
              <w:rPr>
                <w:sz w:val="16"/>
                <w:szCs w:val="16"/>
                <w:lang w:val="pt-PT"/>
              </w:rPr>
            </w:pPr>
            <w:r w:rsidRPr="00224B2C">
              <w:rPr>
                <w:b/>
                <w:bCs/>
                <w:sz w:val="16"/>
                <w:szCs w:val="16"/>
                <w:lang w:val="pt-PT"/>
              </w:rPr>
              <w:t>Quantity [MWh]</w:t>
            </w:r>
          </w:p>
        </w:tc>
        <w:tc>
          <w:tcPr>
            <w:tcW w:w="1346" w:type="dxa"/>
            <w:tcBorders>
              <w:top w:val="single" w:sz="8" w:space="0" w:color="793335"/>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jc w:val="center"/>
              <w:rPr>
                <w:sz w:val="16"/>
                <w:szCs w:val="16"/>
                <w:lang w:val="pt-PT"/>
              </w:rPr>
            </w:pPr>
            <w:r w:rsidRPr="00224B2C">
              <w:rPr>
                <w:b/>
                <w:bCs/>
                <w:sz w:val="16"/>
                <w:szCs w:val="16"/>
                <w:lang w:val="pt-PT"/>
              </w:rPr>
              <w:t>Auction Price [€]</w:t>
            </w:r>
          </w:p>
        </w:tc>
        <w:tc>
          <w:tcPr>
            <w:tcW w:w="1675" w:type="dxa"/>
            <w:tcBorders>
              <w:top w:val="single" w:sz="8" w:space="0" w:color="793335"/>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jc w:val="center"/>
              <w:rPr>
                <w:sz w:val="16"/>
                <w:szCs w:val="16"/>
                <w:lang w:val="pt-PT"/>
              </w:rPr>
            </w:pPr>
            <w:r w:rsidRPr="00224B2C">
              <w:rPr>
                <w:b/>
                <w:bCs/>
                <w:sz w:val="16"/>
                <w:szCs w:val="16"/>
                <w:lang w:val="pt-PT"/>
              </w:rPr>
              <w:t>Expenditure [k€]</w:t>
            </w:r>
          </w:p>
        </w:tc>
      </w:tr>
      <w:tr w:rsidR="00FC4853" w:rsidRPr="00224B2C" w:rsidTr="00AF43F8">
        <w:trPr>
          <w:trHeight w:val="275"/>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20/04</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19,00 €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114,00 k€</w:t>
            </w:r>
          </w:p>
        </w:tc>
      </w:tr>
      <w:tr w:rsidR="00FC4853" w:rsidRPr="00224B2C" w:rsidTr="00AF43F8">
        <w:trPr>
          <w:trHeight w:val="275"/>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28/04</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19,55 €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117,30 k€</w:t>
            </w:r>
          </w:p>
        </w:tc>
      </w:tr>
      <w:tr w:rsidR="00FC4853" w:rsidRPr="00224B2C" w:rsidTr="00AF43F8">
        <w:trPr>
          <w:trHeight w:val="275"/>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05/05</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19,57 €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117,42 k€</w:t>
            </w:r>
          </w:p>
        </w:tc>
      </w:tr>
      <w:tr w:rsidR="00FC4853" w:rsidRPr="00224B2C" w:rsidTr="00AF43F8">
        <w:trPr>
          <w:trHeight w:val="275"/>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12/05</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19,15 €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114,90 k€</w:t>
            </w:r>
          </w:p>
        </w:tc>
      </w:tr>
      <w:tr w:rsidR="00FC4853" w:rsidRPr="00224B2C" w:rsidTr="00AF43F8">
        <w:trPr>
          <w:trHeight w:val="275"/>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08/06</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18,51 €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111,06 k€</w:t>
            </w:r>
          </w:p>
        </w:tc>
      </w:tr>
      <w:tr w:rsidR="00FC4853" w:rsidRPr="00224B2C" w:rsidTr="00AF43F8">
        <w:trPr>
          <w:trHeight w:val="275"/>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23/06</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19,15 €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114,90 k€</w:t>
            </w:r>
          </w:p>
        </w:tc>
      </w:tr>
      <w:tr w:rsidR="00FC4853" w:rsidRPr="00224B2C" w:rsidTr="00AF43F8">
        <w:trPr>
          <w:trHeight w:val="275"/>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30/06</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18,99 €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sz w:val="16"/>
                <w:szCs w:val="16"/>
                <w:lang w:val="pt-PT"/>
              </w:rPr>
              <w:t>113,94 k€</w:t>
            </w:r>
          </w:p>
        </w:tc>
      </w:tr>
      <w:tr w:rsidR="00FC4853" w:rsidRPr="00224B2C" w:rsidTr="00AF43F8">
        <w:trPr>
          <w:trHeight w:val="275"/>
        </w:trPr>
        <w:tc>
          <w:tcPr>
            <w:tcW w:w="1284" w:type="dxa"/>
            <w:tcBorders>
              <w:top w:val="nil"/>
              <w:left w:val="nil"/>
              <w:bottom w:val="single" w:sz="8" w:space="0" w:color="793335"/>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b/>
                <w:bCs/>
                <w:sz w:val="16"/>
                <w:szCs w:val="16"/>
                <w:lang w:val="pt-PT"/>
              </w:rPr>
              <w:t>TOTAL</w:t>
            </w:r>
          </w:p>
        </w:tc>
        <w:tc>
          <w:tcPr>
            <w:tcW w:w="1399" w:type="dxa"/>
            <w:tcBorders>
              <w:top w:val="nil"/>
              <w:left w:val="nil"/>
              <w:bottom w:val="single" w:sz="8" w:space="0" w:color="793335"/>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b/>
                <w:bCs/>
                <w:sz w:val="16"/>
                <w:szCs w:val="16"/>
                <w:lang w:val="pt-PT"/>
              </w:rPr>
              <w:t>42 000</w:t>
            </w:r>
          </w:p>
        </w:tc>
        <w:tc>
          <w:tcPr>
            <w:tcW w:w="1346" w:type="dxa"/>
            <w:tcBorders>
              <w:top w:val="nil"/>
              <w:left w:val="nil"/>
              <w:bottom w:val="single" w:sz="8" w:space="0" w:color="793335"/>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p>
        </w:tc>
        <w:tc>
          <w:tcPr>
            <w:tcW w:w="1675" w:type="dxa"/>
            <w:tcBorders>
              <w:top w:val="nil"/>
              <w:left w:val="nil"/>
              <w:bottom w:val="single" w:sz="8" w:space="0" w:color="793335"/>
              <w:right w:val="nil"/>
            </w:tcBorders>
            <w:shd w:val="clear" w:color="auto" w:fill="auto"/>
            <w:tcMar>
              <w:top w:w="15" w:type="dxa"/>
              <w:left w:w="15" w:type="dxa"/>
              <w:bottom w:w="0" w:type="dxa"/>
              <w:right w:w="15" w:type="dxa"/>
            </w:tcMar>
            <w:vAlign w:val="center"/>
            <w:hideMark/>
          </w:tcPr>
          <w:p w:rsidR="00FC4853" w:rsidRPr="00224B2C" w:rsidRDefault="00FC4853" w:rsidP="008154E2">
            <w:pPr>
              <w:pStyle w:val="Prrafodelista"/>
              <w:rPr>
                <w:sz w:val="16"/>
                <w:szCs w:val="16"/>
                <w:lang w:val="pt-PT"/>
              </w:rPr>
            </w:pPr>
            <w:r w:rsidRPr="00224B2C">
              <w:rPr>
                <w:b/>
                <w:bCs/>
                <w:sz w:val="16"/>
                <w:szCs w:val="16"/>
                <w:lang w:val="pt-PT"/>
              </w:rPr>
              <w:t>803,52 k€</w:t>
            </w:r>
          </w:p>
        </w:tc>
      </w:tr>
    </w:tbl>
    <w:p w:rsidR="00FC4853" w:rsidRDefault="00FC4853" w:rsidP="00FC4853">
      <w:pPr>
        <w:pStyle w:val="Prrafodelista"/>
        <w:jc w:val="center"/>
        <w:rPr>
          <w:sz w:val="18"/>
          <w:lang w:val="en-US"/>
        </w:rPr>
      </w:pPr>
    </w:p>
    <w:p w:rsidR="00FC4853" w:rsidRPr="009A1A4F" w:rsidRDefault="00FC4853" w:rsidP="00FC4853">
      <w:pPr>
        <w:pStyle w:val="Prrafodelista"/>
        <w:jc w:val="center"/>
        <w:rPr>
          <w:sz w:val="18"/>
          <w:lang w:val="en-US"/>
        </w:rPr>
      </w:pPr>
      <w:r w:rsidRPr="009A1A4F">
        <w:rPr>
          <w:sz w:val="18"/>
          <w:lang w:val="en-US"/>
        </w:rPr>
        <w:t>Table: Purchase balancing actions</w:t>
      </w:r>
    </w:p>
    <w:p w:rsidR="00FC4853" w:rsidRDefault="00FC4853" w:rsidP="00FC4853">
      <w:pPr>
        <w:pStyle w:val="Prrafodelista"/>
        <w:rPr>
          <w:lang w:val="en-US"/>
        </w:rPr>
      </w:pPr>
    </w:p>
    <w:p w:rsidR="00FC4853" w:rsidRPr="00FC4853" w:rsidRDefault="00FC4853" w:rsidP="00FC4853">
      <w:pPr>
        <w:rPr>
          <w:lang w:val="en-US"/>
        </w:rPr>
      </w:pPr>
      <w:r w:rsidRPr="00FC4853">
        <w:rPr>
          <w:lang w:val="en-US"/>
        </w:rPr>
        <w:t>No sell balancing actions were made since it was not considered necessary for the purpose of reestablishment of the operational gas amount.</w:t>
      </w:r>
    </w:p>
    <w:p w:rsidR="00FC4853" w:rsidRPr="00FC4853" w:rsidRDefault="00FC4853" w:rsidP="00FC4853">
      <w:pPr>
        <w:rPr>
          <w:lang w:val="en-US"/>
        </w:rPr>
      </w:pPr>
      <w:r w:rsidRPr="00FC4853">
        <w:rPr>
          <w:lang w:val="en-US"/>
        </w:rPr>
        <w:t>All information concerning the auctions was made available to the users. In the following internet site it was published the methodology and all the technical rules applicable and commercial information regarding the process of applying to the auction</w:t>
      </w:r>
      <w:r w:rsidR="008B02D8">
        <w:rPr>
          <w:lang w:val="en-US"/>
        </w:rPr>
        <w:t>:</w:t>
      </w:r>
    </w:p>
    <w:p w:rsidR="00FC4853" w:rsidRPr="00FC4853" w:rsidRDefault="007D2C40" w:rsidP="00FC4853">
      <w:pPr>
        <w:rPr>
          <w:lang w:val="en-US"/>
        </w:rPr>
      </w:pPr>
      <w:hyperlink r:id="rId31" w:history="1">
        <w:r w:rsidR="00FC4853" w:rsidRPr="00FC4853">
          <w:rPr>
            <w:rStyle w:val="Hipervnculo"/>
            <w:color w:val="auto"/>
            <w:lang w:val="en-US"/>
          </w:rPr>
          <w:t>https://www.ign.ren.pt/web/guest/gestao-comercial1</w:t>
        </w:r>
      </w:hyperlink>
      <w:r w:rsidR="00FC4853" w:rsidRPr="00FC4853">
        <w:rPr>
          <w:lang w:val="en-US"/>
        </w:rPr>
        <w:t xml:space="preserve">. </w:t>
      </w:r>
    </w:p>
    <w:p w:rsidR="00FC4853" w:rsidRPr="00FC4853" w:rsidRDefault="00FC4853" w:rsidP="00FC4853">
      <w:pPr>
        <w:rPr>
          <w:lang w:val="en-US"/>
        </w:rPr>
      </w:pPr>
      <w:r w:rsidRPr="00FC4853">
        <w:rPr>
          <w:lang w:val="en-US"/>
        </w:rPr>
        <w:t>In the following internet site, users and public in general could find the results of each auction that took place, including each one of the calls and the respective results</w:t>
      </w:r>
      <w:r w:rsidR="008B02D8">
        <w:rPr>
          <w:lang w:val="en-US"/>
        </w:rPr>
        <w:t>:</w:t>
      </w:r>
    </w:p>
    <w:p w:rsidR="00FC4853" w:rsidRPr="00FC4853" w:rsidRDefault="007D2C40" w:rsidP="00FC4853">
      <w:pPr>
        <w:rPr>
          <w:lang w:val="en-US"/>
        </w:rPr>
      </w:pPr>
      <w:hyperlink r:id="rId32" w:history="1">
        <w:r w:rsidR="00FC4853" w:rsidRPr="00FC4853">
          <w:rPr>
            <w:rStyle w:val="Hipervnculo"/>
            <w:color w:val="auto"/>
            <w:lang w:val="en-US"/>
          </w:rPr>
          <w:t>https://www.ign.ren.pt/acoes-de-compensacao-do-gtg?p_p_id=listAllocationYear_WAR_renatrportlet&amp;p_p_lifecycle=0&amp;_listAllocationYear_WAR_renatrportlet_implicitModel=true</w:t>
        </w:r>
      </w:hyperlink>
      <w:r w:rsidR="00FC4853" w:rsidRPr="00FC4853">
        <w:rPr>
          <w:lang w:val="en-US"/>
        </w:rPr>
        <w:t xml:space="preserve"> </w:t>
      </w:r>
    </w:p>
    <w:p w:rsidR="00FC4853" w:rsidRDefault="00FC4853" w:rsidP="00FC4853">
      <w:pPr>
        <w:spacing w:before="0" w:after="0" w:line="240" w:lineRule="auto"/>
        <w:rPr>
          <w:lang w:val="en-US"/>
        </w:rPr>
      </w:pPr>
    </w:p>
    <w:p w:rsidR="004F4155" w:rsidRPr="00957C2A" w:rsidRDefault="004F4155" w:rsidP="00A00BD4">
      <w:pPr>
        <w:pStyle w:val="Prrafodelista"/>
        <w:numPr>
          <w:ilvl w:val="1"/>
          <w:numId w:val="12"/>
        </w:numPr>
        <w:spacing w:before="0" w:after="0" w:line="240" w:lineRule="auto"/>
        <w:contextualSpacing w:val="0"/>
        <w:jc w:val="left"/>
        <w:rPr>
          <w:b/>
          <w:lang w:val="en-US"/>
        </w:rPr>
      </w:pPr>
      <w:r w:rsidRPr="00957C2A">
        <w:rPr>
          <w:b/>
          <w:lang w:val="en-US"/>
        </w:rPr>
        <w:t>Imbalances charges</w:t>
      </w:r>
    </w:p>
    <w:p w:rsidR="00036054" w:rsidRDefault="00036054" w:rsidP="004F4155">
      <w:pPr>
        <w:pStyle w:val="Prrafodelista"/>
        <w:spacing w:before="0" w:after="0" w:line="240" w:lineRule="auto"/>
        <w:ind w:left="360"/>
        <w:contextualSpacing w:val="0"/>
        <w:jc w:val="left"/>
        <w:rPr>
          <w:b/>
          <w:lang w:val="en-US"/>
        </w:rPr>
      </w:pPr>
    </w:p>
    <w:p w:rsidR="00036054" w:rsidRDefault="00036054" w:rsidP="00036054">
      <w:pPr>
        <w:pStyle w:val="Prrafodelista"/>
        <w:spacing w:before="0" w:after="0" w:line="240" w:lineRule="auto"/>
        <w:ind w:left="0"/>
        <w:contextualSpacing w:val="0"/>
        <w:jc w:val="left"/>
        <w:rPr>
          <w:b/>
          <w:lang w:val="en-US"/>
        </w:rPr>
      </w:pPr>
      <w:r>
        <w:rPr>
          <w:b/>
          <w:lang w:val="en-US"/>
        </w:rPr>
        <w:t>SPAIN</w:t>
      </w:r>
    </w:p>
    <w:p w:rsidR="00036054" w:rsidRPr="00957C2A" w:rsidRDefault="00036054" w:rsidP="00036054">
      <w:pPr>
        <w:pStyle w:val="Prrafodelista"/>
        <w:spacing w:before="0" w:after="0" w:line="240" w:lineRule="auto"/>
        <w:ind w:left="0"/>
        <w:contextualSpacing w:val="0"/>
        <w:jc w:val="left"/>
        <w:rPr>
          <w:b/>
          <w:lang w:val="en-US"/>
        </w:rPr>
      </w:pPr>
    </w:p>
    <w:p w:rsidR="004F4155" w:rsidRPr="00957C2A" w:rsidRDefault="004F4155" w:rsidP="007576DF">
      <w:pPr>
        <w:pStyle w:val="Prrafodelista"/>
        <w:numPr>
          <w:ilvl w:val="0"/>
          <w:numId w:val="11"/>
        </w:numPr>
        <w:spacing w:before="0" w:after="0"/>
        <w:ind w:right="-285"/>
        <w:contextualSpacing w:val="0"/>
        <w:jc w:val="left"/>
        <w:rPr>
          <w:lang w:val="en-US"/>
        </w:rPr>
      </w:pPr>
      <w:r w:rsidRPr="00957C2A">
        <w:rPr>
          <w:lang w:val="en-US"/>
        </w:rPr>
        <w:t>Daily imbalance cashout quantities of shippers that are long (entries higher than exits)</w:t>
      </w:r>
    </w:p>
    <w:p w:rsidR="004F4155" w:rsidRPr="00957C2A" w:rsidRDefault="004F4155" w:rsidP="007576DF">
      <w:pPr>
        <w:pStyle w:val="Prrafodelista"/>
        <w:numPr>
          <w:ilvl w:val="0"/>
          <w:numId w:val="11"/>
        </w:numPr>
        <w:spacing w:before="0" w:after="0"/>
        <w:contextualSpacing w:val="0"/>
        <w:jc w:val="left"/>
        <w:rPr>
          <w:lang w:val="en-US"/>
        </w:rPr>
      </w:pPr>
      <w:r w:rsidRPr="00957C2A">
        <w:rPr>
          <w:lang w:val="en-US"/>
        </w:rPr>
        <w:t>Daily imbalance cashout quantities of shippers that are short (entries lower than exits)</w:t>
      </w:r>
    </w:p>
    <w:p w:rsidR="004F4155" w:rsidRPr="00957C2A" w:rsidRDefault="004F4155" w:rsidP="007576DF">
      <w:pPr>
        <w:spacing w:after="0"/>
        <w:ind w:left="360"/>
        <w:rPr>
          <w:lang w:val="en-US"/>
        </w:rPr>
      </w:pPr>
      <w:r w:rsidRPr="00957C2A">
        <w:rPr>
          <w:lang w:val="en-US"/>
        </w:rPr>
        <w:t>They both are directly correlated with the gas price and seasonality. As gas price rises on winter approaching, the imbalance cashout quantities increase in absolute values.</w:t>
      </w:r>
    </w:p>
    <w:p w:rsidR="004F4155" w:rsidRPr="00957C2A" w:rsidRDefault="004F4155" w:rsidP="007576DF">
      <w:pPr>
        <w:spacing w:before="0" w:after="0"/>
        <w:jc w:val="center"/>
        <w:rPr>
          <w:lang w:val="en-US"/>
        </w:rPr>
      </w:pPr>
    </w:p>
    <w:p w:rsidR="004F4155" w:rsidRPr="00957C2A" w:rsidRDefault="004F4155" w:rsidP="004F4155">
      <w:pPr>
        <w:spacing w:before="0" w:after="0" w:line="240" w:lineRule="auto"/>
        <w:jc w:val="left"/>
        <w:rPr>
          <w:lang w:val="en-US"/>
        </w:rPr>
      </w:pPr>
    </w:p>
    <w:p w:rsidR="004F4155" w:rsidRDefault="004F4155" w:rsidP="004F4155">
      <w:pPr>
        <w:spacing w:before="0" w:after="0" w:line="240" w:lineRule="auto"/>
        <w:jc w:val="left"/>
        <w:rPr>
          <w:lang w:val="en-US"/>
        </w:rPr>
      </w:pPr>
      <w:r>
        <w:rPr>
          <w:noProof/>
          <w:lang w:val="es-ES" w:eastAsia="es-ES"/>
        </w:rPr>
        <w:drawing>
          <wp:inline distT="0" distB="0" distL="0" distR="0" wp14:anchorId="287E7705" wp14:editId="16A8C4EC">
            <wp:extent cx="5433060" cy="2926080"/>
            <wp:effectExtent l="0" t="0" r="0" b="762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3060" cy="2926080"/>
                    </a:xfrm>
                    <a:prstGeom prst="rect">
                      <a:avLst/>
                    </a:prstGeom>
                    <a:noFill/>
                  </pic:spPr>
                </pic:pic>
              </a:graphicData>
            </a:graphic>
          </wp:inline>
        </w:drawing>
      </w:r>
    </w:p>
    <w:p w:rsidR="004F4155" w:rsidRDefault="004F4155" w:rsidP="004F4155">
      <w:pPr>
        <w:spacing w:before="0" w:after="0" w:line="240" w:lineRule="auto"/>
        <w:jc w:val="left"/>
        <w:rPr>
          <w:lang w:val="en-US"/>
        </w:rPr>
      </w:pPr>
    </w:p>
    <w:p w:rsidR="004F4155" w:rsidRPr="00957C2A" w:rsidRDefault="004F4155" w:rsidP="00A00BD4">
      <w:pPr>
        <w:pStyle w:val="Prrafodelista"/>
        <w:numPr>
          <w:ilvl w:val="0"/>
          <w:numId w:val="11"/>
        </w:numPr>
        <w:spacing w:before="0" w:after="0" w:line="240" w:lineRule="auto"/>
        <w:contextualSpacing w:val="0"/>
        <w:jc w:val="left"/>
        <w:rPr>
          <w:lang w:val="en-US"/>
        </w:rPr>
      </w:pPr>
      <w:r w:rsidRPr="00957C2A">
        <w:rPr>
          <w:lang w:val="en-US"/>
        </w:rPr>
        <w:t>Maximum and Minimum imbalance quantities.</w:t>
      </w:r>
    </w:p>
    <w:p w:rsidR="004F4155" w:rsidRPr="00213558" w:rsidRDefault="004F4155" w:rsidP="004F4155">
      <w:pPr>
        <w:pStyle w:val="Prrafodelista"/>
        <w:spacing w:before="0" w:after="0" w:line="240" w:lineRule="auto"/>
        <w:contextualSpacing w:val="0"/>
        <w:jc w:val="left"/>
        <w:rPr>
          <w:lang w:val="en-US"/>
        </w:rPr>
      </w:pPr>
    </w:p>
    <w:p w:rsidR="004F4155" w:rsidRDefault="004F4155" w:rsidP="004F4155">
      <w:pPr>
        <w:pStyle w:val="Prrafodelista"/>
        <w:spacing w:before="0" w:after="0" w:line="240" w:lineRule="auto"/>
        <w:contextualSpacing w:val="0"/>
        <w:jc w:val="center"/>
        <w:rPr>
          <w:color w:val="FF0000"/>
          <w:lang w:val="es-ES"/>
        </w:rPr>
      </w:pPr>
      <w:r>
        <w:rPr>
          <w:noProof/>
          <w:lang w:val="es-ES" w:eastAsia="es-ES"/>
        </w:rPr>
        <w:drawing>
          <wp:inline distT="0" distB="0" distL="0" distR="0" wp14:anchorId="63975DDC" wp14:editId="40F8AFBE">
            <wp:extent cx="1987399" cy="866775"/>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91682" cy="868643"/>
                    </a:xfrm>
                    <a:prstGeom prst="rect">
                      <a:avLst/>
                    </a:prstGeom>
                  </pic:spPr>
                </pic:pic>
              </a:graphicData>
            </a:graphic>
          </wp:inline>
        </w:drawing>
      </w:r>
    </w:p>
    <w:p w:rsidR="004F4155" w:rsidRPr="000F4406" w:rsidRDefault="004F4155" w:rsidP="004F4155">
      <w:pPr>
        <w:spacing w:before="0" w:after="0" w:line="240" w:lineRule="auto"/>
        <w:jc w:val="left"/>
        <w:rPr>
          <w:lang w:val="es-ES"/>
        </w:rPr>
      </w:pPr>
    </w:p>
    <w:p w:rsidR="004F4155" w:rsidRPr="00957C2A" w:rsidRDefault="004F4155" w:rsidP="007576DF">
      <w:pPr>
        <w:pStyle w:val="Prrafodelista"/>
        <w:numPr>
          <w:ilvl w:val="0"/>
          <w:numId w:val="11"/>
        </w:numPr>
        <w:spacing w:before="0" w:after="0"/>
        <w:contextualSpacing w:val="0"/>
        <w:jc w:val="left"/>
        <w:rPr>
          <w:lang w:val="en-US"/>
        </w:rPr>
      </w:pPr>
      <w:r w:rsidRPr="00957C2A">
        <w:rPr>
          <w:lang w:val="en-US"/>
        </w:rPr>
        <w:t>Information on imbalance tariffs: calculation, small adjustments, maximum, minimum and average imbalances tariffs, evolution of imbalances tariffs, etc.</w:t>
      </w:r>
    </w:p>
    <w:tbl>
      <w:tblPr>
        <w:tblW w:w="8868" w:type="dxa"/>
        <w:tblInd w:w="708" w:type="dxa"/>
        <w:tblCellMar>
          <w:left w:w="70" w:type="dxa"/>
          <w:right w:w="70" w:type="dxa"/>
        </w:tblCellMar>
        <w:tblLook w:val="04A0" w:firstRow="1" w:lastRow="0" w:firstColumn="1" w:lastColumn="0" w:noHBand="0" w:noVBand="1"/>
      </w:tblPr>
      <w:tblGrid>
        <w:gridCol w:w="8868"/>
      </w:tblGrid>
      <w:tr w:rsidR="004F4155" w:rsidRPr="00957C2A" w:rsidTr="004F4155">
        <w:trPr>
          <w:trHeight w:val="300"/>
        </w:trPr>
        <w:tc>
          <w:tcPr>
            <w:tcW w:w="8868" w:type="dxa"/>
            <w:tcBorders>
              <w:top w:val="nil"/>
              <w:left w:val="nil"/>
              <w:bottom w:val="nil"/>
              <w:right w:val="nil"/>
            </w:tcBorders>
            <w:shd w:val="clear" w:color="auto" w:fill="auto"/>
            <w:noWrap/>
            <w:vAlign w:val="bottom"/>
            <w:hideMark/>
          </w:tcPr>
          <w:p w:rsidR="004F4155" w:rsidRPr="00957C2A" w:rsidRDefault="004F4155" w:rsidP="007576DF">
            <w:pPr>
              <w:jc w:val="right"/>
              <w:rPr>
                <w:lang w:val="en-US"/>
              </w:rPr>
            </w:pPr>
            <w:r w:rsidRPr="00957C2A">
              <w:rPr>
                <w:noProof/>
                <w:lang w:val="es-ES" w:eastAsia="es-ES"/>
              </w:rPr>
              <w:drawing>
                <wp:inline distT="0" distB="0" distL="0" distR="0" wp14:anchorId="1F7AD84E" wp14:editId="46C8D85D">
                  <wp:extent cx="5440680" cy="2971800"/>
                  <wp:effectExtent l="0" t="0" r="762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0680" cy="2971800"/>
                          </a:xfrm>
                          <a:prstGeom prst="rect">
                            <a:avLst/>
                          </a:prstGeom>
                          <a:noFill/>
                        </pic:spPr>
                      </pic:pic>
                    </a:graphicData>
                  </a:graphic>
                </wp:inline>
              </w:drawing>
            </w:r>
          </w:p>
          <w:p w:rsidR="004F4155" w:rsidRPr="00957C2A" w:rsidRDefault="004F4155" w:rsidP="007576DF">
            <w:pPr>
              <w:spacing w:after="0"/>
              <w:rPr>
                <w:u w:val="single"/>
                <w:lang w:val="en-US"/>
              </w:rPr>
            </w:pPr>
            <w:r w:rsidRPr="00957C2A">
              <w:rPr>
                <w:u w:val="single"/>
                <w:lang w:val="en-US"/>
              </w:rPr>
              <w:t>Marginal Purchase Price</w:t>
            </w:r>
          </w:p>
        </w:tc>
      </w:tr>
      <w:tr w:rsidR="004F4155" w:rsidRPr="00957C2A" w:rsidTr="004F4155">
        <w:trPr>
          <w:trHeight w:val="300"/>
        </w:trPr>
        <w:tc>
          <w:tcPr>
            <w:tcW w:w="8868" w:type="dxa"/>
            <w:tcBorders>
              <w:top w:val="nil"/>
              <w:left w:val="nil"/>
              <w:bottom w:val="nil"/>
              <w:right w:val="nil"/>
            </w:tcBorders>
            <w:shd w:val="clear" w:color="auto" w:fill="auto"/>
            <w:noWrap/>
            <w:vAlign w:val="bottom"/>
            <w:hideMark/>
          </w:tcPr>
          <w:p w:rsidR="004F4155" w:rsidRPr="00957C2A" w:rsidRDefault="004F4155" w:rsidP="007576DF">
            <w:pPr>
              <w:spacing w:after="0"/>
              <w:rPr>
                <w:lang w:val="en-US"/>
              </w:rPr>
            </w:pPr>
            <w:r w:rsidRPr="00957C2A">
              <w:rPr>
                <w:lang w:val="en-US"/>
              </w:rPr>
              <w:t>This price is calculated as the highest between:</w:t>
            </w:r>
          </w:p>
          <w:p w:rsidR="004F4155" w:rsidRPr="00957C2A" w:rsidRDefault="004F4155" w:rsidP="007576DF">
            <w:pPr>
              <w:pStyle w:val="Prrafodelista"/>
              <w:numPr>
                <w:ilvl w:val="0"/>
                <w:numId w:val="15"/>
              </w:numPr>
              <w:spacing w:before="0" w:after="0"/>
              <w:contextualSpacing w:val="0"/>
              <w:rPr>
                <w:lang w:val="en-US"/>
              </w:rPr>
            </w:pPr>
            <w:r w:rsidRPr="00957C2A">
              <w:rPr>
                <w:lang w:val="en-US"/>
              </w:rPr>
              <w:t>The highest price of purchases of title products</w:t>
            </w:r>
            <w:r w:rsidR="008B02D8">
              <w:rPr>
                <w:lang w:val="en-US"/>
              </w:rPr>
              <w:t xml:space="preserve"> by</w:t>
            </w:r>
            <w:r w:rsidRPr="00957C2A">
              <w:rPr>
                <w:lang w:val="en-US"/>
              </w:rPr>
              <w:t xml:space="preserve"> </w:t>
            </w:r>
            <w:r w:rsidR="008B02D8">
              <w:rPr>
                <w:lang w:val="en-US"/>
              </w:rPr>
              <w:t xml:space="preserve">the </w:t>
            </w:r>
            <w:r w:rsidRPr="00957C2A">
              <w:rPr>
                <w:lang w:val="en-US"/>
              </w:rPr>
              <w:t>GTS in PVB for the day of gas.</w:t>
            </w:r>
          </w:p>
          <w:p w:rsidR="004F4155" w:rsidRPr="00957C2A" w:rsidRDefault="004F4155" w:rsidP="007576DF">
            <w:pPr>
              <w:pStyle w:val="Prrafodelista"/>
              <w:numPr>
                <w:ilvl w:val="0"/>
                <w:numId w:val="15"/>
              </w:numPr>
              <w:spacing w:before="0" w:after="0"/>
              <w:contextualSpacing w:val="0"/>
              <w:rPr>
                <w:lang w:val="en-US"/>
              </w:rPr>
            </w:pPr>
            <w:r w:rsidRPr="00957C2A">
              <w:rPr>
                <w:lang w:val="en-US"/>
              </w:rPr>
              <w:t>The weighted average price of the gas of that gas day plus a minor adjustment of purchase. The minor purchase adjustment is 2.5%.</w:t>
            </w:r>
          </w:p>
          <w:p w:rsidR="004F4155" w:rsidRPr="00957C2A" w:rsidRDefault="004F4155" w:rsidP="007576DF">
            <w:pPr>
              <w:spacing w:after="0"/>
              <w:rPr>
                <w:u w:val="single"/>
                <w:lang w:val="en-US"/>
              </w:rPr>
            </w:pPr>
            <w:r w:rsidRPr="00957C2A">
              <w:rPr>
                <w:u w:val="single"/>
                <w:lang w:val="en-US"/>
              </w:rPr>
              <w:t>Marginal Sale Price</w:t>
            </w:r>
          </w:p>
          <w:p w:rsidR="004F4155" w:rsidRPr="00957C2A" w:rsidRDefault="004F4155" w:rsidP="007576DF">
            <w:pPr>
              <w:spacing w:after="0"/>
              <w:rPr>
                <w:lang w:val="en-US"/>
              </w:rPr>
            </w:pPr>
            <w:r w:rsidRPr="00957C2A">
              <w:rPr>
                <w:lang w:val="en-US"/>
              </w:rPr>
              <w:t>This price will be calculated as the lowest between:</w:t>
            </w:r>
          </w:p>
          <w:p w:rsidR="004F4155" w:rsidRPr="00957C2A" w:rsidRDefault="004F4155" w:rsidP="007576DF">
            <w:pPr>
              <w:pStyle w:val="Prrafodelista"/>
              <w:numPr>
                <w:ilvl w:val="0"/>
                <w:numId w:val="16"/>
              </w:numPr>
              <w:spacing w:before="0" w:after="0"/>
              <w:contextualSpacing w:val="0"/>
              <w:rPr>
                <w:lang w:val="en-US"/>
              </w:rPr>
            </w:pPr>
            <w:r w:rsidRPr="00957C2A">
              <w:rPr>
                <w:lang w:val="en-US"/>
              </w:rPr>
              <w:t xml:space="preserve">The lowest price of the transactions of the sales of </w:t>
            </w:r>
            <w:r w:rsidR="008B02D8">
              <w:rPr>
                <w:lang w:val="en-US"/>
              </w:rPr>
              <w:t xml:space="preserve">title </w:t>
            </w:r>
            <w:r w:rsidRPr="00957C2A">
              <w:rPr>
                <w:lang w:val="en-US"/>
              </w:rPr>
              <w:t xml:space="preserve">products </w:t>
            </w:r>
            <w:r w:rsidR="008B02D8">
              <w:rPr>
                <w:lang w:val="en-US"/>
              </w:rPr>
              <w:t xml:space="preserve">by </w:t>
            </w:r>
            <w:r w:rsidRPr="00957C2A">
              <w:rPr>
                <w:lang w:val="en-US"/>
              </w:rPr>
              <w:t>the GTS in PVB for the day of gas.</w:t>
            </w:r>
          </w:p>
          <w:p w:rsidR="004F4155" w:rsidRPr="00957C2A" w:rsidRDefault="004F4155" w:rsidP="007576DF">
            <w:pPr>
              <w:pStyle w:val="Prrafodelista"/>
              <w:numPr>
                <w:ilvl w:val="0"/>
                <w:numId w:val="16"/>
              </w:numPr>
              <w:spacing w:before="0" w:after="0"/>
              <w:contextualSpacing w:val="0"/>
              <w:rPr>
                <w:lang w:val="en-US"/>
              </w:rPr>
            </w:pPr>
            <w:r w:rsidRPr="00957C2A">
              <w:rPr>
                <w:lang w:val="en-US"/>
              </w:rPr>
              <w:t>The weighted average price of the gas of said gas day less a minor adjustment of sale. The minor sale adjustment will be 2.5%.</w:t>
            </w:r>
          </w:p>
          <w:p w:rsidR="004F4155" w:rsidRPr="00957C2A" w:rsidRDefault="004F4155" w:rsidP="007576DF">
            <w:pPr>
              <w:spacing w:after="0"/>
              <w:rPr>
                <w:lang w:val="en-US"/>
              </w:rPr>
            </w:pPr>
          </w:p>
        </w:tc>
      </w:tr>
    </w:tbl>
    <w:p w:rsidR="004F4155" w:rsidRPr="00957C2A" w:rsidRDefault="004F4155" w:rsidP="004F4155">
      <w:pPr>
        <w:spacing w:before="0" w:after="0" w:line="240" w:lineRule="auto"/>
        <w:jc w:val="left"/>
        <w:rPr>
          <w:lang w:val="en-US"/>
        </w:rPr>
      </w:pPr>
    </w:p>
    <w:p w:rsidR="004F4155" w:rsidRPr="00957C2A" w:rsidRDefault="004F4155" w:rsidP="00A00BD4">
      <w:pPr>
        <w:pStyle w:val="Prrafodelista"/>
        <w:numPr>
          <w:ilvl w:val="0"/>
          <w:numId w:val="11"/>
        </w:numPr>
        <w:spacing w:before="0" w:after="0" w:line="240" w:lineRule="auto"/>
        <w:contextualSpacing w:val="0"/>
        <w:jc w:val="left"/>
        <w:rPr>
          <w:lang w:val="en-US"/>
        </w:rPr>
      </w:pPr>
      <w:r w:rsidRPr="00957C2A">
        <w:rPr>
          <w:lang w:val="en-US"/>
        </w:rPr>
        <w:t xml:space="preserve">Conclusions that can be drawn from the figures. </w:t>
      </w:r>
    </w:p>
    <w:p w:rsidR="004F4155" w:rsidRDefault="004F4155" w:rsidP="004F4155">
      <w:pPr>
        <w:ind w:left="-709"/>
        <w:jc w:val="right"/>
        <w:rPr>
          <w:lang w:val="en-US"/>
        </w:rPr>
      </w:pPr>
      <w:r>
        <w:rPr>
          <w:noProof/>
          <w:lang w:val="es-ES" w:eastAsia="es-ES"/>
        </w:rPr>
        <w:drawing>
          <wp:inline distT="0" distB="0" distL="0" distR="0" wp14:anchorId="2221522F" wp14:editId="735AAC37">
            <wp:extent cx="5753097" cy="761298"/>
            <wp:effectExtent l="0" t="0" r="635" b="127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59129" cy="762096"/>
                    </a:xfrm>
                    <a:prstGeom prst="rect">
                      <a:avLst/>
                    </a:prstGeom>
                  </pic:spPr>
                </pic:pic>
              </a:graphicData>
            </a:graphic>
          </wp:inline>
        </w:drawing>
      </w:r>
    </w:p>
    <w:p w:rsidR="004F4155" w:rsidRPr="00957C2A" w:rsidRDefault="004F4155" w:rsidP="007576DF">
      <w:pPr>
        <w:spacing w:after="0"/>
        <w:rPr>
          <w:lang w:val="en-US"/>
        </w:rPr>
      </w:pPr>
      <w:r w:rsidRPr="00957C2A">
        <w:rPr>
          <w:lang w:val="en-US"/>
        </w:rPr>
        <w:t xml:space="preserve">Generally, </w:t>
      </w:r>
      <w:r w:rsidR="008B02D8">
        <w:rPr>
          <w:lang w:val="en-US"/>
        </w:rPr>
        <w:t>us</w:t>
      </w:r>
      <w:r w:rsidRPr="00957C2A">
        <w:rPr>
          <w:lang w:val="en-US"/>
        </w:rPr>
        <w:t xml:space="preserve">ers stay short of gas rather than long, meaning that the GTS must take more buy balancing actions than sells. In comparison with their entries the imbalance is very small.  </w:t>
      </w:r>
    </w:p>
    <w:p w:rsidR="004F4155" w:rsidRPr="00957C2A" w:rsidRDefault="004F4155" w:rsidP="007576DF">
      <w:pPr>
        <w:spacing w:after="0"/>
        <w:rPr>
          <w:lang w:val="en-US"/>
        </w:rPr>
      </w:pPr>
      <w:r w:rsidRPr="00957C2A">
        <w:rPr>
          <w:lang w:val="en-US"/>
        </w:rPr>
        <w:t>Throughout the analyzed period, the marginal purchase price has been calculated as the highest price of the purchases of the GTS in the PVB in 21 times. However, the marginal sale price has only been calculated as the lowest price of the sales of the GTS in the PVB in only 3 times.</w:t>
      </w:r>
    </w:p>
    <w:p w:rsidR="004F4155" w:rsidRDefault="004F4155" w:rsidP="004F4155">
      <w:pPr>
        <w:spacing w:before="0" w:after="0" w:line="240" w:lineRule="auto"/>
        <w:ind w:left="708"/>
        <w:rPr>
          <w:color w:val="4F81BD" w:themeColor="accent1"/>
          <w:lang w:val="en-US"/>
        </w:rPr>
      </w:pPr>
    </w:p>
    <w:p w:rsidR="008A161D" w:rsidRPr="008A161D" w:rsidRDefault="008A161D" w:rsidP="008A161D">
      <w:pPr>
        <w:spacing w:before="0" w:after="0" w:line="240" w:lineRule="auto"/>
        <w:rPr>
          <w:b/>
          <w:lang w:val="en-US"/>
        </w:rPr>
      </w:pPr>
      <w:r w:rsidRPr="008A161D">
        <w:rPr>
          <w:b/>
          <w:lang w:val="en-US"/>
        </w:rPr>
        <w:t>FRANCE</w:t>
      </w:r>
    </w:p>
    <w:p w:rsidR="008A161D" w:rsidRDefault="008A161D" w:rsidP="008A161D">
      <w:pPr>
        <w:spacing w:before="0" w:after="0" w:line="240" w:lineRule="auto"/>
        <w:rPr>
          <w:b/>
          <w:lang w:val="en-US"/>
        </w:rPr>
      </w:pPr>
    </w:p>
    <w:p w:rsidR="007576DF" w:rsidRPr="008A161D" w:rsidRDefault="007576DF" w:rsidP="008A161D">
      <w:pPr>
        <w:spacing w:before="0" w:after="0" w:line="240" w:lineRule="auto"/>
        <w:rPr>
          <w:b/>
          <w:lang w:val="en-US"/>
        </w:rPr>
      </w:pPr>
    </w:p>
    <w:p w:rsidR="008A161D" w:rsidRDefault="008A161D" w:rsidP="008A161D">
      <w:pPr>
        <w:spacing w:before="0" w:after="0" w:line="240" w:lineRule="auto"/>
        <w:rPr>
          <w:b/>
          <w:lang w:val="en-US"/>
        </w:rPr>
      </w:pPr>
      <w:r w:rsidRPr="008A161D">
        <w:rPr>
          <w:b/>
          <w:lang w:val="en-US"/>
        </w:rPr>
        <w:t>PORTUGAL</w:t>
      </w:r>
    </w:p>
    <w:p w:rsidR="008A161D" w:rsidRPr="008A161D" w:rsidRDefault="008A161D" w:rsidP="007576DF">
      <w:pPr>
        <w:spacing w:after="0"/>
        <w:rPr>
          <w:lang w:val="en-US"/>
        </w:rPr>
      </w:pPr>
      <w:r w:rsidRPr="008A161D">
        <w:rPr>
          <w:lang w:val="en-US"/>
        </w:rPr>
        <w:t>In the beginning of the gas year 2016/2017, some imbalances, short and long</w:t>
      </w:r>
      <w:r w:rsidR="008B02D8">
        <w:rPr>
          <w:lang w:val="en-US"/>
        </w:rPr>
        <w:t>,</w:t>
      </w:r>
      <w:r w:rsidRPr="008A161D">
        <w:rPr>
          <w:lang w:val="en-US"/>
        </w:rPr>
        <w:t xml:space="preserve"> occurred due to the lack of experience of stakeholders </w:t>
      </w:r>
      <w:r w:rsidR="008B02D8">
        <w:rPr>
          <w:lang w:val="en-US"/>
        </w:rPr>
        <w:t>with</w:t>
      </w:r>
      <w:r w:rsidRPr="008A161D">
        <w:rPr>
          <w:lang w:val="en-US"/>
        </w:rPr>
        <w:t xml:space="preserve"> the new balancing scheme. Considering the high impact of this implementation, it was decided by the NRA, after proposal of the system operators, that the total imbalances accumulated in the first month of implementation should not be charged. Instead, the amounts incurred by each </w:t>
      </w:r>
      <w:r w:rsidR="008B02D8">
        <w:rPr>
          <w:lang w:val="en-US"/>
        </w:rPr>
        <w:t>user</w:t>
      </w:r>
      <w:r w:rsidR="008B02D8" w:rsidRPr="008A161D">
        <w:rPr>
          <w:lang w:val="en-US"/>
        </w:rPr>
        <w:t xml:space="preserve"> </w:t>
      </w:r>
      <w:r w:rsidRPr="008A161D">
        <w:rPr>
          <w:lang w:val="en-US"/>
        </w:rPr>
        <w:t>were compensated by operational gas that was reseated at that time.</w:t>
      </w:r>
    </w:p>
    <w:p w:rsidR="008A161D" w:rsidRDefault="008A161D" w:rsidP="008A161D">
      <w:pPr>
        <w:ind w:left="426"/>
        <w:rPr>
          <w:color w:val="365F91" w:themeColor="accent1" w:themeShade="BF"/>
          <w:lang w:val="en-US"/>
        </w:rPr>
      </w:pPr>
    </w:p>
    <w:p w:rsidR="008A161D" w:rsidRDefault="008A161D" w:rsidP="008A161D">
      <w:pPr>
        <w:pStyle w:val="Prrafodelista"/>
        <w:jc w:val="center"/>
        <w:rPr>
          <w:rFonts w:ascii="Calibri" w:hAnsi="Calibri"/>
          <w:lang w:val="en-US"/>
        </w:rPr>
      </w:pPr>
      <w:r>
        <w:rPr>
          <w:noProof/>
          <w:lang w:val="es-ES" w:eastAsia="es-ES"/>
        </w:rPr>
        <w:drawing>
          <wp:inline distT="0" distB="0" distL="0" distR="0" wp14:anchorId="788D9D55" wp14:editId="6BD9C0AF">
            <wp:extent cx="5400675" cy="2962894"/>
            <wp:effectExtent l="0" t="0" r="0" b="0"/>
            <wp:docPr id="1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W w:w="3394" w:type="dxa"/>
        <w:jc w:val="center"/>
        <w:tblCellMar>
          <w:left w:w="70" w:type="dxa"/>
          <w:right w:w="70" w:type="dxa"/>
        </w:tblCellMar>
        <w:tblLook w:val="04A0" w:firstRow="1" w:lastRow="0" w:firstColumn="1" w:lastColumn="0" w:noHBand="0" w:noVBand="1"/>
      </w:tblPr>
      <w:tblGrid>
        <w:gridCol w:w="739"/>
        <w:gridCol w:w="823"/>
        <w:gridCol w:w="823"/>
        <w:gridCol w:w="1009"/>
      </w:tblGrid>
      <w:tr w:rsidR="008A161D" w:rsidRPr="00AC757E" w:rsidTr="008154E2">
        <w:trPr>
          <w:trHeight w:val="450"/>
          <w:jc w:val="center"/>
        </w:trPr>
        <w:tc>
          <w:tcPr>
            <w:tcW w:w="739" w:type="dxa"/>
            <w:vMerge w:val="restart"/>
            <w:tcBorders>
              <w:top w:val="nil"/>
              <w:left w:val="nil"/>
              <w:bottom w:val="single" w:sz="4" w:space="0" w:color="000000"/>
              <w:right w:val="single" w:sz="4" w:space="0" w:color="auto"/>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NU Long</w:t>
            </w:r>
          </w:p>
        </w:tc>
        <w:tc>
          <w:tcPr>
            <w:tcW w:w="823" w:type="dxa"/>
            <w:vMerge w:val="restart"/>
            <w:tcBorders>
              <w:top w:val="nil"/>
              <w:left w:val="single" w:sz="4" w:space="0" w:color="auto"/>
              <w:bottom w:val="single" w:sz="4" w:space="0" w:color="000000"/>
              <w:right w:val="nil"/>
            </w:tcBorders>
            <w:shd w:val="clear" w:color="auto" w:fill="auto"/>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 xml:space="preserve">Energy </w:t>
            </w:r>
            <w:r w:rsidRPr="00AC757E">
              <w:rPr>
                <w:rFonts w:ascii="Calibri" w:hAnsi="Calibri" w:cs="Calibri"/>
                <w:b/>
                <w:bCs/>
                <w:sz w:val="18"/>
                <w:szCs w:val="18"/>
                <w:lang w:val="pt-PT" w:eastAsia="pt-PT"/>
              </w:rPr>
              <w:br/>
              <w:t>[MWh]</w:t>
            </w:r>
          </w:p>
        </w:tc>
        <w:tc>
          <w:tcPr>
            <w:tcW w:w="823" w:type="dxa"/>
            <w:vMerge w:val="restart"/>
            <w:tcBorders>
              <w:top w:val="nil"/>
              <w:left w:val="nil"/>
              <w:bottom w:val="single" w:sz="4" w:space="0" w:color="000000"/>
              <w:right w:val="nil"/>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w:t>
            </w:r>
          </w:p>
        </w:tc>
        <w:tc>
          <w:tcPr>
            <w:tcW w:w="1009" w:type="dxa"/>
            <w:vMerge w:val="restart"/>
            <w:tcBorders>
              <w:top w:val="nil"/>
              <w:left w:val="nil"/>
              <w:bottom w:val="single" w:sz="4" w:space="0" w:color="000000"/>
              <w:right w:val="nil"/>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Date</w:t>
            </w:r>
          </w:p>
        </w:tc>
      </w:tr>
      <w:tr w:rsidR="008A161D" w:rsidRPr="00AC757E" w:rsidTr="008154E2">
        <w:trPr>
          <w:trHeight w:val="690"/>
          <w:jc w:val="center"/>
        </w:trPr>
        <w:tc>
          <w:tcPr>
            <w:tcW w:w="739" w:type="dxa"/>
            <w:vMerge/>
            <w:tcBorders>
              <w:top w:val="nil"/>
              <w:left w:val="nil"/>
              <w:bottom w:val="single" w:sz="4" w:space="0" w:color="000000"/>
              <w:right w:val="single" w:sz="4" w:space="0" w:color="auto"/>
            </w:tcBorders>
            <w:vAlign w:val="center"/>
            <w:hideMark/>
          </w:tcPr>
          <w:p w:rsidR="008A161D" w:rsidRPr="00AC757E" w:rsidRDefault="008A161D" w:rsidP="008154E2">
            <w:pPr>
              <w:rPr>
                <w:rFonts w:ascii="Calibri" w:hAnsi="Calibri" w:cs="Calibri"/>
                <w:b/>
                <w:bCs/>
                <w:sz w:val="18"/>
                <w:szCs w:val="18"/>
                <w:lang w:val="pt-PT" w:eastAsia="pt-PT"/>
              </w:rPr>
            </w:pPr>
          </w:p>
        </w:tc>
        <w:tc>
          <w:tcPr>
            <w:tcW w:w="823" w:type="dxa"/>
            <w:vMerge/>
            <w:tcBorders>
              <w:top w:val="nil"/>
              <w:left w:val="single" w:sz="4" w:space="0" w:color="auto"/>
              <w:bottom w:val="single" w:sz="4" w:space="0" w:color="000000"/>
              <w:right w:val="nil"/>
            </w:tcBorders>
            <w:vAlign w:val="center"/>
            <w:hideMark/>
          </w:tcPr>
          <w:p w:rsidR="008A161D" w:rsidRPr="00AC757E" w:rsidRDefault="008A161D" w:rsidP="008154E2">
            <w:pPr>
              <w:rPr>
                <w:rFonts w:ascii="Calibri" w:hAnsi="Calibri" w:cs="Calibri"/>
                <w:b/>
                <w:bCs/>
                <w:sz w:val="18"/>
                <w:szCs w:val="18"/>
                <w:lang w:val="pt-PT" w:eastAsia="pt-PT"/>
              </w:rPr>
            </w:pPr>
          </w:p>
        </w:tc>
        <w:tc>
          <w:tcPr>
            <w:tcW w:w="823" w:type="dxa"/>
            <w:vMerge/>
            <w:tcBorders>
              <w:top w:val="nil"/>
              <w:left w:val="nil"/>
              <w:bottom w:val="single" w:sz="4" w:space="0" w:color="000000"/>
              <w:right w:val="nil"/>
            </w:tcBorders>
            <w:vAlign w:val="center"/>
            <w:hideMark/>
          </w:tcPr>
          <w:p w:rsidR="008A161D" w:rsidRPr="00AC757E" w:rsidRDefault="008A161D" w:rsidP="008154E2">
            <w:pPr>
              <w:rPr>
                <w:rFonts w:ascii="Calibri" w:hAnsi="Calibri" w:cs="Calibri"/>
                <w:b/>
                <w:bCs/>
                <w:sz w:val="18"/>
                <w:szCs w:val="18"/>
                <w:lang w:val="pt-PT" w:eastAsia="pt-PT"/>
              </w:rPr>
            </w:pPr>
          </w:p>
        </w:tc>
        <w:tc>
          <w:tcPr>
            <w:tcW w:w="1009" w:type="dxa"/>
            <w:vMerge/>
            <w:tcBorders>
              <w:top w:val="nil"/>
              <w:left w:val="nil"/>
              <w:bottom w:val="single" w:sz="4" w:space="0" w:color="000000"/>
              <w:right w:val="nil"/>
            </w:tcBorders>
            <w:vAlign w:val="center"/>
            <w:hideMark/>
          </w:tcPr>
          <w:p w:rsidR="008A161D" w:rsidRPr="00AC757E" w:rsidRDefault="008A161D" w:rsidP="008154E2">
            <w:pPr>
              <w:rPr>
                <w:rFonts w:ascii="Calibri" w:hAnsi="Calibri" w:cs="Calibri"/>
                <w:b/>
                <w:bCs/>
                <w:sz w:val="18"/>
                <w:szCs w:val="18"/>
                <w:lang w:val="pt-PT" w:eastAsia="pt-PT"/>
              </w:rPr>
            </w:pPr>
          </w:p>
        </w:tc>
      </w:tr>
      <w:tr w:rsidR="008A161D" w:rsidRPr="00AC757E" w:rsidTr="008154E2">
        <w:trPr>
          <w:trHeight w:val="310"/>
          <w:jc w:val="center"/>
        </w:trPr>
        <w:tc>
          <w:tcPr>
            <w:tcW w:w="739" w:type="dxa"/>
            <w:tcBorders>
              <w:top w:val="nil"/>
              <w:left w:val="nil"/>
              <w:bottom w:val="double" w:sz="6" w:space="0" w:color="auto"/>
              <w:right w:val="nil"/>
            </w:tcBorders>
            <w:shd w:val="clear" w:color="auto" w:fill="auto"/>
            <w:noWrap/>
            <w:vAlign w:val="center"/>
            <w:hideMark/>
          </w:tcPr>
          <w:p w:rsidR="008A161D" w:rsidRPr="00AC757E" w:rsidRDefault="008A161D" w:rsidP="008154E2">
            <w:pPr>
              <w:jc w:val="center"/>
              <w:rPr>
                <w:rFonts w:ascii="Calibri" w:hAnsi="Calibri" w:cs="Calibri"/>
                <w:color w:val="2F75B5"/>
                <w:sz w:val="18"/>
                <w:szCs w:val="18"/>
                <w:lang w:val="pt-PT" w:eastAsia="pt-PT"/>
              </w:rPr>
            </w:pPr>
            <w:r w:rsidRPr="00AC757E">
              <w:rPr>
                <w:rFonts w:ascii="Calibri" w:hAnsi="Calibri" w:cs="Calibri"/>
                <w:color w:val="2F75B5"/>
                <w:sz w:val="18"/>
                <w:szCs w:val="18"/>
                <w:lang w:val="pt-PT" w:eastAsia="pt-PT"/>
              </w:rPr>
              <w:t>Highest</w:t>
            </w:r>
          </w:p>
        </w:tc>
        <w:tc>
          <w:tcPr>
            <w:tcW w:w="823" w:type="dxa"/>
            <w:tcBorders>
              <w:top w:val="nil"/>
              <w:left w:val="single" w:sz="4" w:space="0" w:color="auto"/>
              <w:bottom w:val="double" w:sz="6" w:space="0" w:color="auto"/>
              <w:right w:val="nil"/>
            </w:tcBorders>
            <w:shd w:val="clear" w:color="auto" w:fill="auto"/>
            <w:noWrap/>
            <w:vAlign w:val="center"/>
            <w:hideMark/>
          </w:tcPr>
          <w:p w:rsidR="008A161D" w:rsidRPr="00AC757E" w:rsidRDefault="008A161D" w:rsidP="008154E2">
            <w:pPr>
              <w:jc w:val="center"/>
              <w:rPr>
                <w:rFonts w:ascii="Calibri" w:hAnsi="Calibri" w:cs="Calibri"/>
                <w:b/>
                <w:bCs/>
                <w:color w:val="2F75B5"/>
                <w:sz w:val="18"/>
                <w:szCs w:val="18"/>
                <w:lang w:val="pt-PT" w:eastAsia="pt-PT"/>
              </w:rPr>
            </w:pPr>
            <w:r w:rsidRPr="00AC757E">
              <w:rPr>
                <w:rFonts w:ascii="Calibri" w:hAnsi="Calibri" w:cs="Calibri"/>
                <w:b/>
                <w:bCs/>
                <w:color w:val="2F75B5"/>
                <w:sz w:val="18"/>
                <w:szCs w:val="18"/>
                <w:lang w:val="pt-PT" w:eastAsia="pt-PT"/>
              </w:rPr>
              <w:t>4 902</w:t>
            </w:r>
          </w:p>
        </w:tc>
        <w:tc>
          <w:tcPr>
            <w:tcW w:w="823" w:type="dxa"/>
            <w:tcBorders>
              <w:top w:val="nil"/>
              <w:left w:val="nil"/>
              <w:bottom w:val="double" w:sz="6" w:space="0" w:color="auto"/>
              <w:right w:val="nil"/>
            </w:tcBorders>
            <w:shd w:val="clear" w:color="auto" w:fill="auto"/>
            <w:noWrap/>
            <w:vAlign w:val="center"/>
            <w:hideMark/>
          </w:tcPr>
          <w:p w:rsidR="008A161D" w:rsidRPr="00AC757E" w:rsidRDefault="008A161D" w:rsidP="008154E2">
            <w:pPr>
              <w:jc w:val="center"/>
              <w:rPr>
                <w:rFonts w:ascii="Calibri" w:hAnsi="Calibri" w:cs="Calibri"/>
                <w:b/>
                <w:bCs/>
                <w:color w:val="2F75B5"/>
                <w:sz w:val="18"/>
                <w:szCs w:val="18"/>
                <w:lang w:val="pt-PT" w:eastAsia="pt-PT"/>
              </w:rPr>
            </w:pPr>
            <w:r w:rsidRPr="00AC757E">
              <w:rPr>
                <w:rFonts w:ascii="Calibri" w:hAnsi="Calibri" w:cs="Calibri"/>
                <w:b/>
                <w:bCs/>
                <w:color w:val="2F75B5"/>
                <w:sz w:val="18"/>
                <w:szCs w:val="18"/>
                <w:lang w:val="pt-PT" w:eastAsia="pt-PT"/>
              </w:rPr>
              <w:t>71 738</w:t>
            </w:r>
          </w:p>
        </w:tc>
        <w:tc>
          <w:tcPr>
            <w:tcW w:w="1009" w:type="dxa"/>
            <w:tcBorders>
              <w:top w:val="nil"/>
              <w:left w:val="nil"/>
              <w:bottom w:val="double" w:sz="6" w:space="0" w:color="auto"/>
              <w:right w:val="nil"/>
            </w:tcBorders>
            <w:shd w:val="clear" w:color="auto" w:fill="auto"/>
            <w:vAlign w:val="center"/>
            <w:hideMark/>
          </w:tcPr>
          <w:p w:rsidR="008A161D" w:rsidRPr="00AC757E" w:rsidRDefault="008A161D" w:rsidP="008154E2">
            <w:pPr>
              <w:jc w:val="center"/>
              <w:rPr>
                <w:rFonts w:ascii="Calibri" w:hAnsi="Calibri" w:cs="Calibri"/>
                <w:color w:val="2F75B5"/>
                <w:sz w:val="18"/>
                <w:szCs w:val="18"/>
                <w:lang w:val="pt-PT" w:eastAsia="pt-PT"/>
              </w:rPr>
            </w:pPr>
            <w:r w:rsidRPr="00AC757E">
              <w:rPr>
                <w:rFonts w:ascii="Calibri" w:hAnsi="Calibri" w:cs="Calibri"/>
                <w:color w:val="2F75B5"/>
                <w:sz w:val="18"/>
                <w:szCs w:val="18"/>
                <w:lang w:val="pt-PT" w:eastAsia="pt-PT"/>
              </w:rPr>
              <w:t>05/08/2017</w:t>
            </w:r>
          </w:p>
        </w:tc>
      </w:tr>
      <w:tr w:rsidR="008A161D" w:rsidRPr="00AC757E" w:rsidTr="008154E2">
        <w:trPr>
          <w:trHeight w:val="310"/>
          <w:jc w:val="center"/>
        </w:trPr>
        <w:tc>
          <w:tcPr>
            <w:tcW w:w="739" w:type="dxa"/>
            <w:tcBorders>
              <w:top w:val="nil"/>
              <w:left w:val="nil"/>
              <w:bottom w:val="nil"/>
              <w:right w:val="nil"/>
            </w:tcBorders>
            <w:shd w:val="clear" w:color="auto" w:fill="auto"/>
            <w:noWrap/>
            <w:vAlign w:val="center"/>
            <w:hideMark/>
          </w:tcPr>
          <w:p w:rsidR="008A161D" w:rsidRPr="00AC757E" w:rsidRDefault="008A161D" w:rsidP="008154E2">
            <w:pPr>
              <w:jc w:val="center"/>
              <w:rPr>
                <w:rFonts w:ascii="Calibri" w:hAnsi="Calibri" w:cs="Calibri"/>
                <w:sz w:val="18"/>
                <w:szCs w:val="18"/>
                <w:lang w:val="pt-PT" w:eastAsia="pt-PT"/>
              </w:rPr>
            </w:pPr>
            <w:r w:rsidRPr="00AC757E">
              <w:rPr>
                <w:rFonts w:ascii="Calibri" w:hAnsi="Calibri" w:cs="Calibri"/>
                <w:sz w:val="18"/>
                <w:szCs w:val="18"/>
                <w:lang w:val="pt-PT" w:eastAsia="pt-PT"/>
              </w:rPr>
              <w:t>Average</w:t>
            </w:r>
          </w:p>
        </w:tc>
        <w:tc>
          <w:tcPr>
            <w:tcW w:w="823" w:type="dxa"/>
            <w:tcBorders>
              <w:top w:val="nil"/>
              <w:left w:val="single" w:sz="4" w:space="0" w:color="auto"/>
              <w:bottom w:val="nil"/>
              <w:right w:val="nil"/>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246</w:t>
            </w:r>
          </w:p>
        </w:tc>
        <w:tc>
          <w:tcPr>
            <w:tcW w:w="823" w:type="dxa"/>
            <w:tcBorders>
              <w:top w:val="nil"/>
              <w:left w:val="nil"/>
              <w:bottom w:val="nil"/>
              <w:right w:val="nil"/>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4 678</w:t>
            </w:r>
          </w:p>
        </w:tc>
        <w:tc>
          <w:tcPr>
            <w:tcW w:w="1009" w:type="dxa"/>
            <w:tcBorders>
              <w:top w:val="nil"/>
              <w:left w:val="nil"/>
              <w:bottom w:val="nil"/>
              <w:right w:val="nil"/>
            </w:tcBorders>
            <w:shd w:val="clear" w:color="auto" w:fill="auto"/>
            <w:noWrap/>
            <w:vAlign w:val="center"/>
            <w:hideMark/>
          </w:tcPr>
          <w:p w:rsidR="008A161D" w:rsidRPr="00AC757E" w:rsidRDefault="008A161D" w:rsidP="008154E2">
            <w:pPr>
              <w:jc w:val="center"/>
              <w:rPr>
                <w:rFonts w:ascii="Calibri" w:hAnsi="Calibri" w:cs="Calibri"/>
                <w:sz w:val="18"/>
                <w:szCs w:val="18"/>
                <w:lang w:val="pt-PT" w:eastAsia="pt-PT"/>
              </w:rPr>
            </w:pPr>
            <w:r w:rsidRPr="00AC757E">
              <w:rPr>
                <w:rFonts w:ascii="Calibri" w:hAnsi="Calibri" w:cs="Calibri"/>
                <w:sz w:val="18"/>
                <w:szCs w:val="18"/>
                <w:lang w:val="pt-PT" w:eastAsia="pt-PT"/>
              </w:rPr>
              <w:t>(-)</w:t>
            </w:r>
          </w:p>
        </w:tc>
      </w:tr>
    </w:tbl>
    <w:p w:rsidR="008A161D" w:rsidRDefault="008A161D" w:rsidP="008A161D">
      <w:pPr>
        <w:pStyle w:val="Prrafodelista"/>
        <w:rPr>
          <w:rFonts w:ascii="Calibri" w:hAnsi="Calibri"/>
          <w:lang w:val="en-US"/>
        </w:rPr>
      </w:pPr>
    </w:p>
    <w:p w:rsidR="008A161D" w:rsidRDefault="008A161D" w:rsidP="008A161D">
      <w:pPr>
        <w:pStyle w:val="Prrafodelista"/>
        <w:rPr>
          <w:rFonts w:ascii="Calibri" w:hAnsi="Calibri"/>
          <w:lang w:val="en-US"/>
        </w:rPr>
      </w:pPr>
    </w:p>
    <w:p w:rsidR="008A161D" w:rsidRDefault="008A161D" w:rsidP="008A161D">
      <w:pPr>
        <w:pStyle w:val="Prrafodelista"/>
        <w:rPr>
          <w:rFonts w:ascii="Calibri" w:hAnsi="Calibri"/>
          <w:lang w:val="en-US"/>
        </w:rPr>
      </w:pPr>
    </w:p>
    <w:p w:rsidR="008A161D" w:rsidRDefault="008A161D" w:rsidP="008A161D">
      <w:pPr>
        <w:pStyle w:val="Prrafodelista"/>
        <w:rPr>
          <w:rFonts w:ascii="Calibri" w:hAnsi="Calibri"/>
          <w:lang w:val="en-US"/>
        </w:rPr>
      </w:pPr>
      <w:r>
        <w:rPr>
          <w:noProof/>
          <w:lang w:val="es-ES" w:eastAsia="es-ES"/>
        </w:rPr>
        <w:drawing>
          <wp:inline distT="0" distB="0" distL="0" distR="0" wp14:anchorId="1BC1EEB1" wp14:editId="79EEAC2D">
            <wp:extent cx="5400675" cy="2820390"/>
            <wp:effectExtent l="0" t="0" r="0" b="0"/>
            <wp:docPr id="11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A161D" w:rsidRPr="00501384" w:rsidRDefault="008A161D" w:rsidP="008A161D">
      <w:pPr>
        <w:jc w:val="center"/>
        <w:rPr>
          <w:rFonts w:ascii="Calibri" w:hAnsi="Calibri" w:cs="Calibri"/>
          <w:b/>
          <w:bCs/>
          <w:sz w:val="18"/>
          <w:szCs w:val="18"/>
          <w:lang w:val="pt-PT" w:eastAsia="pt-PT"/>
        </w:rPr>
      </w:pPr>
    </w:p>
    <w:tbl>
      <w:tblPr>
        <w:tblW w:w="3134" w:type="dxa"/>
        <w:jc w:val="center"/>
        <w:tblCellMar>
          <w:left w:w="70" w:type="dxa"/>
          <w:right w:w="70" w:type="dxa"/>
        </w:tblCellMar>
        <w:tblLook w:val="04A0" w:firstRow="1" w:lastRow="0" w:firstColumn="1" w:lastColumn="0" w:noHBand="0" w:noVBand="1"/>
      </w:tblPr>
      <w:tblGrid>
        <w:gridCol w:w="754"/>
        <w:gridCol w:w="833"/>
        <w:gridCol w:w="833"/>
        <w:gridCol w:w="1025"/>
      </w:tblGrid>
      <w:tr w:rsidR="008A161D" w:rsidRPr="00AC757E" w:rsidTr="008154E2">
        <w:trPr>
          <w:trHeight w:val="450"/>
          <w:jc w:val="center"/>
        </w:trPr>
        <w:tc>
          <w:tcPr>
            <w:tcW w:w="635" w:type="dxa"/>
            <w:vMerge w:val="restart"/>
            <w:tcBorders>
              <w:top w:val="nil"/>
              <w:left w:val="nil"/>
              <w:bottom w:val="single" w:sz="4" w:space="0" w:color="000000"/>
              <w:right w:val="single" w:sz="4" w:space="0" w:color="auto"/>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NU Short</w:t>
            </w:r>
          </w:p>
        </w:tc>
        <w:tc>
          <w:tcPr>
            <w:tcW w:w="833" w:type="dxa"/>
            <w:vMerge w:val="restart"/>
            <w:tcBorders>
              <w:top w:val="nil"/>
              <w:left w:val="single" w:sz="4" w:space="0" w:color="auto"/>
              <w:bottom w:val="nil"/>
              <w:right w:val="nil"/>
            </w:tcBorders>
            <w:shd w:val="clear" w:color="auto" w:fill="auto"/>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 xml:space="preserve">Energy </w:t>
            </w:r>
            <w:r w:rsidRPr="00AC757E">
              <w:rPr>
                <w:rFonts w:ascii="Calibri" w:hAnsi="Calibri" w:cs="Calibri"/>
                <w:b/>
                <w:bCs/>
                <w:sz w:val="18"/>
                <w:szCs w:val="18"/>
                <w:lang w:val="pt-PT" w:eastAsia="pt-PT"/>
              </w:rPr>
              <w:br/>
              <w:t>[MWh]</w:t>
            </w:r>
          </w:p>
        </w:tc>
        <w:tc>
          <w:tcPr>
            <w:tcW w:w="833" w:type="dxa"/>
            <w:vMerge w:val="restart"/>
            <w:tcBorders>
              <w:top w:val="nil"/>
              <w:left w:val="nil"/>
              <w:bottom w:val="nil"/>
              <w:right w:val="nil"/>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w:t>
            </w:r>
          </w:p>
        </w:tc>
        <w:tc>
          <w:tcPr>
            <w:tcW w:w="833" w:type="dxa"/>
            <w:vMerge w:val="restart"/>
            <w:tcBorders>
              <w:top w:val="nil"/>
              <w:left w:val="nil"/>
              <w:bottom w:val="nil"/>
              <w:right w:val="nil"/>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Date</w:t>
            </w:r>
          </w:p>
        </w:tc>
      </w:tr>
      <w:tr w:rsidR="008A161D" w:rsidRPr="00AC757E" w:rsidTr="008154E2">
        <w:trPr>
          <w:trHeight w:val="690"/>
          <w:jc w:val="center"/>
        </w:trPr>
        <w:tc>
          <w:tcPr>
            <w:tcW w:w="635" w:type="dxa"/>
            <w:vMerge/>
            <w:tcBorders>
              <w:top w:val="nil"/>
              <w:left w:val="nil"/>
              <w:bottom w:val="single" w:sz="4" w:space="0" w:color="000000"/>
              <w:right w:val="single" w:sz="4" w:space="0" w:color="auto"/>
            </w:tcBorders>
            <w:vAlign w:val="center"/>
            <w:hideMark/>
          </w:tcPr>
          <w:p w:rsidR="008A161D" w:rsidRPr="00AC757E" w:rsidRDefault="008A161D" w:rsidP="008154E2">
            <w:pPr>
              <w:jc w:val="center"/>
              <w:rPr>
                <w:rFonts w:ascii="Calibri" w:hAnsi="Calibri" w:cs="Calibri"/>
                <w:b/>
                <w:bCs/>
                <w:sz w:val="18"/>
                <w:szCs w:val="18"/>
                <w:lang w:val="pt-PT" w:eastAsia="pt-PT"/>
              </w:rPr>
            </w:pPr>
          </w:p>
        </w:tc>
        <w:tc>
          <w:tcPr>
            <w:tcW w:w="833" w:type="dxa"/>
            <w:vMerge/>
            <w:tcBorders>
              <w:top w:val="nil"/>
              <w:left w:val="single" w:sz="4" w:space="0" w:color="auto"/>
              <w:bottom w:val="nil"/>
              <w:right w:val="nil"/>
            </w:tcBorders>
            <w:vAlign w:val="center"/>
            <w:hideMark/>
          </w:tcPr>
          <w:p w:rsidR="008A161D" w:rsidRPr="00AC757E" w:rsidRDefault="008A161D" w:rsidP="008154E2">
            <w:pPr>
              <w:jc w:val="center"/>
              <w:rPr>
                <w:rFonts w:ascii="Calibri" w:hAnsi="Calibri" w:cs="Calibri"/>
                <w:b/>
                <w:bCs/>
                <w:sz w:val="18"/>
                <w:szCs w:val="18"/>
                <w:lang w:val="pt-PT" w:eastAsia="pt-PT"/>
              </w:rPr>
            </w:pPr>
          </w:p>
        </w:tc>
        <w:tc>
          <w:tcPr>
            <w:tcW w:w="833" w:type="dxa"/>
            <w:vMerge/>
            <w:tcBorders>
              <w:top w:val="nil"/>
              <w:left w:val="nil"/>
              <w:bottom w:val="nil"/>
              <w:right w:val="nil"/>
            </w:tcBorders>
            <w:vAlign w:val="center"/>
            <w:hideMark/>
          </w:tcPr>
          <w:p w:rsidR="008A161D" w:rsidRPr="00AC757E" w:rsidRDefault="008A161D" w:rsidP="008154E2">
            <w:pPr>
              <w:jc w:val="center"/>
              <w:rPr>
                <w:rFonts w:ascii="Calibri" w:hAnsi="Calibri" w:cs="Calibri"/>
                <w:b/>
                <w:bCs/>
                <w:sz w:val="18"/>
                <w:szCs w:val="18"/>
                <w:lang w:val="pt-PT" w:eastAsia="pt-PT"/>
              </w:rPr>
            </w:pPr>
          </w:p>
        </w:tc>
        <w:tc>
          <w:tcPr>
            <w:tcW w:w="833" w:type="dxa"/>
            <w:vMerge/>
            <w:tcBorders>
              <w:top w:val="nil"/>
              <w:left w:val="nil"/>
              <w:bottom w:val="nil"/>
              <w:right w:val="nil"/>
            </w:tcBorders>
            <w:vAlign w:val="center"/>
            <w:hideMark/>
          </w:tcPr>
          <w:p w:rsidR="008A161D" w:rsidRPr="00AC757E" w:rsidRDefault="008A161D" w:rsidP="008154E2">
            <w:pPr>
              <w:jc w:val="center"/>
              <w:rPr>
                <w:rFonts w:ascii="Calibri" w:hAnsi="Calibri" w:cs="Calibri"/>
                <w:b/>
                <w:bCs/>
                <w:sz w:val="18"/>
                <w:szCs w:val="18"/>
                <w:lang w:val="pt-PT" w:eastAsia="pt-PT"/>
              </w:rPr>
            </w:pPr>
          </w:p>
        </w:tc>
      </w:tr>
      <w:tr w:rsidR="008A161D" w:rsidRPr="00501384" w:rsidTr="008154E2">
        <w:trPr>
          <w:trHeight w:val="303"/>
          <w:jc w:val="center"/>
        </w:trPr>
        <w:tc>
          <w:tcPr>
            <w:tcW w:w="635" w:type="dxa"/>
            <w:tcBorders>
              <w:top w:val="nil"/>
              <w:left w:val="nil"/>
              <w:bottom w:val="double" w:sz="6" w:space="0" w:color="auto"/>
              <w:right w:val="nil"/>
            </w:tcBorders>
            <w:shd w:val="clear" w:color="auto" w:fill="auto"/>
            <w:noWrap/>
            <w:vAlign w:val="center"/>
            <w:hideMark/>
          </w:tcPr>
          <w:p w:rsidR="008A161D" w:rsidRPr="00AC757E" w:rsidRDefault="008A161D" w:rsidP="008154E2">
            <w:pPr>
              <w:jc w:val="center"/>
              <w:rPr>
                <w:rFonts w:ascii="Calibri" w:hAnsi="Calibri" w:cs="Calibri"/>
                <w:b/>
                <w:bCs/>
                <w:color w:val="943634" w:themeColor="accent2" w:themeShade="BF"/>
                <w:sz w:val="18"/>
                <w:szCs w:val="18"/>
                <w:lang w:val="pt-PT" w:eastAsia="pt-PT"/>
              </w:rPr>
            </w:pPr>
            <w:r w:rsidRPr="00AC757E">
              <w:rPr>
                <w:rFonts w:ascii="Calibri" w:hAnsi="Calibri" w:cs="Calibri"/>
                <w:b/>
                <w:bCs/>
                <w:color w:val="943634" w:themeColor="accent2" w:themeShade="BF"/>
                <w:sz w:val="18"/>
                <w:szCs w:val="18"/>
                <w:lang w:val="pt-PT" w:eastAsia="pt-PT"/>
              </w:rPr>
              <w:t>Highest</w:t>
            </w:r>
          </w:p>
        </w:tc>
        <w:tc>
          <w:tcPr>
            <w:tcW w:w="833" w:type="dxa"/>
            <w:tcBorders>
              <w:top w:val="single" w:sz="4" w:space="0" w:color="auto"/>
              <w:left w:val="single" w:sz="4" w:space="0" w:color="auto"/>
              <w:bottom w:val="double" w:sz="6" w:space="0" w:color="auto"/>
              <w:right w:val="nil"/>
            </w:tcBorders>
            <w:shd w:val="clear" w:color="auto" w:fill="auto"/>
            <w:noWrap/>
            <w:vAlign w:val="center"/>
            <w:hideMark/>
          </w:tcPr>
          <w:p w:rsidR="008A161D" w:rsidRPr="00AC757E" w:rsidRDefault="008A161D" w:rsidP="008154E2">
            <w:pPr>
              <w:jc w:val="center"/>
              <w:rPr>
                <w:rFonts w:ascii="Calibri" w:hAnsi="Calibri" w:cs="Calibri"/>
                <w:b/>
                <w:bCs/>
                <w:color w:val="943634" w:themeColor="accent2" w:themeShade="BF"/>
                <w:sz w:val="18"/>
                <w:szCs w:val="18"/>
                <w:lang w:val="pt-PT" w:eastAsia="pt-PT"/>
              </w:rPr>
            </w:pPr>
            <w:r w:rsidRPr="00AC757E">
              <w:rPr>
                <w:rFonts w:ascii="Calibri" w:hAnsi="Calibri" w:cs="Calibri"/>
                <w:b/>
                <w:bCs/>
                <w:color w:val="943634" w:themeColor="accent2" w:themeShade="BF"/>
                <w:sz w:val="18"/>
                <w:szCs w:val="18"/>
                <w:lang w:val="pt-PT" w:eastAsia="pt-PT"/>
              </w:rPr>
              <w:t>7 840</w:t>
            </w:r>
          </w:p>
        </w:tc>
        <w:tc>
          <w:tcPr>
            <w:tcW w:w="833" w:type="dxa"/>
            <w:tcBorders>
              <w:top w:val="single" w:sz="4" w:space="0" w:color="auto"/>
              <w:left w:val="nil"/>
              <w:bottom w:val="double" w:sz="6" w:space="0" w:color="auto"/>
              <w:right w:val="nil"/>
            </w:tcBorders>
            <w:shd w:val="clear" w:color="auto" w:fill="auto"/>
            <w:noWrap/>
            <w:vAlign w:val="center"/>
            <w:hideMark/>
          </w:tcPr>
          <w:p w:rsidR="008A161D" w:rsidRPr="00AC757E" w:rsidRDefault="008A161D" w:rsidP="008154E2">
            <w:pPr>
              <w:jc w:val="center"/>
              <w:rPr>
                <w:rFonts w:ascii="Calibri" w:hAnsi="Calibri" w:cs="Calibri"/>
                <w:b/>
                <w:bCs/>
                <w:color w:val="943634" w:themeColor="accent2" w:themeShade="BF"/>
                <w:sz w:val="18"/>
                <w:szCs w:val="18"/>
                <w:lang w:val="pt-PT" w:eastAsia="pt-PT"/>
              </w:rPr>
            </w:pPr>
            <w:r w:rsidRPr="00AC757E">
              <w:rPr>
                <w:rFonts w:ascii="Calibri" w:hAnsi="Calibri" w:cs="Calibri"/>
                <w:b/>
                <w:bCs/>
                <w:color w:val="943634" w:themeColor="accent2" w:themeShade="BF"/>
                <w:sz w:val="18"/>
                <w:szCs w:val="18"/>
                <w:lang w:val="pt-PT" w:eastAsia="pt-PT"/>
              </w:rPr>
              <w:t>322 243</w:t>
            </w:r>
          </w:p>
        </w:tc>
        <w:tc>
          <w:tcPr>
            <w:tcW w:w="833" w:type="dxa"/>
            <w:tcBorders>
              <w:top w:val="single" w:sz="4" w:space="0" w:color="auto"/>
              <w:left w:val="nil"/>
              <w:bottom w:val="double" w:sz="6" w:space="0" w:color="auto"/>
              <w:right w:val="nil"/>
            </w:tcBorders>
            <w:shd w:val="clear" w:color="auto" w:fill="auto"/>
            <w:vAlign w:val="center"/>
            <w:hideMark/>
          </w:tcPr>
          <w:p w:rsidR="008A161D" w:rsidRPr="00AC757E" w:rsidRDefault="008A161D" w:rsidP="008154E2">
            <w:pPr>
              <w:jc w:val="center"/>
              <w:rPr>
                <w:rFonts w:ascii="Calibri" w:hAnsi="Calibri" w:cs="Calibri"/>
                <w:b/>
                <w:bCs/>
                <w:color w:val="943634" w:themeColor="accent2" w:themeShade="BF"/>
                <w:sz w:val="18"/>
                <w:szCs w:val="18"/>
                <w:lang w:val="pt-PT" w:eastAsia="pt-PT"/>
              </w:rPr>
            </w:pPr>
            <w:r w:rsidRPr="00AC757E">
              <w:rPr>
                <w:rFonts w:ascii="Calibri" w:hAnsi="Calibri" w:cs="Calibri"/>
                <w:b/>
                <w:bCs/>
                <w:color w:val="943634" w:themeColor="accent2" w:themeShade="BF"/>
                <w:sz w:val="18"/>
                <w:szCs w:val="18"/>
                <w:lang w:val="pt-PT" w:eastAsia="pt-PT"/>
              </w:rPr>
              <w:t>19/01/2017</w:t>
            </w:r>
          </w:p>
        </w:tc>
      </w:tr>
      <w:tr w:rsidR="008A161D" w:rsidRPr="00AC757E" w:rsidTr="008154E2">
        <w:trPr>
          <w:trHeight w:val="303"/>
          <w:jc w:val="center"/>
        </w:trPr>
        <w:tc>
          <w:tcPr>
            <w:tcW w:w="635" w:type="dxa"/>
            <w:tcBorders>
              <w:top w:val="nil"/>
              <w:left w:val="nil"/>
              <w:bottom w:val="nil"/>
              <w:right w:val="nil"/>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Average</w:t>
            </w:r>
          </w:p>
        </w:tc>
        <w:tc>
          <w:tcPr>
            <w:tcW w:w="833" w:type="dxa"/>
            <w:tcBorders>
              <w:top w:val="nil"/>
              <w:left w:val="single" w:sz="4" w:space="0" w:color="auto"/>
              <w:bottom w:val="nil"/>
              <w:right w:val="nil"/>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417</w:t>
            </w:r>
          </w:p>
        </w:tc>
        <w:tc>
          <w:tcPr>
            <w:tcW w:w="833" w:type="dxa"/>
            <w:tcBorders>
              <w:top w:val="nil"/>
              <w:left w:val="nil"/>
              <w:bottom w:val="nil"/>
              <w:right w:val="nil"/>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9 890</w:t>
            </w:r>
          </w:p>
        </w:tc>
        <w:tc>
          <w:tcPr>
            <w:tcW w:w="833" w:type="dxa"/>
            <w:tcBorders>
              <w:top w:val="nil"/>
              <w:left w:val="nil"/>
              <w:bottom w:val="nil"/>
              <w:right w:val="nil"/>
            </w:tcBorders>
            <w:shd w:val="clear" w:color="auto" w:fill="auto"/>
            <w:noWrap/>
            <w:vAlign w:val="center"/>
            <w:hideMark/>
          </w:tcPr>
          <w:p w:rsidR="008A161D" w:rsidRPr="00AC757E" w:rsidRDefault="008A161D" w:rsidP="008154E2">
            <w:pPr>
              <w:jc w:val="center"/>
              <w:rPr>
                <w:rFonts w:ascii="Calibri" w:hAnsi="Calibri" w:cs="Calibri"/>
                <w:b/>
                <w:bCs/>
                <w:sz w:val="18"/>
                <w:szCs w:val="18"/>
                <w:lang w:val="pt-PT" w:eastAsia="pt-PT"/>
              </w:rPr>
            </w:pPr>
            <w:r w:rsidRPr="00AC757E">
              <w:rPr>
                <w:rFonts w:ascii="Calibri" w:hAnsi="Calibri" w:cs="Calibri"/>
                <w:b/>
                <w:bCs/>
                <w:sz w:val="18"/>
                <w:szCs w:val="18"/>
                <w:lang w:val="pt-PT" w:eastAsia="pt-PT"/>
              </w:rPr>
              <w:t>(-)</w:t>
            </w:r>
          </w:p>
        </w:tc>
      </w:tr>
    </w:tbl>
    <w:p w:rsidR="008A161D" w:rsidRDefault="008A161D" w:rsidP="008A161D">
      <w:pPr>
        <w:pStyle w:val="Prrafodelista"/>
        <w:rPr>
          <w:rFonts w:ascii="Calibri" w:hAnsi="Calibri"/>
          <w:lang w:val="en-US"/>
        </w:rPr>
      </w:pPr>
    </w:p>
    <w:tbl>
      <w:tblPr>
        <w:tblW w:w="9722" w:type="dxa"/>
        <w:jc w:val="center"/>
        <w:tblCellMar>
          <w:left w:w="70" w:type="dxa"/>
          <w:right w:w="70" w:type="dxa"/>
        </w:tblCellMar>
        <w:tblLook w:val="04A0" w:firstRow="1" w:lastRow="0" w:firstColumn="1" w:lastColumn="0" w:noHBand="0" w:noVBand="1"/>
      </w:tblPr>
      <w:tblGrid>
        <w:gridCol w:w="841"/>
        <w:gridCol w:w="947"/>
        <w:gridCol w:w="891"/>
        <w:gridCol w:w="1149"/>
        <w:gridCol w:w="1200"/>
        <w:gridCol w:w="1081"/>
        <w:gridCol w:w="1150"/>
        <w:gridCol w:w="1150"/>
        <w:gridCol w:w="1313"/>
      </w:tblGrid>
      <w:tr w:rsidR="008A161D" w:rsidRPr="00EE180C" w:rsidTr="008154E2">
        <w:trPr>
          <w:trHeight w:val="390"/>
          <w:jc w:val="center"/>
        </w:trPr>
        <w:tc>
          <w:tcPr>
            <w:tcW w:w="841" w:type="dxa"/>
            <w:tcBorders>
              <w:top w:val="nil"/>
              <w:left w:val="nil"/>
              <w:bottom w:val="double" w:sz="6" w:space="0" w:color="auto"/>
              <w:right w:val="nil"/>
            </w:tcBorders>
            <w:shd w:val="clear" w:color="auto" w:fill="auto"/>
            <w:noWrap/>
            <w:vAlign w:val="center"/>
            <w:hideMark/>
          </w:tcPr>
          <w:p w:rsidR="008A161D" w:rsidRPr="009A1A4F" w:rsidRDefault="008A161D" w:rsidP="008154E2">
            <w:pPr>
              <w:jc w:val="center"/>
              <w:rPr>
                <w:rFonts w:ascii="Calibri" w:hAnsi="Calibri" w:cs="Calibri"/>
                <w:color w:val="000000"/>
                <w:sz w:val="16"/>
                <w:szCs w:val="16"/>
                <w:lang w:val="en-US" w:eastAsia="pt-PT"/>
              </w:rPr>
            </w:pPr>
            <w:r w:rsidRPr="009A1A4F">
              <w:rPr>
                <w:rFonts w:ascii="Calibri" w:hAnsi="Calibri" w:cs="Calibri"/>
                <w:color w:val="000000"/>
                <w:sz w:val="16"/>
                <w:szCs w:val="16"/>
                <w:lang w:val="en-US" w:eastAsia="pt-PT"/>
              </w:rPr>
              <w:t> </w:t>
            </w:r>
          </w:p>
        </w:tc>
        <w:tc>
          <w:tcPr>
            <w:tcW w:w="947" w:type="dxa"/>
            <w:tcBorders>
              <w:top w:val="nil"/>
              <w:left w:val="nil"/>
              <w:bottom w:val="double" w:sz="6" w:space="0" w:color="auto"/>
              <w:right w:val="nil"/>
            </w:tcBorders>
            <w:shd w:val="clear" w:color="auto" w:fill="auto"/>
            <w:noWrap/>
            <w:vAlign w:val="center"/>
            <w:hideMark/>
          </w:tcPr>
          <w:p w:rsidR="008A161D" w:rsidRPr="00034EEF" w:rsidRDefault="008A161D" w:rsidP="008154E2">
            <w:pPr>
              <w:jc w:val="center"/>
              <w:rPr>
                <w:rFonts w:ascii="Calibri" w:hAnsi="Calibri" w:cs="Calibri"/>
                <w:color w:val="000000"/>
                <w:sz w:val="16"/>
                <w:szCs w:val="16"/>
                <w:lang w:val="en-US" w:eastAsia="pt-PT"/>
              </w:rPr>
            </w:pPr>
            <w:r w:rsidRPr="00034EEF">
              <w:rPr>
                <w:rFonts w:ascii="Calibri" w:hAnsi="Calibri" w:cs="Calibri"/>
                <w:color w:val="000000"/>
                <w:sz w:val="16"/>
                <w:szCs w:val="16"/>
                <w:lang w:val="en-US" w:eastAsia="pt-PT"/>
              </w:rPr>
              <w:t>Annual Quantity</w:t>
            </w:r>
          </w:p>
        </w:tc>
        <w:tc>
          <w:tcPr>
            <w:tcW w:w="891" w:type="dxa"/>
            <w:tcBorders>
              <w:top w:val="nil"/>
              <w:left w:val="nil"/>
              <w:bottom w:val="double" w:sz="6" w:space="0" w:color="auto"/>
              <w:right w:val="nil"/>
            </w:tcBorders>
            <w:shd w:val="clear" w:color="auto" w:fill="auto"/>
            <w:noWrap/>
            <w:vAlign w:val="center"/>
            <w:hideMark/>
          </w:tcPr>
          <w:p w:rsidR="008A161D" w:rsidRPr="00034EEF" w:rsidRDefault="008A161D" w:rsidP="008154E2">
            <w:pPr>
              <w:jc w:val="center"/>
              <w:rPr>
                <w:rFonts w:ascii="Calibri" w:hAnsi="Calibri" w:cs="Calibri"/>
                <w:color w:val="000000"/>
                <w:sz w:val="16"/>
                <w:szCs w:val="16"/>
                <w:lang w:val="en-US" w:eastAsia="pt-PT"/>
              </w:rPr>
            </w:pPr>
            <w:r w:rsidRPr="00034EEF">
              <w:rPr>
                <w:rFonts w:ascii="Calibri" w:hAnsi="Calibri" w:cs="Calibri"/>
                <w:color w:val="000000"/>
                <w:sz w:val="16"/>
                <w:szCs w:val="16"/>
                <w:lang w:val="en-US" w:eastAsia="pt-PT"/>
              </w:rPr>
              <w:t>% of Annual Entries</w:t>
            </w:r>
          </w:p>
        </w:tc>
        <w:tc>
          <w:tcPr>
            <w:tcW w:w="1149" w:type="dxa"/>
            <w:tcBorders>
              <w:top w:val="nil"/>
              <w:left w:val="nil"/>
              <w:bottom w:val="double" w:sz="6" w:space="0" w:color="auto"/>
              <w:right w:val="nil"/>
            </w:tcBorders>
            <w:shd w:val="clear" w:color="auto" w:fill="auto"/>
            <w:noWrap/>
            <w:vAlign w:val="center"/>
            <w:hideMark/>
          </w:tcPr>
          <w:p w:rsidR="008A161D" w:rsidRPr="00034EEF" w:rsidRDefault="008A161D" w:rsidP="008154E2">
            <w:pPr>
              <w:jc w:val="center"/>
              <w:rPr>
                <w:rFonts w:ascii="Calibri" w:hAnsi="Calibri" w:cs="Calibri"/>
                <w:color w:val="000000"/>
                <w:sz w:val="16"/>
                <w:szCs w:val="16"/>
                <w:lang w:val="en-US" w:eastAsia="pt-PT"/>
              </w:rPr>
            </w:pPr>
            <w:r w:rsidRPr="00034EEF">
              <w:rPr>
                <w:rFonts w:ascii="Calibri" w:hAnsi="Calibri" w:cs="Calibri"/>
                <w:color w:val="000000"/>
                <w:sz w:val="16"/>
                <w:szCs w:val="16"/>
                <w:lang w:val="en-US" w:eastAsia="pt-PT"/>
              </w:rPr>
              <w:t>Min Daily Quantity</w:t>
            </w:r>
          </w:p>
        </w:tc>
        <w:tc>
          <w:tcPr>
            <w:tcW w:w="1200" w:type="dxa"/>
            <w:tcBorders>
              <w:top w:val="nil"/>
              <w:left w:val="nil"/>
              <w:bottom w:val="double" w:sz="6" w:space="0" w:color="auto"/>
              <w:right w:val="nil"/>
            </w:tcBorders>
            <w:shd w:val="clear" w:color="auto" w:fill="auto"/>
            <w:noWrap/>
            <w:vAlign w:val="center"/>
            <w:hideMark/>
          </w:tcPr>
          <w:p w:rsidR="008A161D" w:rsidRPr="00034EEF" w:rsidRDefault="008A161D" w:rsidP="008154E2">
            <w:pPr>
              <w:jc w:val="center"/>
              <w:rPr>
                <w:rFonts w:ascii="Calibri" w:hAnsi="Calibri" w:cs="Calibri"/>
                <w:color w:val="000000"/>
                <w:sz w:val="16"/>
                <w:szCs w:val="16"/>
                <w:lang w:val="en-US" w:eastAsia="pt-PT"/>
              </w:rPr>
            </w:pPr>
            <w:r w:rsidRPr="00034EEF">
              <w:rPr>
                <w:rFonts w:ascii="Calibri" w:hAnsi="Calibri" w:cs="Calibri"/>
                <w:color w:val="000000"/>
                <w:sz w:val="16"/>
                <w:szCs w:val="16"/>
                <w:lang w:val="en-US" w:eastAsia="pt-PT"/>
              </w:rPr>
              <w:t>Average Daily Quantity</w:t>
            </w:r>
          </w:p>
        </w:tc>
        <w:tc>
          <w:tcPr>
            <w:tcW w:w="1081" w:type="dxa"/>
            <w:tcBorders>
              <w:top w:val="nil"/>
              <w:left w:val="nil"/>
              <w:bottom w:val="double" w:sz="6" w:space="0" w:color="auto"/>
              <w:right w:val="nil"/>
            </w:tcBorders>
            <w:shd w:val="clear" w:color="auto" w:fill="auto"/>
            <w:noWrap/>
            <w:vAlign w:val="center"/>
            <w:hideMark/>
          </w:tcPr>
          <w:p w:rsidR="008A161D" w:rsidRPr="00034EEF" w:rsidRDefault="008A161D" w:rsidP="008154E2">
            <w:pPr>
              <w:jc w:val="center"/>
              <w:rPr>
                <w:rFonts w:ascii="Calibri" w:hAnsi="Calibri" w:cs="Calibri"/>
                <w:color w:val="000000"/>
                <w:sz w:val="16"/>
                <w:szCs w:val="16"/>
                <w:lang w:val="en-US" w:eastAsia="pt-PT"/>
              </w:rPr>
            </w:pPr>
            <w:r w:rsidRPr="00034EEF">
              <w:rPr>
                <w:rFonts w:ascii="Calibri" w:hAnsi="Calibri" w:cs="Calibri"/>
                <w:color w:val="000000"/>
                <w:sz w:val="16"/>
                <w:szCs w:val="16"/>
                <w:lang w:val="en-US" w:eastAsia="pt-PT"/>
              </w:rPr>
              <w:t>Max Daily Quantity</w:t>
            </w:r>
          </w:p>
        </w:tc>
        <w:tc>
          <w:tcPr>
            <w:tcW w:w="1150"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color w:val="000000"/>
                <w:sz w:val="16"/>
                <w:szCs w:val="16"/>
                <w:lang w:val="pt-PT" w:eastAsia="pt-PT"/>
              </w:rPr>
            </w:pPr>
            <w:r w:rsidRPr="00034EEF">
              <w:rPr>
                <w:rFonts w:ascii="Calibri" w:hAnsi="Calibri" w:cs="Calibri"/>
                <w:color w:val="000000"/>
                <w:sz w:val="16"/>
                <w:szCs w:val="16"/>
                <w:lang w:val="en-US" w:eastAsia="pt-PT"/>
              </w:rPr>
              <w:t>Min Pric</w:t>
            </w:r>
            <w:r w:rsidRPr="00EE180C">
              <w:rPr>
                <w:rFonts w:ascii="Calibri" w:hAnsi="Calibri" w:cs="Calibri"/>
                <w:color w:val="000000"/>
                <w:sz w:val="16"/>
                <w:szCs w:val="16"/>
                <w:lang w:val="pt-PT" w:eastAsia="pt-PT"/>
              </w:rPr>
              <w:t>e (€/MWh)</w:t>
            </w:r>
          </w:p>
        </w:tc>
        <w:tc>
          <w:tcPr>
            <w:tcW w:w="1150"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color w:val="000000"/>
                <w:sz w:val="16"/>
                <w:szCs w:val="16"/>
                <w:lang w:val="pt-PT" w:eastAsia="pt-PT"/>
              </w:rPr>
            </w:pPr>
            <w:r w:rsidRPr="00EE180C">
              <w:rPr>
                <w:rFonts w:ascii="Calibri" w:hAnsi="Calibri" w:cs="Calibri"/>
                <w:color w:val="000000"/>
                <w:sz w:val="16"/>
                <w:szCs w:val="16"/>
                <w:lang w:val="pt-PT" w:eastAsia="pt-PT"/>
              </w:rPr>
              <w:t>Max Price (€/MWh)</w:t>
            </w:r>
          </w:p>
        </w:tc>
        <w:tc>
          <w:tcPr>
            <w:tcW w:w="1313"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color w:val="000000"/>
                <w:sz w:val="16"/>
                <w:szCs w:val="16"/>
                <w:lang w:val="pt-PT" w:eastAsia="pt-PT"/>
              </w:rPr>
            </w:pPr>
            <w:r w:rsidRPr="00EE180C">
              <w:rPr>
                <w:rFonts w:ascii="Calibri" w:hAnsi="Calibri" w:cs="Calibri"/>
                <w:color w:val="000000"/>
                <w:sz w:val="16"/>
                <w:szCs w:val="16"/>
                <w:lang w:val="pt-PT" w:eastAsia="pt-PT"/>
              </w:rPr>
              <w:t>Average Price (€/MWh)</w:t>
            </w:r>
          </w:p>
        </w:tc>
      </w:tr>
      <w:tr w:rsidR="008A161D" w:rsidRPr="00EE180C" w:rsidTr="008154E2">
        <w:trPr>
          <w:trHeight w:val="390"/>
          <w:jc w:val="center"/>
        </w:trPr>
        <w:tc>
          <w:tcPr>
            <w:tcW w:w="841"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365F91" w:themeColor="accent1" w:themeShade="BF"/>
                <w:sz w:val="16"/>
                <w:szCs w:val="16"/>
                <w:lang w:val="pt-PT" w:eastAsia="pt-PT"/>
              </w:rPr>
            </w:pPr>
            <w:r w:rsidRPr="00EE180C">
              <w:rPr>
                <w:rFonts w:ascii="Calibri" w:hAnsi="Calibri" w:cs="Calibri"/>
                <w:b/>
                <w:color w:val="365F91" w:themeColor="accent1" w:themeShade="BF"/>
                <w:sz w:val="16"/>
                <w:szCs w:val="16"/>
                <w:lang w:val="pt-PT" w:eastAsia="pt-PT"/>
              </w:rPr>
              <w:t>Long</w:t>
            </w:r>
          </w:p>
        </w:tc>
        <w:tc>
          <w:tcPr>
            <w:tcW w:w="947"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365F91" w:themeColor="accent1" w:themeShade="BF"/>
                <w:sz w:val="16"/>
                <w:szCs w:val="16"/>
                <w:lang w:val="pt-PT" w:eastAsia="pt-PT"/>
              </w:rPr>
            </w:pPr>
            <w:r w:rsidRPr="00EE180C">
              <w:rPr>
                <w:rFonts w:ascii="Calibri" w:hAnsi="Calibri" w:cs="Calibri"/>
                <w:b/>
                <w:color w:val="365F91" w:themeColor="accent1" w:themeShade="BF"/>
                <w:sz w:val="16"/>
                <w:szCs w:val="16"/>
                <w:lang w:val="pt-PT" w:eastAsia="pt-PT"/>
              </w:rPr>
              <w:t>70 639</w:t>
            </w:r>
          </w:p>
        </w:tc>
        <w:tc>
          <w:tcPr>
            <w:tcW w:w="891"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365F91" w:themeColor="accent1" w:themeShade="BF"/>
                <w:sz w:val="16"/>
                <w:szCs w:val="16"/>
                <w:lang w:val="pt-PT" w:eastAsia="pt-PT"/>
              </w:rPr>
            </w:pPr>
            <w:r w:rsidRPr="00EE180C">
              <w:rPr>
                <w:rFonts w:ascii="Calibri" w:hAnsi="Calibri" w:cs="Calibri"/>
                <w:b/>
                <w:color w:val="365F91" w:themeColor="accent1" w:themeShade="BF"/>
                <w:sz w:val="16"/>
                <w:szCs w:val="16"/>
                <w:lang w:val="pt-PT" w:eastAsia="pt-PT"/>
              </w:rPr>
              <w:t>0,1%</w:t>
            </w:r>
          </w:p>
        </w:tc>
        <w:tc>
          <w:tcPr>
            <w:tcW w:w="1149"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365F91" w:themeColor="accent1" w:themeShade="BF"/>
                <w:sz w:val="16"/>
                <w:szCs w:val="16"/>
                <w:lang w:val="pt-PT" w:eastAsia="pt-PT"/>
              </w:rPr>
            </w:pPr>
            <w:r w:rsidRPr="00EE180C">
              <w:rPr>
                <w:rFonts w:ascii="Calibri" w:hAnsi="Calibri" w:cs="Calibri"/>
                <w:b/>
                <w:color w:val="365F91" w:themeColor="accent1" w:themeShade="BF"/>
                <w:sz w:val="16"/>
                <w:szCs w:val="16"/>
                <w:lang w:val="pt-PT" w:eastAsia="pt-PT"/>
              </w:rPr>
              <w:t>8</w:t>
            </w:r>
          </w:p>
        </w:tc>
        <w:tc>
          <w:tcPr>
            <w:tcW w:w="1200"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365F91" w:themeColor="accent1" w:themeShade="BF"/>
                <w:sz w:val="16"/>
                <w:szCs w:val="16"/>
                <w:lang w:val="pt-PT" w:eastAsia="pt-PT"/>
              </w:rPr>
            </w:pPr>
            <w:r w:rsidRPr="00EE180C">
              <w:rPr>
                <w:rFonts w:ascii="Calibri" w:hAnsi="Calibri" w:cs="Calibri"/>
                <w:b/>
                <w:color w:val="365F91" w:themeColor="accent1" w:themeShade="BF"/>
                <w:sz w:val="16"/>
                <w:szCs w:val="16"/>
                <w:lang w:val="pt-PT" w:eastAsia="pt-PT"/>
              </w:rPr>
              <w:t>304 481</w:t>
            </w:r>
          </w:p>
        </w:tc>
        <w:tc>
          <w:tcPr>
            <w:tcW w:w="1081"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365F91" w:themeColor="accent1" w:themeShade="BF"/>
                <w:sz w:val="16"/>
                <w:szCs w:val="16"/>
                <w:lang w:val="pt-PT" w:eastAsia="pt-PT"/>
              </w:rPr>
            </w:pPr>
            <w:r w:rsidRPr="00EE180C">
              <w:rPr>
                <w:rFonts w:ascii="Calibri" w:hAnsi="Calibri" w:cs="Calibri"/>
                <w:b/>
                <w:color w:val="365F91" w:themeColor="accent1" w:themeShade="BF"/>
                <w:sz w:val="16"/>
                <w:szCs w:val="16"/>
                <w:lang w:val="pt-PT" w:eastAsia="pt-PT"/>
              </w:rPr>
              <w:t>4 902 028</w:t>
            </w:r>
          </w:p>
        </w:tc>
        <w:tc>
          <w:tcPr>
            <w:tcW w:w="1150"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365F91" w:themeColor="accent1" w:themeShade="BF"/>
                <w:sz w:val="16"/>
                <w:szCs w:val="16"/>
                <w:lang w:val="pt-PT" w:eastAsia="pt-PT"/>
              </w:rPr>
            </w:pPr>
            <w:r w:rsidRPr="00EE180C">
              <w:rPr>
                <w:rFonts w:ascii="Calibri" w:hAnsi="Calibri" w:cs="Calibri"/>
                <w:b/>
                <w:color w:val="365F91" w:themeColor="accent1" w:themeShade="BF"/>
                <w:sz w:val="16"/>
                <w:szCs w:val="16"/>
                <w:lang w:val="pt-PT" w:eastAsia="pt-PT"/>
              </w:rPr>
              <w:t>14,07</w:t>
            </w:r>
          </w:p>
        </w:tc>
        <w:tc>
          <w:tcPr>
            <w:tcW w:w="1150"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365F91" w:themeColor="accent1" w:themeShade="BF"/>
                <w:sz w:val="16"/>
                <w:szCs w:val="16"/>
                <w:lang w:val="pt-PT" w:eastAsia="pt-PT"/>
              </w:rPr>
            </w:pPr>
            <w:r w:rsidRPr="00EE180C">
              <w:rPr>
                <w:rFonts w:ascii="Calibri" w:hAnsi="Calibri" w:cs="Calibri"/>
                <w:b/>
                <w:color w:val="365F91" w:themeColor="accent1" w:themeShade="BF"/>
                <w:sz w:val="16"/>
                <w:szCs w:val="16"/>
                <w:lang w:val="pt-PT" w:eastAsia="pt-PT"/>
              </w:rPr>
              <w:t>39,17</w:t>
            </w:r>
          </w:p>
        </w:tc>
        <w:tc>
          <w:tcPr>
            <w:tcW w:w="1313"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365F91" w:themeColor="accent1" w:themeShade="BF"/>
                <w:sz w:val="16"/>
                <w:szCs w:val="16"/>
                <w:lang w:val="pt-PT" w:eastAsia="pt-PT"/>
              </w:rPr>
            </w:pPr>
            <w:r w:rsidRPr="00EE180C">
              <w:rPr>
                <w:rFonts w:ascii="Calibri" w:hAnsi="Calibri" w:cs="Calibri"/>
                <w:b/>
                <w:color w:val="365F91" w:themeColor="accent1" w:themeShade="BF"/>
                <w:sz w:val="16"/>
                <w:szCs w:val="16"/>
                <w:lang w:val="pt-PT" w:eastAsia="pt-PT"/>
              </w:rPr>
              <w:t>19,02</w:t>
            </w:r>
          </w:p>
        </w:tc>
      </w:tr>
      <w:tr w:rsidR="008A161D" w:rsidRPr="00EE180C" w:rsidTr="008154E2">
        <w:trPr>
          <w:trHeight w:val="390"/>
          <w:jc w:val="center"/>
        </w:trPr>
        <w:tc>
          <w:tcPr>
            <w:tcW w:w="841"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943634" w:themeColor="accent2" w:themeShade="BF"/>
                <w:sz w:val="16"/>
                <w:szCs w:val="16"/>
                <w:lang w:val="pt-PT" w:eastAsia="pt-PT"/>
              </w:rPr>
            </w:pPr>
            <w:r w:rsidRPr="00EE180C">
              <w:rPr>
                <w:rFonts w:ascii="Calibri" w:hAnsi="Calibri" w:cs="Calibri"/>
                <w:b/>
                <w:color w:val="943634" w:themeColor="accent2" w:themeShade="BF"/>
                <w:sz w:val="16"/>
                <w:szCs w:val="16"/>
                <w:lang w:val="pt-PT" w:eastAsia="pt-PT"/>
              </w:rPr>
              <w:t>Short</w:t>
            </w:r>
          </w:p>
        </w:tc>
        <w:tc>
          <w:tcPr>
            <w:tcW w:w="947"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943634" w:themeColor="accent2" w:themeShade="BF"/>
                <w:sz w:val="16"/>
                <w:szCs w:val="16"/>
                <w:lang w:val="pt-PT" w:eastAsia="pt-PT"/>
              </w:rPr>
            </w:pPr>
            <w:r w:rsidRPr="00EE180C">
              <w:rPr>
                <w:rFonts w:ascii="Calibri" w:hAnsi="Calibri" w:cs="Calibri"/>
                <w:b/>
                <w:color w:val="943634" w:themeColor="accent2" w:themeShade="BF"/>
                <w:sz w:val="16"/>
                <w:szCs w:val="16"/>
                <w:lang w:val="pt-PT" w:eastAsia="pt-PT"/>
              </w:rPr>
              <w:t>119 680</w:t>
            </w:r>
          </w:p>
        </w:tc>
        <w:tc>
          <w:tcPr>
            <w:tcW w:w="891"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943634" w:themeColor="accent2" w:themeShade="BF"/>
                <w:sz w:val="16"/>
                <w:szCs w:val="16"/>
                <w:lang w:val="pt-PT" w:eastAsia="pt-PT"/>
              </w:rPr>
            </w:pPr>
            <w:r w:rsidRPr="00EE180C">
              <w:rPr>
                <w:rFonts w:ascii="Calibri" w:hAnsi="Calibri" w:cs="Calibri"/>
                <w:b/>
                <w:color w:val="943634" w:themeColor="accent2" w:themeShade="BF"/>
                <w:sz w:val="16"/>
                <w:szCs w:val="16"/>
                <w:lang w:val="pt-PT" w:eastAsia="pt-PT"/>
              </w:rPr>
              <w:t>0,2%</w:t>
            </w:r>
          </w:p>
        </w:tc>
        <w:tc>
          <w:tcPr>
            <w:tcW w:w="1149"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943634" w:themeColor="accent2" w:themeShade="BF"/>
                <w:sz w:val="16"/>
                <w:szCs w:val="16"/>
                <w:lang w:val="pt-PT" w:eastAsia="pt-PT"/>
              </w:rPr>
            </w:pPr>
            <w:r w:rsidRPr="00EE180C">
              <w:rPr>
                <w:rFonts w:ascii="Calibri" w:hAnsi="Calibri" w:cs="Calibri"/>
                <w:b/>
                <w:color w:val="943634" w:themeColor="accent2" w:themeShade="BF"/>
                <w:sz w:val="16"/>
                <w:szCs w:val="16"/>
                <w:lang w:val="pt-PT" w:eastAsia="pt-PT"/>
              </w:rPr>
              <w:t>-322 243</w:t>
            </w:r>
          </w:p>
        </w:tc>
        <w:tc>
          <w:tcPr>
            <w:tcW w:w="1200"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943634" w:themeColor="accent2" w:themeShade="BF"/>
                <w:sz w:val="16"/>
                <w:szCs w:val="16"/>
                <w:lang w:val="pt-PT" w:eastAsia="pt-PT"/>
              </w:rPr>
            </w:pPr>
            <w:r w:rsidRPr="00EE180C">
              <w:rPr>
                <w:rFonts w:ascii="Calibri" w:hAnsi="Calibri" w:cs="Calibri"/>
                <w:b/>
                <w:color w:val="943634" w:themeColor="accent2" w:themeShade="BF"/>
                <w:sz w:val="16"/>
                <w:szCs w:val="16"/>
                <w:lang w:val="pt-PT" w:eastAsia="pt-PT"/>
              </w:rPr>
              <w:t>9 164</w:t>
            </w:r>
          </w:p>
        </w:tc>
        <w:tc>
          <w:tcPr>
            <w:tcW w:w="1081"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943634" w:themeColor="accent2" w:themeShade="BF"/>
                <w:sz w:val="16"/>
                <w:szCs w:val="16"/>
                <w:lang w:val="pt-PT" w:eastAsia="pt-PT"/>
              </w:rPr>
            </w:pPr>
            <w:r w:rsidRPr="00EE180C">
              <w:rPr>
                <w:rFonts w:ascii="Calibri" w:hAnsi="Calibri" w:cs="Calibri"/>
                <w:b/>
                <w:color w:val="943634" w:themeColor="accent2" w:themeShade="BF"/>
                <w:sz w:val="16"/>
                <w:szCs w:val="16"/>
                <w:lang w:val="pt-PT" w:eastAsia="pt-PT"/>
              </w:rPr>
              <w:t>0</w:t>
            </w:r>
          </w:p>
        </w:tc>
        <w:tc>
          <w:tcPr>
            <w:tcW w:w="1150"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943634" w:themeColor="accent2" w:themeShade="BF"/>
                <w:sz w:val="16"/>
                <w:szCs w:val="16"/>
                <w:lang w:val="pt-PT" w:eastAsia="pt-PT"/>
              </w:rPr>
            </w:pPr>
            <w:r w:rsidRPr="00EE180C">
              <w:rPr>
                <w:rFonts w:ascii="Calibri" w:hAnsi="Calibri" w:cs="Calibri"/>
                <w:b/>
                <w:color w:val="943634" w:themeColor="accent2" w:themeShade="BF"/>
                <w:sz w:val="16"/>
                <w:szCs w:val="16"/>
                <w:lang w:val="pt-PT" w:eastAsia="pt-PT"/>
              </w:rPr>
              <w:t>17,99</w:t>
            </w:r>
          </w:p>
        </w:tc>
        <w:tc>
          <w:tcPr>
            <w:tcW w:w="1150"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943634" w:themeColor="accent2" w:themeShade="BF"/>
                <w:sz w:val="16"/>
                <w:szCs w:val="16"/>
                <w:lang w:val="pt-PT" w:eastAsia="pt-PT"/>
              </w:rPr>
            </w:pPr>
            <w:r w:rsidRPr="00EE180C">
              <w:rPr>
                <w:rFonts w:ascii="Calibri" w:hAnsi="Calibri" w:cs="Calibri"/>
                <w:b/>
                <w:color w:val="943634" w:themeColor="accent2" w:themeShade="BF"/>
                <w:sz w:val="16"/>
                <w:szCs w:val="16"/>
                <w:lang w:val="pt-PT" w:eastAsia="pt-PT"/>
              </w:rPr>
              <w:t>46,51</w:t>
            </w:r>
          </w:p>
        </w:tc>
        <w:tc>
          <w:tcPr>
            <w:tcW w:w="1313" w:type="dxa"/>
            <w:tcBorders>
              <w:top w:val="nil"/>
              <w:left w:val="nil"/>
              <w:bottom w:val="double" w:sz="6" w:space="0" w:color="auto"/>
              <w:right w:val="nil"/>
            </w:tcBorders>
            <w:shd w:val="clear" w:color="auto" w:fill="auto"/>
            <w:noWrap/>
            <w:vAlign w:val="center"/>
            <w:hideMark/>
          </w:tcPr>
          <w:p w:rsidR="008A161D" w:rsidRPr="00EE180C" w:rsidRDefault="008A161D" w:rsidP="008154E2">
            <w:pPr>
              <w:jc w:val="center"/>
              <w:rPr>
                <w:rFonts w:ascii="Calibri" w:hAnsi="Calibri" w:cs="Calibri"/>
                <w:b/>
                <w:color w:val="943634" w:themeColor="accent2" w:themeShade="BF"/>
                <w:sz w:val="16"/>
                <w:szCs w:val="16"/>
                <w:lang w:val="pt-PT" w:eastAsia="pt-PT"/>
              </w:rPr>
            </w:pPr>
            <w:r w:rsidRPr="00EE180C">
              <w:rPr>
                <w:rFonts w:ascii="Calibri" w:hAnsi="Calibri" w:cs="Calibri"/>
                <w:b/>
                <w:color w:val="943634" w:themeColor="accent2" w:themeShade="BF"/>
                <w:sz w:val="16"/>
                <w:szCs w:val="16"/>
                <w:lang w:val="pt-PT" w:eastAsia="pt-PT"/>
              </w:rPr>
              <w:t>23,73</w:t>
            </w:r>
          </w:p>
        </w:tc>
      </w:tr>
    </w:tbl>
    <w:p w:rsidR="008B02D8" w:rsidRDefault="008B02D8" w:rsidP="007576DF">
      <w:pPr>
        <w:spacing w:after="0"/>
        <w:rPr>
          <w:lang w:val="en-US"/>
        </w:rPr>
      </w:pPr>
    </w:p>
    <w:p w:rsidR="008A161D" w:rsidRPr="00F238FD" w:rsidRDefault="008A161D" w:rsidP="007576DF">
      <w:pPr>
        <w:spacing w:after="0"/>
        <w:rPr>
          <w:lang w:val="en-US"/>
        </w:rPr>
      </w:pPr>
      <w:r w:rsidRPr="00F238FD">
        <w:rPr>
          <w:lang w:val="en-US"/>
        </w:rPr>
        <w:t xml:space="preserve">By January 2017, there was difficult situation for some of the </w:t>
      </w:r>
      <w:r w:rsidR="008B02D8">
        <w:rPr>
          <w:lang w:val="en-US"/>
        </w:rPr>
        <w:t>user</w:t>
      </w:r>
      <w:r w:rsidRPr="00F238FD">
        <w:rPr>
          <w:lang w:val="en-US"/>
        </w:rPr>
        <w:t xml:space="preserve">s to purchase </w:t>
      </w:r>
      <w:r w:rsidR="008B02D8">
        <w:rPr>
          <w:lang w:val="en-US"/>
        </w:rPr>
        <w:t>gas</w:t>
      </w:r>
      <w:r w:rsidRPr="00F238FD">
        <w:rPr>
          <w:lang w:val="en-US"/>
        </w:rPr>
        <w:t>, which led them to be short on the system for several times. Another consequence of this occurrence was an increase of the prices</w:t>
      </w:r>
      <w:r w:rsidR="00111734">
        <w:rPr>
          <w:lang w:val="en-US"/>
        </w:rPr>
        <w:t xml:space="preserve"> at MIBGAS</w:t>
      </w:r>
      <w:r w:rsidRPr="00F238FD">
        <w:rPr>
          <w:lang w:val="en-US"/>
        </w:rPr>
        <w:t>. This situation lasted until the following month.</w:t>
      </w:r>
    </w:p>
    <w:p w:rsidR="008A161D" w:rsidRPr="003E2004" w:rsidRDefault="008A161D" w:rsidP="008A161D">
      <w:pPr>
        <w:pStyle w:val="Prrafodelista"/>
        <w:ind w:left="0"/>
        <w:rPr>
          <w:color w:val="365F91" w:themeColor="accent1" w:themeShade="BF"/>
          <w:lang w:val="en-US"/>
        </w:rPr>
      </w:pPr>
    </w:p>
    <w:p w:rsidR="008A161D" w:rsidRDefault="008A161D" w:rsidP="008A161D">
      <w:pPr>
        <w:pStyle w:val="Prrafodelista"/>
        <w:ind w:left="0"/>
        <w:rPr>
          <w:color w:val="365F91" w:themeColor="accent1" w:themeShade="BF"/>
          <w:lang w:val="en-GB"/>
        </w:rPr>
      </w:pPr>
      <w:r w:rsidRPr="00D00D9F">
        <w:rPr>
          <w:noProof/>
          <w:color w:val="365F91" w:themeColor="accent1" w:themeShade="BF"/>
          <w:lang w:val="es-ES" w:eastAsia="es-ES"/>
        </w:rPr>
        <w:drawing>
          <wp:inline distT="0" distB="0" distL="0" distR="0" wp14:anchorId="54503D2C" wp14:editId="2547A085">
            <wp:extent cx="5400675" cy="2831465"/>
            <wp:effectExtent l="0" t="0" r="0" b="0"/>
            <wp:docPr id="11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A161D" w:rsidRPr="00E66398" w:rsidRDefault="008A161D" w:rsidP="007576DF">
      <w:pPr>
        <w:spacing w:after="0"/>
        <w:rPr>
          <w:lang w:val="en-US"/>
        </w:rPr>
      </w:pPr>
      <w:r w:rsidRPr="00E66398">
        <w:rPr>
          <w:lang w:val="en-US"/>
        </w:rPr>
        <w:t>The rules defined to the determination of the applicable prices to imbalances were the following:</w:t>
      </w:r>
    </w:p>
    <w:p w:rsidR="008A161D" w:rsidRPr="00E66398" w:rsidRDefault="008A161D" w:rsidP="007576DF">
      <w:pPr>
        <w:pStyle w:val="Prrafodelista"/>
        <w:numPr>
          <w:ilvl w:val="0"/>
          <w:numId w:val="22"/>
        </w:numPr>
        <w:spacing w:before="0" w:after="0"/>
        <w:rPr>
          <w:lang w:val="en-US"/>
        </w:rPr>
      </w:pPr>
      <w:r w:rsidRPr="00E66398">
        <w:rPr>
          <w:lang w:val="en-US"/>
        </w:rPr>
        <w:t xml:space="preserve">Marginal sell price: determined by the minimum between the lowest sell price of any title product traded by the TSO and the weighted average price multiplied by 0,975; </w:t>
      </w:r>
    </w:p>
    <w:p w:rsidR="008A161D" w:rsidRPr="00E66398" w:rsidRDefault="008A161D" w:rsidP="007576DF">
      <w:pPr>
        <w:pStyle w:val="Prrafodelista"/>
        <w:numPr>
          <w:ilvl w:val="0"/>
          <w:numId w:val="22"/>
        </w:numPr>
        <w:spacing w:before="0" w:after="0"/>
        <w:rPr>
          <w:lang w:val="en-US"/>
        </w:rPr>
      </w:pPr>
      <w:r w:rsidRPr="00E66398">
        <w:rPr>
          <w:lang w:val="en-US"/>
        </w:rPr>
        <w:t xml:space="preserve">Marginal buy price: determined by the maximum between the highest buy price of any title product traded by the TSO and the weighted average price multiplied by 1,025. </w:t>
      </w:r>
    </w:p>
    <w:p w:rsidR="008A161D" w:rsidRPr="00E66398" w:rsidRDefault="008A161D" w:rsidP="007576DF">
      <w:pPr>
        <w:spacing w:after="0"/>
        <w:rPr>
          <w:lang w:val="en-US"/>
        </w:rPr>
      </w:pPr>
      <w:r w:rsidRPr="00E66398">
        <w:rPr>
          <w:lang w:val="en-US"/>
        </w:rPr>
        <w:t xml:space="preserve">Meanwhile, since there is no trading platform available for the Portuguese system, the weighted average price was determined considering the weighted average price at the Spanish </w:t>
      </w:r>
      <w:r w:rsidR="00CD1C55">
        <w:rPr>
          <w:lang w:val="en-US"/>
        </w:rPr>
        <w:t>VTP</w:t>
      </w:r>
      <w:r w:rsidRPr="00E66398">
        <w:rPr>
          <w:lang w:val="en-US"/>
        </w:rPr>
        <w:t xml:space="preserve"> affected by the corresponding transport tariffs at VIP Ibérico.</w:t>
      </w:r>
    </w:p>
    <w:p w:rsidR="008A161D" w:rsidRPr="008A161D" w:rsidRDefault="008A161D" w:rsidP="007576DF">
      <w:pPr>
        <w:spacing w:before="0" w:after="0"/>
        <w:rPr>
          <w:b/>
          <w:lang w:val="en-US"/>
        </w:rPr>
      </w:pPr>
    </w:p>
    <w:p w:rsidR="004F4155" w:rsidRPr="00957C2A" w:rsidRDefault="004F4155" w:rsidP="00A00BD4">
      <w:pPr>
        <w:pStyle w:val="Prrafodelista"/>
        <w:numPr>
          <w:ilvl w:val="1"/>
          <w:numId w:val="12"/>
        </w:numPr>
        <w:spacing w:before="0" w:after="0" w:line="240" w:lineRule="auto"/>
        <w:contextualSpacing w:val="0"/>
        <w:jc w:val="left"/>
        <w:rPr>
          <w:b/>
          <w:lang w:val="es-ES"/>
        </w:rPr>
      </w:pPr>
      <w:r w:rsidRPr="00957C2A">
        <w:rPr>
          <w:b/>
          <w:lang w:val="es-ES"/>
        </w:rPr>
        <w:t>TSOs’ neutrality</w:t>
      </w:r>
      <w:r w:rsidRPr="00957C2A">
        <w:rPr>
          <w:lang w:val="es-ES"/>
        </w:rPr>
        <w:t xml:space="preserve"> </w:t>
      </w:r>
    </w:p>
    <w:p w:rsidR="00036054" w:rsidRDefault="00036054" w:rsidP="004F4155">
      <w:pPr>
        <w:pStyle w:val="Prrafodelista"/>
        <w:spacing w:before="0" w:after="0" w:line="240" w:lineRule="auto"/>
        <w:ind w:left="360"/>
        <w:contextualSpacing w:val="0"/>
        <w:jc w:val="left"/>
        <w:rPr>
          <w:b/>
          <w:lang w:val="es-ES"/>
        </w:rPr>
      </w:pPr>
    </w:p>
    <w:p w:rsidR="00036054" w:rsidRDefault="00036054" w:rsidP="00036054">
      <w:pPr>
        <w:pStyle w:val="Prrafodelista"/>
        <w:spacing w:before="0" w:after="0" w:line="240" w:lineRule="auto"/>
        <w:ind w:left="0"/>
        <w:contextualSpacing w:val="0"/>
        <w:jc w:val="left"/>
        <w:rPr>
          <w:b/>
          <w:lang w:val="es-ES"/>
        </w:rPr>
      </w:pPr>
      <w:r>
        <w:rPr>
          <w:b/>
          <w:lang w:val="es-ES"/>
        </w:rPr>
        <w:t>SPAIN</w:t>
      </w:r>
    </w:p>
    <w:p w:rsidR="00036054" w:rsidRPr="00957C2A" w:rsidRDefault="00036054" w:rsidP="00036054">
      <w:pPr>
        <w:pStyle w:val="Prrafodelista"/>
        <w:spacing w:before="0" w:after="0" w:line="240" w:lineRule="auto"/>
        <w:ind w:left="0"/>
        <w:contextualSpacing w:val="0"/>
        <w:jc w:val="left"/>
        <w:rPr>
          <w:b/>
          <w:lang w:val="es-ES"/>
        </w:rPr>
      </w:pPr>
    </w:p>
    <w:p w:rsidR="004F4155" w:rsidRPr="00957C2A" w:rsidRDefault="004F4155" w:rsidP="007576DF">
      <w:pPr>
        <w:pStyle w:val="Prrafodelista"/>
        <w:numPr>
          <w:ilvl w:val="0"/>
          <w:numId w:val="11"/>
        </w:numPr>
        <w:spacing w:before="0" w:after="0"/>
        <w:contextualSpacing w:val="0"/>
        <w:rPr>
          <w:lang w:val="en-US"/>
        </w:rPr>
      </w:pPr>
      <w:r w:rsidRPr="00957C2A">
        <w:rPr>
          <w:lang w:val="en-US"/>
        </w:rPr>
        <w:t>Evolution of incomes and expenditures of the TSO during the year, distinguishing the 5 economic flows that affect neutrality: STSP acquisition (buy and sell), shippers’ imbalances cashout (long and short positions) and use of balancing services</w:t>
      </w:r>
      <w:r w:rsidR="00780C58">
        <w:rPr>
          <w:lang w:val="en-US"/>
        </w:rPr>
        <w:t>.</w:t>
      </w:r>
    </w:p>
    <w:p w:rsidR="004F4155" w:rsidRPr="00957C2A" w:rsidRDefault="004F4155" w:rsidP="007576DF">
      <w:pPr>
        <w:spacing w:before="0" w:after="0"/>
        <w:jc w:val="left"/>
        <w:rPr>
          <w:lang w:val="en-US"/>
        </w:rPr>
      </w:pPr>
    </w:p>
    <w:p w:rsidR="004F4155" w:rsidRDefault="004F4155" w:rsidP="007576DF">
      <w:pPr>
        <w:spacing w:before="0" w:after="0"/>
        <w:ind w:left="-284"/>
        <w:jc w:val="center"/>
        <w:rPr>
          <w:color w:val="4F81BD" w:themeColor="accent1"/>
          <w:lang w:val="en-US"/>
        </w:rPr>
      </w:pPr>
      <w:r>
        <w:rPr>
          <w:noProof/>
          <w:lang w:val="es-ES" w:eastAsia="es-ES"/>
        </w:rPr>
        <w:drawing>
          <wp:inline distT="0" distB="0" distL="0" distR="0" wp14:anchorId="47E5D87F" wp14:editId="57AF533B">
            <wp:extent cx="5612130" cy="2863215"/>
            <wp:effectExtent l="0" t="0" r="762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12130" cy="2863215"/>
                    </a:xfrm>
                    <a:prstGeom prst="rect">
                      <a:avLst/>
                    </a:prstGeom>
                  </pic:spPr>
                </pic:pic>
              </a:graphicData>
            </a:graphic>
          </wp:inline>
        </w:drawing>
      </w:r>
    </w:p>
    <w:p w:rsidR="004F4155" w:rsidRDefault="004F4155" w:rsidP="007576DF">
      <w:pPr>
        <w:spacing w:before="0" w:after="0"/>
        <w:jc w:val="left"/>
        <w:rPr>
          <w:color w:val="4F81BD" w:themeColor="accent1"/>
          <w:lang w:val="en-US"/>
        </w:rPr>
      </w:pPr>
    </w:p>
    <w:p w:rsidR="004F4155" w:rsidRPr="00957C2A" w:rsidRDefault="004F4155" w:rsidP="007576DF">
      <w:pPr>
        <w:spacing w:after="0"/>
        <w:rPr>
          <w:lang w:val="en-US"/>
        </w:rPr>
      </w:pPr>
      <w:r w:rsidRPr="00957C2A">
        <w:rPr>
          <w:lang w:val="en-US"/>
        </w:rPr>
        <w:t>The incomes or expenditures from user</w:t>
      </w:r>
      <w:r w:rsidR="00780C58">
        <w:rPr>
          <w:lang w:val="en-US"/>
        </w:rPr>
        <w:t>s’</w:t>
      </w:r>
      <w:r w:rsidRPr="00957C2A">
        <w:rPr>
          <w:lang w:val="en-US"/>
        </w:rPr>
        <w:t xml:space="preserve"> imbalances have been calculated with the best information available o</w:t>
      </w:r>
      <w:r w:rsidR="00780C58">
        <w:rPr>
          <w:lang w:val="en-US"/>
        </w:rPr>
        <w:t>n</w:t>
      </w:r>
      <w:r w:rsidRPr="00957C2A">
        <w:rPr>
          <w:lang w:val="en-US"/>
        </w:rPr>
        <w:t xml:space="preserve"> the balance </w:t>
      </w:r>
      <w:r w:rsidR="00780C58">
        <w:rPr>
          <w:lang w:val="en-US"/>
        </w:rPr>
        <w:t>i</w:t>
      </w:r>
      <w:r w:rsidRPr="00957C2A">
        <w:rPr>
          <w:lang w:val="en-US"/>
        </w:rPr>
        <w:t>n each month.</w:t>
      </w:r>
    </w:p>
    <w:p w:rsidR="004F4155" w:rsidRPr="00957C2A" w:rsidRDefault="004F4155" w:rsidP="007576DF">
      <w:pPr>
        <w:rPr>
          <w:noProof/>
          <w:lang w:val="en-US"/>
        </w:rPr>
      </w:pPr>
      <w:r w:rsidRPr="00957C2A">
        <w:rPr>
          <w:lang w:val="en-US"/>
        </w:rPr>
        <w:t>(*) According to Spanish regulation, when the result of incomes-expenditures for one month is negative, the TSO distributes the resultant quantity between all the users that have operate</w:t>
      </w:r>
      <w:r w:rsidR="00780C58">
        <w:rPr>
          <w:lang w:val="en-US"/>
        </w:rPr>
        <w:t>d</w:t>
      </w:r>
      <w:r w:rsidRPr="00957C2A">
        <w:rPr>
          <w:lang w:val="en-US"/>
        </w:rPr>
        <w:t xml:space="preserve"> that month.</w:t>
      </w:r>
    </w:p>
    <w:p w:rsidR="004F4155" w:rsidRPr="0052578C" w:rsidRDefault="004F4155" w:rsidP="004F4155">
      <w:pPr>
        <w:spacing w:after="0" w:line="240" w:lineRule="auto"/>
        <w:ind w:left="284"/>
        <w:jc w:val="center"/>
        <w:rPr>
          <w:color w:val="4F81BD" w:themeColor="accent1"/>
          <w:lang w:val="en-US"/>
        </w:rPr>
      </w:pPr>
      <w:r>
        <w:rPr>
          <w:noProof/>
          <w:color w:val="4F81BD" w:themeColor="accent1"/>
          <w:lang w:val="es-ES" w:eastAsia="es-ES"/>
        </w:rPr>
        <w:drawing>
          <wp:inline distT="0" distB="0" distL="0" distR="0" wp14:anchorId="7C18E921" wp14:editId="62B48A00">
            <wp:extent cx="5623560" cy="3268980"/>
            <wp:effectExtent l="0" t="0" r="0" b="762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23560" cy="3268980"/>
                    </a:xfrm>
                    <a:prstGeom prst="rect">
                      <a:avLst/>
                    </a:prstGeom>
                    <a:noFill/>
                  </pic:spPr>
                </pic:pic>
              </a:graphicData>
            </a:graphic>
          </wp:inline>
        </w:drawing>
      </w:r>
    </w:p>
    <w:p w:rsidR="004F4155" w:rsidRDefault="004F4155" w:rsidP="004F4155">
      <w:pPr>
        <w:spacing w:before="0" w:after="0" w:line="240" w:lineRule="auto"/>
        <w:jc w:val="left"/>
        <w:rPr>
          <w:color w:val="4F81BD" w:themeColor="accent1"/>
          <w:lang w:val="en-US"/>
        </w:rPr>
      </w:pPr>
    </w:p>
    <w:p w:rsidR="004F4155" w:rsidRDefault="004F4155" w:rsidP="004F4155">
      <w:pPr>
        <w:spacing w:before="0" w:after="0" w:line="240" w:lineRule="auto"/>
        <w:jc w:val="left"/>
        <w:rPr>
          <w:color w:val="4F81BD" w:themeColor="accent1"/>
          <w:lang w:val="en-US"/>
        </w:rPr>
      </w:pPr>
    </w:p>
    <w:p w:rsidR="004F4155" w:rsidRPr="0052578C" w:rsidRDefault="004F4155" w:rsidP="004F4155">
      <w:pPr>
        <w:spacing w:before="0" w:after="0" w:line="240" w:lineRule="auto"/>
        <w:jc w:val="left"/>
        <w:rPr>
          <w:color w:val="4F81BD" w:themeColor="accent1"/>
          <w:lang w:val="en-US"/>
        </w:rPr>
      </w:pPr>
    </w:p>
    <w:p w:rsidR="004F4155" w:rsidRPr="00957C2A" w:rsidRDefault="004F4155" w:rsidP="007576DF">
      <w:pPr>
        <w:pStyle w:val="Prrafodelista"/>
        <w:numPr>
          <w:ilvl w:val="0"/>
          <w:numId w:val="11"/>
        </w:numPr>
        <w:spacing w:before="0" w:after="0"/>
        <w:contextualSpacing w:val="0"/>
        <w:rPr>
          <w:lang w:val="en-US"/>
        </w:rPr>
      </w:pPr>
      <w:r w:rsidRPr="00957C2A">
        <w:rPr>
          <w:lang w:val="en-US"/>
        </w:rPr>
        <w:t xml:space="preserve">Maximum, minimum and average cumulative neutrality (unadjusted financial position) during the year </w:t>
      </w:r>
    </w:p>
    <w:p w:rsidR="004F4155" w:rsidRDefault="004F4155" w:rsidP="007576DF">
      <w:pPr>
        <w:spacing w:before="0" w:after="0"/>
        <w:ind w:left="720"/>
        <w:jc w:val="center"/>
        <w:rPr>
          <w:color w:val="4F81BD" w:themeColor="accent1"/>
          <w:lang w:val="en-US"/>
        </w:rPr>
      </w:pPr>
      <w:r>
        <w:rPr>
          <w:noProof/>
          <w:lang w:val="es-ES" w:eastAsia="es-ES"/>
        </w:rPr>
        <w:drawing>
          <wp:inline distT="0" distB="0" distL="0" distR="0" wp14:anchorId="431F1B4F" wp14:editId="1B678277">
            <wp:extent cx="2330927" cy="677034"/>
            <wp:effectExtent l="0" t="0" r="0" b="889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337808" cy="679033"/>
                    </a:xfrm>
                    <a:prstGeom prst="rect">
                      <a:avLst/>
                    </a:prstGeom>
                  </pic:spPr>
                </pic:pic>
              </a:graphicData>
            </a:graphic>
          </wp:inline>
        </w:drawing>
      </w:r>
    </w:p>
    <w:p w:rsidR="004F4155" w:rsidRPr="00957C2A" w:rsidRDefault="004F4155" w:rsidP="007576DF">
      <w:pPr>
        <w:spacing w:after="0"/>
        <w:rPr>
          <w:rFonts w:ascii="Calibri" w:eastAsia="Calibri" w:hAnsi="Calibri"/>
          <w:lang w:val="en-US"/>
        </w:rPr>
      </w:pPr>
      <w:r w:rsidRPr="00957C2A">
        <w:rPr>
          <w:lang w:val="en-US"/>
        </w:rPr>
        <w:t>Average calculated with Total (incomes-expenditures).</w:t>
      </w:r>
    </w:p>
    <w:p w:rsidR="004F4155" w:rsidRPr="00957C2A" w:rsidRDefault="004F4155" w:rsidP="007576DF">
      <w:pPr>
        <w:spacing w:before="0" w:after="0"/>
        <w:jc w:val="left"/>
        <w:rPr>
          <w:lang w:val="en-US"/>
        </w:rPr>
      </w:pPr>
    </w:p>
    <w:p w:rsidR="004F4155" w:rsidRPr="00957C2A" w:rsidRDefault="004F4155" w:rsidP="007576DF">
      <w:pPr>
        <w:pStyle w:val="Prrafodelista"/>
        <w:numPr>
          <w:ilvl w:val="0"/>
          <w:numId w:val="11"/>
        </w:numPr>
        <w:spacing w:before="0" w:after="0"/>
        <w:ind w:left="708"/>
        <w:contextualSpacing w:val="0"/>
        <w:jc w:val="left"/>
        <w:rPr>
          <w:lang w:val="en-US"/>
        </w:rPr>
      </w:pPr>
      <w:r w:rsidRPr="00957C2A">
        <w:rPr>
          <w:lang w:val="en-US"/>
        </w:rPr>
        <w:t xml:space="preserve">Net financial position corresponding to the end of the year. </w:t>
      </w:r>
    </w:p>
    <w:p w:rsidR="004F4155" w:rsidRPr="00957C2A" w:rsidRDefault="004F4155" w:rsidP="007576DF">
      <w:pPr>
        <w:spacing w:before="0" w:after="0"/>
        <w:jc w:val="left"/>
        <w:rPr>
          <w:lang w:val="en-US"/>
        </w:rPr>
      </w:pPr>
    </w:p>
    <w:p w:rsidR="004F4155" w:rsidRPr="00957C2A" w:rsidRDefault="004F4155" w:rsidP="001013E6">
      <w:pPr>
        <w:spacing w:before="0" w:after="0"/>
        <w:rPr>
          <w:lang w:val="en-US"/>
        </w:rPr>
      </w:pPr>
      <w:r w:rsidRPr="00957C2A">
        <w:rPr>
          <w:lang w:val="en-US"/>
        </w:rPr>
        <w:t>The net financial position defined as the difference between incomes and expenditures during the year</w:t>
      </w:r>
      <w:r w:rsidR="00780C58">
        <w:rPr>
          <w:lang w:val="en-US"/>
        </w:rPr>
        <w:t>.</w:t>
      </w:r>
    </w:p>
    <w:p w:rsidR="004F4155" w:rsidRPr="001B1E72" w:rsidRDefault="004F4155" w:rsidP="007576DF">
      <w:pPr>
        <w:pStyle w:val="Prrafodelista"/>
        <w:spacing w:before="0" w:after="0"/>
        <w:ind w:left="708"/>
        <w:contextualSpacing w:val="0"/>
        <w:jc w:val="center"/>
        <w:rPr>
          <w:lang w:val="en-US"/>
        </w:rPr>
      </w:pPr>
      <w:r>
        <w:rPr>
          <w:noProof/>
          <w:lang w:val="es-ES" w:eastAsia="es-ES"/>
        </w:rPr>
        <w:drawing>
          <wp:inline distT="0" distB="0" distL="0" distR="0" wp14:anchorId="6D04BDC2" wp14:editId="69F0B3F6">
            <wp:extent cx="2897840" cy="228864"/>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906825" cy="229574"/>
                    </a:xfrm>
                    <a:prstGeom prst="rect">
                      <a:avLst/>
                    </a:prstGeom>
                  </pic:spPr>
                </pic:pic>
              </a:graphicData>
            </a:graphic>
          </wp:inline>
        </w:drawing>
      </w:r>
    </w:p>
    <w:p w:rsidR="004F4155" w:rsidRPr="00957C2A" w:rsidRDefault="004F4155" w:rsidP="007576DF">
      <w:pPr>
        <w:rPr>
          <w:lang w:val="en-US"/>
        </w:rPr>
      </w:pPr>
      <w:r w:rsidRPr="00957C2A">
        <w:rPr>
          <w:lang w:val="en-US"/>
        </w:rPr>
        <w:t>According to Spanish regulation, when the result of incomes-expenditures for one month is negative, the TSO distributes the resultant quantity between all the users that have operate</w:t>
      </w:r>
      <w:r w:rsidR="00780C58">
        <w:rPr>
          <w:lang w:val="en-US"/>
        </w:rPr>
        <w:t>d</w:t>
      </w:r>
      <w:r w:rsidRPr="00957C2A">
        <w:rPr>
          <w:lang w:val="en-US"/>
        </w:rPr>
        <w:t xml:space="preserve"> that month. Therefore, the quantity after neutrality is zero. It took place four times in the analyzed period. Considering such application of neutrality, the net financial position after recovering the negative quantities from users is 8.932.558 €.</w:t>
      </w:r>
    </w:p>
    <w:p w:rsidR="004F4155" w:rsidRPr="0052578C" w:rsidRDefault="004F4155" w:rsidP="007576DF">
      <w:pPr>
        <w:spacing w:before="0" w:after="0"/>
        <w:jc w:val="left"/>
        <w:rPr>
          <w:lang w:val="en-US"/>
        </w:rPr>
      </w:pPr>
    </w:p>
    <w:p w:rsidR="004F4155" w:rsidRPr="00957C2A" w:rsidRDefault="004F4155" w:rsidP="007576DF">
      <w:pPr>
        <w:pStyle w:val="Prrafodelista"/>
        <w:numPr>
          <w:ilvl w:val="0"/>
          <w:numId w:val="11"/>
        </w:numPr>
        <w:spacing w:before="0" w:after="0"/>
        <w:contextualSpacing w:val="0"/>
        <w:jc w:val="left"/>
        <w:rPr>
          <w:lang w:val="en-US"/>
        </w:rPr>
      </w:pPr>
      <w:r w:rsidRPr="00957C2A">
        <w:rPr>
          <w:lang w:val="en-US"/>
        </w:rPr>
        <w:t xml:space="preserve">Conclusions that can be drawn from the figures. </w:t>
      </w:r>
    </w:p>
    <w:p w:rsidR="004F4155" w:rsidRDefault="004F4155" w:rsidP="004F4155">
      <w:pPr>
        <w:ind w:left="708"/>
        <w:jc w:val="center"/>
        <w:rPr>
          <w:lang w:val="en-US"/>
        </w:rPr>
      </w:pPr>
      <w:r>
        <w:rPr>
          <w:noProof/>
          <w:lang w:val="es-ES" w:eastAsia="es-ES"/>
        </w:rPr>
        <w:drawing>
          <wp:inline distT="0" distB="0" distL="0" distR="0" wp14:anchorId="5234C134" wp14:editId="4CE4C3C1">
            <wp:extent cx="3779166" cy="233258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782168" cy="2334433"/>
                    </a:xfrm>
                    <a:prstGeom prst="rect">
                      <a:avLst/>
                    </a:prstGeom>
                  </pic:spPr>
                </pic:pic>
              </a:graphicData>
            </a:graphic>
          </wp:inline>
        </w:drawing>
      </w:r>
    </w:p>
    <w:p w:rsidR="00AA02DC" w:rsidRDefault="00AA02DC" w:rsidP="00AA02DC">
      <w:pPr>
        <w:rPr>
          <w:b/>
          <w:lang w:val="en-US"/>
        </w:rPr>
      </w:pPr>
      <w:r w:rsidRPr="00AA02DC">
        <w:rPr>
          <w:b/>
          <w:lang w:val="en-US"/>
        </w:rPr>
        <w:t>FRANCE</w:t>
      </w:r>
    </w:p>
    <w:p w:rsidR="00780C58" w:rsidRPr="00AA02DC" w:rsidRDefault="00780C58" w:rsidP="00AA02DC">
      <w:pPr>
        <w:rPr>
          <w:b/>
          <w:lang w:val="en-US"/>
        </w:rPr>
      </w:pPr>
    </w:p>
    <w:p w:rsidR="00AA02DC" w:rsidRDefault="00AA02DC" w:rsidP="00AA02DC">
      <w:pPr>
        <w:rPr>
          <w:b/>
          <w:lang w:val="en-US"/>
        </w:rPr>
      </w:pPr>
      <w:r w:rsidRPr="00AA02DC">
        <w:rPr>
          <w:b/>
          <w:lang w:val="en-US"/>
        </w:rPr>
        <w:t>PORTUGAL</w:t>
      </w:r>
    </w:p>
    <w:p w:rsidR="00AA02DC" w:rsidRDefault="00AA02DC" w:rsidP="00AA02DC">
      <w:pPr>
        <w:pStyle w:val="Prrafodelista"/>
        <w:rPr>
          <w:rFonts w:ascii="Calibri" w:hAnsi="Calibri"/>
          <w:lang w:val="en-US"/>
        </w:rPr>
      </w:pPr>
    </w:p>
    <w:p w:rsidR="00AA02DC" w:rsidRDefault="00AA02DC" w:rsidP="00AA02DC">
      <w:pPr>
        <w:pStyle w:val="Prrafodelista"/>
        <w:ind w:hanging="720"/>
        <w:jc w:val="center"/>
        <w:rPr>
          <w:rFonts w:ascii="Calibri" w:hAnsi="Calibri"/>
          <w:lang w:val="en-US"/>
        </w:rPr>
      </w:pPr>
      <w:r>
        <w:rPr>
          <w:noProof/>
          <w:lang w:val="es-ES" w:eastAsia="es-ES"/>
        </w:rPr>
        <w:drawing>
          <wp:inline distT="0" distB="0" distL="0" distR="0" wp14:anchorId="7F36911C" wp14:editId="6B69E2BE">
            <wp:extent cx="5730875" cy="2392878"/>
            <wp:effectExtent l="0" t="0" r="3175" b="7620"/>
            <wp:docPr id="115"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W w:w="3141" w:type="dxa"/>
        <w:jc w:val="center"/>
        <w:tblCellMar>
          <w:left w:w="70" w:type="dxa"/>
          <w:right w:w="70" w:type="dxa"/>
        </w:tblCellMar>
        <w:tblLook w:val="04A0" w:firstRow="1" w:lastRow="0" w:firstColumn="1" w:lastColumn="0" w:noHBand="0" w:noVBand="1"/>
      </w:tblPr>
      <w:tblGrid>
        <w:gridCol w:w="1047"/>
        <w:gridCol w:w="1047"/>
        <w:gridCol w:w="1047"/>
      </w:tblGrid>
      <w:tr w:rsidR="00AA02DC" w:rsidRPr="00E9216F" w:rsidTr="008154E2">
        <w:trPr>
          <w:trHeight w:val="486"/>
          <w:jc w:val="center"/>
        </w:trPr>
        <w:tc>
          <w:tcPr>
            <w:tcW w:w="1047" w:type="dxa"/>
            <w:vMerge w:val="restart"/>
            <w:tcBorders>
              <w:top w:val="nil"/>
              <w:left w:val="nil"/>
              <w:bottom w:val="single" w:sz="4" w:space="0" w:color="000000"/>
              <w:right w:val="single" w:sz="4" w:space="0" w:color="auto"/>
            </w:tcBorders>
            <w:shd w:val="clear" w:color="auto" w:fill="auto"/>
            <w:noWrap/>
            <w:vAlign w:val="center"/>
            <w:hideMark/>
          </w:tcPr>
          <w:p w:rsidR="00AA02DC" w:rsidRPr="00E9216F" w:rsidRDefault="00AA02DC" w:rsidP="008154E2">
            <w:pPr>
              <w:jc w:val="center"/>
              <w:rPr>
                <w:rFonts w:ascii="Calibri" w:hAnsi="Calibri" w:cs="Calibri"/>
                <w:b/>
                <w:bCs/>
                <w:sz w:val="20"/>
                <w:szCs w:val="20"/>
                <w:lang w:val="pt-PT" w:eastAsia="pt-PT"/>
              </w:rPr>
            </w:pPr>
            <w:r w:rsidRPr="00E9216F">
              <w:rPr>
                <w:rFonts w:ascii="Calibri" w:hAnsi="Calibri" w:cs="Calibri"/>
                <w:b/>
                <w:bCs/>
                <w:sz w:val="20"/>
                <w:szCs w:val="20"/>
                <w:lang w:val="pt-PT" w:eastAsia="pt-PT"/>
              </w:rPr>
              <w:t>Cashout</w:t>
            </w:r>
          </w:p>
        </w:tc>
        <w:tc>
          <w:tcPr>
            <w:tcW w:w="1047" w:type="dxa"/>
            <w:vMerge w:val="restart"/>
            <w:tcBorders>
              <w:top w:val="nil"/>
              <w:left w:val="single" w:sz="4" w:space="0" w:color="auto"/>
              <w:bottom w:val="single" w:sz="4" w:space="0" w:color="000000"/>
              <w:right w:val="nil"/>
            </w:tcBorders>
            <w:shd w:val="clear" w:color="auto" w:fill="auto"/>
            <w:noWrap/>
            <w:vAlign w:val="center"/>
            <w:hideMark/>
          </w:tcPr>
          <w:p w:rsidR="00AA02DC" w:rsidRPr="00E9216F" w:rsidRDefault="00AA02DC" w:rsidP="008154E2">
            <w:pPr>
              <w:jc w:val="center"/>
              <w:rPr>
                <w:rFonts w:ascii="Calibri" w:hAnsi="Calibri" w:cs="Calibri"/>
                <w:b/>
                <w:bCs/>
                <w:lang w:val="pt-PT" w:eastAsia="pt-PT"/>
              </w:rPr>
            </w:pPr>
            <w:r w:rsidRPr="00E9216F">
              <w:rPr>
                <w:rFonts w:ascii="Calibri" w:hAnsi="Calibri" w:cs="Calibri"/>
                <w:b/>
                <w:bCs/>
                <w:lang w:val="pt-PT" w:eastAsia="pt-PT"/>
              </w:rPr>
              <w:t>€</w:t>
            </w:r>
          </w:p>
        </w:tc>
        <w:tc>
          <w:tcPr>
            <w:tcW w:w="1047" w:type="dxa"/>
            <w:vMerge w:val="restart"/>
            <w:tcBorders>
              <w:top w:val="nil"/>
              <w:left w:val="nil"/>
              <w:bottom w:val="single" w:sz="4" w:space="0" w:color="000000"/>
              <w:right w:val="nil"/>
            </w:tcBorders>
            <w:shd w:val="clear" w:color="auto" w:fill="auto"/>
            <w:noWrap/>
            <w:vAlign w:val="center"/>
            <w:hideMark/>
          </w:tcPr>
          <w:p w:rsidR="00AA02DC" w:rsidRPr="00E9216F" w:rsidRDefault="00AA02DC" w:rsidP="008154E2">
            <w:pPr>
              <w:jc w:val="center"/>
              <w:rPr>
                <w:rFonts w:ascii="Calibri" w:hAnsi="Calibri" w:cs="Calibri"/>
                <w:b/>
                <w:bCs/>
                <w:sz w:val="16"/>
                <w:szCs w:val="16"/>
                <w:lang w:val="pt-PT" w:eastAsia="pt-PT"/>
              </w:rPr>
            </w:pPr>
            <w:r w:rsidRPr="00E9216F">
              <w:rPr>
                <w:rFonts w:ascii="Calibri" w:hAnsi="Calibri" w:cs="Calibri"/>
                <w:b/>
                <w:bCs/>
                <w:sz w:val="16"/>
                <w:szCs w:val="16"/>
                <w:lang w:val="pt-PT" w:eastAsia="pt-PT"/>
              </w:rPr>
              <w:t>Date</w:t>
            </w:r>
          </w:p>
        </w:tc>
      </w:tr>
      <w:tr w:rsidR="00AA02DC" w:rsidRPr="00E9216F" w:rsidTr="008154E2">
        <w:trPr>
          <w:trHeight w:val="726"/>
          <w:jc w:val="center"/>
        </w:trPr>
        <w:tc>
          <w:tcPr>
            <w:tcW w:w="1047" w:type="dxa"/>
            <w:vMerge/>
            <w:tcBorders>
              <w:top w:val="nil"/>
              <w:left w:val="nil"/>
              <w:bottom w:val="single" w:sz="4" w:space="0" w:color="000000"/>
              <w:right w:val="single" w:sz="4" w:space="0" w:color="auto"/>
            </w:tcBorders>
            <w:vAlign w:val="center"/>
            <w:hideMark/>
          </w:tcPr>
          <w:p w:rsidR="00AA02DC" w:rsidRPr="00E9216F" w:rsidRDefault="00AA02DC" w:rsidP="008154E2">
            <w:pPr>
              <w:rPr>
                <w:rFonts w:ascii="Calibri" w:hAnsi="Calibri" w:cs="Calibri"/>
                <w:b/>
                <w:bCs/>
                <w:sz w:val="20"/>
                <w:szCs w:val="20"/>
                <w:lang w:val="pt-PT" w:eastAsia="pt-PT"/>
              </w:rPr>
            </w:pPr>
          </w:p>
        </w:tc>
        <w:tc>
          <w:tcPr>
            <w:tcW w:w="1047" w:type="dxa"/>
            <w:vMerge/>
            <w:tcBorders>
              <w:top w:val="nil"/>
              <w:left w:val="single" w:sz="4" w:space="0" w:color="auto"/>
              <w:bottom w:val="single" w:sz="4" w:space="0" w:color="000000"/>
              <w:right w:val="nil"/>
            </w:tcBorders>
            <w:vAlign w:val="center"/>
            <w:hideMark/>
          </w:tcPr>
          <w:p w:rsidR="00AA02DC" w:rsidRPr="00E9216F" w:rsidRDefault="00AA02DC" w:rsidP="008154E2">
            <w:pPr>
              <w:rPr>
                <w:rFonts w:ascii="Calibri" w:hAnsi="Calibri" w:cs="Calibri"/>
                <w:b/>
                <w:bCs/>
                <w:lang w:val="pt-PT" w:eastAsia="pt-PT"/>
              </w:rPr>
            </w:pPr>
          </w:p>
        </w:tc>
        <w:tc>
          <w:tcPr>
            <w:tcW w:w="1047" w:type="dxa"/>
            <w:vMerge/>
            <w:tcBorders>
              <w:top w:val="nil"/>
              <w:left w:val="nil"/>
              <w:bottom w:val="single" w:sz="4" w:space="0" w:color="000000"/>
              <w:right w:val="nil"/>
            </w:tcBorders>
            <w:vAlign w:val="center"/>
            <w:hideMark/>
          </w:tcPr>
          <w:p w:rsidR="00AA02DC" w:rsidRPr="00E9216F" w:rsidRDefault="00AA02DC" w:rsidP="008154E2">
            <w:pPr>
              <w:rPr>
                <w:rFonts w:ascii="Calibri" w:hAnsi="Calibri" w:cs="Calibri"/>
                <w:b/>
                <w:bCs/>
                <w:sz w:val="16"/>
                <w:szCs w:val="16"/>
                <w:lang w:val="pt-PT" w:eastAsia="pt-PT"/>
              </w:rPr>
            </w:pPr>
          </w:p>
        </w:tc>
      </w:tr>
      <w:tr w:rsidR="00AA02DC" w:rsidRPr="00E9216F" w:rsidTr="008154E2">
        <w:trPr>
          <w:trHeight w:val="312"/>
          <w:jc w:val="center"/>
        </w:trPr>
        <w:tc>
          <w:tcPr>
            <w:tcW w:w="1047" w:type="dxa"/>
            <w:tcBorders>
              <w:top w:val="nil"/>
              <w:left w:val="nil"/>
              <w:bottom w:val="double" w:sz="6" w:space="0" w:color="auto"/>
              <w:right w:val="single" w:sz="4" w:space="0" w:color="auto"/>
            </w:tcBorders>
            <w:shd w:val="clear" w:color="auto" w:fill="auto"/>
            <w:noWrap/>
            <w:vAlign w:val="center"/>
            <w:hideMark/>
          </w:tcPr>
          <w:p w:rsidR="00AA02DC" w:rsidRPr="00E9216F" w:rsidRDefault="00AA02DC" w:rsidP="008154E2">
            <w:pPr>
              <w:jc w:val="center"/>
              <w:rPr>
                <w:rFonts w:ascii="Calibri" w:hAnsi="Calibri" w:cs="Calibri"/>
                <w:color w:val="2F75B5"/>
                <w:sz w:val="20"/>
                <w:szCs w:val="20"/>
                <w:lang w:val="pt-PT" w:eastAsia="pt-PT"/>
              </w:rPr>
            </w:pPr>
            <w:r w:rsidRPr="00E9216F">
              <w:rPr>
                <w:rFonts w:ascii="Calibri" w:hAnsi="Calibri" w:cs="Calibri"/>
                <w:color w:val="2F75B5"/>
                <w:sz w:val="20"/>
                <w:szCs w:val="20"/>
                <w:lang w:val="pt-PT" w:eastAsia="pt-PT"/>
              </w:rPr>
              <w:t>Highest</w:t>
            </w:r>
          </w:p>
        </w:tc>
        <w:tc>
          <w:tcPr>
            <w:tcW w:w="1047" w:type="dxa"/>
            <w:tcBorders>
              <w:top w:val="nil"/>
              <w:left w:val="nil"/>
              <w:bottom w:val="double" w:sz="6" w:space="0" w:color="auto"/>
              <w:right w:val="nil"/>
            </w:tcBorders>
            <w:shd w:val="clear" w:color="auto" w:fill="auto"/>
            <w:noWrap/>
            <w:vAlign w:val="center"/>
            <w:hideMark/>
          </w:tcPr>
          <w:p w:rsidR="00AA02DC" w:rsidRPr="00E9216F" w:rsidRDefault="00AA02DC" w:rsidP="008154E2">
            <w:pPr>
              <w:jc w:val="center"/>
              <w:rPr>
                <w:rFonts w:ascii="Calibri" w:hAnsi="Calibri" w:cs="Calibri"/>
                <w:b/>
                <w:bCs/>
                <w:color w:val="2F75B5"/>
                <w:sz w:val="20"/>
                <w:szCs w:val="20"/>
                <w:lang w:val="pt-PT" w:eastAsia="pt-PT"/>
              </w:rPr>
            </w:pPr>
            <w:r w:rsidRPr="00E9216F">
              <w:rPr>
                <w:rFonts w:ascii="Calibri" w:hAnsi="Calibri" w:cs="Calibri"/>
                <w:b/>
                <w:bCs/>
                <w:color w:val="2F75B5"/>
                <w:sz w:val="20"/>
                <w:szCs w:val="20"/>
                <w:lang w:val="pt-PT" w:eastAsia="pt-PT"/>
              </w:rPr>
              <w:t>71 738</w:t>
            </w:r>
          </w:p>
        </w:tc>
        <w:tc>
          <w:tcPr>
            <w:tcW w:w="1047" w:type="dxa"/>
            <w:tcBorders>
              <w:top w:val="nil"/>
              <w:left w:val="nil"/>
              <w:bottom w:val="double" w:sz="6" w:space="0" w:color="auto"/>
              <w:right w:val="nil"/>
            </w:tcBorders>
            <w:shd w:val="clear" w:color="auto" w:fill="auto"/>
            <w:vAlign w:val="center"/>
            <w:hideMark/>
          </w:tcPr>
          <w:p w:rsidR="00AA02DC" w:rsidRPr="00E9216F" w:rsidRDefault="00AA02DC" w:rsidP="008154E2">
            <w:pPr>
              <w:jc w:val="center"/>
              <w:rPr>
                <w:rFonts w:ascii="Calibri" w:hAnsi="Calibri" w:cs="Calibri"/>
                <w:color w:val="2F75B5"/>
                <w:sz w:val="16"/>
                <w:szCs w:val="16"/>
                <w:lang w:val="pt-PT" w:eastAsia="pt-PT"/>
              </w:rPr>
            </w:pPr>
            <w:r>
              <w:rPr>
                <w:rFonts w:ascii="Calibri" w:hAnsi="Calibri" w:cs="Calibri"/>
                <w:color w:val="2F75B5"/>
                <w:sz w:val="16"/>
                <w:szCs w:val="16"/>
                <w:lang w:val="pt-PT" w:eastAsia="pt-PT"/>
              </w:rPr>
              <w:t>05</w:t>
            </w:r>
            <w:r w:rsidRPr="00E9216F">
              <w:rPr>
                <w:rFonts w:ascii="Calibri" w:hAnsi="Calibri" w:cs="Calibri"/>
                <w:color w:val="2F75B5"/>
                <w:sz w:val="16"/>
                <w:szCs w:val="16"/>
                <w:lang w:val="pt-PT" w:eastAsia="pt-PT"/>
              </w:rPr>
              <w:t>/0</w:t>
            </w:r>
            <w:r>
              <w:rPr>
                <w:rFonts w:ascii="Calibri" w:hAnsi="Calibri" w:cs="Calibri"/>
                <w:color w:val="2F75B5"/>
                <w:sz w:val="16"/>
                <w:szCs w:val="16"/>
                <w:lang w:val="pt-PT" w:eastAsia="pt-PT"/>
              </w:rPr>
              <w:t>8</w:t>
            </w:r>
            <w:r w:rsidRPr="00E9216F">
              <w:rPr>
                <w:rFonts w:ascii="Calibri" w:hAnsi="Calibri" w:cs="Calibri"/>
                <w:color w:val="2F75B5"/>
                <w:sz w:val="16"/>
                <w:szCs w:val="16"/>
                <w:lang w:val="pt-PT" w:eastAsia="pt-PT"/>
              </w:rPr>
              <w:t>/20</w:t>
            </w:r>
            <w:r>
              <w:rPr>
                <w:rFonts w:ascii="Calibri" w:hAnsi="Calibri" w:cs="Calibri"/>
                <w:color w:val="2F75B5"/>
                <w:sz w:val="16"/>
                <w:szCs w:val="16"/>
                <w:lang w:val="pt-PT" w:eastAsia="pt-PT"/>
              </w:rPr>
              <w:t>17</w:t>
            </w:r>
          </w:p>
        </w:tc>
      </w:tr>
      <w:tr w:rsidR="00AA02DC" w:rsidRPr="00E9216F" w:rsidTr="008154E2">
        <w:trPr>
          <w:trHeight w:val="312"/>
          <w:jc w:val="center"/>
        </w:trPr>
        <w:tc>
          <w:tcPr>
            <w:tcW w:w="1047" w:type="dxa"/>
            <w:tcBorders>
              <w:top w:val="nil"/>
              <w:left w:val="nil"/>
              <w:bottom w:val="nil"/>
              <w:right w:val="single" w:sz="4" w:space="0" w:color="auto"/>
            </w:tcBorders>
            <w:shd w:val="clear" w:color="auto" w:fill="auto"/>
            <w:noWrap/>
            <w:vAlign w:val="center"/>
            <w:hideMark/>
          </w:tcPr>
          <w:p w:rsidR="00AA02DC" w:rsidRPr="00E9216F" w:rsidRDefault="00AA02DC" w:rsidP="008154E2">
            <w:pPr>
              <w:jc w:val="center"/>
              <w:rPr>
                <w:rFonts w:ascii="Calibri" w:hAnsi="Calibri" w:cs="Calibri"/>
                <w:sz w:val="20"/>
                <w:szCs w:val="20"/>
                <w:lang w:val="pt-PT" w:eastAsia="pt-PT"/>
              </w:rPr>
            </w:pPr>
            <w:r w:rsidRPr="00E9216F">
              <w:rPr>
                <w:rFonts w:ascii="Calibri" w:hAnsi="Calibri" w:cs="Calibri"/>
                <w:sz w:val="20"/>
                <w:szCs w:val="20"/>
                <w:lang w:val="pt-PT" w:eastAsia="pt-PT"/>
              </w:rPr>
              <w:t>Average</w:t>
            </w:r>
          </w:p>
        </w:tc>
        <w:tc>
          <w:tcPr>
            <w:tcW w:w="1047" w:type="dxa"/>
            <w:tcBorders>
              <w:top w:val="nil"/>
              <w:left w:val="nil"/>
              <w:bottom w:val="nil"/>
              <w:right w:val="nil"/>
            </w:tcBorders>
            <w:shd w:val="clear" w:color="auto" w:fill="auto"/>
            <w:noWrap/>
            <w:vAlign w:val="center"/>
            <w:hideMark/>
          </w:tcPr>
          <w:p w:rsidR="00AA02DC" w:rsidRPr="00E9216F" w:rsidRDefault="00AA02DC" w:rsidP="008154E2">
            <w:pPr>
              <w:jc w:val="center"/>
              <w:rPr>
                <w:rFonts w:ascii="Calibri" w:hAnsi="Calibri" w:cs="Calibri"/>
                <w:b/>
                <w:bCs/>
                <w:sz w:val="20"/>
                <w:szCs w:val="20"/>
                <w:lang w:val="pt-PT" w:eastAsia="pt-PT"/>
              </w:rPr>
            </w:pPr>
            <w:r w:rsidRPr="00E9216F">
              <w:rPr>
                <w:rFonts w:ascii="Calibri" w:hAnsi="Calibri" w:cs="Calibri"/>
                <w:b/>
                <w:bCs/>
                <w:sz w:val="20"/>
                <w:szCs w:val="20"/>
                <w:lang w:val="pt-PT" w:eastAsia="pt-PT"/>
              </w:rPr>
              <w:t>3 667</w:t>
            </w:r>
          </w:p>
        </w:tc>
        <w:tc>
          <w:tcPr>
            <w:tcW w:w="1047" w:type="dxa"/>
            <w:tcBorders>
              <w:top w:val="nil"/>
              <w:left w:val="nil"/>
              <w:bottom w:val="nil"/>
              <w:right w:val="nil"/>
            </w:tcBorders>
            <w:shd w:val="clear" w:color="auto" w:fill="auto"/>
            <w:noWrap/>
            <w:vAlign w:val="center"/>
            <w:hideMark/>
          </w:tcPr>
          <w:p w:rsidR="00AA02DC" w:rsidRPr="00E9216F" w:rsidRDefault="00AA02DC" w:rsidP="008154E2">
            <w:pPr>
              <w:jc w:val="center"/>
              <w:rPr>
                <w:rFonts w:ascii="Calibri" w:hAnsi="Calibri" w:cs="Calibri"/>
                <w:sz w:val="16"/>
                <w:szCs w:val="16"/>
                <w:lang w:val="pt-PT" w:eastAsia="pt-PT"/>
              </w:rPr>
            </w:pPr>
            <w:r w:rsidRPr="00E9216F">
              <w:rPr>
                <w:rFonts w:ascii="Calibri" w:hAnsi="Calibri" w:cs="Calibri"/>
                <w:sz w:val="16"/>
                <w:szCs w:val="16"/>
                <w:lang w:val="pt-PT" w:eastAsia="pt-PT"/>
              </w:rPr>
              <w:t>(-)</w:t>
            </w:r>
          </w:p>
        </w:tc>
      </w:tr>
    </w:tbl>
    <w:p w:rsidR="00AA02DC" w:rsidRDefault="00AA02DC" w:rsidP="00AA02DC">
      <w:pPr>
        <w:pStyle w:val="Prrafodelista"/>
        <w:rPr>
          <w:rFonts w:ascii="Calibri" w:hAnsi="Calibri"/>
          <w:lang w:val="en-US"/>
        </w:rPr>
      </w:pPr>
    </w:p>
    <w:p w:rsidR="00AA02DC" w:rsidRDefault="00AA02DC" w:rsidP="00AA02DC">
      <w:pPr>
        <w:pStyle w:val="Prrafodelista"/>
        <w:rPr>
          <w:rFonts w:ascii="Calibri" w:hAnsi="Calibri"/>
          <w:lang w:val="en-US"/>
        </w:rPr>
      </w:pPr>
    </w:p>
    <w:p w:rsidR="00AA02DC" w:rsidRDefault="00AA02DC" w:rsidP="00AA02DC">
      <w:pPr>
        <w:pStyle w:val="Prrafodelista"/>
        <w:rPr>
          <w:rFonts w:ascii="Calibri" w:hAnsi="Calibri"/>
          <w:lang w:val="en-US"/>
        </w:rPr>
      </w:pPr>
    </w:p>
    <w:p w:rsidR="00AA02DC" w:rsidRDefault="00AA02DC" w:rsidP="00AA02DC">
      <w:pPr>
        <w:pStyle w:val="Prrafodelista"/>
        <w:ind w:left="284"/>
        <w:jc w:val="center"/>
        <w:rPr>
          <w:rFonts w:ascii="Calibri" w:hAnsi="Calibri"/>
          <w:lang w:val="en-US"/>
        </w:rPr>
      </w:pPr>
      <w:r>
        <w:rPr>
          <w:noProof/>
          <w:lang w:val="es-ES" w:eastAsia="es-ES"/>
        </w:rPr>
        <w:drawing>
          <wp:inline distT="0" distB="0" distL="0" distR="0" wp14:anchorId="582C91BA" wp14:editId="40DF6C67">
            <wp:extent cx="5594350" cy="2493818"/>
            <wp:effectExtent l="0" t="0" r="6350" b="1905"/>
            <wp:docPr id="116"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W w:w="3085" w:type="dxa"/>
        <w:jc w:val="center"/>
        <w:tblCellMar>
          <w:left w:w="70" w:type="dxa"/>
          <w:right w:w="70" w:type="dxa"/>
        </w:tblCellMar>
        <w:tblLook w:val="04A0" w:firstRow="1" w:lastRow="0" w:firstColumn="1" w:lastColumn="0" w:noHBand="0" w:noVBand="1"/>
      </w:tblPr>
      <w:tblGrid>
        <w:gridCol w:w="984"/>
        <w:gridCol w:w="984"/>
        <w:gridCol w:w="1117"/>
      </w:tblGrid>
      <w:tr w:rsidR="00AA02DC" w:rsidRPr="00137BDE" w:rsidTr="008154E2">
        <w:trPr>
          <w:trHeight w:val="450"/>
          <w:jc w:val="center"/>
        </w:trPr>
        <w:tc>
          <w:tcPr>
            <w:tcW w:w="984" w:type="dxa"/>
            <w:vMerge w:val="restart"/>
            <w:tcBorders>
              <w:top w:val="nil"/>
              <w:left w:val="nil"/>
              <w:bottom w:val="single" w:sz="4" w:space="0" w:color="000000"/>
              <w:right w:val="single" w:sz="4" w:space="0" w:color="auto"/>
            </w:tcBorders>
            <w:shd w:val="clear" w:color="auto" w:fill="auto"/>
            <w:noWrap/>
            <w:vAlign w:val="center"/>
            <w:hideMark/>
          </w:tcPr>
          <w:p w:rsidR="00AA02DC" w:rsidRPr="00137BDE" w:rsidRDefault="00AA02DC" w:rsidP="008154E2">
            <w:pPr>
              <w:jc w:val="center"/>
              <w:rPr>
                <w:rFonts w:ascii="Calibri" w:hAnsi="Calibri" w:cs="Calibri"/>
                <w:b/>
                <w:bCs/>
                <w:sz w:val="18"/>
                <w:szCs w:val="18"/>
                <w:lang w:val="pt-PT" w:eastAsia="pt-PT"/>
              </w:rPr>
            </w:pPr>
            <w:r w:rsidRPr="00137BDE">
              <w:rPr>
                <w:rFonts w:ascii="Calibri" w:hAnsi="Calibri" w:cs="Calibri"/>
                <w:b/>
                <w:bCs/>
                <w:sz w:val="18"/>
                <w:szCs w:val="18"/>
                <w:lang w:val="pt-PT" w:eastAsia="pt-PT"/>
              </w:rPr>
              <w:t>Cashout</w:t>
            </w:r>
          </w:p>
        </w:tc>
        <w:tc>
          <w:tcPr>
            <w:tcW w:w="984" w:type="dxa"/>
            <w:vMerge w:val="restart"/>
            <w:tcBorders>
              <w:top w:val="nil"/>
              <w:left w:val="single" w:sz="4" w:space="0" w:color="auto"/>
              <w:bottom w:val="single" w:sz="4" w:space="0" w:color="000000"/>
              <w:right w:val="nil"/>
            </w:tcBorders>
            <w:shd w:val="clear" w:color="auto" w:fill="auto"/>
            <w:noWrap/>
            <w:vAlign w:val="center"/>
            <w:hideMark/>
          </w:tcPr>
          <w:p w:rsidR="00AA02DC" w:rsidRPr="00137BDE" w:rsidRDefault="00AA02DC" w:rsidP="008154E2">
            <w:pPr>
              <w:jc w:val="center"/>
              <w:rPr>
                <w:rFonts w:ascii="Calibri" w:hAnsi="Calibri" w:cs="Calibri"/>
                <w:b/>
                <w:bCs/>
                <w:sz w:val="18"/>
                <w:szCs w:val="18"/>
                <w:lang w:val="pt-PT" w:eastAsia="pt-PT"/>
              </w:rPr>
            </w:pPr>
            <w:r w:rsidRPr="00137BDE">
              <w:rPr>
                <w:rFonts w:ascii="Calibri" w:hAnsi="Calibri" w:cs="Calibri"/>
                <w:b/>
                <w:bCs/>
                <w:sz w:val="18"/>
                <w:szCs w:val="18"/>
                <w:lang w:val="pt-PT" w:eastAsia="pt-PT"/>
              </w:rPr>
              <w:t>€</w:t>
            </w:r>
          </w:p>
        </w:tc>
        <w:tc>
          <w:tcPr>
            <w:tcW w:w="1117" w:type="dxa"/>
            <w:vMerge w:val="restart"/>
            <w:tcBorders>
              <w:top w:val="nil"/>
              <w:left w:val="nil"/>
              <w:bottom w:val="single" w:sz="4" w:space="0" w:color="000000"/>
              <w:right w:val="nil"/>
            </w:tcBorders>
            <w:shd w:val="clear" w:color="auto" w:fill="auto"/>
            <w:noWrap/>
            <w:vAlign w:val="center"/>
            <w:hideMark/>
          </w:tcPr>
          <w:p w:rsidR="00AA02DC" w:rsidRPr="00137BDE" w:rsidRDefault="00AA02DC" w:rsidP="008154E2">
            <w:pPr>
              <w:jc w:val="center"/>
              <w:rPr>
                <w:rFonts w:ascii="Calibri" w:hAnsi="Calibri" w:cs="Calibri"/>
                <w:b/>
                <w:bCs/>
                <w:sz w:val="18"/>
                <w:szCs w:val="18"/>
                <w:lang w:val="pt-PT" w:eastAsia="pt-PT"/>
              </w:rPr>
            </w:pPr>
            <w:r w:rsidRPr="00137BDE">
              <w:rPr>
                <w:rFonts w:ascii="Calibri" w:hAnsi="Calibri" w:cs="Calibri"/>
                <w:b/>
                <w:bCs/>
                <w:sz w:val="18"/>
                <w:szCs w:val="18"/>
                <w:lang w:val="pt-PT" w:eastAsia="pt-PT"/>
              </w:rPr>
              <w:t>Date</w:t>
            </w:r>
          </w:p>
        </w:tc>
      </w:tr>
      <w:tr w:rsidR="00AA02DC" w:rsidRPr="00137BDE" w:rsidTr="008154E2">
        <w:trPr>
          <w:trHeight w:val="690"/>
          <w:jc w:val="center"/>
        </w:trPr>
        <w:tc>
          <w:tcPr>
            <w:tcW w:w="984" w:type="dxa"/>
            <w:vMerge/>
            <w:tcBorders>
              <w:top w:val="nil"/>
              <w:left w:val="nil"/>
              <w:bottom w:val="single" w:sz="4" w:space="0" w:color="000000"/>
              <w:right w:val="single" w:sz="4" w:space="0" w:color="auto"/>
            </w:tcBorders>
            <w:vAlign w:val="center"/>
            <w:hideMark/>
          </w:tcPr>
          <w:p w:rsidR="00AA02DC" w:rsidRPr="00137BDE" w:rsidRDefault="00AA02DC" w:rsidP="008154E2">
            <w:pPr>
              <w:rPr>
                <w:rFonts w:ascii="Calibri" w:hAnsi="Calibri" w:cs="Calibri"/>
                <w:b/>
                <w:bCs/>
                <w:sz w:val="18"/>
                <w:szCs w:val="18"/>
                <w:lang w:val="pt-PT" w:eastAsia="pt-PT"/>
              </w:rPr>
            </w:pPr>
          </w:p>
        </w:tc>
        <w:tc>
          <w:tcPr>
            <w:tcW w:w="984" w:type="dxa"/>
            <w:vMerge/>
            <w:tcBorders>
              <w:top w:val="nil"/>
              <w:left w:val="single" w:sz="4" w:space="0" w:color="auto"/>
              <w:bottom w:val="single" w:sz="4" w:space="0" w:color="000000"/>
              <w:right w:val="nil"/>
            </w:tcBorders>
            <w:vAlign w:val="center"/>
            <w:hideMark/>
          </w:tcPr>
          <w:p w:rsidR="00AA02DC" w:rsidRPr="00137BDE" w:rsidRDefault="00AA02DC" w:rsidP="008154E2">
            <w:pPr>
              <w:rPr>
                <w:rFonts w:ascii="Calibri" w:hAnsi="Calibri" w:cs="Calibri"/>
                <w:b/>
                <w:bCs/>
                <w:sz w:val="18"/>
                <w:szCs w:val="18"/>
                <w:lang w:val="pt-PT" w:eastAsia="pt-PT"/>
              </w:rPr>
            </w:pPr>
          </w:p>
        </w:tc>
        <w:tc>
          <w:tcPr>
            <w:tcW w:w="1117" w:type="dxa"/>
            <w:vMerge/>
            <w:tcBorders>
              <w:top w:val="nil"/>
              <w:left w:val="nil"/>
              <w:bottom w:val="single" w:sz="4" w:space="0" w:color="000000"/>
              <w:right w:val="nil"/>
            </w:tcBorders>
            <w:vAlign w:val="center"/>
            <w:hideMark/>
          </w:tcPr>
          <w:p w:rsidR="00AA02DC" w:rsidRPr="00137BDE" w:rsidRDefault="00AA02DC" w:rsidP="008154E2">
            <w:pPr>
              <w:rPr>
                <w:rFonts w:ascii="Calibri" w:hAnsi="Calibri" w:cs="Calibri"/>
                <w:b/>
                <w:bCs/>
                <w:sz w:val="18"/>
                <w:szCs w:val="18"/>
                <w:lang w:val="pt-PT" w:eastAsia="pt-PT"/>
              </w:rPr>
            </w:pPr>
          </w:p>
        </w:tc>
      </w:tr>
      <w:tr w:rsidR="00AA02DC" w:rsidRPr="00137BDE" w:rsidTr="008154E2">
        <w:trPr>
          <w:trHeight w:val="257"/>
          <w:jc w:val="center"/>
        </w:trPr>
        <w:tc>
          <w:tcPr>
            <w:tcW w:w="984" w:type="dxa"/>
            <w:tcBorders>
              <w:top w:val="nil"/>
              <w:left w:val="nil"/>
              <w:bottom w:val="double" w:sz="6" w:space="0" w:color="auto"/>
              <w:right w:val="single" w:sz="4" w:space="0" w:color="auto"/>
            </w:tcBorders>
            <w:shd w:val="clear" w:color="auto" w:fill="auto"/>
            <w:noWrap/>
            <w:vAlign w:val="center"/>
            <w:hideMark/>
          </w:tcPr>
          <w:p w:rsidR="00AA02DC" w:rsidRPr="00137BDE" w:rsidRDefault="00AA02DC" w:rsidP="008154E2">
            <w:pPr>
              <w:jc w:val="center"/>
              <w:rPr>
                <w:rFonts w:ascii="Calibri" w:hAnsi="Calibri" w:cs="Calibri"/>
                <w:color w:val="C65911"/>
                <w:sz w:val="18"/>
                <w:szCs w:val="18"/>
                <w:lang w:val="pt-PT" w:eastAsia="pt-PT"/>
              </w:rPr>
            </w:pPr>
            <w:r w:rsidRPr="00137BDE">
              <w:rPr>
                <w:rFonts w:ascii="Calibri" w:hAnsi="Calibri" w:cs="Calibri"/>
                <w:color w:val="C65911"/>
                <w:sz w:val="18"/>
                <w:szCs w:val="18"/>
                <w:lang w:val="pt-PT" w:eastAsia="pt-PT"/>
              </w:rPr>
              <w:t>Highest</w:t>
            </w:r>
          </w:p>
        </w:tc>
        <w:tc>
          <w:tcPr>
            <w:tcW w:w="984" w:type="dxa"/>
            <w:tcBorders>
              <w:top w:val="nil"/>
              <w:left w:val="nil"/>
              <w:bottom w:val="double" w:sz="6" w:space="0" w:color="auto"/>
              <w:right w:val="nil"/>
            </w:tcBorders>
            <w:shd w:val="clear" w:color="auto" w:fill="auto"/>
            <w:noWrap/>
            <w:vAlign w:val="center"/>
            <w:hideMark/>
          </w:tcPr>
          <w:p w:rsidR="00AA02DC" w:rsidRPr="00137BDE" w:rsidRDefault="00AA02DC" w:rsidP="008154E2">
            <w:pPr>
              <w:jc w:val="center"/>
              <w:rPr>
                <w:rFonts w:ascii="Calibri" w:hAnsi="Calibri" w:cs="Calibri"/>
                <w:b/>
                <w:bCs/>
                <w:color w:val="C65911"/>
                <w:sz w:val="18"/>
                <w:szCs w:val="18"/>
                <w:lang w:val="pt-PT" w:eastAsia="pt-PT"/>
              </w:rPr>
            </w:pPr>
            <w:r w:rsidRPr="00137BDE">
              <w:rPr>
                <w:rFonts w:ascii="Calibri" w:hAnsi="Calibri" w:cs="Calibri"/>
                <w:b/>
                <w:bCs/>
                <w:color w:val="C65911"/>
                <w:sz w:val="18"/>
                <w:szCs w:val="18"/>
                <w:lang w:val="pt-PT" w:eastAsia="pt-PT"/>
              </w:rPr>
              <w:t>322 243</w:t>
            </w:r>
          </w:p>
        </w:tc>
        <w:tc>
          <w:tcPr>
            <w:tcW w:w="1117" w:type="dxa"/>
            <w:tcBorders>
              <w:top w:val="nil"/>
              <w:left w:val="nil"/>
              <w:bottom w:val="double" w:sz="6" w:space="0" w:color="auto"/>
              <w:right w:val="nil"/>
            </w:tcBorders>
            <w:shd w:val="clear" w:color="auto" w:fill="auto"/>
            <w:vAlign w:val="center"/>
            <w:hideMark/>
          </w:tcPr>
          <w:p w:rsidR="00AA02DC" w:rsidRPr="00137BDE" w:rsidRDefault="00AA02DC" w:rsidP="008154E2">
            <w:pPr>
              <w:jc w:val="center"/>
              <w:rPr>
                <w:rFonts w:ascii="Calibri" w:hAnsi="Calibri" w:cs="Calibri"/>
                <w:color w:val="C65911"/>
                <w:sz w:val="18"/>
                <w:szCs w:val="18"/>
                <w:lang w:val="pt-PT" w:eastAsia="pt-PT"/>
              </w:rPr>
            </w:pPr>
            <w:r w:rsidRPr="00137BDE">
              <w:rPr>
                <w:rFonts w:ascii="Calibri" w:hAnsi="Calibri" w:cs="Calibri"/>
                <w:color w:val="C65911"/>
                <w:sz w:val="18"/>
                <w:szCs w:val="18"/>
                <w:lang w:val="pt-PT" w:eastAsia="pt-PT"/>
              </w:rPr>
              <w:t>19/01/2017</w:t>
            </w:r>
          </w:p>
        </w:tc>
      </w:tr>
      <w:tr w:rsidR="00AA02DC" w:rsidRPr="00137BDE" w:rsidTr="008154E2">
        <w:trPr>
          <w:trHeight w:val="257"/>
          <w:jc w:val="center"/>
        </w:trPr>
        <w:tc>
          <w:tcPr>
            <w:tcW w:w="984" w:type="dxa"/>
            <w:tcBorders>
              <w:top w:val="nil"/>
              <w:left w:val="nil"/>
              <w:bottom w:val="nil"/>
              <w:right w:val="single" w:sz="4" w:space="0" w:color="auto"/>
            </w:tcBorders>
            <w:shd w:val="clear" w:color="auto" w:fill="auto"/>
            <w:noWrap/>
            <w:vAlign w:val="center"/>
            <w:hideMark/>
          </w:tcPr>
          <w:p w:rsidR="00AA02DC" w:rsidRPr="00137BDE" w:rsidRDefault="00AA02DC" w:rsidP="008154E2">
            <w:pPr>
              <w:jc w:val="center"/>
              <w:rPr>
                <w:rFonts w:ascii="Calibri" w:hAnsi="Calibri" w:cs="Calibri"/>
                <w:sz w:val="18"/>
                <w:szCs w:val="18"/>
                <w:lang w:val="pt-PT" w:eastAsia="pt-PT"/>
              </w:rPr>
            </w:pPr>
            <w:r w:rsidRPr="00137BDE">
              <w:rPr>
                <w:rFonts w:ascii="Calibri" w:hAnsi="Calibri" w:cs="Calibri"/>
                <w:sz w:val="18"/>
                <w:szCs w:val="18"/>
                <w:lang w:val="pt-PT" w:eastAsia="pt-PT"/>
              </w:rPr>
              <w:t>Average</w:t>
            </w:r>
          </w:p>
        </w:tc>
        <w:tc>
          <w:tcPr>
            <w:tcW w:w="984" w:type="dxa"/>
            <w:tcBorders>
              <w:top w:val="nil"/>
              <w:left w:val="nil"/>
              <w:bottom w:val="nil"/>
              <w:right w:val="nil"/>
            </w:tcBorders>
            <w:shd w:val="clear" w:color="auto" w:fill="auto"/>
            <w:noWrap/>
            <w:vAlign w:val="center"/>
            <w:hideMark/>
          </w:tcPr>
          <w:p w:rsidR="00AA02DC" w:rsidRPr="00137BDE" w:rsidRDefault="00AA02DC" w:rsidP="008154E2">
            <w:pPr>
              <w:jc w:val="center"/>
              <w:rPr>
                <w:rFonts w:ascii="Calibri" w:hAnsi="Calibri" w:cs="Calibri"/>
                <w:b/>
                <w:bCs/>
                <w:sz w:val="18"/>
                <w:szCs w:val="18"/>
                <w:lang w:val="pt-PT" w:eastAsia="pt-PT"/>
              </w:rPr>
            </w:pPr>
            <w:r w:rsidRPr="00137BDE">
              <w:rPr>
                <w:rFonts w:ascii="Calibri" w:hAnsi="Calibri" w:cs="Calibri"/>
                <w:b/>
                <w:bCs/>
                <w:sz w:val="18"/>
                <w:szCs w:val="18"/>
                <w:lang w:val="pt-PT" w:eastAsia="pt-PT"/>
              </w:rPr>
              <w:t>8 084</w:t>
            </w:r>
          </w:p>
        </w:tc>
        <w:tc>
          <w:tcPr>
            <w:tcW w:w="1117" w:type="dxa"/>
            <w:tcBorders>
              <w:top w:val="nil"/>
              <w:left w:val="nil"/>
              <w:bottom w:val="nil"/>
              <w:right w:val="nil"/>
            </w:tcBorders>
            <w:shd w:val="clear" w:color="auto" w:fill="auto"/>
            <w:noWrap/>
            <w:vAlign w:val="center"/>
            <w:hideMark/>
          </w:tcPr>
          <w:p w:rsidR="00AA02DC" w:rsidRPr="00137BDE" w:rsidRDefault="00AA02DC" w:rsidP="008154E2">
            <w:pPr>
              <w:jc w:val="center"/>
              <w:rPr>
                <w:rFonts w:ascii="Calibri" w:hAnsi="Calibri" w:cs="Calibri"/>
                <w:sz w:val="18"/>
                <w:szCs w:val="18"/>
                <w:lang w:val="pt-PT" w:eastAsia="pt-PT"/>
              </w:rPr>
            </w:pPr>
            <w:r w:rsidRPr="00137BDE">
              <w:rPr>
                <w:rFonts w:ascii="Calibri" w:hAnsi="Calibri" w:cs="Calibri"/>
                <w:sz w:val="18"/>
                <w:szCs w:val="18"/>
                <w:lang w:val="pt-PT" w:eastAsia="pt-PT"/>
              </w:rPr>
              <w:t>(-)</w:t>
            </w:r>
          </w:p>
        </w:tc>
      </w:tr>
    </w:tbl>
    <w:p w:rsidR="00AA02DC" w:rsidRPr="00AA02DC" w:rsidRDefault="00AA02DC" w:rsidP="00AA02DC">
      <w:pPr>
        <w:rPr>
          <w:lang w:val="en-US"/>
        </w:rPr>
      </w:pPr>
      <w:r w:rsidRPr="00AA02DC">
        <w:rPr>
          <w:lang w:val="en-US"/>
        </w:rPr>
        <w:t>Balancing services that took place in the first gas year.</w:t>
      </w:r>
    </w:p>
    <w:tbl>
      <w:tblPr>
        <w:tblW w:w="5704" w:type="dxa"/>
        <w:jc w:val="center"/>
        <w:tblCellMar>
          <w:left w:w="0" w:type="dxa"/>
          <w:right w:w="0" w:type="dxa"/>
        </w:tblCellMar>
        <w:tblLook w:val="0600" w:firstRow="0" w:lastRow="0" w:firstColumn="0" w:lastColumn="0" w:noHBand="1" w:noVBand="1"/>
      </w:tblPr>
      <w:tblGrid>
        <w:gridCol w:w="1284"/>
        <w:gridCol w:w="1399"/>
        <w:gridCol w:w="1346"/>
        <w:gridCol w:w="1675"/>
      </w:tblGrid>
      <w:tr w:rsidR="00AA02DC" w:rsidRPr="00224B2C" w:rsidTr="00AA02DC">
        <w:trPr>
          <w:trHeight w:val="477"/>
          <w:jc w:val="center"/>
        </w:trPr>
        <w:tc>
          <w:tcPr>
            <w:tcW w:w="1284" w:type="dxa"/>
            <w:tcBorders>
              <w:top w:val="single" w:sz="8" w:space="0" w:color="793335"/>
              <w:left w:val="nil"/>
              <w:bottom w:val="nil"/>
              <w:right w:val="nil"/>
            </w:tcBorders>
            <w:shd w:val="clear" w:color="auto" w:fill="auto"/>
            <w:tcMar>
              <w:top w:w="15" w:type="dxa"/>
              <w:left w:w="15" w:type="dxa"/>
              <w:bottom w:w="0" w:type="dxa"/>
              <w:right w:w="15" w:type="dxa"/>
            </w:tcMar>
            <w:vAlign w:val="center"/>
            <w:hideMark/>
          </w:tcPr>
          <w:p w:rsidR="00AA02DC" w:rsidRPr="00833B2A" w:rsidRDefault="00AA02DC" w:rsidP="008154E2">
            <w:pPr>
              <w:pStyle w:val="Prrafodelista"/>
              <w:rPr>
                <w:sz w:val="16"/>
                <w:szCs w:val="16"/>
                <w:lang w:val="en-US"/>
              </w:rPr>
            </w:pPr>
            <w:r w:rsidRPr="00833B2A">
              <w:rPr>
                <w:b/>
                <w:bCs/>
                <w:sz w:val="16"/>
                <w:szCs w:val="16"/>
                <w:lang w:val="en-US"/>
              </w:rPr>
              <w:t> </w:t>
            </w:r>
          </w:p>
        </w:tc>
        <w:tc>
          <w:tcPr>
            <w:tcW w:w="1399" w:type="dxa"/>
            <w:tcBorders>
              <w:top w:val="single" w:sz="8" w:space="0" w:color="793335"/>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b/>
                <w:bCs/>
                <w:sz w:val="16"/>
                <w:szCs w:val="16"/>
                <w:lang w:val="pt-PT"/>
              </w:rPr>
              <w:t>Quantity [MWh]</w:t>
            </w:r>
          </w:p>
        </w:tc>
        <w:tc>
          <w:tcPr>
            <w:tcW w:w="1346" w:type="dxa"/>
            <w:tcBorders>
              <w:top w:val="single" w:sz="8" w:space="0" w:color="793335"/>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b/>
                <w:bCs/>
                <w:sz w:val="16"/>
                <w:szCs w:val="16"/>
                <w:lang w:val="pt-PT"/>
              </w:rPr>
              <w:t>Auction Price [€]</w:t>
            </w:r>
          </w:p>
        </w:tc>
        <w:tc>
          <w:tcPr>
            <w:tcW w:w="1675" w:type="dxa"/>
            <w:tcBorders>
              <w:top w:val="single" w:sz="8" w:space="0" w:color="793335"/>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b/>
                <w:bCs/>
                <w:sz w:val="16"/>
                <w:szCs w:val="16"/>
                <w:lang w:val="pt-PT"/>
              </w:rPr>
              <w:t>Expenditure [k€]</w:t>
            </w:r>
          </w:p>
        </w:tc>
      </w:tr>
      <w:tr w:rsidR="00AA02DC" w:rsidRPr="00224B2C" w:rsidTr="00AA02DC">
        <w:trPr>
          <w:trHeight w:val="275"/>
          <w:jc w:val="center"/>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20/04</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19,00 €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114,00 k€</w:t>
            </w:r>
          </w:p>
        </w:tc>
      </w:tr>
      <w:tr w:rsidR="00AA02DC" w:rsidRPr="00224B2C" w:rsidTr="00AA02DC">
        <w:trPr>
          <w:trHeight w:val="275"/>
          <w:jc w:val="center"/>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28/04</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19,55 €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117,30 k€</w:t>
            </w:r>
          </w:p>
        </w:tc>
      </w:tr>
      <w:tr w:rsidR="00AA02DC" w:rsidRPr="00224B2C" w:rsidTr="00AA02DC">
        <w:trPr>
          <w:trHeight w:val="275"/>
          <w:jc w:val="center"/>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05/05</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19,57 €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117,42 k€</w:t>
            </w:r>
          </w:p>
        </w:tc>
      </w:tr>
      <w:tr w:rsidR="00AA02DC" w:rsidRPr="00224B2C" w:rsidTr="00AA02DC">
        <w:trPr>
          <w:trHeight w:val="275"/>
          <w:jc w:val="center"/>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12/05</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19,15 €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114,90 k€</w:t>
            </w:r>
          </w:p>
        </w:tc>
      </w:tr>
      <w:tr w:rsidR="00AA02DC" w:rsidRPr="00224B2C" w:rsidTr="00AA02DC">
        <w:trPr>
          <w:trHeight w:val="275"/>
          <w:jc w:val="center"/>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08/06</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18,51 €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111,06 k€</w:t>
            </w:r>
          </w:p>
        </w:tc>
      </w:tr>
      <w:tr w:rsidR="00AA02DC" w:rsidRPr="00224B2C" w:rsidTr="00AA02DC">
        <w:trPr>
          <w:trHeight w:val="275"/>
          <w:jc w:val="center"/>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23/06</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19,15 €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114,90 k€</w:t>
            </w:r>
          </w:p>
        </w:tc>
      </w:tr>
      <w:tr w:rsidR="00AA02DC" w:rsidRPr="00224B2C" w:rsidTr="00AA02DC">
        <w:trPr>
          <w:trHeight w:val="275"/>
          <w:jc w:val="center"/>
        </w:trPr>
        <w:tc>
          <w:tcPr>
            <w:tcW w:w="1284"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30/06</w:t>
            </w:r>
          </w:p>
        </w:tc>
        <w:tc>
          <w:tcPr>
            <w:tcW w:w="1399"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6 000</w:t>
            </w:r>
          </w:p>
        </w:tc>
        <w:tc>
          <w:tcPr>
            <w:tcW w:w="1346"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18,99 €</w:t>
            </w:r>
          </w:p>
        </w:tc>
        <w:tc>
          <w:tcPr>
            <w:tcW w:w="1675" w:type="dxa"/>
            <w:tcBorders>
              <w:top w:val="nil"/>
              <w:left w:val="nil"/>
              <w:bottom w:val="nil"/>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sz w:val="16"/>
                <w:szCs w:val="16"/>
                <w:lang w:val="pt-PT"/>
              </w:rPr>
              <w:t>113,94 k€</w:t>
            </w:r>
          </w:p>
        </w:tc>
      </w:tr>
      <w:tr w:rsidR="00AA02DC" w:rsidRPr="00224B2C" w:rsidTr="00AA02DC">
        <w:trPr>
          <w:trHeight w:val="275"/>
          <w:jc w:val="center"/>
        </w:trPr>
        <w:tc>
          <w:tcPr>
            <w:tcW w:w="1284" w:type="dxa"/>
            <w:tcBorders>
              <w:top w:val="nil"/>
              <w:left w:val="nil"/>
              <w:bottom w:val="single" w:sz="8" w:space="0" w:color="793335"/>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b/>
                <w:bCs/>
                <w:sz w:val="16"/>
                <w:szCs w:val="16"/>
                <w:lang w:val="pt-PT"/>
              </w:rPr>
              <w:t>TOTAL</w:t>
            </w:r>
          </w:p>
        </w:tc>
        <w:tc>
          <w:tcPr>
            <w:tcW w:w="1399" w:type="dxa"/>
            <w:tcBorders>
              <w:top w:val="nil"/>
              <w:left w:val="nil"/>
              <w:bottom w:val="single" w:sz="8" w:space="0" w:color="793335"/>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b/>
                <w:bCs/>
                <w:sz w:val="16"/>
                <w:szCs w:val="16"/>
                <w:lang w:val="pt-PT"/>
              </w:rPr>
              <w:t>42 000</w:t>
            </w:r>
          </w:p>
        </w:tc>
        <w:tc>
          <w:tcPr>
            <w:tcW w:w="1346" w:type="dxa"/>
            <w:tcBorders>
              <w:top w:val="nil"/>
              <w:left w:val="nil"/>
              <w:bottom w:val="single" w:sz="8" w:space="0" w:color="793335"/>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p>
        </w:tc>
        <w:tc>
          <w:tcPr>
            <w:tcW w:w="1675" w:type="dxa"/>
            <w:tcBorders>
              <w:top w:val="nil"/>
              <w:left w:val="nil"/>
              <w:bottom w:val="single" w:sz="8" w:space="0" w:color="793335"/>
              <w:right w:val="nil"/>
            </w:tcBorders>
            <w:shd w:val="clear" w:color="auto" w:fill="auto"/>
            <w:tcMar>
              <w:top w:w="15" w:type="dxa"/>
              <w:left w:w="15" w:type="dxa"/>
              <w:bottom w:w="0" w:type="dxa"/>
              <w:right w:w="15" w:type="dxa"/>
            </w:tcMar>
            <w:vAlign w:val="center"/>
            <w:hideMark/>
          </w:tcPr>
          <w:p w:rsidR="00AA02DC" w:rsidRPr="00224B2C" w:rsidRDefault="00AA02DC" w:rsidP="008154E2">
            <w:pPr>
              <w:pStyle w:val="Prrafodelista"/>
              <w:rPr>
                <w:sz w:val="16"/>
                <w:szCs w:val="16"/>
                <w:lang w:val="pt-PT"/>
              </w:rPr>
            </w:pPr>
            <w:r w:rsidRPr="00224B2C">
              <w:rPr>
                <w:b/>
                <w:bCs/>
                <w:sz w:val="16"/>
                <w:szCs w:val="16"/>
                <w:lang w:val="pt-PT"/>
              </w:rPr>
              <w:t>803,52 k€</w:t>
            </w:r>
          </w:p>
        </w:tc>
      </w:tr>
    </w:tbl>
    <w:p w:rsidR="00AA02DC" w:rsidRPr="00AA02DC" w:rsidRDefault="00AA02DC" w:rsidP="007576DF">
      <w:pPr>
        <w:rPr>
          <w:lang w:val="en-US"/>
        </w:rPr>
      </w:pPr>
      <w:r w:rsidRPr="00AA02DC">
        <w:rPr>
          <w:lang w:val="en-US"/>
        </w:rPr>
        <w:t>By the end of the gas year, the global financial credits to neutrality were 119</w:t>
      </w:r>
      <w:r w:rsidR="00780C58">
        <w:rPr>
          <w:lang w:val="en-US"/>
        </w:rPr>
        <w:t>,</w:t>
      </w:r>
      <w:r w:rsidRPr="00AA02DC">
        <w:rPr>
          <w:lang w:val="en-US"/>
        </w:rPr>
        <w:t>680 MWh while the global financial debts to neutrality were 112</w:t>
      </w:r>
      <w:r w:rsidR="00780C58">
        <w:rPr>
          <w:lang w:val="en-US"/>
        </w:rPr>
        <w:t>,</w:t>
      </w:r>
      <w:r w:rsidRPr="00AA02DC">
        <w:rPr>
          <w:lang w:val="en-US"/>
        </w:rPr>
        <w:t>639 MWh. The final difference of 7</w:t>
      </w:r>
      <w:r w:rsidR="00780C58">
        <w:rPr>
          <w:lang w:val="en-US"/>
        </w:rPr>
        <w:t>,</w:t>
      </w:r>
      <w:r w:rsidRPr="00AA02DC">
        <w:rPr>
          <w:lang w:val="en-US"/>
        </w:rPr>
        <w:t>041 MWh was still considered within the margins of operational gas available to the TSO.</w:t>
      </w:r>
    </w:p>
    <w:p w:rsidR="00AA02DC" w:rsidRPr="00AA02DC" w:rsidRDefault="00AA02DC" w:rsidP="007576DF">
      <w:pPr>
        <w:rPr>
          <w:lang w:val="en-US"/>
        </w:rPr>
      </w:pPr>
      <w:r w:rsidRPr="00AA02DC">
        <w:rPr>
          <w:lang w:val="en-US"/>
        </w:rPr>
        <w:t xml:space="preserve">As the TSO’s neutrality is calculated every month taking into account the expenditures and incomes in the same period, the eligible costs and revenues to neutrality are sum up and proportionately imposed to the </w:t>
      </w:r>
      <w:r w:rsidR="00780C58">
        <w:rPr>
          <w:lang w:val="en-US"/>
        </w:rPr>
        <w:t>users</w:t>
      </w:r>
      <w:r w:rsidRPr="00AA02DC">
        <w:rPr>
          <w:lang w:val="en-US"/>
        </w:rPr>
        <w:t xml:space="preserve"> according to the extent the </w:t>
      </w:r>
      <w:r w:rsidR="00780C58">
        <w:rPr>
          <w:lang w:val="en-US"/>
        </w:rPr>
        <w:t>user</w:t>
      </w:r>
      <w:r w:rsidRPr="00AA02DC">
        <w:rPr>
          <w:lang w:val="en-US"/>
        </w:rPr>
        <w:t>s makes use of the relevant entry and exit points to/from the network.</w:t>
      </w:r>
    </w:p>
    <w:tbl>
      <w:tblPr>
        <w:tblW w:w="5387" w:type="dxa"/>
        <w:jc w:val="center"/>
        <w:tblCellMar>
          <w:left w:w="70" w:type="dxa"/>
          <w:right w:w="70" w:type="dxa"/>
        </w:tblCellMar>
        <w:tblLook w:val="04A0" w:firstRow="1" w:lastRow="0" w:firstColumn="1" w:lastColumn="0" w:noHBand="0" w:noVBand="1"/>
      </w:tblPr>
      <w:tblGrid>
        <w:gridCol w:w="2503"/>
        <w:gridCol w:w="1475"/>
        <w:gridCol w:w="1409"/>
      </w:tblGrid>
      <w:tr w:rsidR="00AA02DC" w:rsidRPr="00EC5832" w:rsidTr="008154E2">
        <w:trPr>
          <w:trHeight w:val="272"/>
          <w:jc w:val="center"/>
        </w:trPr>
        <w:tc>
          <w:tcPr>
            <w:tcW w:w="2503" w:type="dxa"/>
            <w:tcBorders>
              <w:top w:val="nil"/>
              <w:left w:val="nil"/>
              <w:bottom w:val="nil"/>
              <w:right w:val="nil"/>
            </w:tcBorders>
            <w:shd w:val="clear" w:color="auto" w:fill="auto"/>
            <w:noWrap/>
            <w:vAlign w:val="bottom"/>
            <w:hideMark/>
          </w:tcPr>
          <w:p w:rsidR="00AA02DC" w:rsidRPr="00EC5832" w:rsidRDefault="00AA02DC" w:rsidP="008154E2">
            <w:pPr>
              <w:rPr>
                <w:rFonts w:ascii="Times New Roman" w:hAnsi="Times New Roman"/>
                <w:sz w:val="18"/>
                <w:szCs w:val="18"/>
                <w:lang w:val="pt-PT" w:eastAsia="pt-PT"/>
              </w:rPr>
            </w:pPr>
          </w:p>
        </w:tc>
        <w:tc>
          <w:tcPr>
            <w:tcW w:w="1475"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Quantities [MWh]</w:t>
            </w:r>
          </w:p>
        </w:tc>
        <w:tc>
          <w:tcPr>
            <w:tcW w:w="1409"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Quantities [€]</w:t>
            </w:r>
          </w:p>
        </w:tc>
      </w:tr>
      <w:tr w:rsidR="00AA02DC" w:rsidRPr="00EC5832" w:rsidTr="008154E2">
        <w:trPr>
          <w:trHeight w:val="324"/>
          <w:jc w:val="center"/>
        </w:trPr>
        <w:tc>
          <w:tcPr>
            <w:tcW w:w="2503" w:type="dxa"/>
            <w:tcBorders>
              <w:top w:val="nil"/>
              <w:left w:val="nil"/>
              <w:bottom w:val="nil"/>
              <w:right w:val="nil"/>
            </w:tcBorders>
            <w:shd w:val="clear" w:color="000000" w:fill="0070C0"/>
            <w:noWrap/>
            <w:vAlign w:val="center"/>
            <w:hideMark/>
          </w:tcPr>
          <w:p w:rsidR="00AA02DC" w:rsidRPr="00EC5832" w:rsidRDefault="00AA02DC" w:rsidP="008154E2">
            <w:pPr>
              <w:jc w:val="right"/>
              <w:rPr>
                <w:rFonts w:ascii="Calibri" w:hAnsi="Calibri" w:cs="Calibri"/>
                <w:b/>
                <w:bCs/>
                <w:color w:val="FFFFFF"/>
                <w:sz w:val="18"/>
                <w:szCs w:val="18"/>
                <w:lang w:val="pt-PT" w:eastAsia="pt-PT"/>
              </w:rPr>
            </w:pPr>
            <w:r w:rsidRPr="00EC5832">
              <w:rPr>
                <w:rFonts w:ascii="Calibri" w:hAnsi="Calibri" w:cs="Calibri"/>
                <w:b/>
                <w:bCs/>
                <w:color w:val="FFFFFF"/>
                <w:sz w:val="18"/>
                <w:szCs w:val="18"/>
                <w:lang w:val="pt-PT" w:eastAsia="pt-PT"/>
              </w:rPr>
              <w:t>Financial Credits to neutrality</w:t>
            </w:r>
          </w:p>
        </w:tc>
        <w:tc>
          <w:tcPr>
            <w:tcW w:w="1475" w:type="dxa"/>
            <w:tcBorders>
              <w:top w:val="nil"/>
              <w:left w:val="nil"/>
              <w:bottom w:val="nil"/>
              <w:right w:val="nil"/>
            </w:tcBorders>
            <w:shd w:val="clear" w:color="000000" w:fill="DDEBF7"/>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 </w:t>
            </w:r>
          </w:p>
        </w:tc>
        <w:tc>
          <w:tcPr>
            <w:tcW w:w="1409" w:type="dxa"/>
            <w:tcBorders>
              <w:top w:val="nil"/>
              <w:left w:val="nil"/>
              <w:bottom w:val="nil"/>
              <w:right w:val="nil"/>
            </w:tcBorders>
            <w:shd w:val="clear" w:color="000000" w:fill="DDEBF7"/>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 </w:t>
            </w:r>
          </w:p>
        </w:tc>
      </w:tr>
      <w:tr w:rsidR="00AA02DC" w:rsidRPr="00EC5832" w:rsidTr="008154E2">
        <w:trPr>
          <w:trHeight w:val="259"/>
          <w:jc w:val="center"/>
        </w:trPr>
        <w:tc>
          <w:tcPr>
            <w:tcW w:w="2503"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TSO System Sells</w:t>
            </w:r>
          </w:p>
        </w:tc>
        <w:tc>
          <w:tcPr>
            <w:tcW w:w="1475"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0</w:t>
            </w:r>
          </w:p>
        </w:tc>
        <w:tc>
          <w:tcPr>
            <w:tcW w:w="1409"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0</w:t>
            </w:r>
          </w:p>
        </w:tc>
      </w:tr>
      <w:tr w:rsidR="00AA02DC" w:rsidRPr="00EC5832" w:rsidTr="008154E2">
        <w:trPr>
          <w:trHeight w:val="272"/>
          <w:jc w:val="center"/>
        </w:trPr>
        <w:tc>
          <w:tcPr>
            <w:tcW w:w="2503"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Shipper Imbalance Short</w:t>
            </w:r>
          </w:p>
        </w:tc>
        <w:tc>
          <w:tcPr>
            <w:tcW w:w="1475" w:type="dxa"/>
            <w:tcBorders>
              <w:top w:val="nil"/>
              <w:left w:val="nil"/>
              <w:bottom w:val="nil"/>
              <w:right w:val="nil"/>
            </w:tcBorders>
            <w:shd w:val="clear" w:color="000000" w:fill="DDEBF7"/>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119</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680</w:t>
            </w:r>
          </w:p>
        </w:tc>
        <w:tc>
          <w:tcPr>
            <w:tcW w:w="1409" w:type="dxa"/>
            <w:tcBorders>
              <w:top w:val="nil"/>
              <w:left w:val="nil"/>
              <w:bottom w:val="nil"/>
              <w:right w:val="nil"/>
            </w:tcBorders>
            <w:shd w:val="clear" w:color="000000" w:fill="DDEBF7"/>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2</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950</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804</w:t>
            </w:r>
          </w:p>
        </w:tc>
      </w:tr>
      <w:tr w:rsidR="00AA02DC" w:rsidRPr="00EC5832" w:rsidTr="008154E2">
        <w:trPr>
          <w:trHeight w:val="259"/>
          <w:jc w:val="center"/>
        </w:trPr>
        <w:tc>
          <w:tcPr>
            <w:tcW w:w="2503"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Sub-total</w:t>
            </w:r>
          </w:p>
        </w:tc>
        <w:tc>
          <w:tcPr>
            <w:tcW w:w="1475"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119</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680</w:t>
            </w:r>
          </w:p>
        </w:tc>
        <w:tc>
          <w:tcPr>
            <w:tcW w:w="1409"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2</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950</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804</w:t>
            </w:r>
          </w:p>
        </w:tc>
      </w:tr>
      <w:tr w:rsidR="00AA02DC" w:rsidRPr="00EC5832" w:rsidTr="008154E2">
        <w:trPr>
          <w:trHeight w:val="259"/>
          <w:jc w:val="center"/>
        </w:trPr>
        <w:tc>
          <w:tcPr>
            <w:tcW w:w="2503"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p>
        </w:tc>
        <w:tc>
          <w:tcPr>
            <w:tcW w:w="1475" w:type="dxa"/>
            <w:tcBorders>
              <w:top w:val="nil"/>
              <w:left w:val="nil"/>
              <w:bottom w:val="nil"/>
              <w:right w:val="nil"/>
            </w:tcBorders>
            <w:shd w:val="clear" w:color="auto" w:fill="auto"/>
            <w:noWrap/>
            <w:vAlign w:val="bottom"/>
            <w:hideMark/>
          </w:tcPr>
          <w:p w:rsidR="00AA02DC" w:rsidRPr="00EC5832" w:rsidRDefault="00AA02DC" w:rsidP="008154E2">
            <w:pPr>
              <w:rPr>
                <w:rFonts w:ascii="Times New Roman" w:hAnsi="Times New Roman"/>
                <w:sz w:val="18"/>
                <w:szCs w:val="18"/>
                <w:lang w:val="pt-PT" w:eastAsia="pt-PT"/>
              </w:rPr>
            </w:pPr>
          </w:p>
        </w:tc>
        <w:tc>
          <w:tcPr>
            <w:tcW w:w="1409" w:type="dxa"/>
            <w:tcBorders>
              <w:top w:val="nil"/>
              <w:left w:val="nil"/>
              <w:bottom w:val="nil"/>
              <w:right w:val="nil"/>
            </w:tcBorders>
            <w:shd w:val="clear" w:color="auto" w:fill="auto"/>
            <w:noWrap/>
            <w:vAlign w:val="bottom"/>
            <w:hideMark/>
          </w:tcPr>
          <w:p w:rsidR="00AA02DC" w:rsidRPr="00EC5832" w:rsidRDefault="00AA02DC" w:rsidP="008154E2">
            <w:pPr>
              <w:jc w:val="right"/>
              <w:rPr>
                <w:rFonts w:ascii="Times New Roman" w:hAnsi="Times New Roman"/>
                <w:sz w:val="18"/>
                <w:szCs w:val="18"/>
                <w:lang w:val="pt-PT" w:eastAsia="pt-PT"/>
              </w:rPr>
            </w:pPr>
          </w:p>
        </w:tc>
      </w:tr>
      <w:tr w:rsidR="00AA02DC" w:rsidRPr="00EC5832" w:rsidTr="008154E2">
        <w:trPr>
          <w:trHeight w:val="259"/>
          <w:jc w:val="center"/>
        </w:trPr>
        <w:tc>
          <w:tcPr>
            <w:tcW w:w="2503" w:type="dxa"/>
            <w:tcBorders>
              <w:top w:val="nil"/>
              <w:left w:val="nil"/>
              <w:bottom w:val="nil"/>
              <w:right w:val="nil"/>
            </w:tcBorders>
            <w:shd w:val="clear" w:color="000000" w:fill="0070C0"/>
            <w:noWrap/>
            <w:vAlign w:val="center"/>
            <w:hideMark/>
          </w:tcPr>
          <w:p w:rsidR="00AA02DC" w:rsidRPr="00EC5832" w:rsidRDefault="00AA02DC" w:rsidP="008154E2">
            <w:pPr>
              <w:jc w:val="right"/>
              <w:rPr>
                <w:rFonts w:ascii="Calibri" w:hAnsi="Calibri" w:cs="Calibri"/>
                <w:b/>
                <w:bCs/>
                <w:color w:val="FFFFFF"/>
                <w:sz w:val="18"/>
                <w:szCs w:val="18"/>
                <w:lang w:val="pt-PT" w:eastAsia="pt-PT"/>
              </w:rPr>
            </w:pPr>
            <w:r w:rsidRPr="00EC5832">
              <w:rPr>
                <w:rFonts w:ascii="Calibri" w:hAnsi="Calibri" w:cs="Calibri"/>
                <w:b/>
                <w:bCs/>
                <w:color w:val="FFFFFF"/>
                <w:sz w:val="18"/>
                <w:szCs w:val="18"/>
                <w:lang w:val="pt-PT" w:eastAsia="pt-PT"/>
              </w:rPr>
              <w:t>Financial Debits to neutrality</w:t>
            </w:r>
          </w:p>
        </w:tc>
        <w:tc>
          <w:tcPr>
            <w:tcW w:w="1475" w:type="dxa"/>
            <w:tcBorders>
              <w:top w:val="nil"/>
              <w:left w:val="nil"/>
              <w:bottom w:val="nil"/>
              <w:right w:val="nil"/>
            </w:tcBorders>
            <w:shd w:val="clear" w:color="000000" w:fill="DDEBF7"/>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 </w:t>
            </w:r>
          </w:p>
        </w:tc>
        <w:tc>
          <w:tcPr>
            <w:tcW w:w="1409" w:type="dxa"/>
            <w:tcBorders>
              <w:top w:val="nil"/>
              <w:left w:val="nil"/>
              <w:bottom w:val="nil"/>
              <w:right w:val="nil"/>
            </w:tcBorders>
            <w:shd w:val="clear" w:color="000000" w:fill="DDEBF7"/>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 </w:t>
            </w:r>
          </w:p>
        </w:tc>
      </w:tr>
      <w:tr w:rsidR="00AA02DC" w:rsidRPr="00EC5832" w:rsidTr="008154E2">
        <w:trPr>
          <w:trHeight w:val="259"/>
          <w:jc w:val="center"/>
        </w:trPr>
        <w:tc>
          <w:tcPr>
            <w:tcW w:w="2503"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TSO System Buys</w:t>
            </w:r>
          </w:p>
        </w:tc>
        <w:tc>
          <w:tcPr>
            <w:tcW w:w="1475"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42</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000</w:t>
            </w:r>
          </w:p>
        </w:tc>
        <w:tc>
          <w:tcPr>
            <w:tcW w:w="1409"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803</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520</w:t>
            </w:r>
          </w:p>
        </w:tc>
      </w:tr>
      <w:tr w:rsidR="00AA02DC" w:rsidRPr="00EC5832" w:rsidTr="008154E2">
        <w:trPr>
          <w:trHeight w:val="259"/>
          <w:jc w:val="center"/>
        </w:trPr>
        <w:tc>
          <w:tcPr>
            <w:tcW w:w="2503"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Shipper Imbalance Long</w:t>
            </w:r>
          </w:p>
        </w:tc>
        <w:tc>
          <w:tcPr>
            <w:tcW w:w="1475" w:type="dxa"/>
            <w:tcBorders>
              <w:top w:val="nil"/>
              <w:left w:val="nil"/>
              <w:bottom w:val="nil"/>
              <w:right w:val="nil"/>
            </w:tcBorders>
            <w:shd w:val="clear" w:color="000000" w:fill="DDEBF7"/>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70</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639</w:t>
            </w:r>
          </w:p>
        </w:tc>
        <w:tc>
          <w:tcPr>
            <w:tcW w:w="1409" w:type="dxa"/>
            <w:tcBorders>
              <w:top w:val="nil"/>
              <w:left w:val="nil"/>
              <w:bottom w:val="nil"/>
              <w:right w:val="nil"/>
            </w:tcBorders>
            <w:shd w:val="clear" w:color="000000" w:fill="DDEBF7"/>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1</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338</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549</w:t>
            </w:r>
          </w:p>
        </w:tc>
      </w:tr>
      <w:tr w:rsidR="00AA02DC" w:rsidRPr="00EC5832" w:rsidTr="008154E2">
        <w:trPr>
          <w:trHeight w:val="259"/>
          <w:jc w:val="center"/>
        </w:trPr>
        <w:tc>
          <w:tcPr>
            <w:tcW w:w="2503"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Sub-total</w:t>
            </w:r>
          </w:p>
        </w:tc>
        <w:tc>
          <w:tcPr>
            <w:tcW w:w="1475"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112</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639</w:t>
            </w:r>
          </w:p>
        </w:tc>
        <w:tc>
          <w:tcPr>
            <w:tcW w:w="1409" w:type="dxa"/>
            <w:tcBorders>
              <w:top w:val="nil"/>
              <w:left w:val="nil"/>
              <w:bottom w:val="nil"/>
              <w:right w:val="nil"/>
            </w:tcBorders>
            <w:shd w:val="clear" w:color="auto" w:fill="auto"/>
            <w:noWrap/>
            <w:vAlign w:val="bottom"/>
            <w:hideMark/>
          </w:tcPr>
          <w:p w:rsidR="00AA02DC" w:rsidRPr="00EC5832" w:rsidRDefault="00AA02DC" w:rsidP="008154E2">
            <w:pPr>
              <w:jc w:val="right"/>
              <w:rPr>
                <w:rFonts w:ascii="Calibri" w:hAnsi="Calibri" w:cs="Calibri"/>
                <w:color w:val="000000"/>
                <w:sz w:val="18"/>
                <w:szCs w:val="18"/>
                <w:lang w:val="pt-PT" w:eastAsia="pt-PT"/>
              </w:rPr>
            </w:pPr>
            <w:r w:rsidRPr="00EC5832">
              <w:rPr>
                <w:rFonts w:ascii="Calibri" w:hAnsi="Calibri" w:cs="Calibri"/>
                <w:color w:val="000000"/>
                <w:sz w:val="18"/>
                <w:szCs w:val="18"/>
                <w:lang w:val="pt-PT" w:eastAsia="pt-PT"/>
              </w:rPr>
              <w:t>2</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142</w:t>
            </w:r>
            <w:r>
              <w:rPr>
                <w:rFonts w:ascii="Calibri" w:hAnsi="Calibri" w:cs="Calibri"/>
                <w:color w:val="000000"/>
                <w:sz w:val="18"/>
                <w:szCs w:val="18"/>
                <w:lang w:val="pt-PT" w:eastAsia="pt-PT"/>
              </w:rPr>
              <w:t xml:space="preserve"> </w:t>
            </w:r>
            <w:r w:rsidRPr="00EC5832">
              <w:rPr>
                <w:rFonts w:ascii="Calibri" w:hAnsi="Calibri" w:cs="Calibri"/>
                <w:color w:val="000000"/>
                <w:sz w:val="18"/>
                <w:szCs w:val="18"/>
                <w:lang w:val="pt-PT" w:eastAsia="pt-PT"/>
              </w:rPr>
              <w:t>069</w:t>
            </w:r>
          </w:p>
        </w:tc>
      </w:tr>
    </w:tbl>
    <w:p w:rsidR="007576DF" w:rsidRPr="009C3C20" w:rsidRDefault="007576DF" w:rsidP="00AA02DC">
      <w:pPr>
        <w:pStyle w:val="Prrafodelista"/>
        <w:rPr>
          <w:rFonts w:ascii="Calibri" w:hAnsi="Calibri"/>
          <w:color w:val="365F91" w:themeColor="accent1" w:themeShade="BF"/>
          <w:lang w:val="en-US"/>
        </w:rPr>
      </w:pPr>
    </w:p>
    <w:p w:rsidR="004F4155" w:rsidRDefault="004F4155" w:rsidP="00A00BD4">
      <w:pPr>
        <w:pStyle w:val="Prrafodelista"/>
        <w:numPr>
          <w:ilvl w:val="1"/>
          <w:numId w:val="12"/>
        </w:numPr>
        <w:spacing w:before="0" w:after="0" w:line="240" w:lineRule="auto"/>
        <w:contextualSpacing w:val="0"/>
        <w:jc w:val="left"/>
        <w:rPr>
          <w:b/>
          <w:lang w:val="en-US"/>
        </w:rPr>
      </w:pPr>
      <w:r w:rsidRPr="00957C2A">
        <w:rPr>
          <w:b/>
          <w:lang w:val="en-US"/>
        </w:rPr>
        <w:t>Information provision</w:t>
      </w:r>
    </w:p>
    <w:p w:rsidR="00036054" w:rsidRDefault="00036054" w:rsidP="00036054">
      <w:pPr>
        <w:spacing w:before="0" w:after="0" w:line="240" w:lineRule="auto"/>
        <w:jc w:val="left"/>
        <w:rPr>
          <w:b/>
          <w:lang w:val="en-US"/>
        </w:rPr>
      </w:pPr>
    </w:p>
    <w:p w:rsidR="00036054" w:rsidRPr="00036054" w:rsidRDefault="00036054" w:rsidP="00036054">
      <w:pPr>
        <w:spacing w:before="0" w:after="0" w:line="240" w:lineRule="auto"/>
        <w:jc w:val="left"/>
        <w:rPr>
          <w:b/>
          <w:lang w:val="en-US"/>
        </w:rPr>
      </w:pPr>
      <w:r>
        <w:rPr>
          <w:b/>
          <w:lang w:val="en-US"/>
        </w:rPr>
        <w:t>SPAIN</w:t>
      </w:r>
    </w:p>
    <w:p w:rsidR="004F4155" w:rsidRPr="00957C2A" w:rsidRDefault="004F4155" w:rsidP="004F4155">
      <w:pPr>
        <w:pStyle w:val="Prrafodelista"/>
        <w:spacing w:before="0" w:after="0" w:line="240" w:lineRule="auto"/>
        <w:ind w:left="360"/>
        <w:contextualSpacing w:val="0"/>
        <w:jc w:val="left"/>
        <w:rPr>
          <w:lang w:val="en-US"/>
        </w:rPr>
      </w:pPr>
    </w:p>
    <w:p w:rsidR="004F4155" w:rsidRPr="00957C2A" w:rsidRDefault="004F4155" w:rsidP="007576DF">
      <w:pPr>
        <w:pStyle w:val="Prrafodelista"/>
        <w:numPr>
          <w:ilvl w:val="0"/>
          <w:numId w:val="11"/>
        </w:numPr>
        <w:spacing w:before="0" w:after="0"/>
        <w:contextualSpacing w:val="0"/>
        <w:rPr>
          <w:lang w:val="en-US"/>
        </w:rPr>
      </w:pPr>
      <w:r w:rsidRPr="00957C2A">
        <w:rPr>
          <w:lang w:val="en-US"/>
        </w:rPr>
        <w:t>Percentage of successful communication of information to users per month (measures in number of successful updates in the month/total updates to be provided in the month).</w:t>
      </w:r>
    </w:p>
    <w:p w:rsidR="004F4155" w:rsidRPr="00957C2A" w:rsidRDefault="004F4155" w:rsidP="007576DF">
      <w:pPr>
        <w:spacing w:after="0"/>
        <w:ind w:left="708"/>
        <w:rPr>
          <w:lang w:val="en-US"/>
        </w:rPr>
      </w:pPr>
      <w:r w:rsidRPr="00957C2A">
        <w:rPr>
          <w:lang w:val="en-US"/>
        </w:rPr>
        <w:t xml:space="preserve">Information Provision process came into force in Spain </w:t>
      </w:r>
      <w:r w:rsidR="00780C58">
        <w:rPr>
          <w:lang w:val="en-US"/>
        </w:rPr>
        <w:t>i</w:t>
      </w:r>
      <w:r w:rsidRPr="00957C2A">
        <w:rPr>
          <w:lang w:val="en-US"/>
        </w:rPr>
        <w:t>n June 2016. There have not been significant incidents since the implementation of the process. The communication of information to users has been available for users in 100% of landmarks.</w:t>
      </w:r>
    </w:p>
    <w:p w:rsidR="004F4155" w:rsidRPr="00957C2A" w:rsidRDefault="004F4155" w:rsidP="007576DF">
      <w:pPr>
        <w:spacing w:before="0" w:after="0"/>
        <w:jc w:val="left"/>
        <w:rPr>
          <w:lang w:val="en-US"/>
        </w:rPr>
      </w:pPr>
    </w:p>
    <w:p w:rsidR="004F4155" w:rsidRPr="00957C2A" w:rsidRDefault="004F4155" w:rsidP="007576DF">
      <w:pPr>
        <w:pStyle w:val="Prrafodelista"/>
        <w:numPr>
          <w:ilvl w:val="0"/>
          <w:numId w:val="11"/>
        </w:numPr>
        <w:spacing w:before="0" w:after="0"/>
        <w:contextualSpacing w:val="0"/>
        <w:jc w:val="left"/>
        <w:rPr>
          <w:lang w:val="en-US"/>
        </w:rPr>
      </w:pPr>
      <w:r w:rsidRPr="00957C2A">
        <w:rPr>
          <w:lang w:val="en-US"/>
        </w:rPr>
        <w:t xml:space="preserve">Number of days of communication failure per month </w:t>
      </w:r>
    </w:p>
    <w:p w:rsidR="004F4155" w:rsidRPr="00957C2A" w:rsidRDefault="004F4155" w:rsidP="007576DF">
      <w:pPr>
        <w:spacing w:after="0"/>
        <w:ind w:left="708"/>
        <w:rPr>
          <w:lang w:val="en-US"/>
        </w:rPr>
      </w:pPr>
      <w:r w:rsidRPr="00957C2A">
        <w:rPr>
          <w:lang w:val="en-US"/>
        </w:rPr>
        <w:t>No relevant. Communication has been successful in 100% of landmarks.</w:t>
      </w:r>
    </w:p>
    <w:p w:rsidR="004F4155" w:rsidRPr="00957C2A" w:rsidRDefault="004F4155" w:rsidP="007576DF">
      <w:pPr>
        <w:spacing w:before="0" w:after="0"/>
        <w:jc w:val="left"/>
        <w:rPr>
          <w:lang w:val="en-US"/>
        </w:rPr>
      </w:pPr>
    </w:p>
    <w:p w:rsidR="004F4155" w:rsidRPr="00957C2A" w:rsidRDefault="004F4155" w:rsidP="007576DF">
      <w:pPr>
        <w:pStyle w:val="Prrafodelista"/>
        <w:numPr>
          <w:ilvl w:val="0"/>
          <w:numId w:val="11"/>
        </w:numPr>
        <w:spacing w:before="0" w:after="0"/>
        <w:contextualSpacing w:val="0"/>
        <w:jc w:val="left"/>
        <w:rPr>
          <w:lang w:val="en-US"/>
        </w:rPr>
      </w:pPr>
      <w:r w:rsidRPr="00957C2A">
        <w:rPr>
          <w:lang w:val="en-US"/>
        </w:rPr>
        <w:t>Quality of information provided</w:t>
      </w:r>
    </w:p>
    <w:p w:rsidR="004F4155" w:rsidRPr="00957C2A" w:rsidRDefault="004F4155" w:rsidP="007576DF">
      <w:pPr>
        <w:spacing w:after="0"/>
        <w:ind w:left="708"/>
        <w:rPr>
          <w:lang w:val="en-US"/>
        </w:rPr>
      </w:pPr>
      <w:r w:rsidRPr="00957C2A">
        <w:rPr>
          <w:lang w:val="en-US"/>
        </w:rPr>
        <w:t xml:space="preserve">As it is stablished </w:t>
      </w:r>
      <w:r w:rsidR="00780C58">
        <w:rPr>
          <w:lang w:val="en-US"/>
        </w:rPr>
        <w:t>i</w:t>
      </w:r>
      <w:r w:rsidRPr="00957C2A">
        <w:rPr>
          <w:lang w:val="en-US"/>
        </w:rPr>
        <w:t xml:space="preserve">n the Resolución de 23 de Diciembre de 2015 de la DGPEyM por la que se aprueba el Protocolo de Detalle PD-17 “Provisión de Información sobre el balance del gas en las redes de transporte”, </w:t>
      </w:r>
      <w:r w:rsidR="00780C58">
        <w:rPr>
          <w:lang w:val="en-US"/>
        </w:rPr>
        <w:t>i</w:t>
      </w:r>
      <w:r w:rsidRPr="00957C2A">
        <w:rPr>
          <w:lang w:val="en-US"/>
        </w:rPr>
        <w:t xml:space="preserve">ndicators for the measure of quality and compliance of the timetables by operators and Enagas GTS must be proposed by the Spanish Working Group for updating, modification and review of the Spanish Gas </w:t>
      </w:r>
      <w:r w:rsidR="00780C58">
        <w:rPr>
          <w:lang w:val="en-US"/>
        </w:rPr>
        <w:t>Code</w:t>
      </w:r>
      <w:r w:rsidR="00780C58" w:rsidRPr="00957C2A">
        <w:rPr>
          <w:lang w:val="en-US"/>
        </w:rPr>
        <w:t xml:space="preserve"> </w:t>
      </w:r>
      <w:r w:rsidRPr="00957C2A">
        <w:rPr>
          <w:lang w:val="en-US"/>
        </w:rPr>
        <w:t>(NGTS) before June 2016. Those indicators are waiting to be approved and publish</w:t>
      </w:r>
      <w:r w:rsidR="00780C58">
        <w:rPr>
          <w:lang w:val="en-US"/>
        </w:rPr>
        <w:t>ed</w:t>
      </w:r>
      <w:r w:rsidRPr="00957C2A">
        <w:rPr>
          <w:lang w:val="en-US"/>
        </w:rPr>
        <w:t xml:space="preserve"> by the Spanish Regulator and will be included </w:t>
      </w:r>
      <w:r w:rsidR="00780C58">
        <w:rPr>
          <w:lang w:val="en-US"/>
        </w:rPr>
        <w:t>i</w:t>
      </w:r>
      <w:r w:rsidRPr="00957C2A">
        <w:rPr>
          <w:lang w:val="en-US"/>
        </w:rPr>
        <w:t>n the detail protocol PD-17 as an annex. Further information about quality of information provided will be available once th</w:t>
      </w:r>
      <w:r w:rsidR="00780C58">
        <w:rPr>
          <w:lang w:val="en-US"/>
        </w:rPr>
        <w:t>e</w:t>
      </w:r>
      <w:r w:rsidRPr="00957C2A">
        <w:rPr>
          <w:lang w:val="en-US"/>
        </w:rPr>
        <w:t>se indicators come into force.</w:t>
      </w:r>
    </w:p>
    <w:p w:rsidR="004F4155" w:rsidRPr="00957C2A" w:rsidRDefault="004F4155" w:rsidP="007576DF">
      <w:pPr>
        <w:spacing w:before="0" w:after="0"/>
        <w:jc w:val="left"/>
        <w:rPr>
          <w:lang w:val="en-US"/>
        </w:rPr>
      </w:pPr>
    </w:p>
    <w:p w:rsidR="004F4155" w:rsidRPr="00957C2A" w:rsidRDefault="004F4155" w:rsidP="007576DF">
      <w:pPr>
        <w:pStyle w:val="Prrafodelista"/>
        <w:numPr>
          <w:ilvl w:val="0"/>
          <w:numId w:val="11"/>
        </w:numPr>
        <w:spacing w:before="0" w:after="0"/>
        <w:contextualSpacing w:val="0"/>
        <w:jc w:val="left"/>
        <w:rPr>
          <w:lang w:val="en-US"/>
        </w:rPr>
      </w:pPr>
      <w:r w:rsidRPr="00957C2A">
        <w:rPr>
          <w:lang w:val="en-US"/>
        </w:rPr>
        <w:t>Analysis of incidents and their solutions</w:t>
      </w:r>
    </w:p>
    <w:p w:rsidR="004F4155" w:rsidRPr="00957C2A" w:rsidRDefault="004F4155" w:rsidP="007576DF">
      <w:pPr>
        <w:spacing w:after="0"/>
        <w:ind w:left="708"/>
        <w:rPr>
          <w:lang w:val="en-US"/>
        </w:rPr>
      </w:pPr>
      <w:r w:rsidRPr="00957C2A">
        <w:rPr>
          <w:lang w:val="en-US"/>
        </w:rPr>
        <w:t>No relevant. There have not been significant incidents since the implementation of the process.</w:t>
      </w:r>
    </w:p>
    <w:p w:rsidR="004F4155" w:rsidRPr="00957C2A" w:rsidRDefault="004F4155" w:rsidP="007576DF">
      <w:pPr>
        <w:spacing w:before="0" w:after="0"/>
        <w:jc w:val="left"/>
        <w:rPr>
          <w:lang w:val="en-US"/>
        </w:rPr>
      </w:pPr>
    </w:p>
    <w:p w:rsidR="004F4155" w:rsidRPr="00957C2A" w:rsidRDefault="004F4155" w:rsidP="007576DF">
      <w:pPr>
        <w:pStyle w:val="Prrafodelista"/>
        <w:numPr>
          <w:ilvl w:val="0"/>
          <w:numId w:val="11"/>
        </w:numPr>
        <w:spacing w:before="0" w:after="0"/>
        <w:contextualSpacing w:val="0"/>
        <w:jc w:val="left"/>
        <w:rPr>
          <w:lang w:val="en-US"/>
        </w:rPr>
      </w:pPr>
      <w:r w:rsidRPr="00957C2A">
        <w:rPr>
          <w:lang w:val="en-US"/>
        </w:rPr>
        <w:t>Preliminary CBA</w:t>
      </w:r>
    </w:p>
    <w:p w:rsidR="004F4155" w:rsidRPr="00957C2A" w:rsidRDefault="004F4155" w:rsidP="007576DF">
      <w:pPr>
        <w:spacing w:after="0"/>
        <w:ind w:left="708"/>
        <w:rPr>
          <w:lang w:val="en-US"/>
        </w:rPr>
      </w:pPr>
      <w:r w:rsidRPr="00957C2A">
        <w:rPr>
          <w:lang w:val="en-US"/>
        </w:rPr>
        <w:t xml:space="preserve">Information Provision process came into force in Spain </w:t>
      </w:r>
      <w:r w:rsidR="00780C58">
        <w:rPr>
          <w:lang w:val="en-US"/>
        </w:rPr>
        <w:t>i</w:t>
      </w:r>
      <w:r w:rsidRPr="00957C2A">
        <w:rPr>
          <w:lang w:val="en-US"/>
        </w:rPr>
        <w:t>n June 2016. Enough background and historical data is necessary before develop the CBA. As it is stablish</w:t>
      </w:r>
      <w:r w:rsidR="00780C58">
        <w:rPr>
          <w:lang w:val="en-US"/>
        </w:rPr>
        <w:t>ed</w:t>
      </w:r>
      <w:r w:rsidRPr="00957C2A">
        <w:rPr>
          <w:lang w:val="en-US"/>
        </w:rPr>
        <w:t xml:space="preserve"> </w:t>
      </w:r>
      <w:r w:rsidR="00780C58">
        <w:rPr>
          <w:lang w:val="en-US"/>
        </w:rPr>
        <w:t>i</w:t>
      </w:r>
      <w:r w:rsidRPr="00957C2A">
        <w:rPr>
          <w:lang w:val="en-US"/>
        </w:rPr>
        <w:t>n Circular de Balance 2/2015 (Chapter 16.5), an Information Provision analysis will be carry out by Enagás GTS in coordination with transmission system operators (TSOs) and distribution system operators (DSO</w:t>
      </w:r>
      <w:r w:rsidR="00780C58">
        <w:rPr>
          <w:lang w:val="en-US"/>
        </w:rPr>
        <w:t>s</w:t>
      </w:r>
      <w:r w:rsidRPr="00957C2A">
        <w:rPr>
          <w:lang w:val="en-US"/>
        </w:rPr>
        <w:t>) before the 30</w:t>
      </w:r>
      <w:r w:rsidRPr="001013E6">
        <w:rPr>
          <w:vertAlign w:val="superscript"/>
          <w:lang w:val="en-US"/>
        </w:rPr>
        <w:t>th</w:t>
      </w:r>
      <w:r w:rsidRPr="00957C2A">
        <w:rPr>
          <w:lang w:val="en-US"/>
        </w:rPr>
        <w:t xml:space="preserve"> </w:t>
      </w:r>
      <w:r w:rsidR="00780C58">
        <w:rPr>
          <w:lang w:val="en-US"/>
        </w:rPr>
        <w:t xml:space="preserve">of </w:t>
      </w:r>
      <w:r w:rsidRPr="00957C2A">
        <w:rPr>
          <w:lang w:val="en-US"/>
        </w:rPr>
        <w:t>September 2018.</w:t>
      </w:r>
    </w:p>
    <w:p w:rsidR="004F4155" w:rsidRPr="00957C2A" w:rsidRDefault="004F4155" w:rsidP="007576DF">
      <w:pPr>
        <w:spacing w:before="0" w:after="0"/>
        <w:jc w:val="left"/>
        <w:rPr>
          <w:lang w:val="en-US"/>
        </w:rPr>
      </w:pPr>
    </w:p>
    <w:p w:rsidR="004F4155" w:rsidRPr="00957C2A" w:rsidRDefault="004F4155" w:rsidP="007576DF">
      <w:pPr>
        <w:pStyle w:val="Prrafodelista"/>
        <w:numPr>
          <w:ilvl w:val="0"/>
          <w:numId w:val="11"/>
        </w:numPr>
        <w:spacing w:before="0" w:after="0"/>
        <w:contextualSpacing w:val="0"/>
        <w:rPr>
          <w:lang w:val="en-US"/>
        </w:rPr>
      </w:pPr>
      <w:r w:rsidRPr="00957C2A">
        <w:rPr>
          <w:lang w:val="en-US"/>
        </w:rPr>
        <w:t>Conclusions that can be drawn from the figures (e.g., the need for more withinday information)</w:t>
      </w:r>
    </w:p>
    <w:p w:rsidR="004F4155" w:rsidRDefault="004F4155" w:rsidP="007576DF">
      <w:pPr>
        <w:spacing w:after="0"/>
        <w:ind w:left="708"/>
        <w:rPr>
          <w:lang w:val="en-US"/>
        </w:rPr>
      </w:pPr>
      <w:r w:rsidRPr="00957C2A">
        <w:rPr>
          <w:lang w:val="en-US"/>
        </w:rPr>
        <w:t xml:space="preserve">No relevant.  </w:t>
      </w:r>
    </w:p>
    <w:p w:rsidR="00036054" w:rsidRDefault="00036054" w:rsidP="00E7145A">
      <w:pPr>
        <w:spacing w:after="0" w:line="240" w:lineRule="auto"/>
        <w:rPr>
          <w:b/>
          <w:lang w:val="en-US"/>
        </w:rPr>
      </w:pPr>
    </w:p>
    <w:p w:rsidR="00E7145A" w:rsidRDefault="00E7145A" w:rsidP="00E7145A">
      <w:pPr>
        <w:spacing w:after="0" w:line="240" w:lineRule="auto"/>
        <w:rPr>
          <w:b/>
          <w:lang w:val="en-US"/>
        </w:rPr>
      </w:pPr>
      <w:r w:rsidRPr="00E7145A">
        <w:rPr>
          <w:b/>
          <w:lang w:val="en-US"/>
        </w:rPr>
        <w:t>FRANCE</w:t>
      </w:r>
    </w:p>
    <w:p w:rsidR="00036054" w:rsidRPr="00E7145A" w:rsidRDefault="00036054" w:rsidP="00E7145A">
      <w:pPr>
        <w:spacing w:after="0" w:line="240" w:lineRule="auto"/>
        <w:rPr>
          <w:b/>
          <w:lang w:val="en-US"/>
        </w:rPr>
      </w:pPr>
    </w:p>
    <w:p w:rsidR="00E7145A" w:rsidRDefault="00E7145A" w:rsidP="00E7145A">
      <w:pPr>
        <w:spacing w:after="0" w:line="240" w:lineRule="auto"/>
        <w:rPr>
          <w:b/>
          <w:lang w:val="en-US"/>
        </w:rPr>
      </w:pPr>
      <w:r w:rsidRPr="00E7145A">
        <w:rPr>
          <w:b/>
          <w:lang w:val="en-US"/>
        </w:rPr>
        <w:t>PORTUGAL</w:t>
      </w:r>
    </w:p>
    <w:p w:rsidR="00E7145A" w:rsidRPr="00E7145A" w:rsidRDefault="00E7145A" w:rsidP="007576DF">
      <w:pPr>
        <w:rPr>
          <w:lang w:val="en-US"/>
        </w:rPr>
      </w:pPr>
      <w:r w:rsidRPr="00E7145A">
        <w:rPr>
          <w:lang w:val="en-US"/>
        </w:rPr>
        <w:t>The quality of the information provided was generally good. However</w:t>
      </w:r>
      <w:r w:rsidR="00780C58">
        <w:rPr>
          <w:lang w:val="en-US"/>
        </w:rPr>
        <w:t>,</w:t>
      </w:r>
      <w:r w:rsidRPr="00E7145A">
        <w:rPr>
          <w:lang w:val="en-US"/>
        </w:rPr>
        <w:t xml:space="preserve"> there were some incidents that caused unavailability of correct information in the appropriate time which occurred with greater incidence in the initial period. Following each incident, an assessment was made in order to identify and correct the anomalies and to avoid future incidents motivated by the same reasons. </w:t>
      </w:r>
    </w:p>
    <w:p w:rsidR="00E7145A" w:rsidRPr="00E7145A" w:rsidRDefault="00E7145A" w:rsidP="007576DF">
      <w:pPr>
        <w:rPr>
          <w:lang w:val="en-US"/>
        </w:rPr>
      </w:pPr>
      <w:r w:rsidRPr="00E7145A">
        <w:rPr>
          <w:lang w:val="en-US"/>
        </w:rPr>
        <w:t>We can group the causes of the incidents into three groups:</w:t>
      </w:r>
    </w:p>
    <w:p w:rsidR="00E7145A" w:rsidRPr="00E7145A" w:rsidRDefault="00E7145A" w:rsidP="007576DF">
      <w:pPr>
        <w:pStyle w:val="Prrafodelista"/>
        <w:numPr>
          <w:ilvl w:val="0"/>
          <w:numId w:val="24"/>
        </w:numPr>
        <w:spacing w:before="0" w:after="0"/>
        <w:jc w:val="left"/>
        <w:rPr>
          <w:lang w:val="en-US"/>
        </w:rPr>
      </w:pPr>
      <w:r w:rsidRPr="00E7145A">
        <w:rPr>
          <w:lang w:val="en-US"/>
        </w:rPr>
        <w:t>Incidents occurring due to the immaturity of the BAL implementation processes mainly because of computer bugs and inexperience of stakeholders;</w:t>
      </w:r>
    </w:p>
    <w:p w:rsidR="00E7145A" w:rsidRPr="00E7145A" w:rsidRDefault="00E7145A" w:rsidP="001013E6">
      <w:pPr>
        <w:pStyle w:val="Prrafodelista"/>
        <w:numPr>
          <w:ilvl w:val="0"/>
          <w:numId w:val="24"/>
        </w:numPr>
        <w:spacing w:before="0" w:after="0"/>
        <w:rPr>
          <w:lang w:val="en-US"/>
        </w:rPr>
      </w:pPr>
      <w:r w:rsidRPr="00E7145A">
        <w:rPr>
          <w:lang w:val="en-US"/>
        </w:rPr>
        <w:t>Unavailability of input data at the appropriate time by DSOs. For the purpose of handling with this matter, were promoted meetings with concerned parts in order to improve the processes, in particular</w:t>
      </w:r>
      <w:r w:rsidR="00E353AE">
        <w:rPr>
          <w:lang w:val="en-US"/>
        </w:rPr>
        <w:t>,</w:t>
      </w:r>
      <w:r w:rsidRPr="00E7145A">
        <w:rPr>
          <w:lang w:val="en-US"/>
        </w:rPr>
        <w:t xml:space="preserve"> by requesting the automation of communication and backup processes implementation.</w:t>
      </w:r>
    </w:p>
    <w:p w:rsidR="00E7145A" w:rsidRPr="00E7145A" w:rsidRDefault="00E7145A" w:rsidP="007576DF">
      <w:pPr>
        <w:pStyle w:val="Prrafodelista"/>
        <w:numPr>
          <w:ilvl w:val="0"/>
          <w:numId w:val="24"/>
        </w:numPr>
        <w:spacing w:before="0" w:after="0"/>
        <w:jc w:val="left"/>
        <w:rPr>
          <w:lang w:val="en-US"/>
        </w:rPr>
      </w:pPr>
      <w:r w:rsidRPr="00E7145A">
        <w:rPr>
          <w:lang w:val="en-US"/>
        </w:rPr>
        <w:t>Technological issues that were solved at each time occurred.</w:t>
      </w:r>
    </w:p>
    <w:p w:rsidR="00E7145A" w:rsidRPr="00E7145A" w:rsidRDefault="00E7145A" w:rsidP="007576DF">
      <w:pPr>
        <w:rPr>
          <w:lang w:val="en-US"/>
        </w:rPr>
      </w:pPr>
      <w:r w:rsidRPr="00E7145A">
        <w:rPr>
          <w:lang w:val="en-US"/>
        </w:rPr>
        <w:t>The unavailability periods registered are presented in the table below.</w:t>
      </w:r>
    </w:p>
    <w:p w:rsidR="00E7145A" w:rsidRDefault="00E7145A" w:rsidP="00E7145A">
      <w:pPr>
        <w:pStyle w:val="Prrafodelista"/>
        <w:ind w:left="360"/>
        <w:rPr>
          <w:lang w:val="en-US"/>
        </w:rPr>
      </w:pPr>
      <w:r w:rsidRPr="0039373B">
        <w:rPr>
          <w:noProof/>
          <w:lang w:val="es-ES" w:eastAsia="es-ES"/>
        </w:rPr>
        <w:drawing>
          <wp:inline distT="0" distB="0" distL="0" distR="0" wp14:anchorId="564E9178" wp14:editId="1F2F9192">
            <wp:extent cx="5400040" cy="211682"/>
            <wp:effectExtent l="0" t="0" r="0" b="0"/>
            <wp:docPr id="11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211682"/>
                    </a:xfrm>
                    <a:prstGeom prst="rect">
                      <a:avLst/>
                    </a:prstGeom>
                    <a:noFill/>
                    <a:ln>
                      <a:noFill/>
                    </a:ln>
                  </pic:spPr>
                </pic:pic>
              </a:graphicData>
            </a:graphic>
          </wp:inline>
        </w:drawing>
      </w:r>
    </w:p>
    <w:p w:rsidR="004F4155" w:rsidRDefault="004F4155" w:rsidP="004F4155">
      <w:pPr>
        <w:spacing w:before="0" w:after="0" w:line="240" w:lineRule="auto"/>
        <w:jc w:val="left"/>
        <w:rPr>
          <w:lang w:val="en-US"/>
        </w:rPr>
      </w:pPr>
    </w:p>
    <w:p w:rsidR="00615636" w:rsidRDefault="00615636" w:rsidP="004F4155">
      <w:pPr>
        <w:spacing w:before="0" w:after="0" w:line="240" w:lineRule="auto"/>
        <w:jc w:val="left"/>
        <w:rPr>
          <w:lang w:val="en-US"/>
        </w:rPr>
      </w:pPr>
    </w:p>
    <w:p w:rsidR="004F4155" w:rsidRDefault="004F4155" w:rsidP="00A00BD4">
      <w:pPr>
        <w:pStyle w:val="Prrafodelista"/>
        <w:numPr>
          <w:ilvl w:val="1"/>
          <w:numId w:val="12"/>
        </w:numPr>
        <w:spacing w:before="0" w:after="0" w:line="240" w:lineRule="auto"/>
        <w:contextualSpacing w:val="0"/>
        <w:jc w:val="left"/>
        <w:rPr>
          <w:b/>
          <w:lang w:val="en-US"/>
        </w:rPr>
      </w:pPr>
      <w:r w:rsidRPr="00182583">
        <w:rPr>
          <w:b/>
          <w:lang w:val="en-US"/>
        </w:rPr>
        <w:t>System status</w:t>
      </w:r>
    </w:p>
    <w:p w:rsidR="00036054" w:rsidRDefault="00036054" w:rsidP="00036054">
      <w:pPr>
        <w:spacing w:before="0" w:after="0" w:line="240" w:lineRule="auto"/>
        <w:jc w:val="left"/>
        <w:rPr>
          <w:b/>
          <w:lang w:val="en-US"/>
        </w:rPr>
      </w:pPr>
    </w:p>
    <w:p w:rsidR="00036054" w:rsidRPr="00036054" w:rsidRDefault="00036054" w:rsidP="00036054">
      <w:pPr>
        <w:spacing w:before="0" w:after="0" w:line="240" w:lineRule="auto"/>
        <w:jc w:val="left"/>
        <w:rPr>
          <w:b/>
          <w:lang w:val="en-US"/>
        </w:rPr>
      </w:pPr>
      <w:r>
        <w:rPr>
          <w:b/>
          <w:lang w:val="en-US"/>
        </w:rPr>
        <w:t>SPAIN</w:t>
      </w:r>
    </w:p>
    <w:p w:rsidR="004F4155" w:rsidRPr="00957C2A" w:rsidRDefault="004F4155" w:rsidP="004F4155">
      <w:pPr>
        <w:pStyle w:val="Prrafodelista"/>
        <w:spacing w:before="0" w:after="0" w:line="240" w:lineRule="auto"/>
        <w:ind w:left="360"/>
        <w:contextualSpacing w:val="0"/>
        <w:jc w:val="left"/>
        <w:rPr>
          <w:lang w:val="en-US"/>
        </w:rPr>
      </w:pPr>
    </w:p>
    <w:p w:rsidR="004F4155" w:rsidRPr="00957C2A" w:rsidRDefault="004F4155" w:rsidP="00A00BD4">
      <w:pPr>
        <w:pStyle w:val="Prrafodelista"/>
        <w:numPr>
          <w:ilvl w:val="0"/>
          <w:numId w:val="11"/>
        </w:numPr>
        <w:spacing w:before="0" w:after="0" w:line="240" w:lineRule="auto"/>
        <w:contextualSpacing w:val="0"/>
        <w:jc w:val="left"/>
        <w:rPr>
          <w:lang w:val="en-US"/>
        </w:rPr>
      </w:pPr>
      <w:r w:rsidRPr="00957C2A">
        <w:rPr>
          <w:lang w:val="en-US"/>
        </w:rPr>
        <w:t xml:space="preserve">Highest, lowest and average opening linepack level </w:t>
      </w:r>
    </w:p>
    <w:p w:rsidR="004F4155" w:rsidRPr="00C408B8" w:rsidRDefault="004F4155" w:rsidP="004F4155">
      <w:pPr>
        <w:spacing w:before="0" w:after="0" w:line="240" w:lineRule="auto"/>
        <w:jc w:val="left"/>
        <w:rPr>
          <w:color w:val="4F81BD" w:themeColor="accent1"/>
          <w:lang w:val="en-US"/>
        </w:rPr>
      </w:pPr>
      <w:r>
        <w:rPr>
          <w:noProof/>
          <w:color w:val="4F81BD" w:themeColor="accent1"/>
          <w:lang w:val="es-ES" w:eastAsia="es-ES"/>
        </w:rPr>
        <w:drawing>
          <wp:inline distT="0" distB="0" distL="0" distR="0" wp14:anchorId="7EF053DE" wp14:editId="64CE76F0">
            <wp:extent cx="5585460" cy="324612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5460" cy="3246120"/>
                    </a:xfrm>
                    <a:prstGeom prst="rect">
                      <a:avLst/>
                    </a:prstGeom>
                    <a:noFill/>
                  </pic:spPr>
                </pic:pic>
              </a:graphicData>
            </a:graphic>
          </wp:inline>
        </w:drawing>
      </w:r>
    </w:p>
    <w:p w:rsidR="004F4155" w:rsidRPr="00152A54" w:rsidRDefault="004F4155" w:rsidP="004F4155">
      <w:pPr>
        <w:spacing w:before="0" w:after="0" w:line="240" w:lineRule="auto"/>
        <w:jc w:val="left"/>
        <w:rPr>
          <w:color w:val="4F81BD" w:themeColor="accent1"/>
          <w:lang w:val="en-US"/>
        </w:rPr>
      </w:pPr>
    </w:p>
    <w:p w:rsidR="004F4155" w:rsidRPr="00957C2A" w:rsidRDefault="004F4155" w:rsidP="007576DF">
      <w:pPr>
        <w:pStyle w:val="Prrafodelista"/>
        <w:numPr>
          <w:ilvl w:val="0"/>
          <w:numId w:val="11"/>
        </w:numPr>
        <w:spacing w:before="0" w:after="0"/>
        <w:contextualSpacing w:val="0"/>
        <w:rPr>
          <w:lang w:val="en-US"/>
        </w:rPr>
      </w:pPr>
      <w:r w:rsidRPr="00957C2A">
        <w:rPr>
          <w:lang w:val="en-US"/>
        </w:rPr>
        <w:t xml:space="preserve">Variations in cumulative commercial imbalance position (differences between the opening and the end of the gas day). </w:t>
      </w:r>
    </w:p>
    <w:p w:rsidR="004F4155" w:rsidRPr="001C700B" w:rsidRDefault="004F4155" w:rsidP="004F4155">
      <w:pPr>
        <w:pStyle w:val="Prrafodelista"/>
        <w:spacing w:before="0" w:after="0" w:line="240" w:lineRule="auto"/>
        <w:contextualSpacing w:val="0"/>
        <w:jc w:val="left"/>
        <w:rPr>
          <w:lang w:val="en-US"/>
        </w:rPr>
      </w:pPr>
    </w:p>
    <w:p w:rsidR="004F4155" w:rsidRPr="00E655DC" w:rsidRDefault="004F4155" w:rsidP="004F4155">
      <w:pPr>
        <w:spacing w:before="0" w:after="0" w:line="240" w:lineRule="auto"/>
        <w:jc w:val="left"/>
        <w:rPr>
          <w:lang w:val="es-ES_tradnl"/>
        </w:rPr>
      </w:pPr>
      <w:r>
        <w:rPr>
          <w:noProof/>
          <w:lang w:val="es-ES" w:eastAsia="es-ES"/>
        </w:rPr>
        <w:drawing>
          <wp:inline distT="0" distB="0" distL="0" distR="0" wp14:anchorId="5FB5C8CD" wp14:editId="5BE544BA">
            <wp:extent cx="5590540" cy="324929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90540" cy="3249295"/>
                    </a:xfrm>
                    <a:prstGeom prst="rect">
                      <a:avLst/>
                    </a:prstGeom>
                    <a:noFill/>
                  </pic:spPr>
                </pic:pic>
              </a:graphicData>
            </a:graphic>
          </wp:inline>
        </w:drawing>
      </w:r>
    </w:p>
    <w:p w:rsidR="004F4155" w:rsidRPr="00957C2A" w:rsidRDefault="004F4155" w:rsidP="007576DF">
      <w:pPr>
        <w:pStyle w:val="Prrafodelista"/>
        <w:numPr>
          <w:ilvl w:val="0"/>
          <w:numId w:val="11"/>
        </w:numPr>
        <w:spacing w:after="0"/>
        <w:contextualSpacing w:val="0"/>
        <w:rPr>
          <w:lang w:val="en-US"/>
        </w:rPr>
      </w:pPr>
      <w:r w:rsidRPr="00957C2A">
        <w:rPr>
          <w:lang w:val="en-US"/>
        </w:rPr>
        <w:t>Variations in cumulative physical linepack (differences between the opening and the end of the gas day)</w:t>
      </w:r>
    </w:p>
    <w:p w:rsidR="004F4155" w:rsidRDefault="004F4155" w:rsidP="004F4155">
      <w:pPr>
        <w:spacing w:before="0" w:after="0" w:line="240" w:lineRule="auto"/>
        <w:jc w:val="left"/>
        <w:rPr>
          <w:lang w:val="en-US"/>
        </w:rPr>
      </w:pPr>
      <w:r>
        <w:rPr>
          <w:noProof/>
          <w:lang w:val="es-ES" w:eastAsia="es-ES"/>
        </w:rPr>
        <w:drawing>
          <wp:inline distT="0" distB="0" distL="0" distR="0" wp14:anchorId="058A6EC3" wp14:editId="2AC7E47D">
            <wp:extent cx="5615940" cy="3246120"/>
            <wp:effectExtent l="0" t="0" r="381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5940" cy="3246120"/>
                    </a:xfrm>
                    <a:prstGeom prst="rect">
                      <a:avLst/>
                    </a:prstGeom>
                    <a:noFill/>
                  </pic:spPr>
                </pic:pic>
              </a:graphicData>
            </a:graphic>
          </wp:inline>
        </w:drawing>
      </w:r>
    </w:p>
    <w:p w:rsidR="004F4155" w:rsidRPr="008F7B0F" w:rsidRDefault="004F4155" w:rsidP="004F4155">
      <w:pPr>
        <w:spacing w:before="0" w:after="0" w:line="240" w:lineRule="auto"/>
        <w:jc w:val="left"/>
        <w:rPr>
          <w:lang w:val="en-US"/>
        </w:rPr>
      </w:pPr>
    </w:p>
    <w:p w:rsidR="004F4155" w:rsidRPr="00957C2A" w:rsidRDefault="004F4155" w:rsidP="007576DF">
      <w:pPr>
        <w:pStyle w:val="Prrafodelista"/>
        <w:numPr>
          <w:ilvl w:val="0"/>
          <w:numId w:val="11"/>
        </w:numPr>
        <w:spacing w:before="0"/>
        <w:contextualSpacing w:val="0"/>
        <w:jc w:val="left"/>
        <w:rPr>
          <w:lang w:val="en-US"/>
        </w:rPr>
      </w:pPr>
      <w:r w:rsidRPr="00957C2A">
        <w:rPr>
          <w:lang w:val="en-US"/>
        </w:rPr>
        <w:t xml:space="preserve">Maximum, minimum and average values of variation in cumulative physical linepack and commercial position. </w:t>
      </w:r>
    </w:p>
    <w:p w:rsidR="004F4155" w:rsidRPr="009D2435" w:rsidRDefault="004F4155" w:rsidP="004F4155">
      <w:pPr>
        <w:spacing w:before="0" w:line="240" w:lineRule="auto"/>
        <w:ind w:left="360"/>
        <w:jc w:val="left"/>
        <w:rPr>
          <w:color w:val="FF0000"/>
          <w:lang w:val="en-US"/>
        </w:rPr>
      </w:pPr>
    </w:p>
    <w:tbl>
      <w:tblPr>
        <w:tblStyle w:val="Tablaconcuadrcula11"/>
        <w:tblW w:w="8079" w:type="dxa"/>
        <w:jc w:val="center"/>
        <w:tblLook w:val="04A0" w:firstRow="1" w:lastRow="0" w:firstColumn="1" w:lastColumn="0" w:noHBand="0" w:noVBand="1"/>
      </w:tblPr>
      <w:tblGrid>
        <w:gridCol w:w="2985"/>
        <w:gridCol w:w="1826"/>
        <w:gridCol w:w="1722"/>
        <w:gridCol w:w="1546"/>
      </w:tblGrid>
      <w:tr w:rsidR="004F4155" w:rsidRPr="00B451F6" w:rsidTr="004F4155">
        <w:trPr>
          <w:trHeight w:val="313"/>
          <w:jc w:val="center"/>
        </w:trPr>
        <w:tc>
          <w:tcPr>
            <w:tcW w:w="2985" w:type="dxa"/>
            <w:tcBorders>
              <w:top w:val="nil"/>
              <w:left w:val="nil"/>
              <w:bottom w:val="nil"/>
              <w:right w:val="nil"/>
            </w:tcBorders>
            <w:noWrap/>
            <w:hideMark/>
          </w:tcPr>
          <w:p w:rsidR="004F4155" w:rsidRPr="00B451F6" w:rsidRDefault="004F4155" w:rsidP="004F4155">
            <w:pPr>
              <w:spacing w:before="0" w:after="0" w:line="240" w:lineRule="auto"/>
              <w:jc w:val="center"/>
              <w:rPr>
                <w:rFonts w:ascii="Verdana" w:hAnsi="Verdana"/>
                <w:color w:val="000000"/>
                <w:szCs w:val="22"/>
                <w:lang w:val="en-US" w:eastAsia="es-ES"/>
              </w:rPr>
            </w:pPr>
          </w:p>
        </w:tc>
        <w:tc>
          <w:tcPr>
            <w:tcW w:w="5094" w:type="dxa"/>
            <w:gridSpan w:val="3"/>
            <w:tcBorders>
              <w:top w:val="nil"/>
              <w:left w:val="nil"/>
              <w:bottom w:val="nil"/>
              <w:right w:val="nil"/>
            </w:tcBorders>
            <w:shd w:val="clear" w:color="auto" w:fill="0070C0"/>
            <w:noWrap/>
          </w:tcPr>
          <w:p w:rsidR="004F4155" w:rsidRPr="00B451F6" w:rsidRDefault="004F4155" w:rsidP="004F4155">
            <w:pPr>
              <w:spacing w:before="0" w:after="0" w:line="240" w:lineRule="auto"/>
              <w:jc w:val="center"/>
              <w:rPr>
                <w:rFonts w:ascii="Verdana" w:hAnsi="Verdana"/>
                <w:color w:val="FFFFFF"/>
                <w:szCs w:val="22"/>
                <w:lang w:val="en-US" w:eastAsia="es-ES"/>
              </w:rPr>
            </w:pPr>
            <w:r>
              <w:rPr>
                <w:rFonts w:ascii="Verdana" w:hAnsi="Verdana"/>
                <w:color w:val="FFFFFF"/>
                <w:szCs w:val="22"/>
                <w:lang w:val="en-US" w:eastAsia="es-ES"/>
              </w:rPr>
              <w:t>GWh/d</w:t>
            </w:r>
          </w:p>
        </w:tc>
      </w:tr>
      <w:tr w:rsidR="004F4155" w:rsidRPr="00B451F6" w:rsidTr="004F4155">
        <w:trPr>
          <w:trHeight w:val="313"/>
          <w:jc w:val="center"/>
        </w:trPr>
        <w:tc>
          <w:tcPr>
            <w:tcW w:w="2985" w:type="dxa"/>
            <w:tcBorders>
              <w:top w:val="nil"/>
              <w:left w:val="nil"/>
              <w:bottom w:val="single" w:sz="4" w:space="0" w:color="0070C0"/>
              <w:right w:val="nil"/>
            </w:tcBorders>
            <w:noWrap/>
            <w:hideMark/>
          </w:tcPr>
          <w:p w:rsidR="004F4155" w:rsidRPr="00B451F6" w:rsidRDefault="004F4155" w:rsidP="004F4155">
            <w:pPr>
              <w:spacing w:before="0" w:after="0" w:line="240" w:lineRule="auto"/>
              <w:jc w:val="center"/>
              <w:rPr>
                <w:rFonts w:ascii="Verdana" w:hAnsi="Verdana"/>
                <w:color w:val="000000"/>
                <w:szCs w:val="22"/>
                <w:lang w:val="en-US" w:eastAsia="es-ES"/>
              </w:rPr>
            </w:pPr>
          </w:p>
        </w:tc>
        <w:tc>
          <w:tcPr>
            <w:tcW w:w="1826" w:type="dxa"/>
            <w:tcBorders>
              <w:top w:val="nil"/>
              <w:left w:val="nil"/>
              <w:bottom w:val="single" w:sz="4" w:space="0" w:color="0070C0"/>
              <w:right w:val="nil"/>
            </w:tcBorders>
            <w:shd w:val="clear" w:color="auto" w:fill="C6D9F1" w:themeFill="text2" w:themeFillTint="33"/>
            <w:noWrap/>
            <w:hideMark/>
          </w:tcPr>
          <w:p w:rsidR="004F4155" w:rsidRPr="00B451F6" w:rsidRDefault="004F4155" w:rsidP="004F4155">
            <w:pPr>
              <w:spacing w:before="0" w:after="0" w:line="240" w:lineRule="auto"/>
              <w:jc w:val="center"/>
              <w:rPr>
                <w:rFonts w:ascii="Verdana" w:hAnsi="Verdana"/>
                <w:color w:val="000000"/>
                <w:szCs w:val="22"/>
                <w:lang w:eastAsia="es-ES"/>
              </w:rPr>
            </w:pPr>
            <w:r w:rsidRPr="00B451F6">
              <w:rPr>
                <w:rFonts w:ascii="Verdana" w:hAnsi="Verdana"/>
                <w:color w:val="000000"/>
                <w:szCs w:val="22"/>
                <w:lang w:eastAsia="es-ES"/>
              </w:rPr>
              <w:t>Maximum</w:t>
            </w:r>
          </w:p>
        </w:tc>
        <w:tc>
          <w:tcPr>
            <w:tcW w:w="1722" w:type="dxa"/>
            <w:tcBorders>
              <w:top w:val="nil"/>
              <w:left w:val="nil"/>
              <w:bottom w:val="single" w:sz="4" w:space="0" w:color="0070C0"/>
              <w:right w:val="nil"/>
            </w:tcBorders>
            <w:shd w:val="clear" w:color="auto" w:fill="C6D9F1" w:themeFill="text2" w:themeFillTint="33"/>
            <w:noWrap/>
            <w:hideMark/>
          </w:tcPr>
          <w:p w:rsidR="004F4155" w:rsidRPr="00B451F6" w:rsidRDefault="004F4155" w:rsidP="004F4155">
            <w:pPr>
              <w:spacing w:before="0" w:after="0" w:line="240" w:lineRule="auto"/>
              <w:jc w:val="center"/>
              <w:rPr>
                <w:rFonts w:ascii="Verdana" w:hAnsi="Verdana"/>
                <w:color w:val="000000"/>
                <w:szCs w:val="22"/>
                <w:lang w:eastAsia="es-ES"/>
              </w:rPr>
            </w:pPr>
            <w:r w:rsidRPr="00B451F6">
              <w:rPr>
                <w:rFonts w:ascii="Verdana" w:hAnsi="Verdana"/>
                <w:color w:val="000000"/>
                <w:szCs w:val="22"/>
                <w:lang w:eastAsia="es-ES"/>
              </w:rPr>
              <w:t>Minimum</w:t>
            </w:r>
          </w:p>
        </w:tc>
        <w:tc>
          <w:tcPr>
            <w:tcW w:w="1546" w:type="dxa"/>
            <w:tcBorders>
              <w:top w:val="nil"/>
              <w:left w:val="nil"/>
              <w:bottom w:val="single" w:sz="4" w:space="0" w:color="0070C0"/>
              <w:right w:val="nil"/>
            </w:tcBorders>
            <w:shd w:val="clear" w:color="auto" w:fill="C6D9F1" w:themeFill="text2" w:themeFillTint="33"/>
            <w:noWrap/>
            <w:hideMark/>
          </w:tcPr>
          <w:p w:rsidR="004F4155" w:rsidRPr="00B451F6" w:rsidRDefault="004F4155" w:rsidP="004F4155">
            <w:pPr>
              <w:spacing w:before="0" w:after="0" w:line="240" w:lineRule="auto"/>
              <w:jc w:val="center"/>
              <w:rPr>
                <w:rFonts w:ascii="Verdana" w:hAnsi="Verdana"/>
                <w:color w:val="000000"/>
                <w:szCs w:val="22"/>
                <w:lang w:eastAsia="es-ES"/>
              </w:rPr>
            </w:pPr>
            <w:r w:rsidRPr="00B451F6">
              <w:rPr>
                <w:rFonts w:ascii="Verdana" w:hAnsi="Verdana"/>
                <w:color w:val="000000"/>
                <w:szCs w:val="22"/>
                <w:lang w:eastAsia="es-ES"/>
              </w:rPr>
              <w:t>Average</w:t>
            </w:r>
          </w:p>
        </w:tc>
      </w:tr>
      <w:tr w:rsidR="004F4155" w:rsidRPr="00B451F6" w:rsidTr="004F4155">
        <w:trPr>
          <w:trHeight w:val="313"/>
          <w:jc w:val="center"/>
        </w:trPr>
        <w:tc>
          <w:tcPr>
            <w:tcW w:w="2985" w:type="dxa"/>
            <w:tcBorders>
              <w:top w:val="single" w:sz="4" w:space="0" w:color="0070C0"/>
              <w:left w:val="nil"/>
              <w:bottom w:val="single" w:sz="4" w:space="0" w:color="0070C0"/>
              <w:right w:val="nil"/>
            </w:tcBorders>
            <w:shd w:val="clear" w:color="auto" w:fill="C6D9F1" w:themeFill="text2" w:themeFillTint="33"/>
            <w:noWrap/>
            <w:hideMark/>
          </w:tcPr>
          <w:p w:rsidR="004F4155" w:rsidRPr="00745919" w:rsidRDefault="004F4155" w:rsidP="004F4155">
            <w:pPr>
              <w:spacing w:before="0" w:after="0" w:line="240" w:lineRule="auto"/>
              <w:jc w:val="center"/>
              <w:rPr>
                <w:rFonts w:ascii="Verdana" w:hAnsi="Verdana"/>
                <w:color w:val="000000"/>
                <w:szCs w:val="22"/>
                <w:lang w:val="en-US" w:eastAsia="es-ES"/>
              </w:rPr>
            </w:pPr>
            <w:r w:rsidRPr="00745919">
              <w:rPr>
                <w:rFonts w:ascii="Verdana" w:hAnsi="Verdana"/>
                <w:color w:val="000000"/>
                <w:szCs w:val="22"/>
                <w:lang w:val="en-US" w:eastAsia="es-ES"/>
              </w:rPr>
              <w:t>Variation</w:t>
            </w:r>
            <w:r>
              <w:rPr>
                <w:rFonts w:ascii="Verdana" w:hAnsi="Verdana"/>
                <w:color w:val="000000"/>
                <w:szCs w:val="22"/>
                <w:lang w:val="en-US" w:eastAsia="es-ES"/>
              </w:rPr>
              <w:t>s</w:t>
            </w:r>
            <w:r w:rsidRPr="00745919">
              <w:rPr>
                <w:rFonts w:ascii="Verdana" w:hAnsi="Verdana"/>
                <w:color w:val="000000"/>
                <w:szCs w:val="22"/>
                <w:lang w:val="en-US" w:eastAsia="es-ES"/>
              </w:rPr>
              <w:t xml:space="preserve"> in cumulative physical linepack</w:t>
            </w:r>
          </w:p>
        </w:tc>
        <w:tc>
          <w:tcPr>
            <w:tcW w:w="1826" w:type="dxa"/>
            <w:tcBorders>
              <w:top w:val="single" w:sz="4" w:space="0" w:color="0070C0"/>
              <w:left w:val="nil"/>
              <w:bottom w:val="single" w:sz="4" w:space="0" w:color="0070C0"/>
              <w:right w:val="nil"/>
            </w:tcBorders>
            <w:shd w:val="clear" w:color="auto" w:fill="F2F2F2" w:themeFill="background1" w:themeFillShade="F2"/>
            <w:noWrap/>
            <w:vAlign w:val="center"/>
          </w:tcPr>
          <w:p w:rsidR="004F4155" w:rsidRPr="00B451F6" w:rsidRDefault="004F4155" w:rsidP="004F4155">
            <w:pPr>
              <w:spacing w:before="0" w:after="0" w:line="240" w:lineRule="auto"/>
              <w:jc w:val="center"/>
              <w:rPr>
                <w:rFonts w:ascii="Verdana" w:hAnsi="Verdana"/>
                <w:color w:val="000000"/>
                <w:szCs w:val="22"/>
              </w:rPr>
            </w:pPr>
            <w:r>
              <w:rPr>
                <w:rFonts w:ascii="Verdana" w:hAnsi="Verdana"/>
                <w:color w:val="000000"/>
                <w:szCs w:val="22"/>
              </w:rPr>
              <w:t>111.93</w:t>
            </w:r>
          </w:p>
        </w:tc>
        <w:tc>
          <w:tcPr>
            <w:tcW w:w="1722" w:type="dxa"/>
            <w:tcBorders>
              <w:top w:val="single" w:sz="4" w:space="0" w:color="0070C0"/>
              <w:left w:val="nil"/>
              <w:bottom w:val="single" w:sz="4" w:space="0" w:color="0070C0"/>
              <w:right w:val="nil"/>
            </w:tcBorders>
            <w:shd w:val="clear" w:color="auto" w:fill="F2F2F2" w:themeFill="background1" w:themeFillShade="F2"/>
            <w:noWrap/>
            <w:vAlign w:val="center"/>
          </w:tcPr>
          <w:p w:rsidR="004F4155" w:rsidRPr="00B451F6" w:rsidRDefault="004F4155" w:rsidP="004F4155">
            <w:pPr>
              <w:spacing w:before="0" w:after="0" w:line="240" w:lineRule="auto"/>
              <w:jc w:val="center"/>
              <w:rPr>
                <w:rFonts w:ascii="Verdana" w:hAnsi="Verdana"/>
                <w:color w:val="000000"/>
                <w:szCs w:val="22"/>
              </w:rPr>
            </w:pPr>
            <w:r>
              <w:rPr>
                <w:rFonts w:ascii="Verdana" w:hAnsi="Verdana"/>
                <w:color w:val="000000"/>
                <w:szCs w:val="22"/>
              </w:rPr>
              <w:t>-96.71</w:t>
            </w:r>
          </w:p>
        </w:tc>
        <w:tc>
          <w:tcPr>
            <w:tcW w:w="1546" w:type="dxa"/>
            <w:tcBorders>
              <w:top w:val="single" w:sz="4" w:space="0" w:color="0070C0"/>
              <w:left w:val="nil"/>
              <w:bottom w:val="single" w:sz="4" w:space="0" w:color="0070C0"/>
              <w:right w:val="nil"/>
            </w:tcBorders>
            <w:shd w:val="clear" w:color="auto" w:fill="F2F2F2" w:themeFill="background1" w:themeFillShade="F2"/>
            <w:noWrap/>
            <w:vAlign w:val="center"/>
          </w:tcPr>
          <w:p w:rsidR="004F4155" w:rsidRPr="00B451F6" w:rsidRDefault="004F4155" w:rsidP="004F4155">
            <w:pPr>
              <w:spacing w:before="0" w:after="0" w:line="240" w:lineRule="auto"/>
              <w:jc w:val="center"/>
              <w:rPr>
                <w:rFonts w:ascii="Verdana" w:hAnsi="Verdana"/>
                <w:color w:val="000000"/>
                <w:szCs w:val="22"/>
              </w:rPr>
            </w:pPr>
            <w:r>
              <w:rPr>
                <w:rFonts w:ascii="Verdana" w:hAnsi="Verdana"/>
                <w:color w:val="000000"/>
                <w:szCs w:val="22"/>
              </w:rPr>
              <w:t>0.02</w:t>
            </w:r>
          </w:p>
        </w:tc>
      </w:tr>
      <w:tr w:rsidR="004F4155" w:rsidRPr="00B451F6" w:rsidTr="004F4155">
        <w:trPr>
          <w:trHeight w:val="313"/>
          <w:jc w:val="center"/>
        </w:trPr>
        <w:tc>
          <w:tcPr>
            <w:tcW w:w="2985" w:type="dxa"/>
            <w:tcBorders>
              <w:top w:val="single" w:sz="4" w:space="0" w:color="0070C0"/>
              <w:left w:val="nil"/>
              <w:bottom w:val="single" w:sz="4" w:space="0" w:color="0070C0"/>
              <w:right w:val="nil"/>
            </w:tcBorders>
            <w:shd w:val="clear" w:color="auto" w:fill="C6D9F1" w:themeFill="text2" w:themeFillTint="33"/>
            <w:noWrap/>
            <w:hideMark/>
          </w:tcPr>
          <w:p w:rsidR="004F4155" w:rsidRPr="00745919" w:rsidRDefault="004F4155" w:rsidP="004F4155">
            <w:pPr>
              <w:spacing w:before="0" w:after="0" w:line="240" w:lineRule="auto"/>
              <w:jc w:val="center"/>
              <w:rPr>
                <w:rFonts w:ascii="Verdana" w:hAnsi="Verdana"/>
                <w:color w:val="000000"/>
                <w:szCs w:val="22"/>
                <w:lang w:val="en-US" w:eastAsia="es-ES"/>
              </w:rPr>
            </w:pPr>
            <w:r w:rsidRPr="00745919">
              <w:rPr>
                <w:rFonts w:ascii="Verdana" w:hAnsi="Verdana"/>
                <w:color w:val="000000"/>
                <w:szCs w:val="22"/>
                <w:lang w:val="en-US" w:eastAsia="es-ES"/>
              </w:rPr>
              <w:t>Variations in cumulative com</w:t>
            </w:r>
            <w:r>
              <w:rPr>
                <w:rFonts w:ascii="Verdana" w:hAnsi="Verdana"/>
                <w:color w:val="000000"/>
                <w:szCs w:val="22"/>
                <w:lang w:val="en-US" w:eastAsia="es-ES"/>
              </w:rPr>
              <w:t>m</w:t>
            </w:r>
            <w:r w:rsidRPr="00745919">
              <w:rPr>
                <w:rFonts w:ascii="Verdana" w:hAnsi="Verdana"/>
                <w:color w:val="000000"/>
                <w:szCs w:val="22"/>
                <w:lang w:val="en-US" w:eastAsia="es-ES"/>
              </w:rPr>
              <w:t>ercial position</w:t>
            </w:r>
          </w:p>
        </w:tc>
        <w:tc>
          <w:tcPr>
            <w:tcW w:w="1826" w:type="dxa"/>
            <w:tcBorders>
              <w:top w:val="single" w:sz="4" w:space="0" w:color="0070C0"/>
              <w:left w:val="nil"/>
              <w:bottom w:val="single" w:sz="4" w:space="0" w:color="0070C0"/>
              <w:right w:val="nil"/>
            </w:tcBorders>
            <w:shd w:val="clear" w:color="auto" w:fill="F2F2F2" w:themeFill="background1" w:themeFillShade="F2"/>
            <w:noWrap/>
            <w:vAlign w:val="center"/>
          </w:tcPr>
          <w:p w:rsidR="004F4155" w:rsidRPr="00B451F6" w:rsidRDefault="004F4155" w:rsidP="004F4155">
            <w:pPr>
              <w:spacing w:before="0" w:after="0" w:line="240" w:lineRule="auto"/>
              <w:jc w:val="center"/>
              <w:rPr>
                <w:rFonts w:ascii="Verdana" w:hAnsi="Verdana"/>
                <w:color w:val="000000"/>
                <w:szCs w:val="22"/>
              </w:rPr>
            </w:pPr>
            <w:r>
              <w:rPr>
                <w:rFonts w:ascii="Verdana" w:hAnsi="Verdana"/>
                <w:color w:val="000000"/>
                <w:szCs w:val="22"/>
              </w:rPr>
              <w:t>46.87</w:t>
            </w:r>
          </w:p>
        </w:tc>
        <w:tc>
          <w:tcPr>
            <w:tcW w:w="1722" w:type="dxa"/>
            <w:tcBorders>
              <w:top w:val="single" w:sz="4" w:space="0" w:color="0070C0"/>
              <w:left w:val="nil"/>
              <w:bottom w:val="single" w:sz="4" w:space="0" w:color="0070C0"/>
              <w:right w:val="nil"/>
            </w:tcBorders>
            <w:shd w:val="clear" w:color="auto" w:fill="F2F2F2" w:themeFill="background1" w:themeFillShade="F2"/>
            <w:noWrap/>
            <w:vAlign w:val="center"/>
          </w:tcPr>
          <w:p w:rsidR="004F4155" w:rsidRPr="00B451F6" w:rsidRDefault="004F4155" w:rsidP="004F4155">
            <w:pPr>
              <w:spacing w:before="0" w:after="0" w:line="240" w:lineRule="auto"/>
              <w:jc w:val="center"/>
              <w:rPr>
                <w:rFonts w:ascii="Verdana" w:hAnsi="Verdana"/>
                <w:color w:val="000000"/>
                <w:szCs w:val="22"/>
              </w:rPr>
            </w:pPr>
            <w:r>
              <w:rPr>
                <w:rFonts w:ascii="Verdana" w:hAnsi="Verdana"/>
                <w:color w:val="000000"/>
                <w:szCs w:val="22"/>
              </w:rPr>
              <w:t>-128.96</w:t>
            </w:r>
          </w:p>
        </w:tc>
        <w:tc>
          <w:tcPr>
            <w:tcW w:w="1546" w:type="dxa"/>
            <w:tcBorders>
              <w:top w:val="single" w:sz="4" w:space="0" w:color="0070C0"/>
              <w:left w:val="nil"/>
              <w:bottom w:val="single" w:sz="4" w:space="0" w:color="0070C0"/>
              <w:right w:val="nil"/>
            </w:tcBorders>
            <w:shd w:val="clear" w:color="auto" w:fill="F2F2F2" w:themeFill="background1" w:themeFillShade="F2"/>
            <w:noWrap/>
            <w:vAlign w:val="center"/>
          </w:tcPr>
          <w:p w:rsidR="004F4155" w:rsidRPr="00B451F6" w:rsidRDefault="004F4155" w:rsidP="004F4155">
            <w:pPr>
              <w:spacing w:before="0" w:after="0" w:line="240" w:lineRule="auto"/>
              <w:jc w:val="center"/>
              <w:rPr>
                <w:rFonts w:ascii="Verdana" w:hAnsi="Verdana"/>
                <w:color w:val="000000"/>
                <w:szCs w:val="22"/>
              </w:rPr>
            </w:pPr>
            <w:r>
              <w:rPr>
                <w:rFonts w:ascii="Verdana" w:hAnsi="Verdana"/>
                <w:color w:val="000000"/>
                <w:szCs w:val="22"/>
              </w:rPr>
              <w:t>-2.20</w:t>
            </w:r>
          </w:p>
        </w:tc>
      </w:tr>
    </w:tbl>
    <w:p w:rsidR="00E353AE" w:rsidRPr="001013E6" w:rsidRDefault="00E353AE" w:rsidP="004F4155">
      <w:pPr>
        <w:spacing w:before="0" w:line="240" w:lineRule="auto"/>
        <w:ind w:left="360"/>
        <w:jc w:val="left"/>
        <w:rPr>
          <w:color w:val="FF0000"/>
          <w:lang w:val="es-ES"/>
        </w:rPr>
      </w:pPr>
    </w:p>
    <w:p w:rsidR="004F4155" w:rsidRPr="009D2435" w:rsidRDefault="004F4155" w:rsidP="004F4155">
      <w:pPr>
        <w:spacing w:before="0" w:after="0" w:line="240" w:lineRule="auto"/>
        <w:jc w:val="left"/>
        <w:rPr>
          <w:color w:val="FF0000"/>
          <w:lang w:val="es-ES"/>
        </w:rPr>
      </w:pPr>
    </w:p>
    <w:p w:rsidR="004F4155" w:rsidRPr="00957C2A" w:rsidRDefault="004F4155" w:rsidP="007576DF">
      <w:pPr>
        <w:pStyle w:val="Prrafodelista"/>
        <w:numPr>
          <w:ilvl w:val="0"/>
          <w:numId w:val="11"/>
        </w:numPr>
        <w:spacing w:before="0" w:after="0"/>
        <w:contextualSpacing w:val="0"/>
        <w:jc w:val="left"/>
        <w:rPr>
          <w:lang w:val="en-US"/>
        </w:rPr>
      </w:pPr>
      <w:r w:rsidRPr="00957C2A">
        <w:rPr>
          <w:lang w:val="en-US"/>
        </w:rPr>
        <w:t>Highest, lowest and average expected impact of commercial regime on physical linepack.</w:t>
      </w:r>
    </w:p>
    <w:p w:rsidR="004F4155" w:rsidRPr="00957C2A" w:rsidRDefault="004F4155" w:rsidP="007576DF">
      <w:pPr>
        <w:pStyle w:val="Prrafodelista"/>
        <w:spacing w:before="0" w:after="0"/>
        <w:contextualSpacing w:val="0"/>
        <w:jc w:val="left"/>
        <w:rPr>
          <w:lang w:val="en-US"/>
        </w:rPr>
      </w:pPr>
    </w:p>
    <w:p w:rsidR="004F4155" w:rsidRPr="00957C2A" w:rsidRDefault="004F4155" w:rsidP="004F4155">
      <w:pPr>
        <w:pStyle w:val="Prrafodelista"/>
        <w:spacing w:before="0" w:after="0" w:line="240" w:lineRule="auto"/>
        <w:contextualSpacing w:val="0"/>
        <w:jc w:val="left"/>
        <w:rPr>
          <w:lang w:val="en-US"/>
        </w:rPr>
      </w:pPr>
    </w:p>
    <w:p w:rsidR="004F4155" w:rsidRDefault="004F4155" w:rsidP="004F4155">
      <w:pPr>
        <w:pStyle w:val="Prrafodelista"/>
        <w:spacing w:before="0" w:after="0" w:line="240" w:lineRule="auto"/>
        <w:contextualSpacing w:val="0"/>
        <w:jc w:val="left"/>
        <w:rPr>
          <w:lang w:val="en-US"/>
        </w:rPr>
      </w:pPr>
    </w:p>
    <w:p w:rsidR="004F4155" w:rsidRDefault="004F4155" w:rsidP="004F4155">
      <w:pPr>
        <w:pStyle w:val="Prrafodelista"/>
        <w:spacing w:before="0" w:after="0" w:line="240" w:lineRule="auto"/>
        <w:contextualSpacing w:val="0"/>
        <w:jc w:val="left"/>
        <w:rPr>
          <w:lang w:val="en-US"/>
        </w:rPr>
      </w:pPr>
    </w:p>
    <w:p w:rsidR="004F4155" w:rsidRPr="00F33A7A" w:rsidRDefault="004F4155" w:rsidP="004F4155">
      <w:pPr>
        <w:pStyle w:val="Prrafodelista"/>
        <w:spacing w:before="0" w:after="0" w:line="240" w:lineRule="auto"/>
        <w:ind w:left="0"/>
        <w:contextualSpacing w:val="0"/>
        <w:jc w:val="left"/>
        <w:rPr>
          <w:lang w:val="en-US"/>
        </w:rPr>
      </w:pPr>
      <w:r>
        <w:rPr>
          <w:noProof/>
          <w:lang w:val="es-ES" w:eastAsia="es-ES"/>
        </w:rPr>
        <w:drawing>
          <wp:inline distT="0" distB="0" distL="0" distR="0" wp14:anchorId="51956B59" wp14:editId="6C440A4C">
            <wp:extent cx="5584190" cy="326771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4190" cy="3267710"/>
                    </a:xfrm>
                    <a:prstGeom prst="rect">
                      <a:avLst/>
                    </a:prstGeom>
                    <a:noFill/>
                  </pic:spPr>
                </pic:pic>
              </a:graphicData>
            </a:graphic>
          </wp:inline>
        </w:drawing>
      </w:r>
    </w:p>
    <w:p w:rsidR="004F4155" w:rsidRPr="00F33A7A" w:rsidRDefault="004F4155" w:rsidP="004F4155">
      <w:pPr>
        <w:spacing w:before="0" w:after="0" w:line="240" w:lineRule="auto"/>
        <w:jc w:val="left"/>
        <w:rPr>
          <w:lang w:val="en-US"/>
        </w:rPr>
      </w:pPr>
    </w:p>
    <w:p w:rsidR="004F4155" w:rsidRPr="00957C2A" w:rsidRDefault="004F4155" w:rsidP="007576DF">
      <w:pPr>
        <w:pStyle w:val="Prrafodelista"/>
        <w:numPr>
          <w:ilvl w:val="0"/>
          <w:numId w:val="11"/>
        </w:numPr>
        <w:spacing w:before="0" w:after="0"/>
        <w:contextualSpacing w:val="0"/>
        <w:rPr>
          <w:lang w:val="en-US"/>
        </w:rPr>
      </w:pPr>
      <w:r w:rsidRPr="00957C2A">
        <w:rPr>
          <w:lang w:val="en-US"/>
        </w:rPr>
        <w:t xml:space="preserve">Maximum and Minimum values of commercial imbalance position and linepack. </w:t>
      </w:r>
    </w:p>
    <w:p w:rsidR="004F4155" w:rsidRPr="00957C2A" w:rsidRDefault="004F4155" w:rsidP="007576DF">
      <w:pPr>
        <w:pStyle w:val="Prrafodelista"/>
        <w:spacing w:before="0" w:after="0"/>
        <w:contextualSpacing w:val="0"/>
        <w:rPr>
          <w:lang w:val="en-US"/>
        </w:rPr>
      </w:pPr>
      <w:r w:rsidRPr="00957C2A">
        <w:rPr>
          <w:lang w:val="en-US"/>
        </w:rPr>
        <w:t>The requested values have already been shown above.</w:t>
      </w:r>
    </w:p>
    <w:p w:rsidR="004F4155" w:rsidRPr="00957C2A" w:rsidRDefault="004F4155" w:rsidP="007576DF">
      <w:pPr>
        <w:pStyle w:val="Prrafodelista"/>
        <w:spacing w:before="0" w:after="0"/>
        <w:contextualSpacing w:val="0"/>
        <w:rPr>
          <w:lang w:val="en-US"/>
        </w:rPr>
      </w:pPr>
    </w:p>
    <w:p w:rsidR="004F4155" w:rsidRPr="00957C2A" w:rsidRDefault="004F4155" w:rsidP="007576DF">
      <w:pPr>
        <w:pStyle w:val="Prrafodelista"/>
        <w:numPr>
          <w:ilvl w:val="0"/>
          <w:numId w:val="11"/>
        </w:numPr>
        <w:spacing w:before="0" w:after="0"/>
        <w:contextualSpacing w:val="0"/>
        <w:rPr>
          <w:lang w:val="en-US"/>
        </w:rPr>
      </w:pPr>
      <w:r w:rsidRPr="00957C2A">
        <w:rPr>
          <w:lang w:val="en-US"/>
        </w:rPr>
        <w:t xml:space="preserve">Description of other aspects apart from commercial imbalances that affect linepack. </w:t>
      </w:r>
    </w:p>
    <w:p w:rsidR="004F4155" w:rsidRPr="00957C2A" w:rsidRDefault="004F4155" w:rsidP="007576DF">
      <w:pPr>
        <w:pStyle w:val="Prrafodelista"/>
        <w:numPr>
          <w:ilvl w:val="1"/>
          <w:numId w:val="11"/>
        </w:numPr>
        <w:spacing w:before="0" w:after="0"/>
        <w:contextualSpacing w:val="0"/>
        <w:rPr>
          <w:lang w:val="en-US"/>
        </w:rPr>
      </w:pPr>
      <w:r w:rsidRPr="00957C2A">
        <w:rPr>
          <w:lang w:val="en-US"/>
        </w:rPr>
        <w:t>Purchases of new cushion gas needs.</w:t>
      </w:r>
    </w:p>
    <w:p w:rsidR="004F4155" w:rsidRPr="00957C2A" w:rsidRDefault="004F4155" w:rsidP="007576DF">
      <w:pPr>
        <w:pStyle w:val="Prrafodelista"/>
        <w:numPr>
          <w:ilvl w:val="1"/>
          <w:numId w:val="11"/>
        </w:numPr>
        <w:spacing w:before="0" w:after="0"/>
        <w:contextualSpacing w:val="0"/>
        <w:rPr>
          <w:lang w:val="en-US"/>
        </w:rPr>
      </w:pPr>
      <w:r w:rsidRPr="00957C2A">
        <w:rPr>
          <w:lang w:val="en-US"/>
        </w:rPr>
        <w:t>Purchases of Working Gas</w:t>
      </w:r>
    </w:p>
    <w:p w:rsidR="004F4155" w:rsidRPr="00957C2A" w:rsidRDefault="004F4155" w:rsidP="007576DF">
      <w:pPr>
        <w:pStyle w:val="Prrafodelista"/>
        <w:numPr>
          <w:ilvl w:val="1"/>
          <w:numId w:val="11"/>
        </w:numPr>
        <w:spacing w:before="0" w:after="0"/>
        <w:contextualSpacing w:val="0"/>
        <w:rPr>
          <w:lang w:val="es-ES"/>
        </w:rPr>
      </w:pPr>
      <w:r w:rsidRPr="00957C2A">
        <w:rPr>
          <w:lang w:val="en-US"/>
        </w:rPr>
        <w:t>Leakages and measurement differences.</w:t>
      </w:r>
    </w:p>
    <w:p w:rsidR="004F4155" w:rsidRPr="00957C2A" w:rsidRDefault="004F4155" w:rsidP="007576DF">
      <w:pPr>
        <w:pStyle w:val="Prrafodelista"/>
        <w:numPr>
          <w:ilvl w:val="1"/>
          <w:numId w:val="11"/>
        </w:numPr>
        <w:spacing w:before="0" w:after="0"/>
        <w:contextualSpacing w:val="0"/>
        <w:rPr>
          <w:lang w:val="es-ES"/>
        </w:rPr>
      </w:pPr>
      <w:r w:rsidRPr="00957C2A">
        <w:rPr>
          <w:lang w:val="en-US"/>
        </w:rPr>
        <w:t>Operational Gas</w:t>
      </w:r>
    </w:p>
    <w:p w:rsidR="004F4155" w:rsidRPr="00957C2A" w:rsidRDefault="004F4155" w:rsidP="007576DF">
      <w:pPr>
        <w:spacing w:before="0" w:after="0"/>
        <w:ind w:left="1080"/>
        <w:rPr>
          <w:highlight w:val="yellow"/>
          <w:lang w:val="es-ES"/>
        </w:rPr>
      </w:pPr>
    </w:p>
    <w:p w:rsidR="004F4155" w:rsidRPr="00957C2A" w:rsidRDefault="004F4155" w:rsidP="00E353AE">
      <w:pPr>
        <w:spacing w:before="0" w:after="0"/>
        <w:ind w:left="709"/>
        <w:rPr>
          <w:highlight w:val="yellow"/>
          <w:lang w:val="en-US"/>
        </w:rPr>
      </w:pPr>
      <w:r w:rsidRPr="00957C2A">
        <w:rPr>
          <w:lang w:val="en-US"/>
        </w:rPr>
        <w:t>The impact of these aspects on the linepack is residual except for the new cushion gas that is time by time punctual and lasts the time period between its purchase and subsequent injection</w:t>
      </w:r>
      <w:r w:rsidR="00E353AE">
        <w:rPr>
          <w:lang w:val="en-US"/>
        </w:rPr>
        <w:t>.</w:t>
      </w:r>
    </w:p>
    <w:p w:rsidR="004F4155" w:rsidRPr="00957C2A" w:rsidRDefault="004F4155" w:rsidP="007576DF">
      <w:pPr>
        <w:pStyle w:val="Prrafodelista"/>
        <w:spacing w:before="0" w:after="0"/>
        <w:ind w:left="1440"/>
        <w:contextualSpacing w:val="0"/>
        <w:rPr>
          <w:lang w:val="en-US"/>
        </w:rPr>
      </w:pPr>
    </w:p>
    <w:p w:rsidR="004F4155" w:rsidRPr="00957C2A" w:rsidRDefault="004F4155" w:rsidP="007576DF">
      <w:pPr>
        <w:pStyle w:val="Prrafodelista"/>
        <w:numPr>
          <w:ilvl w:val="0"/>
          <w:numId w:val="11"/>
        </w:numPr>
        <w:spacing w:before="0" w:after="0"/>
        <w:contextualSpacing w:val="0"/>
        <w:rPr>
          <w:lang w:val="en-US"/>
        </w:rPr>
      </w:pPr>
      <w:r w:rsidRPr="00957C2A">
        <w:rPr>
          <w:lang w:val="en-US"/>
        </w:rPr>
        <w:t>Conclusions that can be drawn from the figures</w:t>
      </w:r>
      <w:r w:rsidR="00E353AE">
        <w:rPr>
          <w:lang w:val="en-US"/>
        </w:rPr>
        <w:t>.</w:t>
      </w:r>
      <w:r w:rsidRPr="00957C2A">
        <w:rPr>
          <w:lang w:val="en-US"/>
        </w:rPr>
        <w:t xml:space="preserve"> </w:t>
      </w:r>
    </w:p>
    <w:p w:rsidR="004F4155" w:rsidRPr="00957C2A" w:rsidRDefault="004F4155" w:rsidP="007576DF">
      <w:pPr>
        <w:spacing w:before="0" w:after="0"/>
        <w:ind w:left="708"/>
        <w:rPr>
          <w:lang w:val="en-US"/>
        </w:rPr>
      </w:pPr>
      <w:r w:rsidRPr="00957C2A">
        <w:rPr>
          <w:lang w:val="en-US"/>
        </w:rPr>
        <w:t>The oscillations shown at the impact of commercial regime on physical linepack during the first months are compensatory between the different infrastructures, since operation was managed by OBA=0 at each infrastructure. Since February 2017, managing changed to global OBA=0 resulting in less oscillations.</w:t>
      </w:r>
    </w:p>
    <w:p w:rsidR="004F4155" w:rsidRDefault="004F4155" w:rsidP="007576DF">
      <w:pPr>
        <w:spacing w:before="0" w:after="0"/>
        <w:rPr>
          <w:lang w:val="en-US"/>
        </w:rPr>
      </w:pPr>
    </w:p>
    <w:p w:rsidR="00615636" w:rsidRDefault="00615636" w:rsidP="007576DF">
      <w:pPr>
        <w:spacing w:before="0" w:after="0"/>
        <w:rPr>
          <w:lang w:val="en-US"/>
        </w:rPr>
      </w:pPr>
    </w:p>
    <w:p w:rsidR="00182583" w:rsidRPr="00182583" w:rsidRDefault="00182583" w:rsidP="00182583">
      <w:pPr>
        <w:spacing w:before="0" w:after="0" w:line="240" w:lineRule="auto"/>
        <w:rPr>
          <w:b/>
          <w:lang w:val="en-US"/>
        </w:rPr>
      </w:pPr>
      <w:r w:rsidRPr="00182583">
        <w:rPr>
          <w:b/>
          <w:lang w:val="en-US"/>
        </w:rPr>
        <w:t>FRANCE</w:t>
      </w:r>
    </w:p>
    <w:p w:rsidR="00182583" w:rsidRDefault="00182583" w:rsidP="00182583">
      <w:pPr>
        <w:spacing w:before="0" w:after="0" w:line="240" w:lineRule="auto"/>
        <w:rPr>
          <w:b/>
          <w:lang w:val="en-US"/>
        </w:rPr>
      </w:pPr>
    </w:p>
    <w:p w:rsidR="00036054" w:rsidRDefault="00036054" w:rsidP="00036054">
      <w:pPr>
        <w:rPr>
          <w:lang w:val="en-US"/>
        </w:rPr>
      </w:pPr>
      <w:r>
        <w:rPr>
          <w:lang w:val="en-US"/>
        </w:rPr>
        <w:t>TIGF:</w:t>
      </w:r>
    </w:p>
    <w:p w:rsidR="00036054" w:rsidRDefault="00036054" w:rsidP="00036054">
      <w:r w:rsidRPr="00E81889">
        <w:t>TIGF has set up a balancing statement, recording what it spends and earns under aforementioned transactions and the balancing rules of the transmission contract. Since the 1</w:t>
      </w:r>
      <w:r w:rsidRPr="001013E6">
        <w:rPr>
          <w:vertAlign w:val="superscript"/>
        </w:rPr>
        <w:t xml:space="preserve">st </w:t>
      </w:r>
      <w:r w:rsidRPr="00E81889">
        <w:t>of october 2015, the balance is allocated to</w:t>
      </w:r>
      <w:r w:rsidR="00E353AE">
        <w:t xml:space="preserve"> us</w:t>
      </w:r>
      <w:r w:rsidRPr="00E81889">
        <w:t>ers</w:t>
      </w:r>
      <w:r w:rsidR="00E353AE">
        <w:t xml:space="preserve"> </w:t>
      </w:r>
      <w:r w:rsidRPr="00E81889">
        <w:t>as a proportion of the quantities delivered, according to the Deliberation of the French Energy Regulatory Commission of 15 January 2015 approving the balancing rules.</w:t>
      </w:r>
    </w:p>
    <w:p w:rsidR="00036054" w:rsidRPr="00E81889" w:rsidRDefault="00036054" w:rsidP="00036054">
      <w:pPr>
        <w:jc w:val="center"/>
      </w:pPr>
      <w:r>
        <w:rPr>
          <w:noProof/>
          <w:lang w:val="es-ES" w:eastAsia="es-ES"/>
        </w:rPr>
        <w:drawing>
          <wp:inline distT="0" distB="0" distL="0" distR="0" wp14:anchorId="094C0511" wp14:editId="446B0F9A">
            <wp:extent cx="5582355" cy="3642360"/>
            <wp:effectExtent l="0" t="0" r="0" b="0"/>
            <wp:docPr id="12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93615" cy="3649707"/>
                    </a:xfrm>
                    <a:prstGeom prst="rect">
                      <a:avLst/>
                    </a:prstGeom>
                    <a:noFill/>
                  </pic:spPr>
                </pic:pic>
              </a:graphicData>
            </a:graphic>
          </wp:inline>
        </w:drawing>
      </w:r>
    </w:p>
    <w:p w:rsidR="00036054" w:rsidRDefault="00036054" w:rsidP="00036054">
      <w:pPr>
        <w:rPr>
          <w:lang w:val="en-US"/>
        </w:rPr>
      </w:pPr>
      <w:r>
        <w:rPr>
          <w:lang w:val="en-US"/>
        </w:rPr>
        <w:t xml:space="preserve">The graph here above shows the net balance of gas volumes (Excess of gas – Deficit of gas in the grid) from </w:t>
      </w:r>
      <w:r w:rsidR="00E353AE">
        <w:rPr>
          <w:lang w:val="en-US"/>
        </w:rPr>
        <w:t>users</w:t>
      </w:r>
      <w:r>
        <w:rPr>
          <w:lang w:val="en-US"/>
        </w:rPr>
        <w:t>.</w:t>
      </w:r>
    </w:p>
    <w:p w:rsidR="00036054" w:rsidRDefault="00036054" w:rsidP="00036054">
      <w:pPr>
        <w:rPr>
          <w:lang w:val="en-US"/>
        </w:rPr>
      </w:pPr>
      <w:r>
        <w:rPr>
          <w:lang w:val="en-US"/>
        </w:rPr>
        <w:t xml:space="preserve">A positive position on the graph indicates that </w:t>
      </w:r>
      <w:r w:rsidR="00E353AE">
        <w:rPr>
          <w:lang w:val="en-US"/>
        </w:rPr>
        <w:t xml:space="preserve">users </w:t>
      </w:r>
      <w:r>
        <w:rPr>
          <w:lang w:val="en-US"/>
        </w:rPr>
        <w:t xml:space="preserve">are long, and a negative position indicates that </w:t>
      </w:r>
      <w:r w:rsidR="00E353AE">
        <w:rPr>
          <w:lang w:val="en-US"/>
        </w:rPr>
        <w:t xml:space="preserve">users </w:t>
      </w:r>
      <w:r>
        <w:rPr>
          <w:lang w:val="en-US"/>
        </w:rPr>
        <w:t xml:space="preserve">are short. We can notice a seasonal envelope where </w:t>
      </w:r>
      <w:r w:rsidR="00E353AE">
        <w:rPr>
          <w:lang w:val="en-US"/>
        </w:rPr>
        <w:t xml:space="preserve">users </w:t>
      </w:r>
      <w:r>
        <w:rPr>
          <w:lang w:val="en-US"/>
        </w:rPr>
        <w:t>are better balanced during summer than in winter.</w:t>
      </w:r>
    </w:p>
    <w:p w:rsidR="00036054" w:rsidRDefault="00036054" w:rsidP="007576DF">
      <w:pPr>
        <w:rPr>
          <w:lang w:val="en-US"/>
        </w:rPr>
      </w:pPr>
      <w:r>
        <w:rPr>
          <w:lang w:val="en-US"/>
        </w:rPr>
        <w:t xml:space="preserve">According to this net balance compared to TIGF linepack flexibility detailed in part 2.5, interventions on PEGAS platform may occur. The full balancing debt is then repaid/refund </w:t>
      </w:r>
      <w:r w:rsidR="00E353AE">
        <w:rPr>
          <w:lang w:val="en-US"/>
        </w:rPr>
        <w:t>by</w:t>
      </w:r>
      <w:r>
        <w:rPr>
          <w:lang w:val="en-US"/>
        </w:rPr>
        <w:t xml:space="preserve"> the billing done in M+2 for M with the pricing described in part 2.8.</w:t>
      </w:r>
    </w:p>
    <w:p w:rsidR="00036054" w:rsidRPr="00182583" w:rsidRDefault="00036054" w:rsidP="00182583">
      <w:pPr>
        <w:spacing w:before="0" w:after="0" w:line="240" w:lineRule="auto"/>
        <w:rPr>
          <w:b/>
          <w:lang w:val="en-US"/>
        </w:rPr>
      </w:pPr>
    </w:p>
    <w:p w:rsidR="00182583" w:rsidRDefault="00182583" w:rsidP="00182583">
      <w:pPr>
        <w:spacing w:before="0" w:after="0" w:line="240" w:lineRule="auto"/>
        <w:rPr>
          <w:b/>
          <w:lang w:val="en-US"/>
        </w:rPr>
      </w:pPr>
      <w:r w:rsidRPr="00182583">
        <w:rPr>
          <w:b/>
          <w:lang w:val="en-US"/>
        </w:rPr>
        <w:t>PORTUGAL</w:t>
      </w:r>
    </w:p>
    <w:p w:rsidR="00182583" w:rsidRPr="00182583" w:rsidRDefault="00182583" w:rsidP="00182583">
      <w:pPr>
        <w:rPr>
          <w:lang w:val="en-US"/>
        </w:rPr>
      </w:pPr>
      <w:r w:rsidRPr="00182583">
        <w:rPr>
          <w:lang w:val="en-US"/>
        </w:rPr>
        <w:t xml:space="preserve">Although the picture shows a very high frequency of variation for the Opening Linepack it is found an average of around the reference value. </w:t>
      </w:r>
    </w:p>
    <w:p w:rsidR="00182583" w:rsidRPr="00065046" w:rsidRDefault="00182583" w:rsidP="00182583">
      <w:pPr>
        <w:pStyle w:val="Prrafodelista"/>
        <w:jc w:val="center"/>
        <w:rPr>
          <w:lang w:val="en-US"/>
        </w:rPr>
      </w:pPr>
    </w:p>
    <w:p w:rsidR="00182583" w:rsidRDefault="00182583" w:rsidP="00182583">
      <w:pPr>
        <w:pStyle w:val="Prrafodelista"/>
        <w:ind w:left="426"/>
        <w:rPr>
          <w:lang w:val="en-US"/>
        </w:rPr>
      </w:pPr>
      <w:r>
        <w:rPr>
          <w:noProof/>
          <w:lang w:val="es-ES" w:eastAsia="es-ES"/>
        </w:rPr>
        <mc:AlternateContent>
          <mc:Choice Requires="wpg">
            <w:drawing>
              <wp:anchor distT="0" distB="0" distL="114300" distR="114300" simplePos="0" relativeHeight="251679744" behindDoc="0" locked="0" layoutInCell="1" allowOverlap="1" wp14:anchorId="5A426A26" wp14:editId="40EF2087">
                <wp:simplePos x="0" y="0"/>
                <wp:positionH relativeFrom="column">
                  <wp:posOffset>363187</wp:posOffset>
                </wp:positionH>
                <wp:positionV relativeFrom="paragraph">
                  <wp:posOffset>224435</wp:posOffset>
                </wp:positionV>
                <wp:extent cx="177709" cy="1778000"/>
                <wp:effectExtent l="0" t="0" r="0" b="0"/>
                <wp:wrapNone/>
                <wp:docPr id="118" name="Group 19"/>
                <wp:cNvGraphicFramePr/>
                <a:graphic xmlns:a="http://schemas.openxmlformats.org/drawingml/2006/main">
                  <a:graphicData uri="http://schemas.microsoft.com/office/word/2010/wordprocessingGroup">
                    <wpg:wgp>
                      <wpg:cNvGrpSpPr/>
                      <wpg:grpSpPr>
                        <a:xfrm>
                          <a:off x="0" y="0"/>
                          <a:ext cx="177709" cy="1778000"/>
                          <a:chOff x="0" y="0"/>
                          <a:chExt cx="546100" cy="1778000"/>
                        </a:xfrm>
                      </wpg:grpSpPr>
                      <wps:wsp>
                        <wps:cNvPr id="119" name="Text Box 21"/>
                        <wps:cNvSpPr txBox="1"/>
                        <wps:spPr>
                          <a:xfrm>
                            <a:off x="6350" y="0"/>
                            <a:ext cx="539750" cy="120650"/>
                          </a:xfrm>
                          <a:prstGeom prst="rect">
                            <a:avLst/>
                          </a:prstGeom>
                          <a:solidFill>
                            <a:schemeClr val="lt1"/>
                          </a:solidFill>
                          <a:ln w="6350">
                            <a:noFill/>
                          </a:ln>
                        </wps:spPr>
                        <wps:txbx>
                          <w:txbxContent>
                            <w:p w:rsidR="006D446E" w:rsidRDefault="006D446E" w:rsidP="001825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22"/>
                        <wps:cNvSpPr txBox="1"/>
                        <wps:spPr>
                          <a:xfrm>
                            <a:off x="0" y="1619250"/>
                            <a:ext cx="539750" cy="158750"/>
                          </a:xfrm>
                          <a:prstGeom prst="rect">
                            <a:avLst/>
                          </a:prstGeom>
                          <a:solidFill>
                            <a:schemeClr val="lt1"/>
                          </a:solidFill>
                          <a:ln w="6350">
                            <a:noFill/>
                          </a:ln>
                        </wps:spPr>
                        <wps:txbx>
                          <w:txbxContent>
                            <w:p w:rsidR="006D446E" w:rsidRPr="00015C4D" w:rsidRDefault="006D446E" w:rsidP="00182583">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426A26" id="Group 19" o:spid="_x0000_s1032" style="position:absolute;left:0;text-align:left;margin-left:28.6pt;margin-top:17.65pt;width:14pt;height:140pt;z-index:251679744;mso-width-relative:margin;mso-height-relative:margin" coordsize="5461,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">
                <v:shape id="Text Box 21" o:spid="_x0000_s1033" type="#_x0000_t202" style="position:absolute;left:63;width:5398;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" fillcolor="white [3201]" stroked="f" strokeweight=".5pt">
                  <v:textbox>
                    <w:txbxContent>
                      <w:p w:rsidR="006D446E" w:rsidRDefault="006D446E" w:rsidP="00182583"/>
                    </w:txbxContent>
                  </v:textbox>
                </v:shape>
                <v:shape id="Text Box 22" o:spid="_x0000_s1034" type="#_x0000_t202" style="position:absolute;top:16192;width:5397;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" fillcolor="white [3201]" stroked="f" strokeweight=".5pt">
                  <v:textbox>
                    <w:txbxContent>
                      <w:p w:rsidR="006D446E" w:rsidRPr="00015C4D" w:rsidRDefault="006D446E" w:rsidP="00182583">
                        <w:pPr>
                          <w:rPr>
                            <w:color w:val="FFFFFF" w:themeColor="background1"/>
                          </w:rPr>
                        </w:pPr>
                      </w:p>
                    </w:txbxContent>
                  </v:textbox>
                </v:shape>
              </v:group>
            </w:pict>
          </mc:Fallback>
        </mc:AlternateContent>
      </w:r>
      <w:r>
        <w:rPr>
          <w:noProof/>
          <w:lang w:val="es-ES" w:eastAsia="es-ES"/>
        </w:rPr>
        <w:drawing>
          <wp:inline distT="0" distB="0" distL="0" distR="0" wp14:anchorId="30BFA406" wp14:editId="430450DF">
            <wp:extent cx="5159375" cy="2324735"/>
            <wp:effectExtent l="0" t="0" r="3175" b="0"/>
            <wp:docPr id="121"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82583" w:rsidRDefault="00182583" w:rsidP="00182583">
      <w:pPr>
        <w:pStyle w:val="Prrafodelista"/>
        <w:jc w:val="center"/>
        <w:rPr>
          <w:lang w:val="en-US"/>
        </w:rPr>
      </w:pPr>
    </w:p>
    <w:tbl>
      <w:tblPr>
        <w:tblW w:w="4264" w:type="dxa"/>
        <w:jc w:val="center"/>
        <w:tblCellMar>
          <w:left w:w="70" w:type="dxa"/>
          <w:right w:w="70" w:type="dxa"/>
        </w:tblCellMar>
        <w:tblLook w:val="04A0" w:firstRow="1" w:lastRow="0" w:firstColumn="1" w:lastColumn="0" w:noHBand="0" w:noVBand="1"/>
      </w:tblPr>
      <w:tblGrid>
        <w:gridCol w:w="2107"/>
        <w:gridCol w:w="2157"/>
      </w:tblGrid>
      <w:tr w:rsidR="00182583" w:rsidRPr="00896F15" w:rsidTr="008154E2">
        <w:trPr>
          <w:trHeight w:val="726"/>
          <w:jc w:val="center"/>
        </w:trPr>
        <w:tc>
          <w:tcPr>
            <w:tcW w:w="2107" w:type="dxa"/>
            <w:vMerge w:val="restart"/>
            <w:tcBorders>
              <w:top w:val="nil"/>
              <w:left w:val="nil"/>
              <w:bottom w:val="single" w:sz="4" w:space="0" w:color="000000"/>
              <w:right w:val="single" w:sz="4" w:space="0" w:color="auto"/>
            </w:tcBorders>
            <w:shd w:val="clear" w:color="auto" w:fill="auto"/>
            <w:vAlign w:val="center"/>
          </w:tcPr>
          <w:p w:rsidR="00182583" w:rsidRPr="00896F15" w:rsidRDefault="00182583" w:rsidP="008154E2">
            <w:pPr>
              <w:jc w:val="center"/>
              <w:rPr>
                <w:rFonts w:ascii="Calibri" w:hAnsi="Calibri" w:cs="Calibri"/>
                <w:color w:val="000000"/>
                <w:sz w:val="20"/>
                <w:szCs w:val="20"/>
                <w:lang w:val="pt-PT" w:eastAsia="pt-PT"/>
              </w:rPr>
            </w:pPr>
          </w:p>
        </w:tc>
        <w:tc>
          <w:tcPr>
            <w:tcW w:w="21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82583" w:rsidRPr="00896F15" w:rsidRDefault="00182583" w:rsidP="008154E2">
            <w:pPr>
              <w:jc w:val="center"/>
              <w:rPr>
                <w:rFonts w:ascii="Calibri" w:hAnsi="Calibri" w:cs="Calibri"/>
                <w:b/>
                <w:bCs/>
                <w:color w:val="00B050"/>
                <w:sz w:val="20"/>
                <w:szCs w:val="20"/>
                <w:lang w:val="pt-PT" w:eastAsia="pt-PT"/>
              </w:rPr>
            </w:pPr>
            <w:r w:rsidRPr="00896F15">
              <w:rPr>
                <w:rFonts w:ascii="Calibri" w:hAnsi="Calibri" w:cs="Calibri"/>
                <w:b/>
                <w:bCs/>
                <w:color w:val="00B050"/>
                <w:sz w:val="20"/>
                <w:szCs w:val="20"/>
                <w:lang w:val="pt-PT" w:eastAsia="pt-PT"/>
              </w:rPr>
              <w:t>Daily Variation</w:t>
            </w:r>
          </w:p>
        </w:tc>
      </w:tr>
      <w:tr w:rsidR="00182583" w:rsidRPr="00896F15" w:rsidTr="008154E2">
        <w:trPr>
          <w:trHeight w:val="726"/>
          <w:jc w:val="center"/>
        </w:trPr>
        <w:tc>
          <w:tcPr>
            <w:tcW w:w="2107" w:type="dxa"/>
            <w:vMerge/>
            <w:tcBorders>
              <w:top w:val="nil"/>
              <w:left w:val="nil"/>
              <w:bottom w:val="single" w:sz="4" w:space="0" w:color="000000"/>
              <w:right w:val="single" w:sz="4" w:space="0" w:color="auto"/>
            </w:tcBorders>
            <w:vAlign w:val="center"/>
            <w:hideMark/>
          </w:tcPr>
          <w:p w:rsidR="00182583" w:rsidRPr="00896F15" w:rsidRDefault="00182583" w:rsidP="008154E2">
            <w:pPr>
              <w:rPr>
                <w:rFonts w:ascii="Calibri" w:hAnsi="Calibri" w:cs="Calibri"/>
                <w:color w:val="000000"/>
                <w:sz w:val="20"/>
                <w:szCs w:val="20"/>
                <w:lang w:val="pt-PT" w:eastAsia="pt-PT"/>
              </w:rPr>
            </w:pPr>
          </w:p>
        </w:tc>
        <w:tc>
          <w:tcPr>
            <w:tcW w:w="2157" w:type="dxa"/>
            <w:vMerge/>
            <w:tcBorders>
              <w:top w:val="nil"/>
              <w:left w:val="single" w:sz="4" w:space="0" w:color="auto"/>
              <w:bottom w:val="single" w:sz="4" w:space="0" w:color="000000"/>
              <w:right w:val="single" w:sz="4" w:space="0" w:color="auto"/>
            </w:tcBorders>
            <w:vAlign w:val="center"/>
            <w:hideMark/>
          </w:tcPr>
          <w:p w:rsidR="00182583" w:rsidRPr="00896F15" w:rsidRDefault="00182583" w:rsidP="008154E2">
            <w:pPr>
              <w:rPr>
                <w:rFonts w:ascii="Calibri" w:hAnsi="Calibri" w:cs="Calibri"/>
                <w:b/>
                <w:bCs/>
                <w:color w:val="00B050"/>
                <w:sz w:val="20"/>
                <w:szCs w:val="20"/>
                <w:lang w:val="pt-PT" w:eastAsia="pt-PT"/>
              </w:rPr>
            </w:pPr>
          </w:p>
        </w:tc>
      </w:tr>
      <w:tr w:rsidR="00182583" w:rsidRPr="00896F15" w:rsidTr="008154E2">
        <w:trPr>
          <w:trHeight w:val="304"/>
          <w:jc w:val="center"/>
        </w:trPr>
        <w:tc>
          <w:tcPr>
            <w:tcW w:w="2107" w:type="dxa"/>
            <w:tcBorders>
              <w:top w:val="nil"/>
              <w:left w:val="nil"/>
              <w:bottom w:val="nil"/>
              <w:right w:val="nil"/>
            </w:tcBorders>
            <w:shd w:val="clear" w:color="auto" w:fill="auto"/>
            <w:noWrap/>
            <w:vAlign w:val="bottom"/>
            <w:hideMark/>
          </w:tcPr>
          <w:p w:rsidR="00182583" w:rsidRPr="00896F15" w:rsidRDefault="00182583" w:rsidP="008154E2">
            <w:pPr>
              <w:jc w:val="center"/>
              <w:rPr>
                <w:rFonts w:ascii="Calibri" w:hAnsi="Calibri" w:cs="Calibri"/>
                <w:sz w:val="20"/>
                <w:szCs w:val="20"/>
                <w:lang w:val="pt-PT" w:eastAsia="pt-PT"/>
              </w:rPr>
            </w:pPr>
            <w:r>
              <w:rPr>
                <w:rFonts w:ascii="Calibri" w:hAnsi="Calibri" w:cs="Calibri"/>
                <w:sz w:val="20"/>
                <w:szCs w:val="20"/>
                <w:lang w:val="pt-PT" w:eastAsia="pt-PT"/>
              </w:rPr>
              <w:t>Reduction</w:t>
            </w:r>
          </w:p>
        </w:tc>
        <w:tc>
          <w:tcPr>
            <w:tcW w:w="2157" w:type="dxa"/>
            <w:tcBorders>
              <w:top w:val="nil"/>
              <w:left w:val="single" w:sz="4" w:space="0" w:color="auto"/>
              <w:bottom w:val="nil"/>
              <w:right w:val="nil"/>
            </w:tcBorders>
            <w:shd w:val="clear" w:color="auto" w:fill="auto"/>
            <w:noWrap/>
            <w:vAlign w:val="bottom"/>
            <w:hideMark/>
          </w:tcPr>
          <w:p w:rsidR="00182583" w:rsidRPr="00896F15" w:rsidRDefault="00182583" w:rsidP="008154E2">
            <w:pPr>
              <w:jc w:val="center"/>
              <w:rPr>
                <w:rFonts w:ascii="Calibri" w:hAnsi="Calibri" w:cs="Calibri"/>
                <w:b/>
                <w:bCs/>
                <w:color w:val="00B050"/>
                <w:sz w:val="20"/>
                <w:szCs w:val="20"/>
                <w:lang w:val="pt-PT" w:eastAsia="pt-PT"/>
              </w:rPr>
            </w:pPr>
            <w:r>
              <w:rPr>
                <w:rFonts w:ascii="Calibri" w:hAnsi="Calibri" w:cs="Calibri"/>
                <w:b/>
                <w:bCs/>
                <w:color w:val="00B050"/>
                <w:sz w:val="20"/>
                <w:szCs w:val="20"/>
                <w:lang w:val="pt-PT" w:eastAsia="pt-PT"/>
              </w:rPr>
              <w:t>-60 311</w:t>
            </w:r>
          </w:p>
        </w:tc>
      </w:tr>
      <w:tr w:rsidR="00182583" w:rsidRPr="00896F15" w:rsidTr="008154E2">
        <w:trPr>
          <w:trHeight w:val="304"/>
          <w:jc w:val="center"/>
        </w:trPr>
        <w:tc>
          <w:tcPr>
            <w:tcW w:w="2107" w:type="dxa"/>
            <w:tcBorders>
              <w:top w:val="single" w:sz="4" w:space="0" w:color="auto"/>
              <w:left w:val="nil"/>
              <w:bottom w:val="single" w:sz="4" w:space="0" w:color="auto"/>
              <w:right w:val="nil"/>
            </w:tcBorders>
            <w:shd w:val="clear" w:color="auto" w:fill="auto"/>
            <w:noWrap/>
            <w:vAlign w:val="bottom"/>
            <w:hideMark/>
          </w:tcPr>
          <w:p w:rsidR="00182583" w:rsidRPr="00896F15" w:rsidRDefault="00182583" w:rsidP="008154E2">
            <w:pPr>
              <w:jc w:val="center"/>
              <w:rPr>
                <w:rFonts w:ascii="Calibri" w:hAnsi="Calibri" w:cs="Calibri"/>
                <w:sz w:val="20"/>
                <w:szCs w:val="20"/>
                <w:lang w:val="pt-PT" w:eastAsia="pt-PT"/>
              </w:rPr>
            </w:pPr>
            <w:r>
              <w:rPr>
                <w:rFonts w:ascii="Calibri" w:hAnsi="Calibri" w:cs="Calibri"/>
                <w:sz w:val="20"/>
                <w:szCs w:val="20"/>
                <w:lang w:val="pt-PT" w:eastAsia="pt-PT"/>
              </w:rPr>
              <w:t>Increase</w:t>
            </w:r>
          </w:p>
        </w:tc>
        <w:tc>
          <w:tcPr>
            <w:tcW w:w="2157" w:type="dxa"/>
            <w:tcBorders>
              <w:top w:val="single" w:sz="4" w:space="0" w:color="auto"/>
              <w:left w:val="single" w:sz="4" w:space="0" w:color="auto"/>
              <w:bottom w:val="single" w:sz="4" w:space="0" w:color="auto"/>
              <w:right w:val="nil"/>
            </w:tcBorders>
            <w:shd w:val="clear" w:color="auto" w:fill="auto"/>
            <w:noWrap/>
            <w:vAlign w:val="bottom"/>
            <w:hideMark/>
          </w:tcPr>
          <w:p w:rsidR="00182583" w:rsidRPr="00896F15" w:rsidRDefault="00182583" w:rsidP="008154E2">
            <w:pPr>
              <w:jc w:val="center"/>
              <w:rPr>
                <w:rFonts w:ascii="Calibri" w:hAnsi="Calibri" w:cs="Calibri"/>
                <w:b/>
                <w:bCs/>
                <w:color w:val="00B050"/>
                <w:sz w:val="20"/>
                <w:szCs w:val="20"/>
                <w:lang w:val="pt-PT" w:eastAsia="pt-PT"/>
              </w:rPr>
            </w:pPr>
            <w:r>
              <w:rPr>
                <w:rFonts w:ascii="Calibri" w:hAnsi="Calibri" w:cs="Calibri"/>
                <w:b/>
                <w:bCs/>
                <w:color w:val="00B050"/>
                <w:sz w:val="20"/>
                <w:szCs w:val="20"/>
                <w:lang w:val="pt-PT" w:eastAsia="pt-PT"/>
              </w:rPr>
              <w:t>53 300</w:t>
            </w:r>
          </w:p>
        </w:tc>
      </w:tr>
    </w:tbl>
    <w:p w:rsidR="00182583" w:rsidRDefault="00182583" w:rsidP="00182583">
      <w:pPr>
        <w:pStyle w:val="Prrafodelista"/>
        <w:jc w:val="center"/>
        <w:rPr>
          <w:lang w:val="en-US"/>
        </w:rPr>
      </w:pPr>
    </w:p>
    <w:p w:rsidR="00182583" w:rsidRDefault="00182583" w:rsidP="00182583">
      <w:pPr>
        <w:pStyle w:val="Prrafodelista"/>
        <w:jc w:val="center"/>
        <w:rPr>
          <w:lang w:val="en-US"/>
        </w:rPr>
      </w:pPr>
    </w:p>
    <w:p w:rsidR="00182583" w:rsidRDefault="00182583" w:rsidP="00182583">
      <w:pPr>
        <w:pStyle w:val="Prrafodelista"/>
        <w:jc w:val="center"/>
        <w:rPr>
          <w:lang w:val="en-US"/>
        </w:rPr>
      </w:pPr>
    </w:p>
    <w:p w:rsidR="00182583" w:rsidRDefault="00182583" w:rsidP="00182583">
      <w:pPr>
        <w:pStyle w:val="Prrafodelista"/>
        <w:jc w:val="center"/>
        <w:rPr>
          <w:lang w:val="en-US"/>
        </w:rPr>
      </w:pPr>
      <w:r>
        <w:rPr>
          <w:noProof/>
          <w:lang w:val="es-ES" w:eastAsia="es-ES"/>
        </w:rPr>
        <w:drawing>
          <wp:inline distT="0" distB="0" distL="0" distR="0" wp14:anchorId="179F5AEC" wp14:editId="576FD664">
            <wp:extent cx="5400675" cy="1873885"/>
            <wp:effectExtent l="0" t="0" r="0" b="0"/>
            <wp:docPr id="12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82583" w:rsidRDefault="00182583" w:rsidP="00182583">
      <w:pPr>
        <w:pStyle w:val="Prrafodelista"/>
        <w:rPr>
          <w:lang w:val="en-US"/>
        </w:rPr>
      </w:pPr>
    </w:p>
    <w:tbl>
      <w:tblPr>
        <w:tblW w:w="4661" w:type="dxa"/>
        <w:jc w:val="center"/>
        <w:tblCellMar>
          <w:left w:w="70" w:type="dxa"/>
          <w:right w:w="70" w:type="dxa"/>
        </w:tblCellMar>
        <w:tblLook w:val="04A0" w:firstRow="1" w:lastRow="0" w:firstColumn="1" w:lastColumn="0" w:noHBand="0" w:noVBand="1"/>
      </w:tblPr>
      <w:tblGrid>
        <w:gridCol w:w="1327"/>
        <w:gridCol w:w="1114"/>
        <w:gridCol w:w="1114"/>
        <w:gridCol w:w="1106"/>
      </w:tblGrid>
      <w:tr w:rsidR="00182583" w:rsidRPr="00DC1AA3" w:rsidTr="008154E2">
        <w:trPr>
          <w:trHeight w:val="486"/>
          <w:jc w:val="center"/>
        </w:trPr>
        <w:tc>
          <w:tcPr>
            <w:tcW w:w="1327" w:type="dxa"/>
            <w:vMerge w:val="restart"/>
            <w:tcBorders>
              <w:top w:val="nil"/>
              <w:left w:val="nil"/>
              <w:bottom w:val="double" w:sz="6" w:space="0" w:color="000000"/>
              <w:right w:val="single" w:sz="4" w:space="0" w:color="auto"/>
            </w:tcBorders>
            <w:shd w:val="clear" w:color="auto" w:fill="auto"/>
            <w:vAlign w:val="center"/>
            <w:hideMark/>
          </w:tcPr>
          <w:p w:rsidR="00182583" w:rsidRPr="00DC1AA3" w:rsidRDefault="00182583" w:rsidP="008154E2">
            <w:pPr>
              <w:jc w:val="center"/>
              <w:rPr>
                <w:rFonts w:ascii="Calibri" w:hAnsi="Calibri" w:cs="Calibri"/>
                <w:color w:val="000000"/>
                <w:sz w:val="20"/>
                <w:szCs w:val="20"/>
                <w:lang w:val="pt-PT" w:eastAsia="pt-PT"/>
              </w:rPr>
            </w:pPr>
            <w:r w:rsidRPr="00DC1AA3">
              <w:rPr>
                <w:rFonts w:ascii="Calibri" w:hAnsi="Calibri" w:cs="Calibri"/>
                <w:color w:val="000000"/>
                <w:sz w:val="20"/>
                <w:szCs w:val="20"/>
                <w:lang w:val="pt-PT" w:eastAsia="pt-PT"/>
              </w:rPr>
              <w:t xml:space="preserve">Data </w:t>
            </w:r>
            <w:r w:rsidRPr="00DC1AA3">
              <w:rPr>
                <w:rFonts w:ascii="Calibri" w:hAnsi="Calibri" w:cs="Calibri"/>
                <w:color w:val="000000"/>
                <w:sz w:val="20"/>
                <w:szCs w:val="20"/>
                <w:lang w:val="pt-PT" w:eastAsia="pt-PT"/>
              </w:rPr>
              <w:br/>
              <w:t>Analysis</w:t>
            </w:r>
          </w:p>
        </w:tc>
        <w:tc>
          <w:tcPr>
            <w:tcW w:w="1114"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182583" w:rsidRPr="00DC1AA3" w:rsidRDefault="00182583" w:rsidP="008154E2">
            <w:pPr>
              <w:jc w:val="center"/>
              <w:rPr>
                <w:rFonts w:ascii="Calibri" w:hAnsi="Calibri" w:cs="Calibri"/>
                <w:b/>
                <w:bCs/>
                <w:color w:val="ED7D31"/>
                <w:sz w:val="20"/>
                <w:szCs w:val="20"/>
                <w:lang w:val="pt-PT" w:eastAsia="pt-PT"/>
              </w:rPr>
            </w:pPr>
            <w:r w:rsidRPr="00DC1AA3">
              <w:rPr>
                <w:rFonts w:ascii="Calibri" w:hAnsi="Calibri" w:cs="Calibri"/>
                <w:b/>
                <w:bCs/>
                <w:color w:val="ED7D31"/>
                <w:sz w:val="20"/>
                <w:szCs w:val="20"/>
                <w:lang w:val="pt-PT" w:eastAsia="pt-PT"/>
              </w:rPr>
              <w:t>Agents Short</w:t>
            </w:r>
          </w:p>
        </w:tc>
        <w:tc>
          <w:tcPr>
            <w:tcW w:w="1114" w:type="dxa"/>
            <w:vMerge w:val="restart"/>
            <w:tcBorders>
              <w:top w:val="nil"/>
              <w:left w:val="single" w:sz="4" w:space="0" w:color="auto"/>
              <w:bottom w:val="double" w:sz="6" w:space="0" w:color="000000"/>
              <w:right w:val="nil"/>
            </w:tcBorders>
            <w:shd w:val="clear" w:color="auto" w:fill="auto"/>
            <w:noWrap/>
            <w:vAlign w:val="center"/>
            <w:hideMark/>
          </w:tcPr>
          <w:p w:rsidR="00182583" w:rsidRPr="00DC1AA3" w:rsidRDefault="00182583" w:rsidP="008154E2">
            <w:pPr>
              <w:jc w:val="center"/>
              <w:rPr>
                <w:rFonts w:ascii="Calibri" w:hAnsi="Calibri" w:cs="Calibri"/>
                <w:b/>
                <w:bCs/>
                <w:color w:val="2F75B5"/>
                <w:sz w:val="20"/>
                <w:szCs w:val="20"/>
                <w:lang w:val="pt-PT" w:eastAsia="pt-PT"/>
              </w:rPr>
            </w:pPr>
            <w:r w:rsidRPr="00DC1AA3">
              <w:rPr>
                <w:rFonts w:ascii="Calibri" w:hAnsi="Calibri" w:cs="Calibri"/>
                <w:b/>
                <w:bCs/>
                <w:color w:val="2F75B5"/>
                <w:sz w:val="20"/>
                <w:szCs w:val="20"/>
                <w:lang w:val="pt-PT" w:eastAsia="pt-PT"/>
              </w:rPr>
              <w:t>Agents Long</w:t>
            </w:r>
          </w:p>
        </w:tc>
        <w:tc>
          <w:tcPr>
            <w:tcW w:w="1106" w:type="dxa"/>
            <w:vMerge w:val="restart"/>
            <w:tcBorders>
              <w:top w:val="nil"/>
              <w:left w:val="single" w:sz="4" w:space="0" w:color="auto"/>
              <w:bottom w:val="double" w:sz="6" w:space="0" w:color="000000"/>
              <w:right w:val="nil"/>
            </w:tcBorders>
            <w:shd w:val="clear" w:color="auto" w:fill="auto"/>
            <w:noWrap/>
            <w:vAlign w:val="center"/>
            <w:hideMark/>
          </w:tcPr>
          <w:p w:rsidR="00182583" w:rsidRPr="00DC1AA3" w:rsidRDefault="00182583" w:rsidP="008154E2">
            <w:pPr>
              <w:jc w:val="center"/>
              <w:rPr>
                <w:rFonts w:ascii="Calibri" w:hAnsi="Calibri" w:cs="Calibri"/>
                <w:b/>
                <w:bCs/>
                <w:sz w:val="20"/>
                <w:szCs w:val="20"/>
                <w:lang w:val="pt-PT" w:eastAsia="pt-PT"/>
              </w:rPr>
            </w:pPr>
            <w:r w:rsidRPr="00DC1AA3">
              <w:rPr>
                <w:rFonts w:ascii="Calibri" w:hAnsi="Calibri" w:cs="Calibri"/>
                <w:b/>
                <w:bCs/>
                <w:sz w:val="20"/>
                <w:szCs w:val="20"/>
                <w:lang w:val="pt-PT" w:eastAsia="pt-PT"/>
              </w:rPr>
              <w:t>Daily</w:t>
            </w:r>
          </w:p>
        </w:tc>
      </w:tr>
      <w:tr w:rsidR="00182583" w:rsidRPr="00DC1AA3" w:rsidTr="008154E2">
        <w:trPr>
          <w:trHeight w:val="726"/>
          <w:jc w:val="center"/>
        </w:trPr>
        <w:tc>
          <w:tcPr>
            <w:tcW w:w="1327" w:type="dxa"/>
            <w:vMerge/>
            <w:tcBorders>
              <w:top w:val="nil"/>
              <w:left w:val="nil"/>
              <w:bottom w:val="double" w:sz="6" w:space="0" w:color="000000"/>
              <w:right w:val="single" w:sz="4" w:space="0" w:color="auto"/>
            </w:tcBorders>
            <w:vAlign w:val="center"/>
            <w:hideMark/>
          </w:tcPr>
          <w:p w:rsidR="00182583" w:rsidRPr="00DC1AA3" w:rsidRDefault="00182583" w:rsidP="008154E2">
            <w:pPr>
              <w:rPr>
                <w:rFonts w:ascii="Calibri" w:hAnsi="Calibri" w:cs="Calibri"/>
                <w:color w:val="000000"/>
                <w:sz w:val="20"/>
                <w:szCs w:val="20"/>
                <w:lang w:val="pt-PT" w:eastAsia="pt-PT"/>
              </w:rPr>
            </w:pPr>
          </w:p>
        </w:tc>
        <w:tc>
          <w:tcPr>
            <w:tcW w:w="1114" w:type="dxa"/>
            <w:vMerge/>
            <w:tcBorders>
              <w:top w:val="nil"/>
              <w:left w:val="single" w:sz="4" w:space="0" w:color="auto"/>
              <w:bottom w:val="double" w:sz="6" w:space="0" w:color="000000"/>
              <w:right w:val="single" w:sz="4" w:space="0" w:color="auto"/>
            </w:tcBorders>
            <w:vAlign w:val="center"/>
            <w:hideMark/>
          </w:tcPr>
          <w:p w:rsidR="00182583" w:rsidRPr="00DC1AA3" w:rsidRDefault="00182583" w:rsidP="008154E2">
            <w:pPr>
              <w:rPr>
                <w:rFonts w:ascii="Calibri" w:hAnsi="Calibri" w:cs="Calibri"/>
                <w:b/>
                <w:bCs/>
                <w:color w:val="ED7D31"/>
                <w:sz w:val="20"/>
                <w:szCs w:val="20"/>
                <w:lang w:val="pt-PT" w:eastAsia="pt-PT"/>
              </w:rPr>
            </w:pPr>
          </w:p>
        </w:tc>
        <w:tc>
          <w:tcPr>
            <w:tcW w:w="1114" w:type="dxa"/>
            <w:vMerge/>
            <w:tcBorders>
              <w:top w:val="nil"/>
              <w:left w:val="single" w:sz="4" w:space="0" w:color="auto"/>
              <w:bottom w:val="double" w:sz="6" w:space="0" w:color="000000"/>
              <w:right w:val="nil"/>
            </w:tcBorders>
            <w:vAlign w:val="center"/>
            <w:hideMark/>
          </w:tcPr>
          <w:p w:rsidR="00182583" w:rsidRPr="00DC1AA3" w:rsidRDefault="00182583" w:rsidP="008154E2">
            <w:pPr>
              <w:rPr>
                <w:rFonts w:ascii="Calibri" w:hAnsi="Calibri" w:cs="Calibri"/>
                <w:b/>
                <w:bCs/>
                <w:color w:val="2F75B5"/>
                <w:sz w:val="20"/>
                <w:szCs w:val="20"/>
                <w:lang w:val="pt-PT" w:eastAsia="pt-PT"/>
              </w:rPr>
            </w:pPr>
          </w:p>
        </w:tc>
        <w:tc>
          <w:tcPr>
            <w:tcW w:w="1106" w:type="dxa"/>
            <w:vMerge/>
            <w:tcBorders>
              <w:top w:val="nil"/>
              <w:left w:val="single" w:sz="4" w:space="0" w:color="auto"/>
              <w:bottom w:val="double" w:sz="6" w:space="0" w:color="000000"/>
              <w:right w:val="nil"/>
            </w:tcBorders>
            <w:vAlign w:val="center"/>
            <w:hideMark/>
          </w:tcPr>
          <w:p w:rsidR="00182583" w:rsidRPr="00DC1AA3" w:rsidRDefault="00182583" w:rsidP="008154E2">
            <w:pPr>
              <w:rPr>
                <w:rFonts w:ascii="Calibri" w:hAnsi="Calibri" w:cs="Calibri"/>
                <w:b/>
                <w:bCs/>
                <w:sz w:val="20"/>
                <w:szCs w:val="20"/>
                <w:lang w:val="pt-PT" w:eastAsia="pt-PT"/>
              </w:rPr>
            </w:pPr>
          </w:p>
        </w:tc>
      </w:tr>
      <w:tr w:rsidR="00182583" w:rsidRPr="00DC1AA3" w:rsidTr="008154E2">
        <w:trPr>
          <w:trHeight w:val="270"/>
          <w:jc w:val="center"/>
        </w:trPr>
        <w:tc>
          <w:tcPr>
            <w:tcW w:w="1327" w:type="dxa"/>
            <w:tcBorders>
              <w:top w:val="nil"/>
              <w:left w:val="nil"/>
              <w:bottom w:val="nil"/>
              <w:right w:val="nil"/>
            </w:tcBorders>
            <w:shd w:val="clear" w:color="auto" w:fill="auto"/>
            <w:noWrap/>
            <w:vAlign w:val="bottom"/>
            <w:hideMark/>
          </w:tcPr>
          <w:p w:rsidR="00182583" w:rsidRPr="00DC1AA3" w:rsidRDefault="00182583" w:rsidP="008154E2">
            <w:pPr>
              <w:jc w:val="center"/>
              <w:rPr>
                <w:rFonts w:ascii="Calibri" w:hAnsi="Calibri" w:cs="Calibri"/>
                <w:sz w:val="20"/>
                <w:szCs w:val="20"/>
                <w:lang w:val="pt-PT" w:eastAsia="pt-PT"/>
              </w:rPr>
            </w:pPr>
            <w:r w:rsidRPr="00DC1AA3">
              <w:rPr>
                <w:rFonts w:ascii="Calibri" w:hAnsi="Calibri" w:cs="Calibri"/>
                <w:sz w:val="20"/>
                <w:szCs w:val="20"/>
                <w:lang w:val="pt-PT" w:eastAsia="pt-PT"/>
              </w:rPr>
              <w:t>Lowest</w:t>
            </w:r>
          </w:p>
        </w:tc>
        <w:tc>
          <w:tcPr>
            <w:tcW w:w="1114" w:type="dxa"/>
            <w:tcBorders>
              <w:top w:val="nil"/>
              <w:left w:val="single" w:sz="4" w:space="0" w:color="auto"/>
              <w:bottom w:val="nil"/>
              <w:right w:val="nil"/>
            </w:tcBorders>
            <w:shd w:val="clear" w:color="auto" w:fill="auto"/>
            <w:noWrap/>
            <w:vAlign w:val="bottom"/>
            <w:hideMark/>
          </w:tcPr>
          <w:p w:rsidR="00182583" w:rsidRPr="00DC1AA3" w:rsidRDefault="00182583" w:rsidP="008154E2">
            <w:pPr>
              <w:jc w:val="center"/>
              <w:rPr>
                <w:rFonts w:ascii="Calibri" w:hAnsi="Calibri" w:cs="Calibri"/>
                <w:b/>
                <w:bCs/>
                <w:color w:val="ED7D31"/>
                <w:sz w:val="20"/>
                <w:szCs w:val="20"/>
                <w:lang w:val="pt-PT" w:eastAsia="pt-PT"/>
              </w:rPr>
            </w:pPr>
            <w:r w:rsidRPr="00DC1AA3">
              <w:rPr>
                <w:rFonts w:ascii="Calibri" w:hAnsi="Calibri" w:cs="Calibri"/>
                <w:b/>
                <w:bCs/>
                <w:color w:val="ED7D31"/>
                <w:sz w:val="20"/>
                <w:szCs w:val="20"/>
                <w:lang w:val="pt-PT" w:eastAsia="pt-PT"/>
              </w:rPr>
              <w:t>-12 071</w:t>
            </w:r>
          </w:p>
        </w:tc>
        <w:tc>
          <w:tcPr>
            <w:tcW w:w="1114" w:type="dxa"/>
            <w:tcBorders>
              <w:top w:val="nil"/>
              <w:left w:val="single" w:sz="4" w:space="0" w:color="auto"/>
              <w:bottom w:val="nil"/>
              <w:right w:val="nil"/>
            </w:tcBorders>
            <w:shd w:val="clear" w:color="auto" w:fill="auto"/>
            <w:noWrap/>
            <w:vAlign w:val="bottom"/>
            <w:hideMark/>
          </w:tcPr>
          <w:p w:rsidR="00182583" w:rsidRPr="00DC1AA3" w:rsidRDefault="00182583" w:rsidP="008154E2">
            <w:pPr>
              <w:jc w:val="center"/>
              <w:rPr>
                <w:rFonts w:ascii="Calibri" w:hAnsi="Calibri" w:cs="Calibri"/>
                <w:b/>
                <w:bCs/>
                <w:color w:val="2F75B5"/>
                <w:sz w:val="20"/>
                <w:szCs w:val="20"/>
                <w:lang w:val="pt-PT" w:eastAsia="pt-PT"/>
              </w:rPr>
            </w:pPr>
            <w:r w:rsidRPr="00DC1AA3">
              <w:rPr>
                <w:rFonts w:ascii="Calibri" w:hAnsi="Calibri" w:cs="Calibri"/>
                <w:b/>
                <w:bCs/>
                <w:color w:val="2F75B5"/>
                <w:sz w:val="20"/>
                <w:szCs w:val="20"/>
                <w:lang w:val="pt-PT" w:eastAsia="pt-PT"/>
              </w:rPr>
              <w:t>0</w:t>
            </w:r>
          </w:p>
        </w:tc>
        <w:tc>
          <w:tcPr>
            <w:tcW w:w="1106" w:type="dxa"/>
            <w:tcBorders>
              <w:top w:val="nil"/>
              <w:left w:val="single" w:sz="4" w:space="0" w:color="auto"/>
              <w:bottom w:val="nil"/>
              <w:right w:val="nil"/>
            </w:tcBorders>
            <w:shd w:val="clear" w:color="auto" w:fill="auto"/>
            <w:noWrap/>
            <w:vAlign w:val="bottom"/>
            <w:hideMark/>
          </w:tcPr>
          <w:p w:rsidR="00182583" w:rsidRPr="00DC1AA3" w:rsidRDefault="00182583" w:rsidP="008154E2">
            <w:pPr>
              <w:jc w:val="center"/>
              <w:rPr>
                <w:rFonts w:ascii="Calibri" w:hAnsi="Calibri" w:cs="Calibri"/>
                <w:b/>
                <w:bCs/>
                <w:sz w:val="20"/>
                <w:szCs w:val="20"/>
                <w:lang w:val="pt-PT" w:eastAsia="pt-PT"/>
              </w:rPr>
            </w:pPr>
            <w:r w:rsidRPr="00DC1AA3">
              <w:rPr>
                <w:rFonts w:ascii="Calibri" w:hAnsi="Calibri" w:cs="Calibri"/>
                <w:b/>
                <w:bCs/>
                <w:sz w:val="20"/>
                <w:szCs w:val="20"/>
                <w:lang w:val="pt-PT" w:eastAsia="pt-PT"/>
              </w:rPr>
              <w:t>-12 048</w:t>
            </w:r>
          </w:p>
        </w:tc>
      </w:tr>
      <w:tr w:rsidR="00182583" w:rsidRPr="00DC1AA3" w:rsidTr="008154E2">
        <w:trPr>
          <w:trHeight w:val="257"/>
          <w:jc w:val="center"/>
        </w:trPr>
        <w:tc>
          <w:tcPr>
            <w:tcW w:w="1327" w:type="dxa"/>
            <w:tcBorders>
              <w:top w:val="nil"/>
              <w:left w:val="nil"/>
              <w:bottom w:val="nil"/>
              <w:right w:val="nil"/>
            </w:tcBorders>
            <w:shd w:val="clear" w:color="auto" w:fill="auto"/>
            <w:noWrap/>
            <w:vAlign w:val="bottom"/>
            <w:hideMark/>
          </w:tcPr>
          <w:p w:rsidR="00182583" w:rsidRPr="00DC1AA3" w:rsidRDefault="00182583" w:rsidP="008154E2">
            <w:pPr>
              <w:jc w:val="center"/>
              <w:rPr>
                <w:rFonts w:ascii="Calibri" w:hAnsi="Calibri" w:cs="Calibri"/>
                <w:sz w:val="20"/>
                <w:szCs w:val="20"/>
                <w:lang w:val="pt-PT" w:eastAsia="pt-PT"/>
              </w:rPr>
            </w:pPr>
            <w:r w:rsidRPr="00DC1AA3">
              <w:rPr>
                <w:rFonts w:ascii="Calibri" w:hAnsi="Calibri" w:cs="Calibri"/>
                <w:sz w:val="20"/>
                <w:szCs w:val="20"/>
                <w:lang w:val="pt-PT" w:eastAsia="pt-PT"/>
              </w:rPr>
              <w:t>Highest</w:t>
            </w:r>
          </w:p>
        </w:tc>
        <w:tc>
          <w:tcPr>
            <w:tcW w:w="1114" w:type="dxa"/>
            <w:tcBorders>
              <w:top w:val="nil"/>
              <w:left w:val="single" w:sz="4" w:space="0" w:color="auto"/>
              <w:bottom w:val="nil"/>
              <w:right w:val="nil"/>
            </w:tcBorders>
            <w:shd w:val="clear" w:color="auto" w:fill="auto"/>
            <w:noWrap/>
            <w:vAlign w:val="bottom"/>
            <w:hideMark/>
          </w:tcPr>
          <w:p w:rsidR="00182583" w:rsidRPr="00DC1AA3" w:rsidRDefault="00182583" w:rsidP="008154E2">
            <w:pPr>
              <w:jc w:val="center"/>
              <w:rPr>
                <w:rFonts w:ascii="Calibri" w:hAnsi="Calibri" w:cs="Calibri"/>
                <w:b/>
                <w:bCs/>
                <w:color w:val="ED7D31"/>
                <w:sz w:val="20"/>
                <w:szCs w:val="20"/>
                <w:lang w:val="pt-PT" w:eastAsia="pt-PT"/>
              </w:rPr>
            </w:pPr>
            <w:r w:rsidRPr="00DC1AA3">
              <w:rPr>
                <w:rFonts w:ascii="Calibri" w:hAnsi="Calibri" w:cs="Calibri"/>
                <w:b/>
                <w:bCs/>
                <w:color w:val="ED7D31"/>
                <w:sz w:val="20"/>
                <w:szCs w:val="20"/>
                <w:lang w:val="pt-PT" w:eastAsia="pt-PT"/>
              </w:rPr>
              <w:t>0</w:t>
            </w:r>
          </w:p>
        </w:tc>
        <w:tc>
          <w:tcPr>
            <w:tcW w:w="1114" w:type="dxa"/>
            <w:tcBorders>
              <w:top w:val="nil"/>
              <w:left w:val="single" w:sz="4" w:space="0" w:color="auto"/>
              <w:bottom w:val="nil"/>
              <w:right w:val="nil"/>
            </w:tcBorders>
            <w:shd w:val="clear" w:color="auto" w:fill="auto"/>
            <w:noWrap/>
            <w:vAlign w:val="bottom"/>
            <w:hideMark/>
          </w:tcPr>
          <w:p w:rsidR="00182583" w:rsidRPr="00DC1AA3" w:rsidRDefault="00182583" w:rsidP="008154E2">
            <w:pPr>
              <w:jc w:val="center"/>
              <w:rPr>
                <w:rFonts w:ascii="Calibri" w:hAnsi="Calibri" w:cs="Calibri"/>
                <w:b/>
                <w:bCs/>
                <w:color w:val="2F75B5"/>
                <w:sz w:val="20"/>
                <w:szCs w:val="20"/>
                <w:lang w:val="pt-PT" w:eastAsia="pt-PT"/>
              </w:rPr>
            </w:pPr>
            <w:r w:rsidRPr="00DC1AA3">
              <w:rPr>
                <w:rFonts w:ascii="Calibri" w:hAnsi="Calibri" w:cs="Calibri"/>
                <w:b/>
                <w:bCs/>
                <w:color w:val="2F75B5"/>
                <w:sz w:val="20"/>
                <w:szCs w:val="20"/>
                <w:lang w:val="pt-PT" w:eastAsia="pt-PT"/>
              </w:rPr>
              <w:t>4 902</w:t>
            </w:r>
          </w:p>
        </w:tc>
        <w:tc>
          <w:tcPr>
            <w:tcW w:w="1106" w:type="dxa"/>
            <w:tcBorders>
              <w:top w:val="nil"/>
              <w:left w:val="single" w:sz="4" w:space="0" w:color="auto"/>
              <w:bottom w:val="nil"/>
              <w:right w:val="nil"/>
            </w:tcBorders>
            <w:shd w:val="clear" w:color="auto" w:fill="auto"/>
            <w:noWrap/>
            <w:vAlign w:val="bottom"/>
            <w:hideMark/>
          </w:tcPr>
          <w:p w:rsidR="00182583" w:rsidRPr="00DC1AA3" w:rsidRDefault="00182583" w:rsidP="008154E2">
            <w:pPr>
              <w:jc w:val="center"/>
              <w:rPr>
                <w:rFonts w:ascii="Calibri" w:hAnsi="Calibri" w:cs="Calibri"/>
                <w:b/>
                <w:bCs/>
                <w:sz w:val="20"/>
                <w:szCs w:val="20"/>
                <w:lang w:val="pt-PT" w:eastAsia="pt-PT"/>
              </w:rPr>
            </w:pPr>
            <w:r w:rsidRPr="00DC1AA3">
              <w:rPr>
                <w:rFonts w:ascii="Calibri" w:hAnsi="Calibri" w:cs="Calibri"/>
                <w:b/>
                <w:bCs/>
                <w:sz w:val="20"/>
                <w:szCs w:val="20"/>
                <w:lang w:val="pt-PT" w:eastAsia="pt-PT"/>
              </w:rPr>
              <w:t>4 843</w:t>
            </w:r>
          </w:p>
        </w:tc>
      </w:tr>
    </w:tbl>
    <w:p w:rsidR="00182583" w:rsidRPr="00957C2A" w:rsidRDefault="00182583" w:rsidP="004F4155">
      <w:pPr>
        <w:pStyle w:val="Prrafodelista"/>
        <w:spacing w:before="0" w:after="0" w:line="240" w:lineRule="auto"/>
        <w:contextualSpacing w:val="0"/>
        <w:rPr>
          <w:lang w:val="en-US"/>
        </w:rPr>
      </w:pPr>
    </w:p>
    <w:p w:rsidR="004F4155" w:rsidRPr="00645397" w:rsidRDefault="004F4155" w:rsidP="007576DF">
      <w:pPr>
        <w:pStyle w:val="Prrafodelista"/>
        <w:numPr>
          <w:ilvl w:val="1"/>
          <w:numId w:val="12"/>
        </w:numPr>
        <w:spacing w:before="0" w:after="0"/>
        <w:contextualSpacing w:val="0"/>
        <w:rPr>
          <w:b/>
          <w:lang w:val="en-US"/>
        </w:rPr>
      </w:pPr>
      <w:r w:rsidRPr="00645397">
        <w:rPr>
          <w:b/>
          <w:lang w:val="en-US"/>
        </w:rPr>
        <w:t xml:space="preserve">Linepack flexibility. </w:t>
      </w:r>
    </w:p>
    <w:p w:rsidR="00182583" w:rsidRPr="00182583" w:rsidRDefault="00182583" w:rsidP="007576DF">
      <w:pPr>
        <w:rPr>
          <w:b/>
          <w:lang w:val="en-US"/>
        </w:rPr>
      </w:pPr>
      <w:r w:rsidRPr="00182583">
        <w:rPr>
          <w:b/>
          <w:lang w:val="en-US"/>
        </w:rPr>
        <w:t xml:space="preserve">SPAIN </w:t>
      </w:r>
    </w:p>
    <w:p w:rsidR="00182583" w:rsidRDefault="00182583" w:rsidP="00182583">
      <w:pPr>
        <w:rPr>
          <w:lang w:val="en-US"/>
        </w:rPr>
      </w:pPr>
      <w:r>
        <w:rPr>
          <w:lang w:val="en-US"/>
        </w:rPr>
        <w:t>NA</w:t>
      </w:r>
    </w:p>
    <w:p w:rsidR="00182583" w:rsidRDefault="00182583" w:rsidP="00182583">
      <w:pPr>
        <w:rPr>
          <w:b/>
          <w:lang w:val="en-US"/>
        </w:rPr>
      </w:pPr>
      <w:r w:rsidRPr="00182583">
        <w:rPr>
          <w:b/>
          <w:lang w:val="en-US"/>
        </w:rPr>
        <w:t>FRANCE</w:t>
      </w:r>
    </w:p>
    <w:p w:rsidR="00E353AE" w:rsidRPr="00182583" w:rsidRDefault="00E353AE" w:rsidP="00182583">
      <w:pPr>
        <w:rPr>
          <w:b/>
          <w:lang w:val="en-US"/>
        </w:rPr>
      </w:pPr>
    </w:p>
    <w:p w:rsidR="00182583" w:rsidRDefault="00182583" w:rsidP="00182583">
      <w:pPr>
        <w:rPr>
          <w:b/>
          <w:lang w:val="en-US"/>
        </w:rPr>
      </w:pPr>
      <w:r w:rsidRPr="00182583">
        <w:rPr>
          <w:b/>
          <w:lang w:val="en-US"/>
        </w:rPr>
        <w:t>PORTUGAL</w:t>
      </w:r>
    </w:p>
    <w:p w:rsidR="00182583" w:rsidRPr="00182583" w:rsidRDefault="00182583" w:rsidP="00182583">
      <w:pPr>
        <w:rPr>
          <w:lang w:val="en-US"/>
        </w:rPr>
      </w:pPr>
      <w:r w:rsidRPr="00182583">
        <w:rPr>
          <w:lang w:val="en-US"/>
        </w:rPr>
        <w:t xml:space="preserve">In the period under analysis, </w:t>
      </w:r>
      <w:r w:rsidR="00E353AE">
        <w:rPr>
          <w:lang w:val="en-US"/>
        </w:rPr>
        <w:t>user</w:t>
      </w:r>
      <w:r w:rsidR="00E353AE" w:rsidRPr="00182583">
        <w:rPr>
          <w:lang w:val="en-US"/>
        </w:rPr>
        <w:t xml:space="preserve">s </w:t>
      </w:r>
      <w:r w:rsidRPr="00182583">
        <w:rPr>
          <w:lang w:val="en-US"/>
        </w:rPr>
        <w:t>were entitled to an amount of linepack flexibility service determined considering a portion of the available flexibility of the transmission system.</w:t>
      </w:r>
    </w:p>
    <w:p w:rsidR="00182583" w:rsidRPr="00182583" w:rsidRDefault="00182583" w:rsidP="00182583">
      <w:pPr>
        <w:rPr>
          <w:lang w:val="en-US"/>
        </w:rPr>
      </w:pPr>
      <w:r w:rsidRPr="00182583">
        <w:rPr>
          <w:lang w:val="en-US"/>
        </w:rPr>
        <w:t xml:space="preserve">The highest value verified of global utilization by the </w:t>
      </w:r>
      <w:r w:rsidR="00E353AE">
        <w:rPr>
          <w:lang w:val="en-US"/>
        </w:rPr>
        <w:t>user</w:t>
      </w:r>
      <w:r w:rsidR="00E353AE" w:rsidRPr="00182583">
        <w:rPr>
          <w:lang w:val="en-US"/>
        </w:rPr>
        <w:t xml:space="preserve">s </w:t>
      </w:r>
      <w:r w:rsidRPr="00182583">
        <w:rPr>
          <w:lang w:val="en-US"/>
        </w:rPr>
        <w:t>in module was 13</w:t>
      </w:r>
      <w:r w:rsidR="00980E3C">
        <w:rPr>
          <w:lang w:val="en-US"/>
        </w:rPr>
        <w:t>,</w:t>
      </w:r>
      <w:r w:rsidRPr="00182583">
        <w:rPr>
          <w:lang w:val="en-US"/>
        </w:rPr>
        <w:t>306 MWh on 17</w:t>
      </w:r>
      <w:r w:rsidR="00980E3C" w:rsidRPr="001013E6">
        <w:rPr>
          <w:vertAlign w:val="superscript"/>
          <w:lang w:val="en-US"/>
        </w:rPr>
        <w:t>th</w:t>
      </w:r>
      <w:r w:rsidR="00980E3C">
        <w:rPr>
          <w:lang w:val="en-US"/>
        </w:rPr>
        <w:t xml:space="preserve"> of </w:t>
      </w:r>
      <w:r w:rsidRPr="00182583">
        <w:rPr>
          <w:lang w:val="en-US"/>
        </w:rPr>
        <w:t>April</w:t>
      </w:r>
      <w:r w:rsidR="00980E3C">
        <w:rPr>
          <w:lang w:val="en-US"/>
        </w:rPr>
        <w:t xml:space="preserve"> </w:t>
      </w:r>
      <w:r w:rsidRPr="00182583">
        <w:rPr>
          <w:lang w:val="en-US"/>
        </w:rPr>
        <w:t>2017.</w:t>
      </w:r>
    </w:p>
    <w:p w:rsidR="00182583" w:rsidRDefault="00182583" w:rsidP="00182583">
      <w:pPr>
        <w:pStyle w:val="Prrafodelista"/>
        <w:ind w:hanging="720"/>
        <w:jc w:val="center"/>
        <w:rPr>
          <w:lang w:val="en-US"/>
        </w:rPr>
      </w:pPr>
      <w:r>
        <w:rPr>
          <w:noProof/>
          <w:lang w:val="es-ES" w:eastAsia="es-ES"/>
        </w:rPr>
        <w:drawing>
          <wp:inline distT="0" distB="0" distL="0" distR="0" wp14:anchorId="78809F2E" wp14:editId="79679447">
            <wp:extent cx="5400675" cy="1860550"/>
            <wp:effectExtent l="0" t="0" r="0" b="6350"/>
            <wp:docPr id="12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A22F6" w:rsidRDefault="00AA22F6" w:rsidP="00C72042">
      <w:pPr>
        <w:rPr>
          <w:lang w:val="en-US"/>
        </w:rPr>
      </w:pPr>
    </w:p>
    <w:p w:rsidR="00615636" w:rsidRPr="00C72042" w:rsidRDefault="00615636" w:rsidP="00C72042">
      <w:pPr>
        <w:rPr>
          <w:lang w:val="en-US"/>
        </w:rPr>
      </w:pPr>
    </w:p>
    <w:p w:rsidR="00AA22F6" w:rsidRPr="00C72042" w:rsidRDefault="00CF7EBB" w:rsidP="00CF7EBB">
      <w:pPr>
        <w:pStyle w:val="Ttulo1"/>
        <w:rPr>
          <w:b w:val="0"/>
          <w:color w:val="548DD4" w:themeColor="text2" w:themeTint="99"/>
          <w:sz w:val="26"/>
          <w:szCs w:val="26"/>
          <w:u w:val="none"/>
          <w:lang w:val="en-US"/>
        </w:rPr>
      </w:pPr>
      <w:bookmarkStart w:id="37" w:name="_Toc516823947"/>
      <w:r w:rsidRPr="00C72042">
        <w:rPr>
          <w:sz w:val="26"/>
          <w:szCs w:val="26"/>
          <w:lang w:val="en-US"/>
        </w:rPr>
        <w:t>Potential for application of cross-border balancing</w:t>
      </w:r>
      <w:bookmarkEnd w:id="37"/>
      <w:r>
        <w:rPr>
          <w:sz w:val="26"/>
          <w:szCs w:val="26"/>
          <w:lang w:val="en-US"/>
        </w:rPr>
        <w:t xml:space="preserve"> </w:t>
      </w:r>
      <w:r w:rsidRPr="00C72042">
        <w:rPr>
          <w:sz w:val="26"/>
          <w:szCs w:val="26"/>
          <w:lang w:val="en-US"/>
        </w:rPr>
        <w:t xml:space="preserve"> </w:t>
      </w:r>
    </w:p>
    <w:p w:rsidR="006D186D" w:rsidRDefault="00B41F33" w:rsidP="001013E6">
      <w:pPr>
        <w:rPr>
          <w:lang w:val="en-US"/>
        </w:rPr>
      </w:pPr>
      <w:r>
        <w:rPr>
          <w:lang w:val="en-US"/>
        </w:rPr>
        <w:t>In order to move towards greater market integration,</w:t>
      </w:r>
      <w:r w:rsidR="001013E6">
        <w:rPr>
          <w:lang w:val="en-US"/>
        </w:rPr>
        <w:t xml:space="preserve"> SGRI could explore</w:t>
      </w:r>
      <w:r>
        <w:rPr>
          <w:lang w:val="en-US"/>
        </w:rPr>
        <w:t xml:space="preserve"> the potential for application of cross-border balancing.</w:t>
      </w:r>
      <w:r w:rsidR="00EB58D6">
        <w:rPr>
          <w:lang w:val="en-US"/>
        </w:rPr>
        <w:t xml:space="preserve"> The balancing NC establishes that t</w:t>
      </w:r>
      <w:r w:rsidR="0036210D">
        <w:rPr>
          <w:lang w:val="en-US"/>
        </w:rPr>
        <w:t xml:space="preserve">he </w:t>
      </w:r>
      <w:r w:rsidR="00EB58D6">
        <w:rPr>
          <w:lang w:val="en-US"/>
        </w:rPr>
        <w:t xml:space="preserve">balancing actions </w:t>
      </w:r>
      <w:r w:rsidR="005B51A4">
        <w:rPr>
          <w:lang w:val="en-US"/>
        </w:rPr>
        <w:t xml:space="preserve">must be undertaken </w:t>
      </w:r>
      <w:r w:rsidR="00EB58D6">
        <w:rPr>
          <w:lang w:val="en-US"/>
        </w:rPr>
        <w:t>in</w:t>
      </w:r>
      <w:r w:rsidR="005B51A4">
        <w:rPr>
          <w:lang w:val="en-US"/>
        </w:rPr>
        <w:t xml:space="preserve"> a</w:t>
      </w:r>
      <w:r w:rsidR="00EB58D6">
        <w:rPr>
          <w:lang w:val="en-US"/>
        </w:rPr>
        <w:t xml:space="preserve"> market-based manner through short term standardized products on a trading platform or using balancing services through public tender procedures.</w:t>
      </w:r>
      <w:r w:rsidR="00A947FA">
        <w:rPr>
          <w:lang w:val="en-US"/>
        </w:rPr>
        <w:t xml:space="preserve"> </w:t>
      </w:r>
      <w:r w:rsidR="0082612F">
        <w:rPr>
          <w:lang w:val="en-US"/>
        </w:rPr>
        <w:t>O</w:t>
      </w:r>
      <w:r w:rsidR="006D186D">
        <w:rPr>
          <w:lang w:val="en-US"/>
        </w:rPr>
        <w:t xml:space="preserve">pening up the possibility for </w:t>
      </w:r>
      <w:r w:rsidR="00A947FA">
        <w:rPr>
          <w:lang w:val="en-US"/>
        </w:rPr>
        <w:t xml:space="preserve">TSOs </w:t>
      </w:r>
      <w:r w:rsidR="006D186D">
        <w:rPr>
          <w:lang w:val="en-US"/>
        </w:rPr>
        <w:t xml:space="preserve">to use trading platforms in neighboring countries </w:t>
      </w:r>
      <w:r w:rsidR="00A947FA">
        <w:rPr>
          <w:lang w:val="en-US"/>
        </w:rPr>
        <w:t>can contribute to operate t</w:t>
      </w:r>
      <w:r w:rsidR="006D186D">
        <w:rPr>
          <w:lang w:val="en-US"/>
        </w:rPr>
        <w:t xml:space="preserve">he network in </w:t>
      </w:r>
      <w:r w:rsidR="00026BEF">
        <w:rPr>
          <w:lang w:val="en-US"/>
        </w:rPr>
        <w:t>most</w:t>
      </w:r>
      <w:r w:rsidR="00044BCD">
        <w:rPr>
          <w:lang w:val="en-US"/>
        </w:rPr>
        <w:t xml:space="preserve"> efficient and</w:t>
      </w:r>
      <w:r w:rsidR="00026BEF">
        <w:rPr>
          <w:lang w:val="en-US"/>
        </w:rPr>
        <w:t xml:space="preserve"> cost-effective </w:t>
      </w:r>
      <w:r w:rsidR="00044BCD">
        <w:rPr>
          <w:lang w:val="en-US"/>
        </w:rPr>
        <w:t xml:space="preserve">way </w:t>
      </w:r>
      <w:r w:rsidR="006D186D">
        <w:rPr>
          <w:lang w:val="en-US"/>
        </w:rPr>
        <w:t>as well as to foster competition</w:t>
      </w:r>
      <w:r w:rsidR="0082612F">
        <w:rPr>
          <w:lang w:val="en-US"/>
        </w:rPr>
        <w:t xml:space="preserve"> in gas markets</w:t>
      </w:r>
      <w:r w:rsidR="006D186D">
        <w:rPr>
          <w:lang w:val="en-US"/>
        </w:rPr>
        <w:t>.</w:t>
      </w:r>
    </w:p>
    <w:p w:rsidR="00026BEF" w:rsidRDefault="001013E6" w:rsidP="001013E6">
      <w:pPr>
        <w:rPr>
          <w:lang w:val="en-US"/>
        </w:rPr>
      </w:pPr>
      <w:r>
        <w:rPr>
          <w:lang w:val="en-US"/>
        </w:rPr>
        <w:t>SGRI may explore d</w:t>
      </w:r>
      <w:r w:rsidR="00026BEF">
        <w:rPr>
          <w:lang w:val="en-US"/>
        </w:rPr>
        <w:t xml:space="preserve">ifferent </w:t>
      </w:r>
      <w:r w:rsidR="006D186D">
        <w:rPr>
          <w:lang w:val="en-US"/>
        </w:rPr>
        <w:t>regulatory developments</w:t>
      </w:r>
      <w:r>
        <w:rPr>
          <w:lang w:val="en-US"/>
        </w:rPr>
        <w:t xml:space="preserve"> </w:t>
      </w:r>
      <w:r w:rsidR="006D186D">
        <w:rPr>
          <w:lang w:val="en-US"/>
        </w:rPr>
        <w:t xml:space="preserve">to allow TSOs for undertaking balancing actions in different </w:t>
      </w:r>
      <w:r w:rsidR="00026BEF">
        <w:rPr>
          <w:lang w:val="en-US"/>
        </w:rPr>
        <w:t>trading platforms such as:</w:t>
      </w:r>
    </w:p>
    <w:p w:rsidR="00026BEF" w:rsidRDefault="00E91716" w:rsidP="001013E6">
      <w:pPr>
        <w:pStyle w:val="Prrafodelista"/>
        <w:numPr>
          <w:ilvl w:val="0"/>
          <w:numId w:val="9"/>
        </w:numPr>
        <w:rPr>
          <w:lang w:val="en-US"/>
        </w:rPr>
      </w:pPr>
      <w:r>
        <w:rPr>
          <w:lang w:val="en-US"/>
        </w:rPr>
        <w:t>Registration</w:t>
      </w:r>
      <w:r w:rsidR="0082612F">
        <w:rPr>
          <w:lang w:val="en-US"/>
        </w:rPr>
        <w:t xml:space="preserve"> of TSOs as agent in other organized markets to</w:t>
      </w:r>
      <w:r w:rsidR="00026BEF">
        <w:rPr>
          <w:lang w:val="en-US"/>
        </w:rPr>
        <w:t xml:space="preserve"> buy/sell gas </w:t>
      </w:r>
      <w:r w:rsidR="00044BCD">
        <w:rPr>
          <w:lang w:val="en-US"/>
        </w:rPr>
        <w:t xml:space="preserve">following </w:t>
      </w:r>
      <w:r w:rsidR="005B51A4">
        <w:rPr>
          <w:lang w:val="en-US"/>
        </w:rPr>
        <w:t>price signals</w:t>
      </w:r>
      <w:r w:rsidR="00044BCD">
        <w:rPr>
          <w:lang w:val="en-US"/>
        </w:rPr>
        <w:t xml:space="preserve">. </w:t>
      </w:r>
    </w:p>
    <w:p w:rsidR="00026BEF" w:rsidRDefault="00026BEF" w:rsidP="001013E6">
      <w:pPr>
        <w:pStyle w:val="Prrafodelista"/>
        <w:numPr>
          <w:ilvl w:val="0"/>
          <w:numId w:val="9"/>
        </w:numPr>
        <w:rPr>
          <w:lang w:val="en-US"/>
        </w:rPr>
      </w:pPr>
      <w:r>
        <w:rPr>
          <w:lang w:val="en-US"/>
        </w:rPr>
        <w:t xml:space="preserve">Assessing the possibility </w:t>
      </w:r>
      <w:r w:rsidR="001013E6">
        <w:rPr>
          <w:lang w:val="en-US"/>
        </w:rPr>
        <w:t xml:space="preserve">for the TSOs </w:t>
      </w:r>
      <w:r>
        <w:rPr>
          <w:lang w:val="en-US"/>
        </w:rPr>
        <w:t xml:space="preserve">to use </w:t>
      </w:r>
      <w:r w:rsidR="001013E6">
        <w:rPr>
          <w:lang w:val="en-US"/>
        </w:rPr>
        <w:t>savailable</w:t>
      </w:r>
      <w:r>
        <w:rPr>
          <w:lang w:val="en-US"/>
        </w:rPr>
        <w:t xml:space="preserve"> </w:t>
      </w:r>
      <w:r w:rsidRPr="00026BEF">
        <w:rPr>
          <w:lang w:val="en-US"/>
        </w:rPr>
        <w:t>cross-border capacity for free or nearly free</w:t>
      </w:r>
      <w:r w:rsidR="001013E6">
        <w:rPr>
          <w:lang w:val="en-US"/>
        </w:rPr>
        <w:t xml:space="preserve"> cost.</w:t>
      </w:r>
    </w:p>
    <w:p w:rsidR="00AA22F6" w:rsidRDefault="00AA22F6" w:rsidP="00C72042">
      <w:pPr>
        <w:rPr>
          <w:lang w:val="en-US"/>
        </w:rPr>
      </w:pPr>
    </w:p>
    <w:p w:rsidR="00615636" w:rsidRPr="0082612F" w:rsidRDefault="00615636" w:rsidP="00C72042">
      <w:pPr>
        <w:rPr>
          <w:lang w:val="en-US"/>
        </w:rPr>
      </w:pPr>
    </w:p>
    <w:p w:rsidR="00CF7EBB" w:rsidRPr="00D31814" w:rsidRDefault="00CF7EBB" w:rsidP="00D31814">
      <w:pPr>
        <w:pStyle w:val="Ttulo1"/>
        <w:rPr>
          <w:sz w:val="26"/>
          <w:szCs w:val="26"/>
          <w:lang w:val="en-US"/>
        </w:rPr>
      </w:pPr>
      <w:bookmarkStart w:id="38" w:name="_Toc516823948"/>
      <w:r w:rsidRPr="00C72042">
        <w:rPr>
          <w:sz w:val="26"/>
          <w:szCs w:val="26"/>
          <w:lang w:val="en-US"/>
        </w:rPr>
        <w:t>Conclusions and recommendations</w:t>
      </w:r>
      <w:bookmarkEnd w:id="38"/>
    </w:p>
    <w:p w:rsidR="006C5858" w:rsidRPr="006C5858" w:rsidRDefault="006C5858" w:rsidP="0029798E">
      <w:pPr>
        <w:rPr>
          <w:lang w:val="en-US"/>
        </w:rPr>
      </w:pPr>
      <w:r w:rsidRPr="006C5858">
        <w:rPr>
          <w:lang w:val="en-US"/>
        </w:rPr>
        <w:t>Currently there are five balancing areas in the South Gas Region: three in France (GRTGaz Nord, GRTGaz Sud and TIGF), one in Spain and one in Portugal managed by the corresponding TSOs, namely, GRTgaz, TIGF, Enagás and REN respectively.</w:t>
      </w:r>
    </w:p>
    <w:p w:rsidR="0029798E" w:rsidRDefault="0029798E" w:rsidP="0029798E">
      <w:pPr>
        <w:rPr>
          <w:lang w:val="en-US"/>
        </w:rPr>
      </w:pPr>
      <w:r>
        <w:rPr>
          <w:lang w:val="en-US"/>
        </w:rPr>
        <w:t>The Spanish gas balancing zone comprises all the transmission gas network. The PVB is the virtual trading point and the trading platform for balancing actions is MIBGAS.</w:t>
      </w:r>
    </w:p>
    <w:p w:rsidR="0029798E" w:rsidRPr="004D34EE" w:rsidRDefault="0029798E" w:rsidP="0029798E">
      <w:pPr>
        <w:rPr>
          <w:lang w:val="en-US"/>
        </w:rPr>
      </w:pPr>
      <w:r>
        <w:rPr>
          <w:lang w:val="en-US"/>
        </w:rPr>
        <w:t>W</w:t>
      </w:r>
      <w:r w:rsidRPr="004D34EE">
        <w:rPr>
          <w:lang w:val="en-US"/>
        </w:rPr>
        <w:t>ith the creation of the single market area in France</w:t>
      </w:r>
      <w:r w:rsidR="00980E3C">
        <w:rPr>
          <w:lang w:val="en-US"/>
        </w:rPr>
        <w:t>,</w:t>
      </w:r>
      <w:r>
        <w:rPr>
          <w:lang w:val="en-US"/>
        </w:rPr>
        <w:t xml:space="preserve"> </w:t>
      </w:r>
      <w:r w:rsidR="00CD1F1C">
        <w:rPr>
          <w:lang w:val="en-US"/>
        </w:rPr>
        <w:t>envisaged by</w:t>
      </w:r>
      <w:r>
        <w:rPr>
          <w:lang w:val="en-US"/>
        </w:rPr>
        <w:t xml:space="preserve"> November 2018</w:t>
      </w:r>
      <w:r w:rsidRPr="004D34EE">
        <w:rPr>
          <w:lang w:val="en-US"/>
        </w:rPr>
        <w:t>,</w:t>
      </w:r>
      <w:r w:rsidR="00CD1F1C">
        <w:rPr>
          <w:lang w:val="en-US"/>
        </w:rPr>
        <w:t xml:space="preserve"> there will be a single </w:t>
      </w:r>
      <w:r w:rsidR="008D6BF1">
        <w:rPr>
          <w:lang w:val="en-US"/>
        </w:rPr>
        <w:t>market</w:t>
      </w:r>
      <w:r w:rsidR="00CD1F1C">
        <w:rPr>
          <w:lang w:val="en-US"/>
        </w:rPr>
        <w:t xml:space="preserve"> area for users although from the physical perspective it will remain two balancing areas: one in the North where</w:t>
      </w:r>
      <w:r w:rsidRPr="004D34EE">
        <w:rPr>
          <w:lang w:val="en-US"/>
        </w:rPr>
        <w:t xml:space="preserve"> GRTgaz will merge its North and South balancing zones</w:t>
      </w:r>
      <w:r w:rsidR="00CD1F1C">
        <w:rPr>
          <w:lang w:val="en-US"/>
        </w:rPr>
        <w:t xml:space="preserve"> and another in the South where</w:t>
      </w:r>
      <w:r w:rsidRPr="004D34EE">
        <w:rPr>
          <w:lang w:val="en-US"/>
        </w:rPr>
        <w:t xml:space="preserve"> TIGF balancing zone remains identical. The distribution of imbalances between the two balancing zones will be identical to the </w:t>
      </w:r>
      <w:r w:rsidR="00E075E9">
        <w:rPr>
          <w:lang w:val="en-US"/>
        </w:rPr>
        <w:t xml:space="preserve">current </w:t>
      </w:r>
      <w:r w:rsidRPr="004D34EE">
        <w:rPr>
          <w:lang w:val="en-US"/>
        </w:rPr>
        <w:t>rules.</w:t>
      </w:r>
    </w:p>
    <w:p w:rsidR="00CF7EBB" w:rsidRDefault="0029798E" w:rsidP="0029798E">
      <w:pPr>
        <w:rPr>
          <w:lang w:val="en-US"/>
        </w:rPr>
      </w:pPr>
      <w:r w:rsidRPr="004D34EE">
        <w:rPr>
          <w:lang w:val="en-US"/>
        </w:rPr>
        <w:t xml:space="preserve">The </w:t>
      </w:r>
      <w:r w:rsidR="005810C2">
        <w:rPr>
          <w:lang w:val="en-US"/>
        </w:rPr>
        <w:t xml:space="preserve">new French single market zone will </w:t>
      </w:r>
      <w:r>
        <w:rPr>
          <w:lang w:val="en-US"/>
        </w:rPr>
        <w:t>work as if there was only one</w:t>
      </w:r>
      <w:r w:rsidRPr="004D34EE">
        <w:rPr>
          <w:lang w:val="en-US"/>
        </w:rPr>
        <w:t xml:space="preserve"> balancing zone</w:t>
      </w:r>
      <w:r w:rsidR="005810C2">
        <w:rPr>
          <w:lang w:val="en-US"/>
        </w:rPr>
        <w:t xml:space="preserve"> from the user’s point of view</w:t>
      </w:r>
      <w:r w:rsidRPr="004D34EE">
        <w:rPr>
          <w:lang w:val="en-US"/>
        </w:rPr>
        <w:t xml:space="preserve">. Accordingly, </w:t>
      </w:r>
      <w:r w:rsidR="00980E3C">
        <w:rPr>
          <w:lang w:val="en-US"/>
        </w:rPr>
        <w:t xml:space="preserve">users’ </w:t>
      </w:r>
      <w:r w:rsidRPr="004D34EE">
        <w:rPr>
          <w:lang w:val="en-US"/>
        </w:rPr>
        <w:t>imbalances will be calculated on the scale of the whole "trading region". Daily imbalances will then be split between the physical areas by the TSOs, depending on the type of shipper: end client supplier, importer/exporter, trader</w:t>
      </w:r>
      <w:r w:rsidR="005810C2">
        <w:rPr>
          <w:lang w:val="en-US"/>
        </w:rPr>
        <w:t>, etc</w:t>
      </w:r>
      <w:r w:rsidRPr="004D34EE">
        <w:rPr>
          <w:lang w:val="en-US"/>
        </w:rPr>
        <w:t>.</w:t>
      </w:r>
    </w:p>
    <w:p w:rsidR="0029798E" w:rsidRDefault="0029798E" w:rsidP="0029798E">
      <w:pPr>
        <w:rPr>
          <w:lang w:val="en-US"/>
        </w:rPr>
      </w:pPr>
      <w:r>
        <w:rPr>
          <w:lang w:val="en-US"/>
        </w:rPr>
        <w:t>As from 1</w:t>
      </w:r>
      <w:r w:rsidRPr="004B4238">
        <w:rPr>
          <w:vertAlign w:val="superscript"/>
          <w:lang w:val="en-US"/>
        </w:rPr>
        <w:t>st</w:t>
      </w:r>
      <w:r>
        <w:rPr>
          <w:lang w:val="en-US"/>
        </w:rPr>
        <w:t xml:space="preserve"> of November 2018, there will be a single entry-exit system for France called TRF (Trading Region France), resulting from the merge</w:t>
      </w:r>
      <w:r w:rsidR="00E075E9">
        <w:rPr>
          <w:lang w:val="en-US"/>
        </w:rPr>
        <w:t>r</w:t>
      </w:r>
      <w:r>
        <w:rPr>
          <w:lang w:val="en-US"/>
        </w:rPr>
        <w:t xml:space="preserve"> of the current market places PEG Nord and TRS. At this date, current French virtual trading points will be merged into a single virtual trading point called PEG.</w:t>
      </w:r>
    </w:p>
    <w:p w:rsidR="008C239A" w:rsidRPr="005810C2" w:rsidRDefault="0029798E" w:rsidP="0029798E">
      <w:pPr>
        <w:rPr>
          <w:color w:val="000000" w:themeColor="text1"/>
          <w:lang w:val="en-AU"/>
        </w:rPr>
      </w:pPr>
      <w:r w:rsidRPr="001E24AD">
        <w:rPr>
          <w:color w:val="000000" w:themeColor="text1"/>
        </w:rPr>
        <w:t>As part of its balancing system, both TIGF and GRTgaz sell and buy quantities of gas</w:t>
      </w:r>
      <w:r w:rsidR="00980E3C">
        <w:rPr>
          <w:color w:val="000000" w:themeColor="text1"/>
        </w:rPr>
        <w:t xml:space="preserve"> </w:t>
      </w:r>
      <w:r w:rsidRPr="001E24AD">
        <w:rPr>
          <w:color w:val="000000" w:themeColor="text1"/>
          <w:lang w:val="en-AU"/>
        </w:rPr>
        <w:t>via Powernext’s PEGAS platform</w:t>
      </w:r>
      <w:r>
        <w:rPr>
          <w:color w:val="000000" w:themeColor="text1"/>
          <w:lang w:val="en-AU"/>
        </w:rPr>
        <w:t>.</w:t>
      </w:r>
    </w:p>
    <w:p w:rsidR="0029798E" w:rsidRDefault="0029798E" w:rsidP="0029798E">
      <w:pPr>
        <w:rPr>
          <w:lang w:val="en-US"/>
        </w:rPr>
      </w:pPr>
      <w:r>
        <w:rPr>
          <w:lang w:val="en-US"/>
        </w:rPr>
        <w:t>The P</w:t>
      </w:r>
      <w:r w:rsidR="00C10599">
        <w:rPr>
          <w:lang w:val="en-US"/>
        </w:rPr>
        <w:t>ortugal</w:t>
      </w:r>
      <w:r>
        <w:rPr>
          <w:lang w:val="en-US"/>
        </w:rPr>
        <w:t xml:space="preserve"> gas balancing zone comprises all the </w:t>
      </w:r>
      <w:r w:rsidR="00980E3C">
        <w:rPr>
          <w:lang w:val="en-US"/>
        </w:rPr>
        <w:t>Portuguese</w:t>
      </w:r>
      <w:r>
        <w:rPr>
          <w:lang w:val="en-US"/>
        </w:rPr>
        <w:t xml:space="preserve"> transmission gas network. </w:t>
      </w:r>
      <w:r w:rsidRPr="001E24AD">
        <w:rPr>
          <w:lang w:val="en-US"/>
        </w:rPr>
        <w:t xml:space="preserve">Market agents adjust their positions in the transmission network by modifying their inputs and offtakes or trading natural gas in the VTP. </w:t>
      </w:r>
    </w:p>
    <w:p w:rsidR="00C10599" w:rsidRDefault="00C10599" w:rsidP="00C10599">
      <w:pPr>
        <w:rPr>
          <w:rFonts w:cs="Arial"/>
          <w:color w:val="222222"/>
          <w:lang w:val="en"/>
        </w:rPr>
      </w:pPr>
      <w:r w:rsidRPr="001E6754">
        <w:rPr>
          <w:rFonts w:cs="Arial"/>
          <w:color w:val="222222"/>
          <w:lang w:val="en"/>
        </w:rPr>
        <w:t>In Portugal, a trading platform with adequate characteristics to support the balancing actions of the system’s Global Technical Manager (GTG) has not been implemented yet. However, it is expected the MIBGAS Portuguese hub will be functional, allowing balancing actions as well as the application of prices in the determination of daily imbalance charges.</w:t>
      </w:r>
    </w:p>
    <w:p w:rsidR="00C10599" w:rsidRDefault="00C10599" w:rsidP="00C10599">
      <w:pPr>
        <w:rPr>
          <w:rFonts w:cs="Arial"/>
          <w:color w:val="222222"/>
          <w:lang w:val="en"/>
        </w:rPr>
      </w:pPr>
      <w:r>
        <w:rPr>
          <w:rFonts w:cs="Arial"/>
          <w:color w:val="222222"/>
          <w:lang w:val="en"/>
        </w:rPr>
        <w:t xml:space="preserve">Balancing </w:t>
      </w:r>
      <w:r w:rsidR="00AF6129">
        <w:rPr>
          <w:rFonts w:cs="Arial"/>
          <w:color w:val="222222"/>
          <w:lang w:val="en"/>
        </w:rPr>
        <w:t>actions</w:t>
      </w:r>
      <w:r>
        <w:rPr>
          <w:rFonts w:cs="Arial"/>
          <w:color w:val="222222"/>
          <w:lang w:val="en"/>
        </w:rPr>
        <w:t xml:space="preserve"> in Portugal are provided through auctions. REN Gasodutos is responsible </w:t>
      </w:r>
      <w:r w:rsidR="00426E47">
        <w:rPr>
          <w:rFonts w:cs="Arial"/>
          <w:color w:val="222222"/>
          <w:lang w:val="en"/>
        </w:rPr>
        <w:t xml:space="preserve">for </w:t>
      </w:r>
      <w:r>
        <w:rPr>
          <w:rFonts w:cs="Arial"/>
          <w:color w:val="222222"/>
          <w:lang w:val="en"/>
        </w:rPr>
        <w:t>conduct</w:t>
      </w:r>
      <w:r w:rsidR="00426E47">
        <w:rPr>
          <w:rFonts w:cs="Arial"/>
          <w:color w:val="222222"/>
          <w:lang w:val="en"/>
        </w:rPr>
        <w:t>ing</w:t>
      </w:r>
      <w:r>
        <w:rPr>
          <w:rFonts w:cs="Arial"/>
          <w:color w:val="222222"/>
          <w:lang w:val="en"/>
        </w:rPr>
        <w:t xml:space="preserve"> the auctions</w:t>
      </w:r>
      <w:r w:rsidR="00426E47">
        <w:rPr>
          <w:rFonts w:cs="Arial"/>
          <w:color w:val="222222"/>
          <w:lang w:val="en"/>
        </w:rPr>
        <w:t xml:space="preserve"> together</w:t>
      </w:r>
      <w:r>
        <w:rPr>
          <w:rFonts w:cs="Arial"/>
          <w:color w:val="222222"/>
          <w:lang w:val="en"/>
        </w:rPr>
        <w:t xml:space="preserve"> with OMIP (operator of the electricity market) assistance and a dedicated platform.</w:t>
      </w:r>
    </w:p>
    <w:p w:rsidR="00AA3915" w:rsidRDefault="00AA3915" w:rsidP="00C10599">
      <w:pPr>
        <w:rPr>
          <w:lang w:val="en-US"/>
        </w:rPr>
      </w:pPr>
      <w:r>
        <w:rPr>
          <w:lang w:val="en-US"/>
        </w:rPr>
        <w:t>Technical System Managers continuously evaluate if the global position (total inputs-total offtakes) put the system integrity at risk. The TSM may carry out balancing actions with the aim of keeping the transmission network within normal operating conditions.</w:t>
      </w:r>
    </w:p>
    <w:p w:rsidR="00DC2760" w:rsidRDefault="00153C4A" w:rsidP="00C10599">
      <w:pPr>
        <w:rPr>
          <w:lang w:val="en-US"/>
        </w:rPr>
      </w:pPr>
      <w:r>
        <w:rPr>
          <w:lang w:val="en-US"/>
        </w:rPr>
        <w:t>System flexibility conditio</w:t>
      </w:r>
      <w:r w:rsidR="00CD6E69">
        <w:rPr>
          <w:lang w:val="en-US"/>
        </w:rPr>
        <w:t xml:space="preserve">ns vary between balancing zones. </w:t>
      </w:r>
    </w:p>
    <w:p w:rsidR="00CD6E69" w:rsidRDefault="00CD6E69" w:rsidP="00C10599">
      <w:pPr>
        <w:rPr>
          <w:lang w:val="en-US"/>
        </w:rPr>
      </w:pPr>
      <w:r>
        <w:rPr>
          <w:lang w:val="en-US"/>
        </w:rPr>
        <w:t xml:space="preserve">Spain has three operating bands: indifference, surveillance and alert. </w:t>
      </w:r>
      <w:r w:rsidR="00E94743">
        <w:rPr>
          <w:lang w:val="en-US"/>
        </w:rPr>
        <w:t>The indifference band</w:t>
      </w:r>
      <w:r w:rsidR="002B77A3">
        <w:rPr>
          <w:lang w:val="en-US"/>
        </w:rPr>
        <w:t>,</w:t>
      </w:r>
      <w:r w:rsidR="00E94743">
        <w:rPr>
          <w:lang w:val="en-US"/>
        </w:rPr>
        <w:t xml:space="preserve"> inside which there is no balancing actions</w:t>
      </w:r>
      <w:r w:rsidR="002B77A3">
        <w:rPr>
          <w:lang w:val="en-US"/>
        </w:rPr>
        <w:t>,</w:t>
      </w:r>
      <w:r w:rsidR="00E94743">
        <w:rPr>
          <w:lang w:val="en-US"/>
        </w:rPr>
        <w:t xml:space="preserve"> is 98 GWh</w:t>
      </w:r>
      <w:r w:rsidR="002B77A3">
        <w:rPr>
          <w:lang w:val="en-US"/>
        </w:rPr>
        <w:t xml:space="preserve"> wide</w:t>
      </w:r>
      <w:r w:rsidR="00E94743">
        <w:rPr>
          <w:lang w:val="en-US"/>
        </w:rPr>
        <w:t xml:space="preserve">, around </w:t>
      </w:r>
      <w:r w:rsidR="002B77A3">
        <w:rPr>
          <w:lang w:val="en-US"/>
        </w:rPr>
        <w:t xml:space="preserve">10% of the daily gas demand on average. </w:t>
      </w:r>
    </w:p>
    <w:p w:rsidR="002B77A3" w:rsidRDefault="002B77A3" w:rsidP="002B77A3">
      <w:pPr>
        <w:rPr>
          <w:lang w:val="en-US"/>
        </w:rPr>
      </w:pPr>
      <w:r>
        <w:rPr>
          <w:lang w:val="en-US"/>
        </w:rPr>
        <w:t>In France, TIGF has four operating bands: dark green, light green, orange and red. The dark green band, inside which there is no balancing actions, is 24 GWh wide, around 2% of the daily gas demand on average. The dark green plus light green band is 44 GWh/d wide, around 4% of the daily gas demand on average.</w:t>
      </w:r>
    </w:p>
    <w:p w:rsidR="00DC2760" w:rsidRDefault="00DC2760" w:rsidP="00DC2760">
      <w:pPr>
        <w:rPr>
          <w:lang w:val="en-US"/>
        </w:rPr>
      </w:pPr>
      <w:r>
        <w:rPr>
          <w:lang w:val="en-US"/>
        </w:rPr>
        <w:t>In Portugal,</w:t>
      </w:r>
      <w:r w:rsidRPr="00DC2760">
        <w:rPr>
          <w:lang w:val="en-US"/>
        </w:rPr>
        <w:t xml:space="preserve"> </w:t>
      </w:r>
      <w:r>
        <w:rPr>
          <w:lang w:val="en-US"/>
        </w:rPr>
        <w:t>t</w:t>
      </w:r>
      <w:r w:rsidRPr="009C6960">
        <w:rPr>
          <w:lang w:val="en-US"/>
        </w:rPr>
        <w:t>he transport network has a linepack capacity that varies between 40 and 60 GWh</w:t>
      </w:r>
      <w:r w:rsidR="00980E3C">
        <w:rPr>
          <w:lang w:val="en-US"/>
        </w:rPr>
        <w:t>,</w:t>
      </w:r>
      <w:r w:rsidRPr="009C6960">
        <w:rPr>
          <w:lang w:val="en-US"/>
        </w:rPr>
        <w:t xml:space="preserve"> depending on the operating conditions</w:t>
      </w:r>
      <w:r>
        <w:rPr>
          <w:lang w:val="en-US"/>
        </w:rPr>
        <w:t>. These bands represent between 30% or 44% of the daily gas demand on average.</w:t>
      </w:r>
    </w:p>
    <w:p w:rsidR="00DC2760" w:rsidRPr="00CD6E69" w:rsidRDefault="00DC2760" w:rsidP="00DC2760">
      <w:pPr>
        <w:rPr>
          <w:lang w:val="en-US"/>
        </w:rPr>
      </w:pPr>
      <w:r>
        <w:rPr>
          <w:lang w:val="en-US"/>
        </w:rPr>
        <w:t>Hence, France (TIGF) has the smallest band of tolerated variability in linepack, followed by Spain and Portugal. Portugal has the laxest tolerance in its linepack variation.</w:t>
      </w:r>
      <w:r w:rsidR="00BA64CA">
        <w:rPr>
          <w:lang w:val="en-US"/>
        </w:rPr>
        <w:t xml:space="preserve"> Consequently, the number of balancing actions expected </w:t>
      </w:r>
      <w:r w:rsidR="00E075E9">
        <w:rPr>
          <w:lang w:val="en-US"/>
        </w:rPr>
        <w:t>may</w:t>
      </w:r>
      <w:r w:rsidR="00BA64CA">
        <w:rPr>
          <w:lang w:val="en-US"/>
        </w:rPr>
        <w:t xml:space="preserve"> be higher in France, followed by Spain and Portugal.</w:t>
      </w:r>
    </w:p>
    <w:p w:rsidR="00443516" w:rsidRDefault="00443516" w:rsidP="002B77A3">
      <w:pPr>
        <w:rPr>
          <w:lang w:val="en-US"/>
        </w:rPr>
      </w:pPr>
      <w:r>
        <w:rPr>
          <w:lang w:val="en-US"/>
        </w:rPr>
        <w:t xml:space="preserve">With regard about rules and timelines on nomination and re-nomination procedures, the three countries of the region follow the same pattern. Users can carry out nominations before 14:00 h (13:00h for Portugal because </w:t>
      </w:r>
      <w:r w:rsidR="00980E3C">
        <w:rPr>
          <w:lang w:val="en-US"/>
        </w:rPr>
        <w:t xml:space="preserve">of </w:t>
      </w:r>
      <w:r>
        <w:rPr>
          <w:lang w:val="en-US"/>
        </w:rPr>
        <w:t xml:space="preserve">the time difference with respect to UTC) of the day D-1, with a period of two hours for the confirmation. </w:t>
      </w:r>
    </w:p>
    <w:p w:rsidR="00DC2760" w:rsidRPr="00CD6E69" w:rsidRDefault="00443516" w:rsidP="002B77A3">
      <w:pPr>
        <w:rPr>
          <w:lang w:val="en-US"/>
        </w:rPr>
      </w:pPr>
      <w:r>
        <w:rPr>
          <w:lang w:val="en-US"/>
        </w:rPr>
        <w:t>The re-nomination cycle starts at 16:00 h of the day D-1 (15:00h for Portugal because</w:t>
      </w:r>
      <w:r w:rsidR="00980E3C">
        <w:rPr>
          <w:lang w:val="en-US"/>
        </w:rPr>
        <w:t xml:space="preserve"> of</w:t>
      </w:r>
      <w:r>
        <w:rPr>
          <w:lang w:val="en-US"/>
        </w:rPr>
        <w:t xml:space="preserve"> the time difference with respect to UTC) until three hours before the end of the gas day D, namely, at 3:00 h (last re-nomination cycle). Each re-nomination cycles lasts two hours.</w:t>
      </w:r>
    </w:p>
    <w:p w:rsidR="00C10599" w:rsidRPr="002B77A3" w:rsidRDefault="00241205" w:rsidP="00C10599">
      <w:pPr>
        <w:rPr>
          <w:rFonts w:cs="Arial"/>
          <w:color w:val="222222"/>
          <w:lang w:val="en-US"/>
        </w:rPr>
      </w:pPr>
      <w:r>
        <w:rPr>
          <w:rFonts w:cs="Arial"/>
          <w:color w:val="222222"/>
          <w:lang w:val="en-US"/>
        </w:rPr>
        <w:t xml:space="preserve">With regard to the information provision </w:t>
      </w:r>
      <w:r w:rsidRPr="007F5B3F">
        <w:rPr>
          <w:lang w:val="en-US"/>
        </w:rPr>
        <w:t>French and</w:t>
      </w:r>
      <w:r>
        <w:rPr>
          <w:lang w:val="en-US"/>
        </w:rPr>
        <w:t xml:space="preserve"> Spanish regulation have implemented the so called “base case” model, where the information on non-daily metered off-takes consists of a day ahead and within day forecasts</w:t>
      </w:r>
      <w:r w:rsidR="00980E3C">
        <w:rPr>
          <w:lang w:val="en-US"/>
        </w:rPr>
        <w:t>,</w:t>
      </w:r>
      <w:r>
        <w:rPr>
          <w:lang w:val="en-US"/>
        </w:rPr>
        <w:t xml:space="preserve"> </w:t>
      </w:r>
      <w:r w:rsidRPr="007F5B3F">
        <w:rPr>
          <w:lang w:val="en-US"/>
        </w:rPr>
        <w:t>while Portugal has implemented the “variant 2” w</w:t>
      </w:r>
      <w:r>
        <w:rPr>
          <w:lang w:val="en-US"/>
        </w:rPr>
        <w:t>here the information on non-</w:t>
      </w:r>
      <w:r w:rsidRPr="007F5B3F">
        <w:rPr>
          <w:lang w:val="en-US"/>
        </w:rPr>
        <w:t>daily metered off-takes is a day ahead forecast</w:t>
      </w:r>
      <w:r w:rsidR="00980E3C">
        <w:rPr>
          <w:lang w:val="en-US"/>
        </w:rPr>
        <w:t>.</w:t>
      </w:r>
    </w:p>
    <w:p w:rsidR="0029798E" w:rsidRDefault="00337B33" w:rsidP="0029798E">
      <w:pPr>
        <w:rPr>
          <w:lang w:val="en-US"/>
        </w:rPr>
      </w:pPr>
      <w:r>
        <w:rPr>
          <w:lang w:val="en-US"/>
        </w:rPr>
        <w:t>With regar</w:t>
      </w:r>
      <w:r w:rsidR="00D47F7C">
        <w:rPr>
          <w:lang w:val="en-US"/>
        </w:rPr>
        <w:t xml:space="preserve">d to imbalance charges, in France and Spain, when </w:t>
      </w:r>
      <w:r>
        <w:rPr>
          <w:lang w:val="en-US"/>
        </w:rPr>
        <w:t>TSOs do not make balancing actions</w:t>
      </w:r>
      <w:r w:rsidR="00D47F7C">
        <w:rPr>
          <w:lang w:val="en-US"/>
        </w:rPr>
        <w:t>,</w:t>
      </w:r>
      <w:r>
        <w:rPr>
          <w:lang w:val="en-US"/>
        </w:rPr>
        <w:t xml:space="preserve"> users are paid </w:t>
      </w:r>
      <w:r w:rsidR="00D47F7C">
        <w:rPr>
          <w:lang w:val="en-US"/>
        </w:rPr>
        <w:t>(</w:t>
      </w:r>
      <w:r>
        <w:rPr>
          <w:lang w:val="en-US"/>
        </w:rPr>
        <w:t>or charge</w:t>
      </w:r>
      <w:r w:rsidR="00D47F7C">
        <w:rPr>
          <w:lang w:val="en-US"/>
        </w:rPr>
        <w:t>d)</w:t>
      </w:r>
      <w:r>
        <w:rPr>
          <w:lang w:val="en-US"/>
        </w:rPr>
        <w:t xml:space="preserve"> for their daily imbalance the </w:t>
      </w:r>
      <w:r w:rsidR="00175758">
        <w:rPr>
          <w:lang w:val="en-US"/>
        </w:rPr>
        <w:t xml:space="preserve">weighted </w:t>
      </w:r>
      <w:r>
        <w:rPr>
          <w:lang w:val="en-US"/>
        </w:rPr>
        <w:t>average gas price</w:t>
      </w:r>
      <w:r w:rsidR="00175758" w:rsidRPr="00175758">
        <w:rPr>
          <w:lang w:val="en-US"/>
        </w:rPr>
        <w:t xml:space="preserve"> </w:t>
      </w:r>
      <w:r w:rsidR="00175758">
        <w:rPr>
          <w:lang w:val="en-US"/>
        </w:rPr>
        <w:t>of their respective markets (TRS and PEG Nord for France and MIBGAS for Spain)</w:t>
      </w:r>
      <w:r>
        <w:rPr>
          <w:lang w:val="en-US"/>
        </w:rPr>
        <w:t xml:space="preserve"> minus </w:t>
      </w:r>
      <w:r w:rsidR="00175758">
        <w:rPr>
          <w:lang w:val="en-US"/>
        </w:rPr>
        <w:t xml:space="preserve">the same minor adjustment </w:t>
      </w:r>
      <w:r w:rsidR="00D47F7C">
        <w:rPr>
          <w:lang w:val="en-US"/>
        </w:rPr>
        <w:t>2.5% (or plus 2.5% respectively).</w:t>
      </w:r>
    </w:p>
    <w:p w:rsidR="00063D4F" w:rsidRDefault="00175758" w:rsidP="0029798E">
      <w:pPr>
        <w:rPr>
          <w:lang w:val="en-US"/>
        </w:rPr>
      </w:pPr>
      <w:r>
        <w:rPr>
          <w:lang w:val="en-US"/>
        </w:rPr>
        <w:t>In Portugal, imbalance prices corresponds to the weighted average price for gas purchase or sale in MIBGAS, also adjusted by the same percentage plus/less 2.5% respectively. But, Portuguese daily imbalance charges also includes interconnection tariffs in the direction from Spain to Portugal (in the case of a default imbalance) or from Portugal to Sp</w:t>
      </w:r>
      <w:r w:rsidR="00F17D25">
        <w:rPr>
          <w:lang w:val="en-US"/>
        </w:rPr>
        <w:t>ain (in case of an excess imbalance).</w:t>
      </w:r>
      <w:r w:rsidR="00755E29">
        <w:rPr>
          <w:lang w:val="en-US"/>
        </w:rPr>
        <w:t xml:space="preserve"> </w:t>
      </w:r>
    </w:p>
    <w:p w:rsidR="00F17D25" w:rsidRDefault="00AA5998" w:rsidP="0029798E">
      <w:pPr>
        <w:rPr>
          <w:lang w:val="en-US"/>
        </w:rPr>
      </w:pPr>
      <w:r>
        <w:rPr>
          <w:lang w:val="en-US"/>
        </w:rPr>
        <w:t xml:space="preserve">In the case TSOs have done balancing actions (gas traded in the market to keep the system balanced) Spanish and French TSOs charge network users with the marginal price of their respective markets (higher price of the daily weighted average price plus the adjustment and the purchase price of the gas traded by the TSO). </w:t>
      </w:r>
      <w:r w:rsidR="00C630D7">
        <w:rPr>
          <w:lang w:val="en-US"/>
        </w:rPr>
        <w:t xml:space="preserve">Portuguese TSO </w:t>
      </w:r>
      <w:r w:rsidR="00F50E39">
        <w:rPr>
          <w:lang w:val="en-US"/>
        </w:rPr>
        <w:t>develops</w:t>
      </w:r>
      <w:r w:rsidR="00C630D7">
        <w:rPr>
          <w:lang w:val="en-US"/>
        </w:rPr>
        <w:t xml:space="preserve"> its balancing actions through an auction mechanism </w:t>
      </w:r>
      <w:r w:rsidR="00F50E39">
        <w:rPr>
          <w:lang w:val="en-US"/>
        </w:rPr>
        <w:t>done</w:t>
      </w:r>
      <w:r w:rsidR="00C630D7">
        <w:rPr>
          <w:lang w:val="en-US"/>
        </w:rPr>
        <w:t xml:space="preserve"> by OMIP (operator of the electricity market and gas derivatives market) on a dedicated platform.</w:t>
      </w:r>
      <w:r w:rsidR="00F50E39">
        <w:rPr>
          <w:lang w:val="en-US"/>
        </w:rPr>
        <w:t xml:space="preserve"> It is foreseen these balancing actions will become based on MIBGAS</w:t>
      </w:r>
      <w:r w:rsidR="00766051">
        <w:rPr>
          <w:lang w:val="en-US"/>
        </w:rPr>
        <w:t xml:space="preserve"> in the near future</w:t>
      </w:r>
      <w:r w:rsidR="00F50E39">
        <w:rPr>
          <w:lang w:val="en-US"/>
        </w:rPr>
        <w:t>.</w:t>
      </w:r>
      <w:r w:rsidR="00647F31">
        <w:rPr>
          <w:lang w:val="en-US"/>
        </w:rPr>
        <w:t xml:space="preserve"> </w:t>
      </w:r>
    </w:p>
    <w:p w:rsidR="00EA43B4" w:rsidRDefault="00822C0C" w:rsidP="0029798E">
      <w:pPr>
        <w:rPr>
          <w:lang w:val="en-US"/>
        </w:rPr>
      </w:pPr>
      <w:r>
        <w:rPr>
          <w:lang w:val="en-US"/>
        </w:rPr>
        <w:t>With regard to the financial neutrality of TSOs, balancing settlements (imbalance charges and balancing actions) are performed by TSOs without any benefit or cost, apart from possible incentives to TSOs’ efficiency.</w:t>
      </w:r>
      <w:r w:rsidR="002F6E9B">
        <w:rPr>
          <w:rStyle w:val="Refdenotaalpie"/>
          <w:lang w:val="en-US"/>
        </w:rPr>
        <w:footnoteReference w:id="10"/>
      </w:r>
      <w:r w:rsidR="00647F31">
        <w:rPr>
          <w:lang w:val="en-US"/>
        </w:rPr>
        <w:t xml:space="preserve"> </w:t>
      </w:r>
      <w:r w:rsidR="00EA43B4">
        <w:rPr>
          <w:lang w:val="en-US"/>
        </w:rPr>
        <w:t xml:space="preserve">In the light of the evidence, the incentive scheme will be </w:t>
      </w:r>
      <w:r w:rsidR="003427A4">
        <w:rPr>
          <w:lang w:val="en-US"/>
        </w:rPr>
        <w:t xml:space="preserve">followed, </w:t>
      </w:r>
      <w:r w:rsidR="00EA43B4">
        <w:rPr>
          <w:lang w:val="en-US"/>
        </w:rPr>
        <w:t>periodically assessed</w:t>
      </w:r>
      <w:r w:rsidR="003427A4">
        <w:rPr>
          <w:lang w:val="en-US"/>
        </w:rPr>
        <w:t xml:space="preserve"> a</w:t>
      </w:r>
      <w:r w:rsidR="00BF023E">
        <w:rPr>
          <w:lang w:val="en-US"/>
        </w:rPr>
        <w:t>nd it will be updated if needed.</w:t>
      </w:r>
      <w:r w:rsidR="003427A4">
        <w:rPr>
          <w:lang w:val="en-US"/>
        </w:rPr>
        <w:t xml:space="preserve"> </w:t>
      </w:r>
    </w:p>
    <w:p w:rsidR="00F858AD" w:rsidRDefault="00F858AD" w:rsidP="0029798E">
      <w:pPr>
        <w:rPr>
          <w:lang w:val="en-US"/>
        </w:rPr>
      </w:pPr>
      <w:r>
        <w:rPr>
          <w:lang w:val="en-US"/>
        </w:rPr>
        <w:t xml:space="preserve">TIGF and GRTgaz make their balancing actions through a computer algorithm (robot). ENAGAS GTS and REN through a manual surveillance. </w:t>
      </w:r>
    </w:p>
    <w:p w:rsidR="00605788" w:rsidRDefault="00605788" w:rsidP="0029798E">
      <w:pPr>
        <w:rPr>
          <w:lang w:val="en-US"/>
        </w:rPr>
      </w:pPr>
      <w:r>
        <w:rPr>
          <w:lang w:val="en-US"/>
        </w:rPr>
        <w:t>In order to move towards greater market integration, SGRI could explore the potential for application of cross-border balancing. The balancing NC establishes that the balancing actions must be undertaken in a market-based manner through short term standardized products on a trading platform or using balancing services through public tender procedures. Opening up the possibility for TSOs to use trading platforms in neighboring countries can contribute to operate the network in most efficient and cost-effective way as well as to foster competition in gas markets.</w:t>
      </w:r>
    </w:p>
    <w:p w:rsidR="00EA43B4" w:rsidRDefault="00EA43B4" w:rsidP="00EA43B4">
      <w:pPr>
        <w:rPr>
          <w:lang w:val="en-US"/>
        </w:rPr>
      </w:pPr>
      <w:r>
        <w:rPr>
          <w:lang w:val="en-US"/>
        </w:rPr>
        <w:t>NRAs and TSOs will keep on working in monitoring and gathering data to gain knowledge from practical experience in order to identify those areas where there is room for improvement.</w:t>
      </w:r>
    </w:p>
    <w:p w:rsidR="00F858AD" w:rsidRDefault="00F858AD" w:rsidP="0029798E">
      <w:pPr>
        <w:rPr>
          <w:lang w:val="en-US"/>
        </w:rPr>
      </w:pPr>
    </w:p>
    <w:p w:rsidR="00766051" w:rsidRDefault="00766051" w:rsidP="0029798E">
      <w:pPr>
        <w:rPr>
          <w:lang w:val="en-US"/>
        </w:rPr>
      </w:pPr>
    </w:p>
    <w:p w:rsidR="00F50E39" w:rsidRPr="00241205" w:rsidRDefault="00F50E39" w:rsidP="0029798E">
      <w:pPr>
        <w:rPr>
          <w:lang w:val="en-US"/>
        </w:rPr>
      </w:pPr>
    </w:p>
    <w:p w:rsidR="00645397" w:rsidRDefault="00645397">
      <w:pPr>
        <w:spacing w:before="0" w:after="0" w:line="240" w:lineRule="auto"/>
        <w:jc w:val="left"/>
        <w:rPr>
          <w:lang w:val="en-US"/>
        </w:rPr>
      </w:pPr>
      <w:r>
        <w:rPr>
          <w:lang w:val="en-US"/>
        </w:rPr>
        <w:br w:type="page"/>
      </w:r>
    </w:p>
    <w:p w:rsidR="00645397" w:rsidRPr="00311AFD" w:rsidRDefault="00645397" w:rsidP="00645397">
      <w:pPr>
        <w:spacing w:line="240" w:lineRule="auto"/>
        <w:rPr>
          <w:b/>
          <w:u w:val="single"/>
          <w:lang w:val="en-US"/>
        </w:rPr>
      </w:pPr>
      <w:r w:rsidRPr="00311AFD">
        <w:rPr>
          <w:b/>
          <w:u w:val="single"/>
          <w:lang w:val="en-US"/>
        </w:rPr>
        <w:t>LIST OF ACRONYMS</w:t>
      </w:r>
    </w:p>
    <w:p w:rsidR="00645397" w:rsidRPr="00053C56" w:rsidRDefault="00645397" w:rsidP="00645397">
      <w:pPr>
        <w:spacing w:line="240" w:lineRule="auto"/>
      </w:pPr>
      <w:r w:rsidRPr="00053C56">
        <w:t>AOC – Almacenamiento Operativo Comercial (former Spanish VTP)</w:t>
      </w:r>
    </w:p>
    <w:p w:rsidR="00645397" w:rsidRDefault="00645397" w:rsidP="00645397">
      <w:pPr>
        <w:spacing w:line="240" w:lineRule="auto"/>
        <w:rPr>
          <w:lang w:val="en-US"/>
        </w:rPr>
      </w:pPr>
      <w:r>
        <w:rPr>
          <w:lang w:val="en-US"/>
        </w:rPr>
        <w:t>CNMC - Spanish NRA</w:t>
      </w:r>
    </w:p>
    <w:p w:rsidR="00645397" w:rsidRDefault="00645397" w:rsidP="00645397">
      <w:pPr>
        <w:spacing w:line="240" w:lineRule="auto"/>
        <w:rPr>
          <w:lang w:val="en-US"/>
        </w:rPr>
      </w:pPr>
      <w:r w:rsidRPr="00D87CD4">
        <w:rPr>
          <w:lang w:val="en-US"/>
        </w:rPr>
        <w:t>CRE - French NRA</w:t>
      </w:r>
    </w:p>
    <w:p w:rsidR="00645397" w:rsidRDefault="00645397" w:rsidP="00645397">
      <w:pPr>
        <w:spacing w:line="240" w:lineRule="auto"/>
        <w:rPr>
          <w:lang w:val="en-US"/>
        </w:rPr>
      </w:pPr>
      <w:r>
        <w:rPr>
          <w:lang w:val="en-US"/>
        </w:rPr>
        <w:t>DA – Day Ahead</w:t>
      </w:r>
    </w:p>
    <w:p w:rsidR="00645397" w:rsidRPr="00311AFD" w:rsidRDefault="00645397" w:rsidP="00645397">
      <w:pPr>
        <w:spacing w:line="240" w:lineRule="auto"/>
        <w:rPr>
          <w:lang w:val="en-AU"/>
        </w:rPr>
      </w:pPr>
      <w:r w:rsidRPr="00311AFD">
        <w:rPr>
          <w:lang w:val="en-AU"/>
        </w:rPr>
        <w:t>DBP – Daily Projected Closing Imbalance per user (Spain)</w:t>
      </w:r>
    </w:p>
    <w:p w:rsidR="00645397" w:rsidRDefault="00645397" w:rsidP="00645397">
      <w:pPr>
        <w:spacing w:line="240" w:lineRule="auto"/>
        <w:rPr>
          <w:lang w:val="en-US"/>
        </w:rPr>
      </w:pPr>
      <w:r>
        <w:rPr>
          <w:lang w:val="en-US"/>
        </w:rPr>
        <w:t>DM – Daily metered</w:t>
      </w:r>
    </w:p>
    <w:p w:rsidR="00645397" w:rsidRDefault="00645397" w:rsidP="00645397">
      <w:pPr>
        <w:spacing w:line="240" w:lineRule="auto"/>
        <w:rPr>
          <w:lang w:val="en-US"/>
        </w:rPr>
      </w:pPr>
      <w:r>
        <w:rPr>
          <w:lang w:val="en-US"/>
        </w:rPr>
        <w:t>DQA – Transmission network estimated aggregated imbalance Index (Spain)</w:t>
      </w:r>
    </w:p>
    <w:p w:rsidR="00645397" w:rsidRDefault="00645397" w:rsidP="00645397">
      <w:pPr>
        <w:spacing w:line="240" w:lineRule="auto"/>
        <w:rPr>
          <w:lang w:val="en-US"/>
        </w:rPr>
      </w:pPr>
      <w:r>
        <w:rPr>
          <w:lang w:val="en-US"/>
        </w:rPr>
        <w:t>DSO – Distribution System Operator</w:t>
      </w:r>
    </w:p>
    <w:p w:rsidR="00645397" w:rsidRDefault="00645397" w:rsidP="00645397">
      <w:pPr>
        <w:spacing w:line="240" w:lineRule="auto"/>
        <w:rPr>
          <w:lang w:val="en-US"/>
        </w:rPr>
      </w:pPr>
      <w:r>
        <w:rPr>
          <w:lang w:val="en-US"/>
        </w:rPr>
        <w:t>ENAGAS - Spanish TSO</w:t>
      </w:r>
    </w:p>
    <w:p w:rsidR="00645397" w:rsidRDefault="00645397" w:rsidP="00645397">
      <w:pPr>
        <w:spacing w:line="240" w:lineRule="auto"/>
        <w:rPr>
          <w:lang w:val="en-US"/>
        </w:rPr>
      </w:pPr>
      <w:r>
        <w:rPr>
          <w:lang w:val="en-US"/>
        </w:rPr>
        <w:t>ENAGAS GTS – Spanish TSM</w:t>
      </w:r>
    </w:p>
    <w:p w:rsidR="00645397" w:rsidRDefault="00645397" w:rsidP="00645397">
      <w:pPr>
        <w:spacing w:line="240" w:lineRule="auto"/>
        <w:rPr>
          <w:lang w:val="en-US"/>
        </w:rPr>
      </w:pPr>
      <w:r>
        <w:rPr>
          <w:lang w:val="en-US"/>
        </w:rPr>
        <w:t xml:space="preserve">ERP – Entity responsible for forecasting </w:t>
      </w:r>
    </w:p>
    <w:p w:rsidR="00645397" w:rsidRPr="00F570C7" w:rsidRDefault="00645397" w:rsidP="00645397">
      <w:pPr>
        <w:spacing w:line="240" w:lineRule="auto"/>
        <w:rPr>
          <w:lang w:val="es-ES"/>
        </w:rPr>
      </w:pPr>
      <w:r w:rsidRPr="00F570C7">
        <w:rPr>
          <w:lang w:val="es-ES"/>
        </w:rPr>
        <w:t>ERSE - Portuguese NRA</w:t>
      </w:r>
    </w:p>
    <w:p w:rsidR="00645397" w:rsidRPr="00F570C7" w:rsidRDefault="00645397" w:rsidP="00645397">
      <w:pPr>
        <w:spacing w:line="240" w:lineRule="auto"/>
        <w:rPr>
          <w:lang w:val="es-ES"/>
        </w:rPr>
      </w:pPr>
      <w:r w:rsidRPr="00F570C7">
        <w:rPr>
          <w:lang w:val="es-ES"/>
        </w:rPr>
        <w:t>GRTgaz - French TSO</w:t>
      </w:r>
    </w:p>
    <w:p w:rsidR="00645397" w:rsidRDefault="00645397" w:rsidP="00645397">
      <w:pPr>
        <w:spacing w:line="240" w:lineRule="auto"/>
        <w:rPr>
          <w:lang w:val="en-US"/>
        </w:rPr>
      </w:pPr>
      <w:r>
        <w:rPr>
          <w:lang w:val="en-US"/>
        </w:rPr>
        <w:t>GTG – Global Technical Manager (Portugal)</w:t>
      </w:r>
    </w:p>
    <w:p w:rsidR="00645397" w:rsidRDefault="00645397" w:rsidP="00645397">
      <w:pPr>
        <w:spacing w:line="240" w:lineRule="auto"/>
        <w:rPr>
          <w:lang w:val="en-US"/>
        </w:rPr>
      </w:pPr>
      <w:r>
        <w:rPr>
          <w:lang w:val="en-US"/>
        </w:rPr>
        <w:t>IDQ – Network Imbalance Index (Spain)</w:t>
      </w:r>
    </w:p>
    <w:p w:rsidR="00645397" w:rsidRDefault="00645397" w:rsidP="00645397">
      <w:pPr>
        <w:spacing w:line="240" w:lineRule="auto"/>
        <w:rPr>
          <w:lang w:val="en-US"/>
        </w:rPr>
      </w:pPr>
      <w:r>
        <w:rPr>
          <w:lang w:val="en-US"/>
        </w:rPr>
        <w:t>IM – Intraday metered</w:t>
      </w:r>
    </w:p>
    <w:p w:rsidR="00645397" w:rsidRDefault="00645397" w:rsidP="00645397">
      <w:pPr>
        <w:spacing w:line="240" w:lineRule="auto"/>
        <w:rPr>
          <w:lang w:val="en-US"/>
        </w:rPr>
      </w:pPr>
      <w:r>
        <w:rPr>
          <w:lang w:val="en-US"/>
        </w:rPr>
        <w:t>IMR - Implementation Monitoring Report</w:t>
      </w:r>
    </w:p>
    <w:p w:rsidR="00645397" w:rsidRDefault="00645397" w:rsidP="00645397">
      <w:pPr>
        <w:spacing w:line="240" w:lineRule="auto"/>
        <w:rPr>
          <w:lang w:val="en-US"/>
        </w:rPr>
      </w:pPr>
      <w:r w:rsidRPr="00762A1C">
        <w:rPr>
          <w:lang w:val="en-US"/>
        </w:rPr>
        <w:t>LNG - Liquefied Natural Gas</w:t>
      </w:r>
    </w:p>
    <w:p w:rsidR="00645397" w:rsidRPr="00F570C7" w:rsidRDefault="00645397" w:rsidP="00645397">
      <w:pPr>
        <w:spacing w:line="240" w:lineRule="auto"/>
        <w:rPr>
          <w:lang w:val="en-US"/>
        </w:rPr>
      </w:pPr>
      <w:r w:rsidRPr="00F570C7">
        <w:rPr>
          <w:lang w:val="en-US"/>
        </w:rPr>
        <w:t>MA - Market agent</w:t>
      </w:r>
    </w:p>
    <w:p w:rsidR="00645397" w:rsidRPr="00EC18B7" w:rsidRDefault="00645397" w:rsidP="00645397">
      <w:pPr>
        <w:spacing w:line="240" w:lineRule="auto"/>
        <w:rPr>
          <w:rStyle w:val="Textoennegrita"/>
          <w:rFonts w:cs="Arial"/>
          <w:b w:val="0"/>
          <w:sz w:val="20"/>
          <w:szCs w:val="20"/>
        </w:rPr>
      </w:pPr>
      <w:r w:rsidRPr="00EC18B7">
        <w:rPr>
          <w:rStyle w:val="Textoennegrita"/>
          <w:rFonts w:cs="Arial"/>
          <w:b w:val="0"/>
          <w:sz w:val="20"/>
          <w:szCs w:val="20"/>
        </w:rPr>
        <w:t>MIBGAS – Mercado Ibérico de Gas (Gas exchange)</w:t>
      </w:r>
    </w:p>
    <w:p w:rsidR="00645397" w:rsidRDefault="00645397" w:rsidP="00645397">
      <w:pPr>
        <w:spacing w:line="240" w:lineRule="auto"/>
        <w:rPr>
          <w:lang w:val="en-US"/>
        </w:rPr>
      </w:pPr>
      <w:r w:rsidRPr="00744B7B">
        <w:rPr>
          <w:lang w:val="en-US"/>
        </w:rPr>
        <w:t>MPGTG</w:t>
      </w:r>
      <w:r>
        <w:rPr>
          <w:lang w:val="en-US"/>
        </w:rPr>
        <w:t xml:space="preserve"> – Manual of Global Technical Management Procedures (Portugal)</w:t>
      </w:r>
    </w:p>
    <w:p w:rsidR="00645397" w:rsidRDefault="00645397" w:rsidP="00645397">
      <w:pPr>
        <w:spacing w:line="240" w:lineRule="auto"/>
        <w:rPr>
          <w:lang w:val="en-US"/>
        </w:rPr>
      </w:pPr>
      <w:r>
        <w:rPr>
          <w:lang w:val="en-US"/>
        </w:rPr>
        <w:t>MS – ATR – IT platform for secondary market</w:t>
      </w:r>
    </w:p>
    <w:p w:rsidR="00645397" w:rsidRDefault="00645397" w:rsidP="00645397">
      <w:pPr>
        <w:spacing w:line="240" w:lineRule="auto"/>
        <w:rPr>
          <w:lang w:val="en-US"/>
        </w:rPr>
      </w:pPr>
      <w:r>
        <w:rPr>
          <w:lang w:val="en-US"/>
        </w:rPr>
        <w:t>NC - Network Code</w:t>
      </w:r>
    </w:p>
    <w:p w:rsidR="00645397" w:rsidRDefault="00645397" w:rsidP="00645397">
      <w:pPr>
        <w:spacing w:line="240" w:lineRule="auto"/>
        <w:rPr>
          <w:lang w:val="en-US"/>
        </w:rPr>
      </w:pPr>
      <w:r>
        <w:rPr>
          <w:lang w:val="en-US"/>
        </w:rPr>
        <w:t>NDM – Non-daily metered</w:t>
      </w:r>
    </w:p>
    <w:p w:rsidR="00645397" w:rsidRDefault="00645397" w:rsidP="00645397">
      <w:pPr>
        <w:spacing w:line="240" w:lineRule="auto"/>
        <w:rPr>
          <w:lang w:val="en-US"/>
        </w:rPr>
      </w:pPr>
      <w:r>
        <w:rPr>
          <w:lang w:val="en-US"/>
        </w:rPr>
        <w:t>NRA - National Regulatory Authority</w:t>
      </w:r>
    </w:p>
    <w:p w:rsidR="00645397" w:rsidRPr="00EC18B7" w:rsidRDefault="00645397" w:rsidP="00645397">
      <w:pPr>
        <w:spacing w:line="240" w:lineRule="auto"/>
        <w:rPr>
          <w:rStyle w:val="Textoennegrita"/>
          <w:rFonts w:cs="Arial"/>
          <w:b w:val="0"/>
          <w:sz w:val="20"/>
          <w:szCs w:val="20"/>
          <w:lang w:val="en-US"/>
        </w:rPr>
      </w:pPr>
      <w:r w:rsidRPr="00EC18B7">
        <w:rPr>
          <w:rStyle w:val="Textoennegrita"/>
          <w:rFonts w:cs="Arial"/>
          <w:b w:val="0"/>
          <w:sz w:val="20"/>
          <w:szCs w:val="20"/>
          <w:lang w:val="en-US"/>
        </w:rPr>
        <w:t>NSNG – National System of Natural Gas (Portugal)</w:t>
      </w:r>
    </w:p>
    <w:p w:rsidR="00645397" w:rsidRDefault="00645397" w:rsidP="00645397">
      <w:pPr>
        <w:spacing w:line="240" w:lineRule="auto"/>
        <w:rPr>
          <w:rStyle w:val="Textoennegrita"/>
          <w:rFonts w:cs="Arial"/>
          <w:b w:val="0"/>
          <w:sz w:val="20"/>
          <w:szCs w:val="20"/>
          <w:lang w:val="en-US"/>
        </w:rPr>
      </w:pPr>
      <w:r>
        <w:rPr>
          <w:rStyle w:val="Textoennegrita"/>
          <w:rFonts w:cs="Arial"/>
          <w:b w:val="0"/>
          <w:sz w:val="20"/>
          <w:szCs w:val="20"/>
          <w:lang w:val="en-US"/>
        </w:rPr>
        <w:t>NU – Network user</w:t>
      </w:r>
    </w:p>
    <w:p w:rsidR="00645397" w:rsidRDefault="00645397" w:rsidP="00645397">
      <w:pPr>
        <w:spacing w:line="240" w:lineRule="auto"/>
        <w:rPr>
          <w:lang w:val="en-US"/>
        </w:rPr>
      </w:pPr>
      <w:r>
        <w:rPr>
          <w:lang w:val="en-US"/>
        </w:rPr>
        <w:t>OMIP – Iberian Power Derivatives Exchange</w:t>
      </w:r>
    </w:p>
    <w:p w:rsidR="00645397" w:rsidRDefault="00645397" w:rsidP="00645397">
      <w:pPr>
        <w:spacing w:line="240" w:lineRule="auto"/>
        <w:rPr>
          <w:lang w:val="en-US"/>
        </w:rPr>
      </w:pPr>
      <w:r>
        <w:rPr>
          <w:lang w:val="en-US"/>
        </w:rPr>
        <w:t>OBA – Operating Balancing Agreement</w:t>
      </w:r>
    </w:p>
    <w:p w:rsidR="00645397" w:rsidRDefault="00645397" w:rsidP="00645397">
      <w:pPr>
        <w:spacing w:line="240" w:lineRule="auto"/>
        <w:rPr>
          <w:lang w:val="en-US"/>
        </w:rPr>
      </w:pPr>
      <w:r>
        <w:rPr>
          <w:lang w:val="en-US"/>
        </w:rPr>
        <w:t>OTC – Over the Counter (off-exchange trading)</w:t>
      </w:r>
    </w:p>
    <w:p w:rsidR="00645397" w:rsidRPr="00EC18B7" w:rsidRDefault="00645397" w:rsidP="00645397">
      <w:pPr>
        <w:spacing w:line="240" w:lineRule="auto"/>
        <w:rPr>
          <w:rStyle w:val="Textoennegrita"/>
          <w:rFonts w:cs="Arial"/>
          <w:b w:val="0"/>
          <w:sz w:val="20"/>
          <w:szCs w:val="20"/>
          <w:lang w:val="en-US"/>
        </w:rPr>
      </w:pPr>
      <w:r w:rsidRPr="00EC18B7">
        <w:rPr>
          <w:lang w:val="en-US"/>
        </w:rPr>
        <w:t xml:space="preserve">PEG Nord - </w:t>
      </w:r>
      <w:r w:rsidRPr="00EC18B7">
        <w:rPr>
          <w:rFonts w:cs="Arial"/>
          <w:sz w:val="20"/>
          <w:szCs w:val="20"/>
          <w:lang w:val="en-US"/>
        </w:rPr>
        <w:t xml:space="preserve">Point d’échange de gaz – </w:t>
      </w:r>
      <w:r w:rsidRPr="00EC18B7">
        <w:rPr>
          <w:rStyle w:val="Textoennegrita"/>
          <w:rFonts w:cs="Arial"/>
          <w:b w:val="0"/>
          <w:sz w:val="20"/>
          <w:szCs w:val="20"/>
          <w:lang w:val="en-US"/>
        </w:rPr>
        <w:t>Nord (Gas exchange, France)</w:t>
      </w:r>
    </w:p>
    <w:p w:rsidR="00645397" w:rsidRDefault="00645397" w:rsidP="00645397">
      <w:pPr>
        <w:spacing w:line="240" w:lineRule="auto"/>
        <w:rPr>
          <w:lang w:val="en-US"/>
        </w:rPr>
      </w:pPr>
      <w:r>
        <w:rPr>
          <w:lang w:val="en-US"/>
        </w:rPr>
        <w:t>PIR – Crossborder Interface point (France)</w:t>
      </w:r>
    </w:p>
    <w:p w:rsidR="00645397" w:rsidRPr="00645397" w:rsidRDefault="00645397" w:rsidP="00645397">
      <w:pPr>
        <w:spacing w:line="240" w:lineRule="auto"/>
        <w:rPr>
          <w:color w:val="000000" w:themeColor="text1"/>
          <w:lang w:val="en-US"/>
        </w:rPr>
      </w:pPr>
      <w:r w:rsidRPr="00645397">
        <w:rPr>
          <w:color w:val="000000" w:themeColor="text1"/>
          <w:lang w:val="en-US"/>
        </w:rPr>
        <w:t>PITD – Interface p</w:t>
      </w:r>
      <w:r>
        <w:rPr>
          <w:color w:val="000000" w:themeColor="text1"/>
          <w:lang w:val="en-US"/>
        </w:rPr>
        <w:t>oints transmission-distribution</w:t>
      </w:r>
      <w:r w:rsidRPr="00645397">
        <w:rPr>
          <w:color w:val="000000" w:themeColor="text1"/>
          <w:lang w:val="en-US"/>
        </w:rPr>
        <w:t xml:space="preserve"> (France)</w:t>
      </w:r>
    </w:p>
    <w:p w:rsidR="00645397" w:rsidRDefault="00645397" w:rsidP="00645397">
      <w:pPr>
        <w:spacing w:line="240" w:lineRule="auto"/>
        <w:rPr>
          <w:lang w:val="en-US"/>
        </w:rPr>
      </w:pPr>
      <w:r>
        <w:rPr>
          <w:lang w:val="en-US"/>
        </w:rPr>
        <w:t>PITS – Interface points with storage (France)</w:t>
      </w:r>
    </w:p>
    <w:p w:rsidR="00645397" w:rsidRDefault="00645397" w:rsidP="00645397">
      <w:pPr>
        <w:spacing w:line="240" w:lineRule="auto"/>
        <w:rPr>
          <w:lang w:val="en-US"/>
        </w:rPr>
      </w:pPr>
      <w:r>
        <w:rPr>
          <w:lang w:val="en-US"/>
        </w:rPr>
        <w:t>PITTM – Interface Point with LNG terminal (France)</w:t>
      </w:r>
    </w:p>
    <w:p w:rsidR="00645397" w:rsidRDefault="00645397" w:rsidP="00645397">
      <w:pPr>
        <w:spacing w:line="240" w:lineRule="auto"/>
        <w:rPr>
          <w:lang w:val="en-US"/>
        </w:rPr>
      </w:pPr>
      <w:r>
        <w:rPr>
          <w:lang w:val="en-US"/>
        </w:rPr>
        <w:t>PLC – Projected Closing Linepack (France)</w:t>
      </w:r>
    </w:p>
    <w:p w:rsidR="00645397" w:rsidRDefault="00645397" w:rsidP="00645397">
      <w:pPr>
        <w:spacing w:line="240" w:lineRule="auto"/>
        <w:rPr>
          <w:lang w:val="en-US"/>
        </w:rPr>
      </w:pPr>
      <w:r>
        <w:rPr>
          <w:lang w:val="en-US"/>
        </w:rPr>
        <w:t>PMargV – Marginal Price of sale</w:t>
      </w:r>
    </w:p>
    <w:p w:rsidR="00645397" w:rsidRPr="00645397" w:rsidRDefault="00645397" w:rsidP="00645397">
      <w:pPr>
        <w:spacing w:line="240" w:lineRule="auto"/>
        <w:rPr>
          <w:color w:val="000000" w:themeColor="text1"/>
          <w:lang w:val="en-AU"/>
        </w:rPr>
      </w:pPr>
      <w:r w:rsidRPr="00645397">
        <w:rPr>
          <w:color w:val="000000" w:themeColor="text1"/>
          <w:lang w:val="en-AU"/>
        </w:rPr>
        <w:t>Powernext’s PEGAS platform – Balancing platform (France)</w:t>
      </w:r>
    </w:p>
    <w:p w:rsidR="00645397" w:rsidRDefault="00645397" w:rsidP="00645397">
      <w:pPr>
        <w:spacing w:line="240" w:lineRule="auto"/>
        <w:rPr>
          <w:lang w:val="en-US"/>
        </w:rPr>
      </w:pPr>
      <w:r>
        <w:rPr>
          <w:lang w:val="en-US"/>
        </w:rPr>
        <w:t>PVB – Punto Virtual de Balance (Name of Spanish VTP)</w:t>
      </w:r>
    </w:p>
    <w:p w:rsidR="00645397" w:rsidRPr="00E075E9" w:rsidRDefault="00645397" w:rsidP="00645397">
      <w:pPr>
        <w:spacing w:line="240" w:lineRule="auto"/>
        <w:rPr>
          <w:lang w:val="en-US"/>
        </w:rPr>
      </w:pPr>
      <w:r w:rsidRPr="00E075E9">
        <w:rPr>
          <w:lang w:val="en-US"/>
        </w:rPr>
        <w:t>REN - Portuguese TSO</w:t>
      </w:r>
    </w:p>
    <w:p w:rsidR="00645397" w:rsidRPr="00645397" w:rsidRDefault="00645397" w:rsidP="00645397">
      <w:pPr>
        <w:spacing w:line="240" w:lineRule="auto"/>
        <w:rPr>
          <w:color w:val="000000" w:themeColor="text1"/>
          <w:lang w:val="en-US"/>
        </w:rPr>
      </w:pPr>
      <w:r w:rsidRPr="00645397">
        <w:rPr>
          <w:color w:val="000000" w:themeColor="text1"/>
          <w:lang w:val="en-US"/>
        </w:rPr>
        <w:t>SEC – Indicator of forecasted linepack (France)</w:t>
      </w:r>
    </w:p>
    <w:p w:rsidR="00645397" w:rsidRDefault="00645397" w:rsidP="00645397">
      <w:pPr>
        <w:spacing w:line="240" w:lineRule="auto"/>
        <w:rPr>
          <w:lang w:val="en-US"/>
        </w:rPr>
      </w:pPr>
      <w:r w:rsidRPr="00114107">
        <w:rPr>
          <w:lang w:val="en-US"/>
        </w:rPr>
        <w:t>SET – Transport balancing service (France)</w:t>
      </w:r>
    </w:p>
    <w:p w:rsidR="00645397" w:rsidRDefault="00645397" w:rsidP="00645397">
      <w:pPr>
        <w:spacing w:line="240" w:lineRule="auto"/>
        <w:rPr>
          <w:lang w:val="en-US"/>
        </w:rPr>
      </w:pPr>
      <w:r>
        <w:rPr>
          <w:lang w:val="en-US"/>
        </w:rPr>
        <w:t>SGRI - South Gas Regional Initiative</w:t>
      </w:r>
    </w:p>
    <w:p w:rsidR="00645397" w:rsidRDefault="00645397" w:rsidP="00645397">
      <w:pPr>
        <w:spacing w:line="240" w:lineRule="auto"/>
        <w:rPr>
          <w:lang w:val="en-US"/>
        </w:rPr>
      </w:pPr>
      <w:r w:rsidRPr="005D5DD7">
        <w:rPr>
          <w:lang w:val="en-US"/>
        </w:rPr>
        <w:t xml:space="preserve">SL-ATR – Sistema Logístico de Acceso de Terceros a Redes (Spain) </w:t>
      </w:r>
      <w:r w:rsidRPr="00D46B65">
        <w:rPr>
          <w:lang w:val="en-US"/>
        </w:rPr>
        <w:t>IT system for the logistic of the Spanish gas system.</w:t>
      </w:r>
    </w:p>
    <w:p w:rsidR="00645397" w:rsidRDefault="00645397" w:rsidP="00645397">
      <w:pPr>
        <w:spacing w:line="240" w:lineRule="auto"/>
        <w:rPr>
          <w:lang w:val="en-US"/>
        </w:rPr>
      </w:pPr>
      <w:r>
        <w:rPr>
          <w:lang w:val="en-US"/>
        </w:rPr>
        <w:t>STSP – Short Term Standarised Products</w:t>
      </w:r>
    </w:p>
    <w:p w:rsidR="00645397" w:rsidRDefault="00645397" w:rsidP="00645397">
      <w:pPr>
        <w:spacing w:line="240" w:lineRule="auto"/>
        <w:rPr>
          <w:lang w:val="en-US"/>
        </w:rPr>
      </w:pPr>
      <w:r>
        <w:rPr>
          <w:lang w:val="en-US"/>
        </w:rPr>
        <w:t>TIGF - French TSO</w:t>
      </w:r>
    </w:p>
    <w:p w:rsidR="00645397" w:rsidRDefault="00645397" w:rsidP="00645397">
      <w:pPr>
        <w:spacing w:line="240" w:lineRule="auto"/>
        <w:rPr>
          <w:lang w:val="en-US"/>
        </w:rPr>
      </w:pPr>
      <w:r>
        <w:rPr>
          <w:lang w:val="en-US"/>
        </w:rPr>
        <w:t>TPA – Third Party Access</w:t>
      </w:r>
    </w:p>
    <w:p w:rsidR="00645397" w:rsidRPr="00EC18B7" w:rsidRDefault="00645397" w:rsidP="00645397">
      <w:pPr>
        <w:spacing w:line="240" w:lineRule="auto"/>
        <w:rPr>
          <w:rStyle w:val="Textoennegrita"/>
          <w:rFonts w:cs="Arial"/>
          <w:b w:val="0"/>
          <w:sz w:val="20"/>
          <w:szCs w:val="20"/>
          <w:lang w:val="en-US"/>
        </w:rPr>
      </w:pPr>
      <w:r w:rsidRPr="00EC18B7">
        <w:rPr>
          <w:rStyle w:val="Textoennegrita"/>
          <w:rFonts w:cs="Arial"/>
          <w:b w:val="0"/>
          <w:sz w:val="20"/>
          <w:szCs w:val="20"/>
          <w:lang w:val="en-US"/>
        </w:rPr>
        <w:t>TRF – Trading Region France (Gas exchange)</w:t>
      </w:r>
    </w:p>
    <w:p w:rsidR="00645397" w:rsidRPr="00DE50C8" w:rsidRDefault="00645397" w:rsidP="00645397">
      <w:pPr>
        <w:spacing w:line="240" w:lineRule="auto"/>
        <w:rPr>
          <w:lang w:val="en-US"/>
        </w:rPr>
      </w:pPr>
      <w:r w:rsidRPr="00DE50C8">
        <w:rPr>
          <w:lang w:val="en-US"/>
        </w:rPr>
        <w:t>TSO</w:t>
      </w:r>
      <w:r>
        <w:rPr>
          <w:lang w:val="en-US"/>
        </w:rPr>
        <w:t xml:space="preserve"> -</w:t>
      </w:r>
      <w:r w:rsidRPr="00DE50C8">
        <w:rPr>
          <w:lang w:val="en-US"/>
        </w:rPr>
        <w:t xml:space="preserve"> Transmission System Operator</w:t>
      </w:r>
    </w:p>
    <w:p w:rsidR="00645397" w:rsidRDefault="00645397" w:rsidP="00645397">
      <w:pPr>
        <w:spacing w:line="240" w:lineRule="auto"/>
        <w:rPr>
          <w:lang w:val="en-US"/>
        </w:rPr>
      </w:pPr>
      <w:r>
        <w:rPr>
          <w:lang w:val="en-US"/>
        </w:rPr>
        <w:t>TRS - Trading Region South (Gas exchange)</w:t>
      </w:r>
    </w:p>
    <w:p w:rsidR="00645397" w:rsidRDefault="00645397" w:rsidP="00645397">
      <w:pPr>
        <w:spacing w:line="240" w:lineRule="auto"/>
        <w:rPr>
          <w:lang w:val="en-US"/>
        </w:rPr>
      </w:pPr>
      <w:r>
        <w:rPr>
          <w:lang w:val="en-US"/>
        </w:rPr>
        <w:t>TSM - Technical System Manager</w:t>
      </w:r>
    </w:p>
    <w:p w:rsidR="00645397" w:rsidRDefault="00645397" w:rsidP="00645397">
      <w:pPr>
        <w:spacing w:line="240" w:lineRule="auto"/>
        <w:rPr>
          <w:lang w:val="en-US"/>
        </w:rPr>
      </w:pPr>
      <w:r>
        <w:rPr>
          <w:lang w:val="en-US"/>
        </w:rPr>
        <w:t>UGS – Underground Storage</w:t>
      </w:r>
    </w:p>
    <w:p w:rsidR="00645397" w:rsidRDefault="00645397" w:rsidP="00645397">
      <w:pPr>
        <w:spacing w:line="240" w:lineRule="auto"/>
        <w:rPr>
          <w:lang w:val="en-US"/>
        </w:rPr>
      </w:pPr>
      <w:r>
        <w:rPr>
          <w:lang w:val="en-US"/>
        </w:rPr>
        <w:t>VIP – Virtual Interconnection Point</w:t>
      </w:r>
    </w:p>
    <w:p w:rsidR="00645397" w:rsidRDefault="00645397" w:rsidP="00645397">
      <w:pPr>
        <w:spacing w:line="240" w:lineRule="auto"/>
        <w:rPr>
          <w:lang w:val="en-US"/>
        </w:rPr>
      </w:pPr>
      <w:r>
        <w:rPr>
          <w:lang w:val="en-US"/>
        </w:rPr>
        <w:t>VTP - Virtual Trading Point</w:t>
      </w:r>
    </w:p>
    <w:p w:rsidR="00645397" w:rsidRDefault="00645397" w:rsidP="00645397">
      <w:pPr>
        <w:spacing w:line="240" w:lineRule="auto"/>
        <w:rPr>
          <w:lang w:val="en-US"/>
        </w:rPr>
      </w:pPr>
      <w:r>
        <w:rPr>
          <w:lang w:val="en-US"/>
        </w:rPr>
        <w:t>WD – Within Day</w:t>
      </w:r>
    </w:p>
    <w:p w:rsidR="00645397" w:rsidRDefault="00645397">
      <w:pPr>
        <w:spacing w:before="0" w:after="0" w:line="240" w:lineRule="auto"/>
        <w:jc w:val="left"/>
        <w:rPr>
          <w:lang w:val="en-US"/>
        </w:rPr>
      </w:pPr>
      <w:r>
        <w:rPr>
          <w:lang w:val="en-US"/>
        </w:rPr>
        <w:br w:type="page"/>
      </w:r>
    </w:p>
    <w:p w:rsidR="00645397" w:rsidRPr="00F570C7" w:rsidRDefault="00645397" w:rsidP="00645397">
      <w:pPr>
        <w:rPr>
          <w:b/>
          <w:lang w:val="en-US"/>
        </w:rPr>
      </w:pPr>
      <w:r w:rsidRPr="00F570C7">
        <w:rPr>
          <w:b/>
          <w:lang w:val="en-US"/>
        </w:rPr>
        <w:t>REGULATION ON BALANCING</w:t>
      </w:r>
      <w:r>
        <w:rPr>
          <w:b/>
          <w:lang w:val="en-US"/>
        </w:rPr>
        <w:t xml:space="preserve"> OF TRANSMISSION NETWORKS </w:t>
      </w:r>
    </w:p>
    <w:p w:rsidR="00645397" w:rsidRPr="00F570C7" w:rsidRDefault="00645397" w:rsidP="00645397">
      <w:pPr>
        <w:spacing w:line="240" w:lineRule="auto"/>
        <w:rPr>
          <w:u w:val="single"/>
          <w:lang w:val="en-US"/>
        </w:rPr>
      </w:pPr>
      <w:r w:rsidRPr="00F570C7">
        <w:rPr>
          <w:u w:val="single"/>
          <w:lang w:val="en-US"/>
        </w:rPr>
        <w:t>European Union</w:t>
      </w:r>
    </w:p>
    <w:p w:rsidR="00645397" w:rsidRDefault="00645397" w:rsidP="00645397">
      <w:pPr>
        <w:spacing w:line="240" w:lineRule="auto"/>
        <w:rPr>
          <w:lang w:val="en-US"/>
        </w:rPr>
      </w:pPr>
      <w:r>
        <w:rPr>
          <w:lang w:val="en-US"/>
        </w:rPr>
        <w:t>Commission Regulation (EU) No 312/2014 of 26 March 2014 establishing a Network Code on Gas Balancing of Transmission Networks</w:t>
      </w:r>
      <w:r w:rsidRPr="00F570C7">
        <w:footnoteReference w:id="11"/>
      </w:r>
      <w:r>
        <w:rPr>
          <w:lang w:val="en-US"/>
        </w:rPr>
        <w:t>.</w:t>
      </w:r>
    </w:p>
    <w:p w:rsidR="00645397" w:rsidRPr="00F570C7" w:rsidRDefault="00645397" w:rsidP="00645397">
      <w:pPr>
        <w:spacing w:line="240" w:lineRule="auto"/>
        <w:rPr>
          <w:u w:val="single"/>
          <w:lang w:val="en-US"/>
        </w:rPr>
      </w:pPr>
      <w:r w:rsidRPr="00F570C7">
        <w:rPr>
          <w:u w:val="single"/>
          <w:lang w:val="en-US"/>
        </w:rPr>
        <w:t>France</w:t>
      </w:r>
    </w:p>
    <w:p w:rsidR="00645397" w:rsidRDefault="00645397" w:rsidP="00645397">
      <w:pPr>
        <w:spacing w:line="240" w:lineRule="auto"/>
        <w:rPr>
          <w:lang w:val="en-US"/>
        </w:rPr>
      </w:pPr>
      <w:r w:rsidRPr="00436FE3">
        <w:rPr>
          <w:lang w:val="en-US"/>
        </w:rPr>
        <w:t>CRE de</w:t>
      </w:r>
      <w:r>
        <w:rPr>
          <w:lang w:val="en-US"/>
        </w:rPr>
        <w:t>liberation of 10 September 2015 “</w:t>
      </w:r>
      <w:r w:rsidRPr="00F570C7">
        <w:rPr>
          <w:lang w:val="en-US"/>
        </w:rPr>
        <w:t>Deliberation of the Regulatory Commission of Energy of 10th September 2015 relating to developments of the balancing rules on gas transport networks on 1st October 2015”</w:t>
      </w:r>
      <w:r w:rsidRPr="00F570C7">
        <w:rPr>
          <w:lang w:val="en-US"/>
        </w:rPr>
        <w:footnoteReference w:id="12"/>
      </w:r>
      <w:r w:rsidRPr="00F570C7">
        <w:rPr>
          <w:lang w:val="en-US"/>
        </w:rPr>
        <w:t>.</w:t>
      </w:r>
    </w:p>
    <w:p w:rsidR="00645397" w:rsidRDefault="00645397" w:rsidP="00645397">
      <w:pPr>
        <w:spacing w:line="240" w:lineRule="auto"/>
        <w:rPr>
          <w:lang w:val="en-US"/>
        </w:rPr>
      </w:pPr>
      <w:r>
        <w:rPr>
          <w:lang w:val="en-US"/>
        </w:rPr>
        <w:t>CRE deliberation of 15 September 2016 “</w:t>
      </w:r>
      <w:r w:rsidRPr="00F570C7">
        <w:rPr>
          <w:lang w:val="en-US"/>
        </w:rPr>
        <w:t>Deliberation of the French Energy Regulatory Commission of 15 September 2016 relating to changes in the balancing rules of gas transmission networks on 1 October 2016”</w:t>
      </w:r>
      <w:r w:rsidRPr="00F570C7">
        <w:rPr>
          <w:lang w:val="en-US"/>
        </w:rPr>
        <w:footnoteReference w:id="13"/>
      </w:r>
      <w:r w:rsidRPr="00436FE3">
        <w:rPr>
          <w:lang w:val="en-US"/>
        </w:rPr>
        <w:t xml:space="preserve">. </w:t>
      </w:r>
    </w:p>
    <w:p w:rsidR="00645397" w:rsidRDefault="00645397" w:rsidP="00645397">
      <w:pPr>
        <w:spacing w:line="240" w:lineRule="auto"/>
        <w:rPr>
          <w:lang w:val="en-US"/>
        </w:rPr>
      </w:pPr>
      <w:r w:rsidRPr="00436FE3">
        <w:rPr>
          <w:lang w:val="en-US"/>
        </w:rPr>
        <w:t>CRE deliberation 2017-246 of 26 October 2017.</w:t>
      </w:r>
      <w:r>
        <w:rPr>
          <w:lang w:val="en-US"/>
        </w:rPr>
        <w:t xml:space="preserve"> “</w:t>
      </w:r>
      <w:r w:rsidRPr="00F570C7">
        <w:rPr>
          <w:lang w:val="en-US"/>
        </w:rPr>
        <w:t>Deliberation of the Energy Regulatory Commission of 26 October 2017 on the creation of a single gas market area in France on 1st November 2018”</w:t>
      </w:r>
      <w:r w:rsidRPr="00F570C7">
        <w:rPr>
          <w:lang w:val="en-US"/>
        </w:rPr>
        <w:footnoteReference w:id="14"/>
      </w:r>
      <w:r w:rsidRPr="00F570C7">
        <w:rPr>
          <w:lang w:val="en-US"/>
        </w:rPr>
        <w:t>.</w:t>
      </w:r>
    </w:p>
    <w:p w:rsidR="00645397" w:rsidRPr="00F570C7" w:rsidRDefault="00645397" w:rsidP="00645397">
      <w:pPr>
        <w:spacing w:line="240" w:lineRule="auto"/>
        <w:rPr>
          <w:u w:val="single"/>
          <w:lang w:val="en-US"/>
        </w:rPr>
      </w:pPr>
      <w:r w:rsidRPr="00F570C7">
        <w:rPr>
          <w:u w:val="single"/>
          <w:lang w:val="en-US"/>
        </w:rPr>
        <w:t>Spain</w:t>
      </w:r>
    </w:p>
    <w:p w:rsidR="00645397" w:rsidRDefault="00645397" w:rsidP="00645397">
      <w:pPr>
        <w:spacing w:line="240" w:lineRule="auto"/>
        <w:rPr>
          <w:lang w:val="en-US"/>
        </w:rPr>
      </w:pPr>
      <w:r>
        <w:rPr>
          <w:lang w:val="en-US"/>
        </w:rPr>
        <w:t>Circular 2/2015</w:t>
      </w:r>
      <w:r w:rsidRPr="00F570C7">
        <w:footnoteReference w:id="15"/>
      </w:r>
      <w:r>
        <w:rPr>
          <w:lang w:val="en-US"/>
        </w:rPr>
        <w:t>, of 22 July, by Spain`s National Authority for Markets and Competition (CNMC) establishing the regulation on gas balancing of transmission networks</w:t>
      </w:r>
      <w:r w:rsidRPr="00F570C7">
        <w:footnoteReference w:id="16"/>
      </w:r>
      <w:r>
        <w:rPr>
          <w:lang w:val="en-US"/>
        </w:rPr>
        <w:t>.</w:t>
      </w:r>
    </w:p>
    <w:p w:rsidR="00645397" w:rsidRPr="00F570C7" w:rsidRDefault="00645397" w:rsidP="00645397">
      <w:pPr>
        <w:spacing w:line="240" w:lineRule="auto"/>
        <w:rPr>
          <w:u w:val="single"/>
          <w:lang w:val="en-US"/>
        </w:rPr>
      </w:pPr>
      <w:r w:rsidRPr="00F570C7">
        <w:rPr>
          <w:u w:val="single"/>
          <w:lang w:val="en-US"/>
        </w:rPr>
        <w:t>Portugal</w:t>
      </w:r>
    </w:p>
    <w:p w:rsidR="00645397" w:rsidRPr="00D81A61" w:rsidRDefault="00645397" w:rsidP="00645397">
      <w:pPr>
        <w:spacing w:line="240" w:lineRule="auto"/>
        <w:rPr>
          <w:lang w:val="en-US"/>
        </w:rPr>
      </w:pPr>
      <w:r>
        <w:rPr>
          <w:lang w:val="en-US"/>
        </w:rPr>
        <w:t xml:space="preserve">ROI- Regulation for Operation of Infrastructures (Portugal). </w:t>
      </w:r>
      <w:r w:rsidRPr="00744B7B">
        <w:rPr>
          <w:lang w:val="en-US"/>
        </w:rPr>
        <w:t>Regulation No.417/2016, of the 29</w:t>
      </w:r>
      <w:r w:rsidRPr="00605788">
        <w:rPr>
          <w:vertAlign w:val="superscript"/>
          <w:lang w:val="en-US"/>
        </w:rPr>
        <w:t>th</w:t>
      </w:r>
      <w:r w:rsidRPr="00744B7B">
        <w:rPr>
          <w:lang w:val="en-US"/>
        </w:rPr>
        <w:t xml:space="preserve"> of April, approving the Regulation for Operation of Infrastructures in the natural gas sector</w:t>
      </w:r>
      <w:r w:rsidRPr="00F570C7">
        <w:rPr>
          <w:vertAlign w:val="superscript"/>
        </w:rPr>
        <w:footnoteReference w:id="17"/>
      </w:r>
      <w:r>
        <w:rPr>
          <w:lang w:val="en-US"/>
        </w:rPr>
        <w:t>.</w:t>
      </w:r>
    </w:p>
    <w:p w:rsidR="006302CC" w:rsidRPr="006302CC" w:rsidRDefault="006302CC" w:rsidP="00645397">
      <w:pPr>
        <w:rPr>
          <w:lang w:val="en-US"/>
        </w:rPr>
      </w:pPr>
    </w:p>
    <w:sectPr w:rsidR="006302CC" w:rsidRPr="006302CC" w:rsidSect="00BD53E1">
      <w:headerReference w:type="default" r:id="rId56"/>
      <w:footerReference w:type="default" r:id="rId57"/>
      <w:headerReference w:type="first" r:id="rId58"/>
      <w:pgSz w:w="11906" w:h="16838" w:code="9"/>
      <w:pgMar w:top="1871" w:right="1559"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53CC" w:rsidRDefault="006553CC">
      <w:r>
        <w:separator/>
      </w:r>
    </w:p>
  </w:endnote>
  <w:endnote w:type="continuationSeparator" w:id="0">
    <w:p w:rsidR="006553CC" w:rsidRDefault="00655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Heavy">
    <w:panose1 w:val="020B09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Roman">
    <w:altName w:val="Lucida Sans Unicode"/>
    <w:charset w:val="00"/>
    <w:family w:val="swiss"/>
    <w:pitch w:val="variable"/>
    <w:sig w:usb0="80000027"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etroMedium LT Two">
    <w:charset w:val="00"/>
    <w:family w:val="auto"/>
    <w:pitch w:val="variable"/>
    <w:sig w:usb0="80000027" w:usb1="0000004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EUAlbertina">
    <w:altName w:val="EU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50" w:type="dxa"/>
      <w:jc w:val="center"/>
      <w:tblBorders>
        <w:top w:val="single" w:sz="8" w:space="0" w:color="004E55"/>
      </w:tblBorders>
      <w:tblLook w:val="00A0" w:firstRow="1" w:lastRow="0" w:firstColumn="1" w:lastColumn="0" w:noHBand="0" w:noVBand="0"/>
    </w:tblPr>
    <w:tblGrid>
      <w:gridCol w:w="8098"/>
      <w:gridCol w:w="852"/>
    </w:tblGrid>
    <w:tr w:rsidR="006D446E" w:rsidTr="001C22B8">
      <w:trPr>
        <w:trHeight w:val="345"/>
        <w:jc w:val="center"/>
      </w:trPr>
      <w:tc>
        <w:tcPr>
          <w:tcW w:w="8098" w:type="dxa"/>
          <w:vAlign w:val="bottom"/>
        </w:tcPr>
        <w:p w:rsidR="006D446E" w:rsidRPr="001C22B8" w:rsidRDefault="006D446E" w:rsidP="001455A8">
          <w:pPr>
            <w:pStyle w:val="Piedepgina"/>
            <w:spacing w:line="240" w:lineRule="auto"/>
            <w:jc w:val="left"/>
            <w:rPr>
              <w:rStyle w:val="Nmerodepgina"/>
              <w:rFonts w:cs="Arial"/>
              <w:color w:val="004E55"/>
              <w:sz w:val="18"/>
              <w:szCs w:val="18"/>
              <w:lang w:val="en-GB"/>
            </w:rPr>
          </w:pPr>
          <w:r>
            <w:rPr>
              <w:rStyle w:val="Nmerodepgina"/>
              <w:rFonts w:cs="Arial"/>
              <w:color w:val="004E55"/>
              <w:sz w:val="20"/>
              <w:szCs w:val="20"/>
              <w:lang w:val="en-GB"/>
            </w:rPr>
            <w:t>Balancing regimes in the SGRI</w:t>
          </w:r>
        </w:p>
      </w:tc>
      <w:tc>
        <w:tcPr>
          <w:tcW w:w="852" w:type="dxa"/>
          <w:vAlign w:val="bottom"/>
        </w:tcPr>
        <w:p w:rsidR="006D446E" w:rsidRDefault="006D446E" w:rsidP="001A253B">
          <w:pPr>
            <w:pStyle w:val="Piedepgina"/>
            <w:jc w:val="right"/>
            <w:rPr>
              <w:rStyle w:val="Nmerodepgina"/>
              <w:color w:val="004E55"/>
              <w:sz w:val="20"/>
              <w:szCs w:val="20"/>
            </w:rPr>
          </w:pPr>
          <w:r>
            <w:rPr>
              <w:rStyle w:val="Nmerodepgina"/>
              <w:rFonts w:cs="Arial"/>
              <w:color w:val="004E55"/>
              <w:sz w:val="20"/>
              <w:szCs w:val="20"/>
            </w:rPr>
            <w:fldChar w:fldCharType="begin"/>
          </w:r>
          <w:r>
            <w:rPr>
              <w:rStyle w:val="Nmerodepgina"/>
              <w:rFonts w:cs="Arial"/>
              <w:color w:val="004E55"/>
              <w:sz w:val="20"/>
              <w:szCs w:val="20"/>
            </w:rPr>
            <w:instrText xml:space="preserve"> PAGE </w:instrText>
          </w:r>
          <w:r>
            <w:rPr>
              <w:rStyle w:val="Nmerodepgina"/>
              <w:rFonts w:cs="Arial"/>
              <w:color w:val="004E55"/>
              <w:sz w:val="20"/>
              <w:szCs w:val="20"/>
            </w:rPr>
            <w:fldChar w:fldCharType="separate"/>
          </w:r>
          <w:r w:rsidR="007D2C40">
            <w:rPr>
              <w:rStyle w:val="Nmerodepgina"/>
              <w:rFonts w:cs="Arial"/>
              <w:noProof/>
              <w:color w:val="004E55"/>
              <w:sz w:val="20"/>
              <w:szCs w:val="20"/>
            </w:rPr>
            <w:t>35</w:t>
          </w:r>
          <w:r>
            <w:rPr>
              <w:rStyle w:val="Nmerodepgina"/>
              <w:rFonts w:cs="Arial"/>
              <w:color w:val="004E55"/>
              <w:sz w:val="20"/>
              <w:szCs w:val="20"/>
            </w:rPr>
            <w:fldChar w:fldCharType="end"/>
          </w:r>
        </w:p>
      </w:tc>
    </w:tr>
  </w:tbl>
  <w:p w:rsidR="006D446E" w:rsidRPr="006C1826" w:rsidRDefault="006D446E" w:rsidP="006C1826">
    <w:pPr>
      <w:pStyle w:val="Piedepgina"/>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53CC" w:rsidRDefault="006553CC">
      <w:r>
        <w:separator/>
      </w:r>
    </w:p>
  </w:footnote>
  <w:footnote w:type="continuationSeparator" w:id="0">
    <w:p w:rsidR="006553CC" w:rsidRDefault="006553CC">
      <w:r>
        <w:continuationSeparator/>
      </w:r>
    </w:p>
  </w:footnote>
  <w:footnote w:id="1">
    <w:p w:rsidR="006D446E" w:rsidRPr="007A6AF6" w:rsidRDefault="006D446E">
      <w:pPr>
        <w:pStyle w:val="Textonotapie"/>
        <w:rPr>
          <w:sz w:val="16"/>
          <w:szCs w:val="16"/>
          <w:lang w:val="en-GB"/>
        </w:rPr>
      </w:pPr>
      <w:r w:rsidRPr="007A6AF6">
        <w:rPr>
          <w:rStyle w:val="Refdenotaalpie"/>
          <w:sz w:val="16"/>
          <w:szCs w:val="16"/>
        </w:rPr>
        <w:footnoteRef/>
      </w:r>
      <w:r w:rsidRPr="007A6AF6">
        <w:rPr>
          <w:sz w:val="16"/>
          <w:szCs w:val="16"/>
          <w:lang w:val="en-GB"/>
        </w:rPr>
        <w:t xml:space="preserve"> https://www.cnmc.es/sites/default/files/1568003_3.pdf</w:t>
      </w:r>
    </w:p>
  </w:footnote>
  <w:footnote w:id="2">
    <w:p w:rsidR="006D446E" w:rsidRPr="007A6AF6" w:rsidRDefault="006D446E" w:rsidP="00845401">
      <w:pPr>
        <w:pStyle w:val="Textonotapie"/>
        <w:jc w:val="left"/>
        <w:rPr>
          <w:sz w:val="16"/>
          <w:szCs w:val="16"/>
        </w:rPr>
      </w:pPr>
      <w:r w:rsidRPr="007A6AF6">
        <w:rPr>
          <w:rStyle w:val="Refdenotaalpie"/>
          <w:sz w:val="16"/>
          <w:szCs w:val="16"/>
        </w:rPr>
        <w:footnoteRef/>
      </w:r>
      <w:r>
        <w:rPr>
          <w:sz w:val="16"/>
          <w:szCs w:val="16"/>
        </w:rPr>
        <w:t xml:space="preserve"> </w:t>
      </w:r>
      <w:hyperlink r:id="rId1" w:history="1">
        <w:r w:rsidRPr="00A43316">
          <w:rPr>
            <w:rStyle w:val="Hipervnculo"/>
            <w:sz w:val="16"/>
            <w:szCs w:val="16"/>
          </w:rPr>
          <w:t>http://www.erse.pt/pt/gasnatural/regulamentos/operacaodasinfra-estruturas/Documents/Diretiva%2018_2016%20de%2027%20de%20outubro.pdf</w:t>
        </w:r>
      </w:hyperlink>
      <w:r w:rsidRPr="007A6AF6">
        <w:rPr>
          <w:sz w:val="16"/>
          <w:szCs w:val="16"/>
        </w:rPr>
        <w:t xml:space="preserve">. </w:t>
      </w:r>
    </w:p>
  </w:footnote>
  <w:footnote w:id="3">
    <w:p w:rsidR="006D446E" w:rsidRPr="007A6AF6" w:rsidRDefault="006D446E" w:rsidP="00845401">
      <w:pPr>
        <w:pStyle w:val="Textonotapie"/>
      </w:pPr>
      <w:r w:rsidRPr="007A6AF6">
        <w:rPr>
          <w:rStyle w:val="Refdenotaalpie"/>
          <w:sz w:val="16"/>
          <w:szCs w:val="16"/>
        </w:rPr>
        <w:footnoteRef/>
      </w:r>
      <w:r w:rsidRPr="007A6AF6">
        <w:rPr>
          <w:sz w:val="16"/>
          <w:szCs w:val="16"/>
        </w:rPr>
        <w:t xml:space="preserve"> </w:t>
      </w:r>
      <w:hyperlink r:id="rId2" w:history="1">
        <w:r w:rsidRPr="007A6AF6">
          <w:rPr>
            <w:rStyle w:val="Hipervnculo"/>
            <w:sz w:val="16"/>
            <w:szCs w:val="16"/>
          </w:rPr>
          <w:t>https://dre.pt/application/file/74305613</w:t>
        </w:r>
      </w:hyperlink>
      <w:r w:rsidRPr="007A6AF6">
        <w:t xml:space="preserve">  </w:t>
      </w:r>
    </w:p>
  </w:footnote>
  <w:footnote w:id="4">
    <w:p w:rsidR="006D446E" w:rsidRPr="007A6AF6" w:rsidRDefault="006D446E">
      <w:pPr>
        <w:pStyle w:val="Textonotapie"/>
        <w:rPr>
          <w:sz w:val="16"/>
          <w:szCs w:val="16"/>
          <w:lang w:val="en-GB"/>
        </w:rPr>
      </w:pPr>
      <w:r w:rsidRPr="007A6AF6">
        <w:rPr>
          <w:rStyle w:val="Refdenotaalpie"/>
          <w:sz w:val="16"/>
          <w:szCs w:val="16"/>
        </w:rPr>
        <w:footnoteRef/>
      </w:r>
      <w:r w:rsidRPr="007A6AF6">
        <w:rPr>
          <w:sz w:val="16"/>
          <w:szCs w:val="16"/>
          <w:lang w:val="en-GB"/>
        </w:rPr>
        <w:t xml:space="preserve"> Virtual location in the transmission network where the network users can exchange gas. It is the virtual place where the balance of each network user (inputs</w:t>
      </w:r>
      <w:r>
        <w:rPr>
          <w:sz w:val="16"/>
          <w:szCs w:val="16"/>
          <w:lang w:val="en-GB"/>
        </w:rPr>
        <w:t xml:space="preserve"> minus </w:t>
      </w:r>
      <w:r w:rsidRPr="007A6AF6">
        <w:rPr>
          <w:sz w:val="16"/>
          <w:szCs w:val="16"/>
          <w:lang w:val="en-GB"/>
        </w:rPr>
        <w:t>offtakes) is calculated.</w:t>
      </w:r>
    </w:p>
  </w:footnote>
  <w:footnote w:id="5">
    <w:p w:rsidR="006D446E" w:rsidRPr="007A6AF6" w:rsidRDefault="006D446E" w:rsidP="0092552E">
      <w:pPr>
        <w:pStyle w:val="Textonotapie"/>
        <w:spacing w:before="120" w:line="240" w:lineRule="auto"/>
        <w:jc w:val="left"/>
        <w:rPr>
          <w:sz w:val="16"/>
          <w:szCs w:val="16"/>
          <w:lang w:val="en-GB"/>
        </w:rPr>
      </w:pPr>
      <w:r w:rsidRPr="007A6AF6">
        <w:rPr>
          <w:rStyle w:val="Refdenotaalpie"/>
          <w:sz w:val="16"/>
          <w:szCs w:val="16"/>
        </w:rPr>
        <w:footnoteRef/>
      </w:r>
      <w:r w:rsidRPr="007A6AF6">
        <w:rPr>
          <w:sz w:val="16"/>
          <w:szCs w:val="16"/>
          <w:lang w:val="en-GB"/>
        </w:rPr>
        <w:t xml:space="preserve"> See PD 18: http://www.enagas.es/stfls/ENAGAS/Gestión%20Técnica%20del%20Sistema/Documentos/PD%20-actualización.v8.pdf</w:t>
      </w:r>
    </w:p>
  </w:footnote>
  <w:footnote w:id="6">
    <w:p w:rsidR="006D446E" w:rsidRPr="007A6AF6" w:rsidRDefault="006D446E" w:rsidP="0092552E">
      <w:pPr>
        <w:pStyle w:val="Textonotapie"/>
        <w:spacing w:before="120" w:line="240" w:lineRule="auto"/>
        <w:rPr>
          <w:rStyle w:val="Hipervnculo"/>
          <w:sz w:val="16"/>
          <w:szCs w:val="16"/>
        </w:rPr>
      </w:pPr>
      <w:r w:rsidRPr="007A6AF6">
        <w:rPr>
          <w:rStyle w:val="Refdenotaalpie"/>
          <w:sz w:val="16"/>
          <w:szCs w:val="16"/>
        </w:rPr>
        <w:footnoteRef/>
      </w:r>
      <w:r w:rsidRPr="007A6AF6">
        <w:rPr>
          <w:sz w:val="16"/>
          <w:szCs w:val="16"/>
          <w:lang w:val="en-GB"/>
        </w:rPr>
        <w:t xml:space="preserve"> </w:t>
      </w:r>
      <w:hyperlink r:id="rId3" w:history="1">
        <w:r w:rsidRPr="007A6AF6">
          <w:rPr>
            <w:rStyle w:val="Hipervnculo"/>
            <w:sz w:val="16"/>
            <w:szCs w:val="16"/>
            <w:lang w:val="en-GB"/>
          </w:rPr>
          <w:t>http://www.enagas.es/enagas/es/Gestion_Tecnica_Sistema/Consulta_publica/Propuesta_Procedimi</w:t>
        </w:r>
      </w:hyperlink>
      <w:r w:rsidRPr="007A6AF6">
        <w:rPr>
          <w:rStyle w:val="Hipervnculo"/>
          <w:sz w:val="16"/>
          <w:szCs w:val="16"/>
        </w:rPr>
        <w:t>ento_Calculo_Parametros_Tecnicos_PD-18</w:t>
      </w:r>
    </w:p>
  </w:footnote>
  <w:footnote w:id="7">
    <w:p w:rsidR="006D446E" w:rsidRPr="00036054" w:rsidRDefault="006D446E">
      <w:pPr>
        <w:pStyle w:val="Textonotapie"/>
        <w:rPr>
          <w:sz w:val="16"/>
          <w:szCs w:val="16"/>
        </w:rPr>
      </w:pPr>
      <w:r w:rsidRPr="007A6AF6">
        <w:rPr>
          <w:rStyle w:val="Refdenotaalpie"/>
          <w:sz w:val="16"/>
          <w:szCs w:val="16"/>
        </w:rPr>
        <w:footnoteRef/>
      </w:r>
      <w:r w:rsidRPr="00036054">
        <w:rPr>
          <w:sz w:val="16"/>
          <w:szCs w:val="16"/>
        </w:rPr>
        <w:t xml:space="preserve"> http://www.enagas.es/stfls/ENAGAS/Documentos/Metodolog%C3%ADa%20de%20c%C3%A1lculo%20de%20tarifas%20de%20desbalance.pdf</w:t>
      </w:r>
    </w:p>
  </w:footnote>
  <w:footnote w:id="8">
    <w:p w:rsidR="006D446E" w:rsidRPr="007A6AF6" w:rsidRDefault="006D446E">
      <w:pPr>
        <w:pStyle w:val="Textonotapie"/>
        <w:rPr>
          <w:sz w:val="16"/>
          <w:szCs w:val="16"/>
          <w:lang w:val="en-US"/>
        </w:rPr>
      </w:pPr>
      <w:r w:rsidRPr="007A6AF6">
        <w:rPr>
          <w:rStyle w:val="Refdenotaalpie"/>
          <w:sz w:val="16"/>
          <w:szCs w:val="16"/>
        </w:rPr>
        <w:footnoteRef/>
      </w:r>
      <w:r w:rsidRPr="007A6AF6">
        <w:rPr>
          <w:sz w:val="16"/>
          <w:szCs w:val="16"/>
          <w:lang w:val="en-GB"/>
        </w:rPr>
        <w:t xml:space="preserve"> </w:t>
      </w:r>
      <w:r w:rsidRPr="007A6AF6">
        <w:rPr>
          <w:sz w:val="16"/>
          <w:szCs w:val="16"/>
          <w:lang w:val="en-US"/>
        </w:rPr>
        <w:t xml:space="preserve">The higher price of a) the highest price of any purchases of title products in PVB in which TSO is involved in respect of the gas day or b) the weighted average price of gas in respect of that gas day, plus an small adjustment (currently 2,5%). To calculate the weighted average price only day ahead and intraday trades in respect of the gas day are considered. </w:t>
      </w:r>
    </w:p>
  </w:footnote>
  <w:footnote w:id="9">
    <w:p w:rsidR="006D446E" w:rsidRPr="007C38AC" w:rsidRDefault="006D446E">
      <w:pPr>
        <w:pStyle w:val="Textonotapie"/>
        <w:rPr>
          <w:lang w:val="en-US"/>
        </w:rPr>
      </w:pPr>
      <w:r w:rsidRPr="007A6AF6">
        <w:rPr>
          <w:rStyle w:val="Refdenotaalpie"/>
          <w:sz w:val="16"/>
          <w:szCs w:val="16"/>
        </w:rPr>
        <w:footnoteRef/>
      </w:r>
      <w:r w:rsidRPr="007A6AF6">
        <w:rPr>
          <w:sz w:val="16"/>
          <w:szCs w:val="16"/>
          <w:lang w:val="en-GB"/>
        </w:rPr>
        <w:t xml:space="preserve"> </w:t>
      </w:r>
      <w:r w:rsidRPr="007A6AF6">
        <w:rPr>
          <w:sz w:val="16"/>
          <w:szCs w:val="16"/>
          <w:lang w:val="en-US"/>
        </w:rPr>
        <w:t>The lower price of a) the lowest price of any sales of title products in PVB in which TSO is involved in respect of the gas day or b) the weighted average price of gas in respect of that gas day, minus an small adjustment (currently 2,5%). To calculate the weighted average price only day ahead and intraday trades in respect of the gas day are considered.</w:t>
      </w:r>
    </w:p>
  </w:footnote>
  <w:footnote w:id="10">
    <w:p w:rsidR="006D446E" w:rsidRPr="002F6E9B" w:rsidRDefault="006D446E">
      <w:pPr>
        <w:pStyle w:val="Textonotapie"/>
      </w:pPr>
      <w:r>
        <w:rPr>
          <w:rStyle w:val="Refdenotaalpie"/>
        </w:rPr>
        <w:footnoteRef/>
      </w:r>
      <w:r>
        <w:t xml:space="preserve"> In May 2018, CNMC has approved an incentive scheme to TSO’s efficiency in the use of balancing actions.</w:t>
      </w:r>
    </w:p>
  </w:footnote>
  <w:footnote w:id="11">
    <w:p w:rsidR="006D446E" w:rsidRPr="00E35EBC" w:rsidRDefault="006D446E" w:rsidP="00645397">
      <w:pPr>
        <w:pStyle w:val="Textonotapie"/>
        <w:spacing w:line="240" w:lineRule="auto"/>
      </w:pPr>
      <w:r>
        <w:rPr>
          <w:rStyle w:val="Refdenotaalpie"/>
        </w:rPr>
        <w:footnoteRef/>
      </w:r>
      <w:r>
        <w:t xml:space="preserve"> </w:t>
      </w:r>
      <w:r w:rsidRPr="00F570C7">
        <w:t>http://eur-lex.europa.eu/legal-content/EN/TXT/?uri=CELEX:32014R0312</w:t>
      </w:r>
    </w:p>
  </w:footnote>
  <w:footnote w:id="12">
    <w:p w:rsidR="006D446E" w:rsidRPr="00E35EBC" w:rsidRDefault="006D446E" w:rsidP="00645397">
      <w:pPr>
        <w:pStyle w:val="Textonotapie"/>
        <w:spacing w:line="240" w:lineRule="auto"/>
      </w:pPr>
      <w:r>
        <w:rPr>
          <w:rStyle w:val="Refdenotaalpie"/>
        </w:rPr>
        <w:footnoteRef/>
      </w:r>
      <w:r>
        <w:t xml:space="preserve"> </w:t>
      </w:r>
      <w:r w:rsidRPr="00F570C7">
        <w:t>http://www.cre.fr/en/documents/deliberations/(annee)/2015</w:t>
      </w:r>
    </w:p>
  </w:footnote>
  <w:footnote w:id="13">
    <w:p w:rsidR="006D446E" w:rsidRPr="00F570C7" w:rsidRDefault="006D446E" w:rsidP="00645397">
      <w:pPr>
        <w:pStyle w:val="Textonotapie"/>
        <w:spacing w:line="240" w:lineRule="auto"/>
      </w:pPr>
      <w:r>
        <w:rPr>
          <w:rStyle w:val="Refdenotaalpie"/>
        </w:rPr>
        <w:footnoteRef/>
      </w:r>
      <w:r>
        <w:t xml:space="preserve"> </w:t>
      </w:r>
      <w:r w:rsidRPr="00F570C7">
        <w:t>http://www.cre.fr/en/documents/deliberations/(annee)/2016</w:t>
      </w:r>
    </w:p>
  </w:footnote>
  <w:footnote w:id="14">
    <w:p w:rsidR="006D446E" w:rsidRPr="00F570C7" w:rsidRDefault="006D446E" w:rsidP="00645397">
      <w:pPr>
        <w:pStyle w:val="Textonotapie"/>
        <w:spacing w:line="240" w:lineRule="auto"/>
      </w:pPr>
      <w:r>
        <w:rPr>
          <w:rStyle w:val="Refdenotaalpie"/>
        </w:rPr>
        <w:footnoteRef/>
      </w:r>
      <w:r>
        <w:t xml:space="preserve"> </w:t>
      </w:r>
      <w:r w:rsidRPr="00F570C7">
        <w:t>http://www.cre.fr/en/documents/deliberations/(annee)/2018</w:t>
      </w:r>
    </w:p>
  </w:footnote>
  <w:footnote w:id="15">
    <w:p w:rsidR="006D446E" w:rsidRPr="00F570C7" w:rsidRDefault="006D446E" w:rsidP="00645397">
      <w:pPr>
        <w:pStyle w:val="Textonotapie"/>
        <w:spacing w:line="240" w:lineRule="auto"/>
      </w:pPr>
      <w:r>
        <w:rPr>
          <w:rStyle w:val="Refdenotaalpie"/>
        </w:rPr>
        <w:footnoteRef/>
      </w:r>
      <w:r w:rsidRPr="00F570C7">
        <w:t xml:space="preserve"> https://www.cnmc.es/sites/default/files/1568003_3.pdf</w:t>
      </w:r>
    </w:p>
  </w:footnote>
  <w:footnote w:id="16">
    <w:p w:rsidR="006D446E" w:rsidRPr="00F570C7" w:rsidRDefault="006D446E" w:rsidP="00645397">
      <w:pPr>
        <w:pStyle w:val="Textonotapie"/>
        <w:spacing w:line="240" w:lineRule="auto"/>
      </w:pPr>
      <w:r>
        <w:rPr>
          <w:rStyle w:val="Refdenotaalpie"/>
        </w:rPr>
        <w:footnoteRef/>
      </w:r>
      <w:r>
        <w:t xml:space="preserve"> </w:t>
      </w:r>
      <w:r w:rsidRPr="00F570C7">
        <w:t>https://www.cnmc.es/expedientes/cirde00215</w:t>
      </w:r>
    </w:p>
  </w:footnote>
  <w:footnote w:id="17">
    <w:p w:rsidR="006D446E" w:rsidRPr="00F570C7" w:rsidRDefault="006D446E" w:rsidP="00645397">
      <w:pPr>
        <w:pStyle w:val="Textonotapie"/>
        <w:spacing w:line="240" w:lineRule="auto"/>
      </w:pPr>
      <w:r>
        <w:rPr>
          <w:rStyle w:val="Refdenotaalpie"/>
        </w:rPr>
        <w:footnoteRef/>
      </w:r>
      <w:r>
        <w:t xml:space="preserve"> </w:t>
      </w:r>
      <w:hyperlink r:id="rId4" w:history="1">
        <w:r w:rsidRPr="00F570C7">
          <w:rPr>
            <w:rStyle w:val="Hipervnculo"/>
          </w:rPr>
          <w:t>https://dre.pt/application/file/74305613</w:t>
        </w:r>
      </w:hyperlink>
      <w:r w:rsidRPr="00F570C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46E" w:rsidRPr="006C1826" w:rsidRDefault="006D446E" w:rsidP="006C1826">
    <w:pPr>
      <w:pStyle w:val="Encabezado"/>
      <w:jc w:val="left"/>
      <w:rPr>
        <w:sz w:val="2"/>
      </w:rPr>
    </w:pPr>
    <w:r>
      <w:rPr>
        <w:noProof/>
        <w:lang w:val="es-ES" w:eastAsia="es-ES"/>
      </w:rPr>
      <w:drawing>
        <wp:inline distT="0" distB="0" distL="0" distR="0" wp14:anchorId="76EA01A2" wp14:editId="0A4DAD33">
          <wp:extent cx="3133373" cy="457200"/>
          <wp:effectExtent l="0" t="0" r="0" b="0"/>
          <wp:docPr id="2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133373" cy="457200"/>
                  </a:xfrm>
                  <a:prstGeom prst="rect">
                    <a:avLst/>
                  </a:prstGeom>
                </pic:spPr>
              </pic:pic>
            </a:graphicData>
          </a:graphic>
        </wp:inline>
      </w:drawing>
    </w:r>
    <w:r w:rsidRPr="00845BE4">
      <w:rPr>
        <w:noProof/>
        <w:lang w:val="es-ES" w:eastAsia="es-ES"/>
      </w:rPr>
      <w:drawing>
        <wp:inline distT="0" distB="0" distL="0" distR="0" wp14:anchorId="60FA2F0E" wp14:editId="78EC0865">
          <wp:extent cx="1000125" cy="295275"/>
          <wp:effectExtent l="0" t="0" r="9525" b="9525"/>
          <wp:docPr id="27" name="7 Imagen" descr="Logo"/>
          <wp:cNvGraphicFramePr/>
          <a:graphic xmlns:a="http://schemas.openxmlformats.org/drawingml/2006/main">
            <a:graphicData uri="http://schemas.openxmlformats.org/drawingml/2006/picture">
              <pic:pic xmlns:pic="http://schemas.openxmlformats.org/drawingml/2006/picture">
                <pic:nvPicPr>
                  <pic:cNvPr id="8" name="7 Imagen" descr="Logo"/>
                  <pic:cNvPicPr/>
                </pic:nvPicPr>
                <pic:blipFill>
                  <a:blip r:embed="rId2" cstate="print"/>
                  <a:srcRect/>
                  <a:stretch>
                    <a:fillRect/>
                  </a:stretch>
                </pic:blipFill>
                <pic:spPr bwMode="auto">
                  <a:xfrm>
                    <a:off x="0" y="0"/>
                    <a:ext cx="1001138" cy="295574"/>
                  </a:xfrm>
                  <a:prstGeom prst="rect">
                    <a:avLst/>
                  </a:prstGeom>
                  <a:noFill/>
                  <a:ln w="9525">
                    <a:noFill/>
                    <a:miter lim="800000"/>
                    <a:headEnd/>
                    <a:tailEnd/>
                  </a:ln>
                </pic:spPr>
              </pic:pic>
            </a:graphicData>
          </a:graphic>
        </wp:inline>
      </w:drawing>
    </w:r>
    <w:r w:rsidRPr="00845BE4">
      <w:rPr>
        <w:noProof/>
        <w:lang w:val="es-ES" w:eastAsia="es-ES"/>
      </w:rPr>
      <w:drawing>
        <wp:inline distT="0" distB="0" distL="0" distR="0" wp14:anchorId="120B0281" wp14:editId="4B6BD36C">
          <wp:extent cx="781050" cy="381000"/>
          <wp:effectExtent l="0" t="0" r="0" b="0"/>
          <wp:docPr id="29" name="3 Imagen"/>
          <wp:cNvGraphicFramePr/>
          <a:graphic xmlns:a="http://schemas.openxmlformats.org/drawingml/2006/main">
            <a:graphicData uri="http://schemas.openxmlformats.org/drawingml/2006/picture">
              <pic:pic xmlns:pic="http://schemas.openxmlformats.org/drawingml/2006/picture">
                <pic:nvPicPr>
                  <pic:cNvPr id="6" name="3 Imagen"/>
                  <pic:cNvPicPr/>
                </pic:nvPicPr>
                <pic:blipFill>
                  <a:blip r:embed="rId3" cstate="print"/>
                  <a:srcRect/>
                  <a:stretch>
                    <a:fillRect/>
                  </a:stretch>
                </pic:blipFill>
                <pic:spPr bwMode="auto">
                  <a:xfrm>
                    <a:off x="0" y="0"/>
                    <a:ext cx="781210" cy="381078"/>
                  </a:xfrm>
                  <a:prstGeom prst="rect">
                    <a:avLst/>
                  </a:prstGeom>
                  <a:noFill/>
                </pic:spPr>
              </pic:pic>
            </a:graphicData>
          </a:graphic>
        </wp:inline>
      </w:drawing>
    </w:r>
    <w:r w:rsidRPr="00845BE4">
      <w:rPr>
        <w:noProof/>
        <w:lang w:val="es-ES" w:eastAsia="es-ES"/>
      </w:rPr>
      <w:drawing>
        <wp:inline distT="0" distB="0" distL="0" distR="0" wp14:anchorId="029AB7CC" wp14:editId="0489AD42">
          <wp:extent cx="657225" cy="247650"/>
          <wp:effectExtent l="0" t="0" r="9525" b="0"/>
          <wp:docPr id="33" name="4 Imagen" descr="SIMPLIFICADA CMYK"/>
          <wp:cNvGraphicFramePr/>
          <a:graphic xmlns:a="http://schemas.openxmlformats.org/drawingml/2006/main">
            <a:graphicData uri="http://schemas.openxmlformats.org/drawingml/2006/picture">
              <pic:pic xmlns:pic="http://schemas.openxmlformats.org/drawingml/2006/picture">
                <pic:nvPicPr>
                  <pic:cNvPr id="7" name="4 Imagen" descr="SIMPLIFICADA CMYK"/>
                  <pic:cNvPicPr/>
                </pic:nvPicPr>
                <pic:blipFill>
                  <a:blip r:embed="rId4" cstate="print"/>
                  <a:srcRect/>
                  <a:stretch>
                    <a:fillRect/>
                  </a:stretch>
                </pic:blipFill>
                <pic:spPr bwMode="auto">
                  <a:xfrm>
                    <a:off x="0" y="0"/>
                    <a:ext cx="657883" cy="24789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46E" w:rsidRDefault="006D446E">
    <w:pPr>
      <w:pStyle w:val="Encabezado"/>
    </w:pPr>
    <w:r>
      <w:rPr>
        <w:noProof/>
        <w:lang w:val="es-ES" w:eastAsia="es-ES"/>
      </w:rPr>
      <w:drawing>
        <wp:inline distT="0" distB="0" distL="0" distR="0" wp14:anchorId="30C86D89" wp14:editId="141EDFDA">
          <wp:extent cx="3133373" cy="457200"/>
          <wp:effectExtent l="0" t="0" r="0" b="0"/>
          <wp:docPr id="1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133373" cy="457200"/>
                  </a:xfrm>
                  <a:prstGeom prst="rect">
                    <a:avLst/>
                  </a:prstGeom>
                </pic:spPr>
              </pic:pic>
            </a:graphicData>
          </a:graphic>
        </wp:inline>
      </w:drawing>
    </w:r>
    <w:r w:rsidRPr="00845BE4">
      <w:rPr>
        <w:noProof/>
        <w:lang w:val="es-ES" w:eastAsia="es-ES"/>
      </w:rPr>
      <w:drawing>
        <wp:inline distT="0" distB="0" distL="0" distR="0" wp14:anchorId="7F7E7689" wp14:editId="31966124">
          <wp:extent cx="1000125" cy="295275"/>
          <wp:effectExtent l="0" t="0" r="9525" b="9525"/>
          <wp:docPr id="20" name="7 Imagen" descr="Logo"/>
          <wp:cNvGraphicFramePr/>
          <a:graphic xmlns:a="http://schemas.openxmlformats.org/drawingml/2006/main">
            <a:graphicData uri="http://schemas.openxmlformats.org/drawingml/2006/picture">
              <pic:pic xmlns:pic="http://schemas.openxmlformats.org/drawingml/2006/picture">
                <pic:nvPicPr>
                  <pic:cNvPr id="8" name="7 Imagen" descr="Logo"/>
                  <pic:cNvPicPr/>
                </pic:nvPicPr>
                <pic:blipFill>
                  <a:blip r:embed="rId2" cstate="print"/>
                  <a:srcRect/>
                  <a:stretch>
                    <a:fillRect/>
                  </a:stretch>
                </pic:blipFill>
                <pic:spPr bwMode="auto">
                  <a:xfrm>
                    <a:off x="0" y="0"/>
                    <a:ext cx="1001138" cy="295574"/>
                  </a:xfrm>
                  <a:prstGeom prst="rect">
                    <a:avLst/>
                  </a:prstGeom>
                  <a:noFill/>
                  <a:ln w="9525">
                    <a:noFill/>
                    <a:miter lim="800000"/>
                    <a:headEnd/>
                    <a:tailEnd/>
                  </a:ln>
                </pic:spPr>
              </pic:pic>
            </a:graphicData>
          </a:graphic>
        </wp:inline>
      </w:drawing>
    </w:r>
    <w:r w:rsidRPr="00845BE4">
      <w:rPr>
        <w:noProof/>
        <w:lang w:val="es-ES" w:eastAsia="es-ES"/>
      </w:rPr>
      <w:drawing>
        <wp:inline distT="0" distB="0" distL="0" distR="0" wp14:anchorId="71196B95" wp14:editId="7741143C">
          <wp:extent cx="781050" cy="381000"/>
          <wp:effectExtent l="0" t="0" r="0" b="0"/>
          <wp:docPr id="21" name="3 Imagen"/>
          <wp:cNvGraphicFramePr/>
          <a:graphic xmlns:a="http://schemas.openxmlformats.org/drawingml/2006/main">
            <a:graphicData uri="http://schemas.openxmlformats.org/drawingml/2006/picture">
              <pic:pic xmlns:pic="http://schemas.openxmlformats.org/drawingml/2006/picture">
                <pic:nvPicPr>
                  <pic:cNvPr id="6" name="3 Imagen"/>
                  <pic:cNvPicPr/>
                </pic:nvPicPr>
                <pic:blipFill>
                  <a:blip r:embed="rId3" cstate="print"/>
                  <a:srcRect/>
                  <a:stretch>
                    <a:fillRect/>
                  </a:stretch>
                </pic:blipFill>
                <pic:spPr bwMode="auto">
                  <a:xfrm>
                    <a:off x="0" y="0"/>
                    <a:ext cx="781210" cy="381078"/>
                  </a:xfrm>
                  <a:prstGeom prst="rect">
                    <a:avLst/>
                  </a:prstGeom>
                  <a:noFill/>
                </pic:spPr>
              </pic:pic>
            </a:graphicData>
          </a:graphic>
        </wp:inline>
      </w:drawing>
    </w:r>
    <w:r w:rsidRPr="00845BE4">
      <w:rPr>
        <w:noProof/>
        <w:lang w:val="es-ES" w:eastAsia="es-ES"/>
      </w:rPr>
      <w:drawing>
        <wp:inline distT="0" distB="0" distL="0" distR="0" wp14:anchorId="16B22B39" wp14:editId="4C30F310">
          <wp:extent cx="657225" cy="247650"/>
          <wp:effectExtent l="0" t="0" r="9525" b="0"/>
          <wp:docPr id="22" name="4 Imagen" descr="SIMPLIFICADA CMYK"/>
          <wp:cNvGraphicFramePr/>
          <a:graphic xmlns:a="http://schemas.openxmlformats.org/drawingml/2006/main">
            <a:graphicData uri="http://schemas.openxmlformats.org/drawingml/2006/picture">
              <pic:pic xmlns:pic="http://schemas.openxmlformats.org/drawingml/2006/picture">
                <pic:nvPicPr>
                  <pic:cNvPr id="7" name="4 Imagen" descr="SIMPLIFICADA CMYK"/>
                  <pic:cNvPicPr/>
                </pic:nvPicPr>
                <pic:blipFill>
                  <a:blip r:embed="rId4" cstate="print"/>
                  <a:srcRect/>
                  <a:stretch>
                    <a:fillRect/>
                  </a:stretch>
                </pic:blipFill>
                <pic:spPr bwMode="auto">
                  <a:xfrm>
                    <a:off x="0" y="0"/>
                    <a:ext cx="657883" cy="24789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D47A08AA"/>
    <w:name w:val="WWNum28"/>
    <w:lvl w:ilvl="0">
      <w:start w:val="1"/>
      <w:numFmt w:val="decimal"/>
      <w:lvlText w:val="%1."/>
      <w:lvlJc w:val="left"/>
      <w:pPr>
        <w:tabs>
          <w:tab w:val="num" w:pos="0"/>
        </w:tabs>
        <w:ind w:left="705" w:hanging="705"/>
      </w:pPr>
      <w:rPr>
        <w:rFonts w:ascii="Franklin Gothic Heavy" w:hAnsi="Franklin Gothic Heavy" w:hint="default"/>
        <w:b w:val="0"/>
        <w:bCs/>
      </w:rPr>
    </w:lvl>
    <w:lvl w:ilvl="1">
      <w:start w:val="1"/>
      <w:numFmt w:val="decimal"/>
      <w:lvlText w:val="%1.%2"/>
      <w:lvlJc w:val="left"/>
      <w:pPr>
        <w:tabs>
          <w:tab w:val="num" w:pos="0"/>
        </w:tabs>
        <w:ind w:left="1413" w:hanging="705"/>
      </w:pPr>
      <w:rPr>
        <w:rFonts w:ascii="Franklin Gothic Heavy" w:hAnsi="Franklin Gothic Heavy" w:cs="Arial" w:hint="default"/>
        <w:b w:val="0"/>
        <w:bCs/>
        <w:sz w:val="20"/>
        <w:szCs w:val="20"/>
      </w:r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1" w15:restartNumberingAfterBreak="0">
    <w:nsid w:val="007E7E5C"/>
    <w:multiLevelType w:val="hybridMultilevel"/>
    <w:tmpl w:val="DEF2AB6C"/>
    <w:lvl w:ilvl="0" w:tplc="0C0A0003">
      <w:start w:val="1"/>
      <w:numFmt w:val="bullet"/>
      <w:lvlText w:val="o"/>
      <w:lvlJc w:val="left"/>
      <w:pPr>
        <w:ind w:left="1146" w:hanging="360"/>
      </w:pPr>
      <w:rPr>
        <w:rFonts w:ascii="Courier New" w:hAnsi="Courier New" w:cs="Courier New"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15:restartNumberingAfterBreak="0">
    <w:nsid w:val="092330EE"/>
    <w:multiLevelType w:val="multilevel"/>
    <w:tmpl w:val="AACCBD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F765ACB"/>
    <w:multiLevelType w:val="hybridMultilevel"/>
    <w:tmpl w:val="E0E2F3B2"/>
    <w:lvl w:ilvl="0" w:tplc="08160001">
      <w:start w:val="1"/>
      <w:numFmt w:val="bullet"/>
      <w:lvlText w:val=""/>
      <w:lvlJc w:val="left"/>
      <w:pPr>
        <w:ind w:left="1146" w:hanging="360"/>
      </w:pPr>
      <w:rPr>
        <w:rFonts w:ascii="Symbol" w:hAnsi="Symbol" w:hint="default"/>
      </w:rPr>
    </w:lvl>
    <w:lvl w:ilvl="1" w:tplc="08160003" w:tentative="1">
      <w:start w:val="1"/>
      <w:numFmt w:val="bullet"/>
      <w:lvlText w:val="o"/>
      <w:lvlJc w:val="left"/>
      <w:pPr>
        <w:ind w:left="1866" w:hanging="360"/>
      </w:pPr>
      <w:rPr>
        <w:rFonts w:ascii="Courier New" w:hAnsi="Courier New" w:cs="Courier New" w:hint="default"/>
      </w:rPr>
    </w:lvl>
    <w:lvl w:ilvl="2" w:tplc="08160005" w:tentative="1">
      <w:start w:val="1"/>
      <w:numFmt w:val="bullet"/>
      <w:lvlText w:val=""/>
      <w:lvlJc w:val="left"/>
      <w:pPr>
        <w:ind w:left="2586" w:hanging="360"/>
      </w:pPr>
      <w:rPr>
        <w:rFonts w:ascii="Wingdings" w:hAnsi="Wingdings" w:hint="default"/>
      </w:rPr>
    </w:lvl>
    <w:lvl w:ilvl="3" w:tplc="08160001" w:tentative="1">
      <w:start w:val="1"/>
      <w:numFmt w:val="bullet"/>
      <w:lvlText w:val=""/>
      <w:lvlJc w:val="left"/>
      <w:pPr>
        <w:ind w:left="3306" w:hanging="360"/>
      </w:pPr>
      <w:rPr>
        <w:rFonts w:ascii="Symbol" w:hAnsi="Symbol" w:hint="default"/>
      </w:rPr>
    </w:lvl>
    <w:lvl w:ilvl="4" w:tplc="08160003" w:tentative="1">
      <w:start w:val="1"/>
      <w:numFmt w:val="bullet"/>
      <w:lvlText w:val="o"/>
      <w:lvlJc w:val="left"/>
      <w:pPr>
        <w:ind w:left="4026" w:hanging="360"/>
      </w:pPr>
      <w:rPr>
        <w:rFonts w:ascii="Courier New" w:hAnsi="Courier New" w:cs="Courier New" w:hint="default"/>
      </w:rPr>
    </w:lvl>
    <w:lvl w:ilvl="5" w:tplc="08160005" w:tentative="1">
      <w:start w:val="1"/>
      <w:numFmt w:val="bullet"/>
      <w:lvlText w:val=""/>
      <w:lvlJc w:val="left"/>
      <w:pPr>
        <w:ind w:left="4746" w:hanging="360"/>
      </w:pPr>
      <w:rPr>
        <w:rFonts w:ascii="Wingdings" w:hAnsi="Wingdings" w:hint="default"/>
      </w:rPr>
    </w:lvl>
    <w:lvl w:ilvl="6" w:tplc="08160001" w:tentative="1">
      <w:start w:val="1"/>
      <w:numFmt w:val="bullet"/>
      <w:lvlText w:val=""/>
      <w:lvlJc w:val="left"/>
      <w:pPr>
        <w:ind w:left="5466" w:hanging="360"/>
      </w:pPr>
      <w:rPr>
        <w:rFonts w:ascii="Symbol" w:hAnsi="Symbol" w:hint="default"/>
      </w:rPr>
    </w:lvl>
    <w:lvl w:ilvl="7" w:tplc="08160003" w:tentative="1">
      <w:start w:val="1"/>
      <w:numFmt w:val="bullet"/>
      <w:lvlText w:val="o"/>
      <w:lvlJc w:val="left"/>
      <w:pPr>
        <w:ind w:left="6186" w:hanging="360"/>
      </w:pPr>
      <w:rPr>
        <w:rFonts w:ascii="Courier New" w:hAnsi="Courier New" w:cs="Courier New" w:hint="default"/>
      </w:rPr>
    </w:lvl>
    <w:lvl w:ilvl="8" w:tplc="08160005" w:tentative="1">
      <w:start w:val="1"/>
      <w:numFmt w:val="bullet"/>
      <w:lvlText w:val=""/>
      <w:lvlJc w:val="left"/>
      <w:pPr>
        <w:ind w:left="6906" w:hanging="360"/>
      </w:pPr>
      <w:rPr>
        <w:rFonts w:ascii="Wingdings" w:hAnsi="Wingdings" w:hint="default"/>
      </w:rPr>
    </w:lvl>
  </w:abstractNum>
  <w:abstractNum w:abstractNumId="4" w15:restartNumberingAfterBreak="0">
    <w:nsid w:val="1C5F19F7"/>
    <w:multiLevelType w:val="hybridMultilevel"/>
    <w:tmpl w:val="9CD88F56"/>
    <w:lvl w:ilvl="0" w:tplc="D4346734">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5" w15:restartNumberingAfterBreak="0">
    <w:nsid w:val="26F5493E"/>
    <w:multiLevelType w:val="hybridMultilevel"/>
    <w:tmpl w:val="18921822"/>
    <w:lvl w:ilvl="0" w:tplc="0C0A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28F33674"/>
    <w:multiLevelType w:val="hybridMultilevel"/>
    <w:tmpl w:val="82661712"/>
    <w:lvl w:ilvl="0" w:tplc="4AE24D4A">
      <w:start w:val="1"/>
      <w:numFmt w:val="bullet"/>
      <w:pStyle w:val="Retrait"/>
      <w:lvlText w:val=""/>
      <w:lvlJc w:val="left"/>
      <w:pPr>
        <w:tabs>
          <w:tab w:val="num" w:pos="-680"/>
        </w:tabs>
        <w:ind w:left="-680" w:hanging="360"/>
      </w:pPr>
      <w:rPr>
        <w:rFonts w:ascii="Symbol" w:hAnsi="Symbol" w:hint="default"/>
      </w:rPr>
    </w:lvl>
    <w:lvl w:ilvl="1" w:tplc="040C0003" w:tentative="1">
      <w:start w:val="1"/>
      <w:numFmt w:val="bullet"/>
      <w:lvlText w:val="o"/>
      <w:lvlJc w:val="left"/>
      <w:pPr>
        <w:tabs>
          <w:tab w:val="num" w:pos="40"/>
        </w:tabs>
        <w:ind w:left="40" w:hanging="360"/>
      </w:pPr>
      <w:rPr>
        <w:rFonts w:ascii="Courier New" w:hAnsi="Courier New" w:hint="default"/>
      </w:rPr>
    </w:lvl>
    <w:lvl w:ilvl="2" w:tplc="040C0005" w:tentative="1">
      <w:start w:val="1"/>
      <w:numFmt w:val="bullet"/>
      <w:lvlText w:val=""/>
      <w:lvlJc w:val="left"/>
      <w:pPr>
        <w:tabs>
          <w:tab w:val="num" w:pos="760"/>
        </w:tabs>
        <w:ind w:left="760" w:hanging="360"/>
      </w:pPr>
      <w:rPr>
        <w:rFonts w:ascii="Wingdings" w:hAnsi="Wingdings" w:hint="default"/>
      </w:rPr>
    </w:lvl>
    <w:lvl w:ilvl="3" w:tplc="040C0001" w:tentative="1">
      <w:start w:val="1"/>
      <w:numFmt w:val="bullet"/>
      <w:lvlText w:val=""/>
      <w:lvlJc w:val="left"/>
      <w:pPr>
        <w:tabs>
          <w:tab w:val="num" w:pos="1480"/>
        </w:tabs>
        <w:ind w:left="1480" w:hanging="360"/>
      </w:pPr>
      <w:rPr>
        <w:rFonts w:ascii="Symbol" w:hAnsi="Symbol" w:hint="default"/>
      </w:rPr>
    </w:lvl>
    <w:lvl w:ilvl="4" w:tplc="040C0003" w:tentative="1">
      <w:start w:val="1"/>
      <w:numFmt w:val="bullet"/>
      <w:lvlText w:val="o"/>
      <w:lvlJc w:val="left"/>
      <w:pPr>
        <w:tabs>
          <w:tab w:val="num" w:pos="2200"/>
        </w:tabs>
        <w:ind w:left="2200" w:hanging="360"/>
      </w:pPr>
      <w:rPr>
        <w:rFonts w:ascii="Courier New" w:hAnsi="Courier New" w:hint="default"/>
      </w:rPr>
    </w:lvl>
    <w:lvl w:ilvl="5" w:tplc="040C0005" w:tentative="1">
      <w:start w:val="1"/>
      <w:numFmt w:val="bullet"/>
      <w:lvlText w:val=""/>
      <w:lvlJc w:val="left"/>
      <w:pPr>
        <w:tabs>
          <w:tab w:val="num" w:pos="2920"/>
        </w:tabs>
        <w:ind w:left="2920" w:hanging="360"/>
      </w:pPr>
      <w:rPr>
        <w:rFonts w:ascii="Wingdings" w:hAnsi="Wingdings" w:hint="default"/>
      </w:rPr>
    </w:lvl>
    <w:lvl w:ilvl="6" w:tplc="040C0001" w:tentative="1">
      <w:start w:val="1"/>
      <w:numFmt w:val="bullet"/>
      <w:lvlText w:val=""/>
      <w:lvlJc w:val="left"/>
      <w:pPr>
        <w:tabs>
          <w:tab w:val="num" w:pos="3640"/>
        </w:tabs>
        <w:ind w:left="3640" w:hanging="360"/>
      </w:pPr>
      <w:rPr>
        <w:rFonts w:ascii="Symbol" w:hAnsi="Symbol" w:hint="default"/>
      </w:rPr>
    </w:lvl>
    <w:lvl w:ilvl="7" w:tplc="040C0003" w:tentative="1">
      <w:start w:val="1"/>
      <w:numFmt w:val="bullet"/>
      <w:lvlText w:val="o"/>
      <w:lvlJc w:val="left"/>
      <w:pPr>
        <w:tabs>
          <w:tab w:val="num" w:pos="4360"/>
        </w:tabs>
        <w:ind w:left="4360" w:hanging="360"/>
      </w:pPr>
      <w:rPr>
        <w:rFonts w:ascii="Courier New" w:hAnsi="Courier New" w:hint="default"/>
      </w:rPr>
    </w:lvl>
    <w:lvl w:ilvl="8" w:tplc="040C0005" w:tentative="1">
      <w:start w:val="1"/>
      <w:numFmt w:val="bullet"/>
      <w:lvlText w:val=""/>
      <w:lvlJc w:val="left"/>
      <w:pPr>
        <w:tabs>
          <w:tab w:val="num" w:pos="5080"/>
        </w:tabs>
        <w:ind w:left="5080" w:hanging="360"/>
      </w:pPr>
      <w:rPr>
        <w:rFonts w:ascii="Wingdings" w:hAnsi="Wingdings" w:hint="default"/>
      </w:rPr>
    </w:lvl>
  </w:abstractNum>
  <w:abstractNum w:abstractNumId="7" w15:restartNumberingAfterBreak="0">
    <w:nsid w:val="322F041F"/>
    <w:multiLevelType w:val="hybridMultilevel"/>
    <w:tmpl w:val="D49AB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4490E00"/>
    <w:multiLevelType w:val="hybridMultilevel"/>
    <w:tmpl w:val="D592CB54"/>
    <w:lvl w:ilvl="0" w:tplc="6ED8D5E6">
      <w:start w:val="1"/>
      <w:numFmt w:val="upperRoman"/>
      <w:pStyle w:val="EstiloEstiloTextoindependienteVerdana10ptNegritaSubrayado"/>
      <w:lvlText w:val="%1."/>
      <w:lvlJc w:val="left"/>
      <w:pPr>
        <w:tabs>
          <w:tab w:val="num" w:pos="720"/>
        </w:tabs>
        <w:ind w:left="720" w:hanging="360"/>
      </w:pPr>
      <w:rPr>
        <w:rFonts w:hint="default"/>
      </w:rPr>
    </w:lvl>
    <w:lvl w:ilvl="1" w:tplc="EE34F59C">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36F62E44"/>
    <w:multiLevelType w:val="multilevel"/>
    <w:tmpl w:val="D6F2BA14"/>
    <w:lvl w:ilvl="0">
      <w:start w:val="1"/>
      <w:numFmt w:val="upperRoman"/>
      <w:pStyle w:val="Estilo2"/>
      <w:suff w:val="space"/>
      <w:lvlText w:val="Appendix %1:"/>
      <w:lvlJc w:val="left"/>
      <w:pPr>
        <w:ind w:left="3232" w:hanging="3232"/>
      </w:pPr>
      <w:rPr>
        <w:rFonts w:hint="default"/>
        <w:u w:val="single"/>
        <w:lang w:val="fr-FR"/>
      </w:rPr>
    </w:lvl>
    <w:lvl w:ilvl="1">
      <w:start w:val="1"/>
      <w:numFmt w:val="decimal"/>
      <w:lvlText w:val="%1.%2"/>
      <w:lvlJc w:val="left"/>
      <w:pPr>
        <w:tabs>
          <w:tab w:val="num" w:pos="764"/>
        </w:tabs>
        <w:ind w:left="84" w:firstLine="0"/>
      </w:pPr>
      <w:rPr>
        <w:rFonts w:hint="default"/>
      </w:rPr>
    </w:lvl>
    <w:lvl w:ilvl="2">
      <w:start w:val="1"/>
      <w:numFmt w:val="decimal"/>
      <w:lvlText w:val="%1.%2.%3"/>
      <w:lvlJc w:val="left"/>
      <w:pPr>
        <w:tabs>
          <w:tab w:val="num" w:pos="624"/>
        </w:tabs>
        <w:ind w:left="624" w:hanging="432"/>
      </w:pPr>
      <w:rPr>
        <w:rFonts w:hint="default"/>
      </w:rPr>
    </w:lvl>
    <w:lvl w:ilvl="3">
      <w:start w:val="1"/>
      <w:numFmt w:val="decimal"/>
      <w:lvlText w:val="%1.%2.%3.%4"/>
      <w:lvlJc w:val="right"/>
      <w:pPr>
        <w:tabs>
          <w:tab w:val="num" w:pos="768"/>
        </w:tabs>
        <w:ind w:left="768" w:hanging="31"/>
      </w:pPr>
      <w:rPr>
        <w:rFonts w:hint="default"/>
        <w:color w:val="000000"/>
      </w:rPr>
    </w:lvl>
    <w:lvl w:ilvl="4">
      <w:start w:val="1"/>
      <w:numFmt w:val="decimal"/>
      <w:lvlText w:val="%5)"/>
      <w:lvlJc w:val="left"/>
      <w:pPr>
        <w:tabs>
          <w:tab w:val="num" w:pos="912"/>
        </w:tabs>
        <w:ind w:left="912" w:hanging="432"/>
      </w:pPr>
      <w:rPr>
        <w:rFonts w:hint="default"/>
      </w:rPr>
    </w:lvl>
    <w:lvl w:ilvl="5">
      <w:start w:val="1"/>
      <w:numFmt w:val="lowerLetter"/>
      <w:lvlText w:val="%6)"/>
      <w:lvlJc w:val="left"/>
      <w:pPr>
        <w:tabs>
          <w:tab w:val="num" w:pos="1056"/>
        </w:tabs>
        <w:ind w:left="1056" w:hanging="432"/>
      </w:pPr>
      <w:rPr>
        <w:rFonts w:hint="default"/>
      </w:rPr>
    </w:lvl>
    <w:lvl w:ilvl="6">
      <w:start w:val="1"/>
      <w:numFmt w:val="lowerRoman"/>
      <w:lvlText w:val="%7)"/>
      <w:lvlJc w:val="right"/>
      <w:pPr>
        <w:tabs>
          <w:tab w:val="num" w:pos="1200"/>
        </w:tabs>
        <w:ind w:left="1200" w:hanging="288"/>
      </w:pPr>
      <w:rPr>
        <w:rFonts w:hint="default"/>
      </w:rPr>
    </w:lvl>
    <w:lvl w:ilvl="7">
      <w:start w:val="1"/>
      <w:numFmt w:val="lowerLetter"/>
      <w:lvlText w:val="%8."/>
      <w:lvlJc w:val="left"/>
      <w:pPr>
        <w:tabs>
          <w:tab w:val="num" w:pos="1344"/>
        </w:tabs>
        <w:ind w:left="1344" w:hanging="432"/>
      </w:pPr>
      <w:rPr>
        <w:rFonts w:hint="default"/>
      </w:rPr>
    </w:lvl>
    <w:lvl w:ilvl="8">
      <w:start w:val="1"/>
      <w:numFmt w:val="lowerRoman"/>
      <w:lvlText w:val="%9."/>
      <w:lvlJc w:val="right"/>
      <w:pPr>
        <w:tabs>
          <w:tab w:val="num" w:pos="1488"/>
        </w:tabs>
        <w:ind w:left="1488" w:hanging="144"/>
      </w:pPr>
      <w:rPr>
        <w:rFonts w:hint="default"/>
      </w:rPr>
    </w:lvl>
  </w:abstractNum>
  <w:abstractNum w:abstractNumId="10" w15:restartNumberingAfterBreak="0">
    <w:nsid w:val="3E9A6C3C"/>
    <w:multiLevelType w:val="hybridMultilevel"/>
    <w:tmpl w:val="F06E3634"/>
    <w:lvl w:ilvl="0" w:tplc="F034BC5A">
      <w:start w:val="1"/>
      <w:numFmt w:val="bullet"/>
      <w:lvlText w:val=""/>
      <w:lvlJc w:val="left"/>
      <w:pPr>
        <w:tabs>
          <w:tab w:val="num" w:pos="720"/>
        </w:tabs>
        <w:ind w:left="720" w:hanging="360"/>
      </w:pPr>
      <w:rPr>
        <w:rFonts w:ascii="Wingdings" w:hAnsi="Wingdings" w:hint="default"/>
      </w:rPr>
    </w:lvl>
    <w:lvl w:ilvl="1" w:tplc="5F304BA0">
      <w:start w:val="1"/>
      <w:numFmt w:val="bullet"/>
      <w:lvlText w:val=""/>
      <w:lvlJc w:val="left"/>
      <w:pPr>
        <w:tabs>
          <w:tab w:val="num" w:pos="1440"/>
        </w:tabs>
        <w:ind w:left="1440" w:hanging="360"/>
      </w:pPr>
      <w:rPr>
        <w:rFonts w:ascii="Wingdings" w:hAnsi="Wingdings" w:hint="default"/>
      </w:rPr>
    </w:lvl>
    <w:lvl w:ilvl="2" w:tplc="C380A6DC">
      <w:start w:val="106"/>
      <w:numFmt w:val="bullet"/>
      <w:lvlText w:val="•"/>
      <w:lvlJc w:val="left"/>
      <w:pPr>
        <w:tabs>
          <w:tab w:val="num" w:pos="2160"/>
        </w:tabs>
        <w:ind w:left="2160" w:hanging="360"/>
      </w:pPr>
      <w:rPr>
        <w:rFonts w:ascii="Arial" w:hAnsi="Arial" w:hint="default"/>
      </w:rPr>
    </w:lvl>
    <w:lvl w:ilvl="3" w:tplc="F9B68866" w:tentative="1">
      <w:start w:val="1"/>
      <w:numFmt w:val="bullet"/>
      <w:lvlText w:val=""/>
      <w:lvlJc w:val="left"/>
      <w:pPr>
        <w:tabs>
          <w:tab w:val="num" w:pos="2880"/>
        </w:tabs>
        <w:ind w:left="2880" w:hanging="360"/>
      </w:pPr>
      <w:rPr>
        <w:rFonts w:ascii="Wingdings" w:hAnsi="Wingdings" w:hint="default"/>
      </w:rPr>
    </w:lvl>
    <w:lvl w:ilvl="4" w:tplc="2C260682" w:tentative="1">
      <w:start w:val="1"/>
      <w:numFmt w:val="bullet"/>
      <w:lvlText w:val=""/>
      <w:lvlJc w:val="left"/>
      <w:pPr>
        <w:tabs>
          <w:tab w:val="num" w:pos="3600"/>
        </w:tabs>
        <w:ind w:left="3600" w:hanging="360"/>
      </w:pPr>
      <w:rPr>
        <w:rFonts w:ascii="Wingdings" w:hAnsi="Wingdings" w:hint="default"/>
      </w:rPr>
    </w:lvl>
    <w:lvl w:ilvl="5" w:tplc="0B0AF3BC" w:tentative="1">
      <w:start w:val="1"/>
      <w:numFmt w:val="bullet"/>
      <w:lvlText w:val=""/>
      <w:lvlJc w:val="left"/>
      <w:pPr>
        <w:tabs>
          <w:tab w:val="num" w:pos="4320"/>
        </w:tabs>
        <w:ind w:left="4320" w:hanging="360"/>
      </w:pPr>
      <w:rPr>
        <w:rFonts w:ascii="Wingdings" w:hAnsi="Wingdings" w:hint="default"/>
      </w:rPr>
    </w:lvl>
    <w:lvl w:ilvl="6" w:tplc="F63E7220" w:tentative="1">
      <w:start w:val="1"/>
      <w:numFmt w:val="bullet"/>
      <w:lvlText w:val=""/>
      <w:lvlJc w:val="left"/>
      <w:pPr>
        <w:tabs>
          <w:tab w:val="num" w:pos="5040"/>
        </w:tabs>
        <w:ind w:left="5040" w:hanging="360"/>
      </w:pPr>
      <w:rPr>
        <w:rFonts w:ascii="Wingdings" w:hAnsi="Wingdings" w:hint="default"/>
      </w:rPr>
    </w:lvl>
    <w:lvl w:ilvl="7" w:tplc="C58C25C4" w:tentative="1">
      <w:start w:val="1"/>
      <w:numFmt w:val="bullet"/>
      <w:lvlText w:val=""/>
      <w:lvlJc w:val="left"/>
      <w:pPr>
        <w:tabs>
          <w:tab w:val="num" w:pos="5760"/>
        </w:tabs>
        <w:ind w:left="5760" w:hanging="360"/>
      </w:pPr>
      <w:rPr>
        <w:rFonts w:ascii="Wingdings" w:hAnsi="Wingdings" w:hint="default"/>
      </w:rPr>
    </w:lvl>
    <w:lvl w:ilvl="8" w:tplc="344CACB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27279C"/>
    <w:multiLevelType w:val="hybridMultilevel"/>
    <w:tmpl w:val="37E48C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81F1D39"/>
    <w:multiLevelType w:val="hybridMultilevel"/>
    <w:tmpl w:val="FE767D00"/>
    <w:lvl w:ilvl="0" w:tplc="FAF08352">
      <w:start w:val="1"/>
      <w:numFmt w:val="decimal"/>
      <w:pStyle w:val="EstiloTtulo1Arial14ptSubrayad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662597"/>
    <w:multiLevelType w:val="singleLevel"/>
    <w:tmpl w:val="01DC9E00"/>
    <w:lvl w:ilvl="0">
      <w:start w:val="1"/>
      <w:numFmt w:val="lowerLetter"/>
      <w:pStyle w:val="bulletalinea"/>
      <w:lvlText w:val="%1)"/>
      <w:lvlJc w:val="left"/>
      <w:pPr>
        <w:ind w:left="360" w:hanging="360"/>
      </w:pPr>
      <w:rPr>
        <w:rFonts w:hint="default"/>
      </w:rPr>
    </w:lvl>
  </w:abstractNum>
  <w:abstractNum w:abstractNumId="14" w15:restartNumberingAfterBreak="0">
    <w:nsid w:val="4CB74AA7"/>
    <w:multiLevelType w:val="hybridMultilevel"/>
    <w:tmpl w:val="9FF4E038"/>
    <w:lvl w:ilvl="0" w:tplc="540CAF38">
      <w:start w:val="1"/>
      <w:numFmt w:val="bullet"/>
      <w:lvlText w:val=""/>
      <w:lvlJc w:val="left"/>
      <w:pPr>
        <w:ind w:left="720" w:hanging="360"/>
      </w:pPr>
      <w:rPr>
        <w:rFonts w:ascii="Symbol" w:hAnsi="Symbol" w:hint="default"/>
        <w:color w:val="365F91" w:themeColor="accent1" w:themeShade="BF"/>
        <w:sz w:val="24"/>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15:restartNumberingAfterBreak="0">
    <w:nsid w:val="4D5B5D0A"/>
    <w:multiLevelType w:val="hybridMultilevel"/>
    <w:tmpl w:val="E03AB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5C2361E"/>
    <w:multiLevelType w:val="hybridMultilevel"/>
    <w:tmpl w:val="CA42E4FC"/>
    <w:lvl w:ilvl="0" w:tplc="A2F891E8">
      <w:numFmt w:val="bullet"/>
      <w:lvlText w:val="-"/>
      <w:lvlJc w:val="left"/>
      <w:pPr>
        <w:tabs>
          <w:tab w:val="num" w:pos="720"/>
        </w:tabs>
        <w:ind w:left="720" w:hanging="360"/>
      </w:pPr>
      <w:rPr>
        <w:rFonts w:ascii="Arial" w:eastAsia="Times New Roman" w:hAnsi="Arial" w:cs="Arial" w:hint="default"/>
      </w:rPr>
    </w:lvl>
    <w:lvl w:ilvl="1" w:tplc="5F304BA0">
      <w:start w:val="1"/>
      <w:numFmt w:val="bullet"/>
      <w:lvlText w:val=""/>
      <w:lvlJc w:val="left"/>
      <w:pPr>
        <w:tabs>
          <w:tab w:val="num" w:pos="1440"/>
        </w:tabs>
        <w:ind w:left="1440" w:hanging="360"/>
      </w:pPr>
      <w:rPr>
        <w:rFonts w:ascii="Wingdings" w:hAnsi="Wingdings" w:hint="default"/>
      </w:rPr>
    </w:lvl>
    <w:lvl w:ilvl="2" w:tplc="C380A6DC">
      <w:start w:val="106"/>
      <w:numFmt w:val="bullet"/>
      <w:lvlText w:val="•"/>
      <w:lvlJc w:val="left"/>
      <w:pPr>
        <w:tabs>
          <w:tab w:val="num" w:pos="2160"/>
        </w:tabs>
        <w:ind w:left="2160" w:hanging="360"/>
      </w:pPr>
      <w:rPr>
        <w:rFonts w:ascii="Arial" w:hAnsi="Arial" w:hint="default"/>
      </w:rPr>
    </w:lvl>
    <w:lvl w:ilvl="3" w:tplc="F9B68866" w:tentative="1">
      <w:start w:val="1"/>
      <w:numFmt w:val="bullet"/>
      <w:lvlText w:val=""/>
      <w:lvlJc w:val="left"/>
      <w:pPr>
        <w:tabs>
          <w:tab w:val="num" w:pos="2880"/>
        </w:tabs>
        <w:ind w:left="2880" w:hanging="360"/>
      </w:pPr>
      <w:rPr>
        <w:rFonts w:ascii="Wingdings" w:hAnsi="Wingdings" w:hint="default"/>
      </w:rPr>
    </w:lvl>
    <w:lvl w:ilvl="4" w:tplc="2C260682" w:tentative="1">
      <w:start w:val="1"/>
      <w:numFmt w:val="bullet"/>
      <w:lvlText w:val=""/>
      <w:lvlJc w:val="left"/>
      <w:pPr>
        <w:tabs>
          <w:tab w:val="num" w:pos="3600"/>
        </w:tabs>
        <w:ind w:left="3600" w:hanging="360"/>
      </w:pPr>
      <w:rPr>
        <w:rFonts w:ascii="Wingdings" w:hAnsi="Wingdings" w:hint="default"/>
      </w:rPr>
    </w:lvl>
    <w:lvl w:ilvl="5" w:tplc="0B0AF3BC" w:tentative="1">
      <w:start w:val="1"/>
      <w:numFmt w:val="bullet"/>
      <w:lvlText w:val=""/>
      <w:lvlJc w:val="left"/>
      <w:pPr>
        <w:tabs>
          <w:tab w:val="num" w:pos="4320"/>
        </w:tabs>
        <w:ind w:left="4320" w:hanging="360"/>
      </w:pPr>
      <w:rPr>
        <w:rFonts w:ascii="Wingdings" w:hAnsi="Wingdings" w:hint="default"/>
      </w:rPr>
    </w:lvl>
    <w:lvl w:ilvl="6" w:tplc="F63E7220" w:tentative="1">
      <w:start w:val="1"/>
      <w:numFmt w:val="bullet"/>
      <w:lvlText w:val=""/>
      <w:lvlJc w:val="left"/>
      <w:pPr>
        <w:tabs>
          <w:tab w:val="num" w:pos="5040"/>
        </w:tabs>
        <w:ind w:left="5040" w:hanging="360"/>
      </w:pPr>
      <w:rPr>
        <w:rFonts w:ascii="Wingdings" w:hAnsi="Wingdings" w:hint="default"/>
      </w:rPr>
    </w:lvl>
    <w:lvl w:ilvl="7" w:tplc="C58C25C4" w:tentative="1">
      <w:start w:val="1"/>
      <w:numFmt w:val="bullet"/>
      <w:lvlText w:val=""/>
      <w:lvlJc w:val="left"/>
      <w:pPr>
        <w:tabs>
          <w:tab w:val="num" w:pos="5760"/>
        </w:tabs>
        <w:ind w:left="5760" w:hanging="360"/>
      </w:pPr>
      <w:rPr>
        <w:rFonts w:ascii="Wingdings" w:hAnsi="Wingdings" w:hint="default"/>
      </w:rPr>
    </w:lvl>
    <w:lvl w:ilvl="8" w:tplc="344CACB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763EB5"/>
    <w:multiLevelType w:val="hybridMultilevel"/>
    <w:tmpl w:val="BE08D6DA"/>
    <w:lvl w:ilvl="0" w:tplc="0C0A0003">
      <w:start w:val="1"/>
      <w:numFmt w:val="bullet"/>
      <w:lvlText w:val="o"/>
      <w:lvlJc w:val="left"/>
      <w:pPr>
        <w:ind w:left="1800" w:hanging="360"/>
      </w:pPr>
      <w:rPr>
        <w:rFonts w:ascii="Courier New" w:hAnsi="Courier New" w:cs="Courier New"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8" w15:restartNumberingAfterBreak="0">
    <w:nsid w:val="5B4370FA"/>
    <w:multiLevelType w:val="multilevel"/>
    <w:tmpl w:val="9A88D4D6"/>
    <w:lvl w:ilvl="0">
      <w:start w:val="1"/>
      <w:numFmt w:val="decimal"/>
      <w:pStyle w:val="Ttulo1"/>
      <w:lvlText w:val="%1"/>
      <w:lvlJc w:val="left"/>
      <w:pPr>
        <w:tabs>
          <w:tab w:val="num" w:pos="432"/>
        </w:tabs>
        <w:ind w:left="432" w:hanging="432"/>
      </w:pPr>
      <w:rPr>
        <w:rFonts w:hint="default"/>
        <w:color w:val="auto"/>
      </w:rPr>
    </w:lvl>
    <w:lvl w:ilvl="1">
      <w:start w:val="1"/>
      <w:numFmt w:val="decimal"/>
      <w:pStyle w:val="Ttulo2"/>
      <w:lvlText w:val="%1.%2"/>
      <w:lvlJc w:val="left"/>
      <w:pPr>
        <w:tabs>
          <w:tab w:val="num" w:pos="4828"/>
        </w:tabs>
        <w:ind w:left="4828" w:hanging="576"/>
      </w:pPr>
      <w:rPr>
        <w:rFonts w:hint="default"/>
        <w:b/>
        <w:sz w:val="26"/>
        <w:szCs w:val="26"/>
      </w:rPr>
    </w:lvl>
    <w:lvl w:ilvl="2">
      <w:start w:val="1"/>
      <w:numFmt w:val="decimal"/>
      <w:pStyle w:val="Ttulo3"/>
      <w:lvlText w:val="%1.%2.%3"/>
      <w:lvlJc w:val="left"/>
      <w:pPr>
        <w:tabs>
          <w:tab w:val="num" w:pos="720"/>
        </w:tabs>
        <w:ind w:left="720" w:hanging="720"/>
      </w:pPr>
      <w:rPr>
        <w:rFonts w:cs="Times New Roman"/>
        <w:b/>
        <w:bCs w:val="0"/>
        <w:i/>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tabs>
          <w:tab w:val="num" w:pos="1006"/>
        </w:tabs>
        <w:ind w:left="1006"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9" w15:restartNumberingAfterBreak="0">
    <w:nsid w:val="5D710AEE"/>
    <w:multiLevelType w:val="hybridMultilevel"/>
    <w:tmpl w:val="8EDE85E0"/>
    <w:lvl w:ilvl="0" w:tplc="473ADE52">
      <w:numFmt w:val="bullet"/>
      <w:lvlText w:val="-"/>
      <w:lvlJc w:val="left"/>
      <w:pPr>
        <w:ind w:left="1440" w:hanging="360"/>
      </w:pPr>
      <w:rPr>
        <w:rFonts w:ascii="Calibri" w:eastAsia="Calibri" w:hAnsi="Calibri" w:cs="Calibri"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0" w15:restartNumberingAfterBreak="0">
    <w:nsid w:val="61DE4453"/>
    <w:multiLevelType w:val="hybridMultilevel"/>
    <w:tmpl w:val="F8EE45A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62617368"/>
    <w:multiLevelType w:val="multilevel"/>
    <w:tmpl w:val="F0F81FA8"/>
    <w:lvl w:ilvl="0">
      <w:start w:val="1"/>
      <w:numFmt w:val="decimal"/>
      <w:isLgl/>
      <w:lvlText w:val="%1"/>
      <w:lvlJc w:val="left"/>
      <w:pPr>
        <w:tabs>
          <w:tab w:val="num" w:pos="432"/>
        </w:tabs>
        <w:ind w:left="432" w:hanging="432"/>
      </w:pPr>
      <w:rPr>
        <w:rFonts w:hint="default"/>
      </w:rPr>
    </w:lvl>
    <w:lvl w:ilvl="1">
      <w:start w:val="1"/>
      <w:numFmt w:val="decimal"/>
      <w:pStyle w:val="EstiloTtulo2Arial13ptAntes12ptoDespus12pto"/>
      <w:lvlText w:val="%1.%2"/>
      <w:lvlJc w:val="left"/>
      <w:pPr>
        <w:tabs>
          <w:tab w:val="num" w:pos="816"/>
        </w:tabs>
        <w:ind w:left="816" w:hanging="816"/>
      </w:pPr>
      <w:rPr>
        <w:rFonts w:ascii="Arial" w:hAnsi="Arial" w:cs="Arial" w:hint="default"/>
        <w:b/>
        <w:i w:val="0"/>
        <w:sz w:val="26"/>
        <w:szCs w:val="26"/>
      </w:rPr>
    </w:lvl>
    <w:lvl w:ilvl="2">
      <w:start w:val="1"/>
      <w:numFmt w:val="decimal"/>
      <w:pStyle w:val="EstiloTtulo312ptCursivaDespus12pto"/>
      <w:lvlText w:val="%1.%2.%3"/>
      <w:lvlJc w:val="left"/>
      <w:pPr>
        <w:tabs>
          <w:tab w:val="num" w:pos="1080"/>
        </w:tabs>
        <w:ind w:left="720" w:hanging="720"/>
      </w:pPr>
      <w:rPr>
        <w:rFonts w:hint="default"/>
        <w:b/>
        <w:i/>
        <w:sz w:val="24"/>
        <w:szCs w:val="24"/>
        <w:lang w:val="en-GB"/>
      </w:rPr>
    </w:lvl>
    <w:lvl w:ilvl="3">
      <w:start w:val="1"/>
      <w:numFmt w:val="decimal"/>
      <w:lvlText w:val="%1.%2.%3.%4"/>
      <w:lvlJc w:val="left"/>
      <w:pPr>
        <w:tabs>
          <w:tab w:val="num" w:pos="864"/>
        </w:tabs>
        <w:ind w:left="864" w:hanging="864"/>
      </w:pPr>
      <w:rPr>
        <w:rFonts w:ascii="Arial" w:hAnsi="Arial" w:cs="Arial" w:hint="default"/>
        <w:sz w:val="22"/>
        <w:szCs w:val="22"/>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63A56C12"/>
    <w:multiLevelType w:val="hybridMultilevel"/>
    <w:tmpl w:val="5552B74C"/>
    <w:lvl w:ilvl="0" w:tplc="307431AA">
      <w:start w:val="1"/>
      <w:numFmt w:val="decimal"/>
      <w:pStyle w:val="Estilo1"/>
      <w:lvlText w:val="1.1.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66572DC"/>
    <w:multiLevelType w:val="hybridMultilevel"/>
    <w:tmpl w:val="0964BD22"/>
    <w:lvl w:ilvl="0" w:tplc="A2F891E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2600D26"/>
    <w:multiLevelType w:val="hybridMultilevel"/>
    <w:tmpl w:val="1EF4C376"/>
    <w:lvl w:ilvl="0" w:tplc="08160001">
      <w:start w:val="1"/>
      <w:numFmt w:val="bullet"/>
      <w:lvlText w:val=""/>
      <w:lvlJc w:val="left"/>
      <w:pPr>
        <w:ind w:left="1146" w:hanging="360"/>
      </w:pPr>
      <w:rPr>
        <w:rFonts w:ascii="Symbol" w:hAnsi="Symbol" w:hint="default"/>
      </w:rPr>
    </w:lvl>
    <w:lvl w:ilvl="1" w:tplc="08160003" w:tentative="1">
      <w:start w:val="1"/>
      <w:numFmt w:val="bullet"/>
      <w:lvlText w:val="o"/>
      <w:lvlJc w:val="left"/>
      <w:pPr>
        <w:ind w:left="1866" w:hanging="360"/>
      </w:pPr>
      <w:rPr>
        <w:rFonts w:ascii="Courier New" w:hAnsi="Courier New" w:cs="Courier New" w:hint="default"/>
      </w:rPr>
    </w:lvl>
    <w:lvl w:ilvl="2" w:tplc="08160005" w:tentative="1">
      <w:start w:val="1"/>
      <w:numFmt w:val="bullet"/>
      <w:lvlText w:val=""/>
      <w:lvlJc w:val="left"/>
      <w:pPr>
        <w:ind w:left="2586" w:hanging="360"/>
      </w:pPr>
      <w:rPr>
        <w:rFonts w:ascii="Wingdings" w:hAnsi="Wingdings" w:hint="default"/>
      </w:rPr>
    </w:lvl>
    <w:lvl w:ilvl="3" w:tplc="08160001" w:tentative="1">
      <w:start w:val="1"/>
      <w:numFmt w:val="bullet"/>
      <w:lvlText w:val=""/>
      <w:lvlJc w:val="left"/>
      <w:pPr>
        <w:ind w:left="3306" w:hanging="360"/>
      </w:pPr>
      <w:rPr>
        <w:rFonts w:ascii="Symbol" w:hAnsi="Symbol" w:hint="default"/>
      </w:rPr>
    </w:lvl>
    <w:lvl w:ilvl="4" w:tplc="08160003" w:tentative="1">
      <w:start w:val="1"/>
      <w:numFmt w:val="bullet"/>
      <w:lvlText w:val="o"/>
      <w:lvlJc w:val="left"/>
      <w:pPr>
        <w:ind w:left="4026" w:hanging="360"/>
      </w:pPr>
      <w:rPr>
        <w:rFonts w:ascii="Courier New" w:hAnsi="Courier New" w:cs="Courier New" w:hint="default"/>
      </w:rPr>
    </w:lvl>
    <w:lvl w:ilvl="5" w:tplc="08160005" w:tentative="1">
      <w:start w:val="1"/>
      <w:numFmt w:val="bullet"/>
      <w:lvlText w:val=""/>
      <w:lvlJc w:val="left"/>
      <w:pPr>
        <w:ind w:left="4746" w:hanging="360"/>
      </w:pPr>
      <w:rPr>
        <w:rFonts w:ascii="Wingdings" w:hAnsi="Wingdings" w:hint="default"/>
      </w:rPr>
    </w:lvl>
    <w:lvl w:ilvl="6" w:tplc="08160001" w:tentative="1">
      <w:start w:val="1"/>
      <w:numFmt w:val="bullet"/>
      <w:lvlText w:val=""/>
      <w:lvlJc w:val="left"/>
      <w:pPr>
        <w:ind w:left="5466" w:hanging="360"/>
      </w:pPr>
      <w:rPr>
        <w:rFonts w:ascii="Symbol" w:hAnsi="Symbol" w:hint="default"/>
      </w:rPr>
    </w:lvl>
    <w:lvl w:ilvl="7" w:tplc="08160003" w:tentative="1">
      <w:start w:val="1"/>
      <w:numFmt w:val="bullet"/>
      <w:lvlText w:val="o"/>
      <w:lvlJc w:val="left"/>
      <w:pPr>
        <w:ind w:left="6186" w:hanging="360"/>
      </w:pPr>
      <w:rPr>
        <w:rFonts w:ascii="Courier New" w:hAnsi="Courier New" w:cs="Courier New" w:hint="default"/>
      </w:rPr>
    </w:lvl>
    <w:lvl w:ilvl="8" w:tplc="08160005" w:tentative="1">
      <w:start w:val="1"/>
      <w:numFmt w:val="bullet"/>
      <w:lvlText w:val=""/>
      <w:lvlJc w:val="left"/>
      <w:pPr>
        <w:ind w:left="6906" w:hanging="360"/>
      </w:pPr>
      <w:rPr>
        <w:rFonts w:ascii="Wingdings" w:hAnsi="Wingdings" w:hint="default"/>
      </w:rPr>
    </w:lvl>
  </w:abstractNum>
  <w:abstractNum w:abstractNumId="25" w15:restartNumberingAfterBreak="0">
    <w:nsid w:val="73AE376E"/>
    <w:multiLevelType w:val="hybridMultilevel"/>
    <w:tmpl w:val="E8D617C4"/>
    <w:lvl w:ilvl="0" w:tplc="BD62F0AE">
      <w:numFmt w:val="bullet"/>
      <w:lvlText w:val=""/>
      <w:lvlJc w:val="left"/>
      <w:pPr>
        <w:ind w:left="786" w:hanging="360"/>
      </w:pPr>
      <w:rPr>
        <w:rFonts w:ascii="Symbol" w:eastAsia="Times New Roman" w:hAnsi="Symbol"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6" w15:restartNumberingAfterBreak="0">
    <w:nsid w:val="757445C7"/>
    <w:multiLevelType w:val="hybridMultilevel"/>
    <w:tmpl w:val="37E48C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B6B1606"/>
    <w:multiLevelType w:val="hybridMultilevel"/>
    <w:tmpl w:val="7214E6D0"/>
    <w:lvl w:ilvl="0" w:tplc="3C6ED85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C6F1229"/>
    <w:multiLevelType w:val="hybridMultilevel"/>
    <w:tmpl w:val="B31AA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D2B2540"/>
    <w:multiLevelType w:val="hybridMultilevel"/>
    <w:tmpl w:val="BC4A1440"/>
    <w:lvl w:ilvl="0" w:tplc="0C0A0003">
      <w:start w:val="1"/>
      <w:numFmt w:val="bullet"/>
      <w:lvlText w:val="o"/>
      <w:lvlJc w:val="left"/>
      <w:pPr>
        <w:ind w:left="1080" w:hanging="360"/>
      </w:pPr>
      <w:rPr>
        <w:rFonts w:ascii="Courier New" w:hAnsi="Courier New" w:cs="Courier New"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8"/>
  </w:num>
  <w:num w:numId="2">
    <w:abstractNumId w:val="6"/>
  </w:num>
  <w:num w:numId="3">
    <w:abstractNumId w:val="21"/>
  </w:num>
  <w:num w:numId="4">
    <w:abstractNumId w:val="9"/>
  </w:num>
  <w:num w:numId="5">
    <w:abstractNumId w:val="8"/>
  </w:num>
  <w:num w:numId="6">
    <w:abstractNumId w:val="13"/>
  </w:num>
  <w:num w:numId="7">
    <w:abstractNumId w:val="22"/>
  </w:num>
  <w:num w:numId="8">
    <w:abstractNumId w:val="12"/>
  </w:num>
  <w:num w:numId="9">
    <w:abstractNumId w:val="23"/>
  </w:num>
  <w:num w:numId="10">
    <w:abstractNumId w:val="20"/>
  </w:num>
  <w:num w:numId="11">
    <w:abstractNumId w:val="14"/>
  </w:num>
  <w:num w:numId="12">
    <w:abstractNumId w:val="2"/>
  </w:num>
  <w:num w:numId="13">
    <w:abstractNumId w:val="29"/>
  </w:num>
  <w:num w:numId="14">
    <w:abstractNumId w:val="17"/>
  </w:num>
  <w:num w:numId="15">
    <w:abstractNumId w:val="11"/>
  </w:num>
  <w:num w:numId="16">
    <w:abstractNumId w:val="26"/>
  </w:num>
  <w:num w:numId="17">
    <w:abstractNumId w:val="5"/>
  </w:num>
  <w:num w:numId="18">
    <w:abstractNumId w:val="4"/>
  </w:num>
  <w:num w:numId="19">
    <w:abstractNumId w:val="10"/>
  </w:num>
  <w:num w:numId="20">
    <w:abstractNumId w:val="19"/>
  </w:num>
  <w:num w:numId="21">
    <w:abstractNumId w:val="24"/>
  </w:num>
  <w:num w:numId="22">
    <w:abstractNumId w:val="15"/>
  </w:num>
  <w:num w:numId="23">
    <w:abstractNumId w:val="3"/>
  </w:num>
  <w:num w:numId="24">
    <w:abstractNumId w:val="7"/>
  </w:num>
  <w:num w:numId="25">
    <w:abstractNumId w:val="27"/>
  </w:num>
  <w:num w:numId="26">
    <w:abstractNumId w:val="28"/>
  </w:num>
  <w:num w:numId="27">
    <w:abstractNumId w:val="16"/>
  </w:num>
  <w:num w:numId="28">
    <w:abstractNumId w:val="1"/>
  </w:num>
  <w:num w:numId="29">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FD1"/>
    <w:rsid w:val="00000D17"/>
    <w:rsid w:val="00001C6D"/>
    <w:rsid w:val="00002B33"/>
    <w:rsid w:val="00004280"/>
    <w:rsid w:val="00004A31"/>
    <w:rsid w:val="000064BD"/>
    <w:rsid w:val="00006545"/>
    <w:rsid w:val="00007024"/>
    <w:rsid w:val="0001074F"/>
    <w:rsid w:val="00010EA7"/>
    <w:rsid w:val="000163BE"/>
    <w:rsid w:val="0002058E"/>
    <w:rsid w:val="00022088"/>
    <w:rsid w:val="00022343"/>
    <w:rsid w:val="00023354"/>
    <w:rsid w:val="0002339E"/>
    <w:rsid w:val="00026691"/>
    <w:rsid w:val="00026BCF"/>
    <w:rsid w:val="00026BEF"/>
    <w:rsid w:val="00027C66"/>
    <w:rsid w:val="00030B6C"/>
    <w:rsid w:val="00031C59"/>
    <w:rsid w:val="000321B1"/>
    <w:rsid w:val="00033AD1"/>
    <w:rsid w:val="00033EE4"/>
    <w:rsid w:val="00034324"/>
    <w:rsid w:val="00034857"/>
    <w:rsid w:val="00035B21"/>
    <w:rsid w:val="00036054"/>
    <w:rsid w:val="00036974"/>
    <w:rsid w:val="00037AAA"/>
    <w:rsid w:val="00041A0A"/>
    <w:rsid w:val="00043B74"/>
    <w:rsid w:val="00044BCD"/>
    <w:rsid w:val="00044BD5"/>
    <w:rsid w:val="000455BC"/>
    <w:rsid w:val="00046E44"/>
    <w:rsid w:val="000555EC"/>
    <w:rsid w:val="00060097"/>
    <w:rsid w:val="000621E8"/>
    <w:rsid w:val="00062C25"/>
    <w:rsid w:val="00063D4F"/>
    <w:rsid w:val="00064B37"/>
    <w:rsid w:val="000653E7"/>
    <w:rsid w:val="00066093"/>
    <w:rsid w:val="00066D8F"/>
    <w:rsid w:val="00070223"/>
    <w:rsid w:val="00070D5A"/>
    <w:rsid w:val="000714B4"/>
    <w:rsid w:val="000728EF"/>
    <w:rsid w:val="000757CE"/>
    <w:rsid w:val="00075A7F"/>
    <w:rsid w:val="00077067"/>
    <w:rsid w:val="0007725B"/>
    <w:rsid w:val="00080AAF"/>
    <w:rsid w:val="000851B0"/>
    <w:rsid w:val="0008682B"/>
    <w:rsid w:val="00087C0D"/>
    <w:rsid w:val="00087DE0"/>
    <w:rsid w:val="00091008"/>
    <w:rsid w:val="0009150A"/>
    <w:rsid w:val="000948BB"/>
    <w:rsid w:val="00097D90"/>
    <w:rsid w:val="000A2679"/>
    <w:rsid w:val="000A34CB"/>
    <w:rsid w:val="000A4C32"/>
    <w:rsid w:val="000A5A13"/>
    <w:rsid w:val="000A5C3C"/>
    <w:rsid w:val="000A7DEC"/>
    <w:rsid w:val="000B379E"/>
    <w:rsid w:val="000B3CF7"/>
    <w:rsid w:val="000B55B0"/>
    <w:rsid w:val="000B5821"/>
    <w:rsid w:val="000B7DD4"/>
    <w:rsid w:val="000C3816"/>
    <w:rsid w:val="000C54C4"/>
    <w:rsid w:val="000D4A3A"/>
    <w:rsid w:val="000D4C4B"/>
    <w:rsid w:val="000D5B4F"/>
    <w:rsid w:val="000D5CDB"/>
    <w:rsid w:val="000D7359"/>
    <w:rsid w:val="000D7459"/>
    <w:rsid w:val="000D763F"/>
    <w:rsid w:val="000E013E"/>
    <w:rsid w:val="000E2666"/>
    <w:rsid w:val="000E2D3A"/>
    <w:rsid w:val="000E516A"/>
    <w:rsid w:val="000F0801"/>
    <w:rsid w:val="000F1A7A"/>
    <w:rsid w:val="000F23BA"/>
    <w:rsid w:val="000F2AA9"/>
    <w:rsid w:val="000F4643"/>
    <w:rsid w:val="000F5F7B"/>
    <w:rsid w:val="000F70C4"/>
    <w:rsid w:val="001001AA"/>
    <w:rsid w:val="00101159"/>
    <w:rsid w:val="001013E6"/>
    <w:rsid w:val="001057B2"/>
    <w:rsid w:val="001067C8"/>
    <w:rsid w:val="00106B36"/>
    <w:rsid w:val="0011011C"/>
    <w:rsid w:val="0011086A"/>
    <w:rsid w:val="00111734"/>
    <w:rsid w:val="001138AE"/>
    <w:rsid w:val="00122412"/>
    <w:rsid w:val="00122C6B"/>
    <w:rsid w:val="00124EAA"/>
    <w:rsid w:val="001277A1"/>
    <w:rsid w:val="00127A4C"/>
    <w:rsid w:val="00127E47"/>
    <w:rsid w:val="00131C98"/>
    <w:rsid w:val="001328A5"/>
    <w:rsid w:val="00137867"/>
    <w:rsid w:val="00141351"/>
    <w:rsid w:val="00142289"/>
    <w:rsid w:val="00143AC4"/>
    <w:rsid w:val="00143E0A"/>
    <w:rsid w:val="0014479F"/>
    <w:rsid w:val="001455A8"/>
    <w:rsid w:val="00145983"/>
    <w:rsid w:val="001459AB"/>
    <w:rsid w:val="001464B9"/>
    <w:rsid w:val="0015021A"/>
    <w:rsid w:val="001518B0"/>
    <w:rsid w:val="00153C4A"/>
    <w:rsid w:val="0015403F"/>
    <w:rsid w:val="001565AB"/>
    <w:rsid w:val="00157621"/>
    <w:rsid w:val="00163FC4"/>
    <w:rsid w:val="00164219"/>
    <w:rsid w:val="00164742"/>
    <w:rsid w:val="00165280"/>
    <w:rsid w:val="00166894"/>
    <w:rsid w:val="00166AB0"/>
    <w:rsid w:val="00166C66"/>
    <w:rsid w:val="00166F4D"/>
    <w:rsid w:val="00167532"/>
    <w:rsid w:val="00167793"/>
    <w:rsid w:val="00171B1A"/>
    <w:rsid w:val="0017202D"/>
    <w:rsid w:val="00174451"/>
    <w:rsid w:val="00175758"/>
    <w:rsid w:val="001759B0"/>
    <w:rsid w:val="00175B92"/>
    <w:rsid w:val="00176331"/>
    <w:rsid w:val="00176514"/>
    <w:rsid w:val="00176E4E"/>
    <w:rsid w:val="00182583"/>
    <w:rsid w:val="001830F3"/>
    <w:rsid w:val="0018473F"/>
    <w:rsid w:val="00185647"/>
    <w:rsid w:val="001906DF"/>
    <w:rsid w:val="001925FB"/>
    <w:rsid w:val="00192695"/>
    <w:rsid w:val="001944B6"/>
    <w:rsid w:val="0019597D"/>
    <w:rsid w:val="00197A36"/>
    <w:rsid w:val="001A0991"/>
    <w:rsid w:val="001A253B"/>
    <w:rsid w:val="001A3708"/>
    <w:rsid w:val="001A378D"/>
    <w:rsid w:val="001A4D41"/>
    <w:rsid w:val="001A4F45"/>
    <w:rsid w:val="001A564D"/>
    <w:rsid w:val="001A5ECA"/>
    <w:rsid w:val="001A74A0"/>
    <w:rsid w:val="001B0007"/>
    <w:rsid w:val="001B0C57"/>
    <w:rsid w:val="001B2771"/>
    <w:rsid w:val="001B28B9"/>
    <w:rsid w:val="001B2E29"/>
    <w:rsid w:val="001B3478"/>
    <w:rsid w:val="001B3BDD"/>
    <w:rsid w:val="001B4048"/>
    <w:rsid w:val="001B463B"/>
    <w:rsid w:val="001B464D"/>
    <w:rsid w:val="001B577B"/>
    <w:rsid w:val="001B7B61"/>
    <w:rsid w:val="001B7DFE"/>
    <w:rsid w:val="001B7F53"/>
    <w:rsid w:val="001C0640"/>
    <w:rsid w:val="001C1014"/>
    <w:rsid w:val="001C22B8"/>
    <w:rsid w:val="001C4CA5"/>
    <w:rsid w:val="001C4D9D"/>
    <w:rsid w:val="001C4DE4"/>
    <w:rsid w:val="001C56A7"/>
    <w:rsid w:val="001C60D0"/>
    <w:rsid w:val="001D1D0A"/>
    <w:rsid w:val="001D2155"/>
    <w:rsid w:val="001D55E7"/>
    <w:rsid w:val="001D659A"/>
    <w:rsid w:val="001E0AAB"/>
    <w:rsid w:val="001E1B72"/>
    <w:rsid w:val="001E24AD"/>
    <w:rsid w:val="001E5F6D"/>
    <w:rsid w:val="001E6259"/>
    <w:rsid w:val="001E6754"/>
    <w:rsid w:val="001E7758"/>
    <w:rsid w:val="001F0DB3"/>
    <w:rsid w:val="001F0F53"/>
    <w:rsid w:val="001F4025"/>
    <w:rsid w:val="001F714D"/>
    <w:rsid w:val="00200483"/>
    <w:rsid w:val="00200664"/>
    <w:rsid w:val="00200AEC"/>
    <w:rsid w:val="00202814"/>
    <w:rsid w:val="00206A89"/>
    <w:rsid w:val="002109F6"/>
    <w:rsid w:val="00211E23"/>
    <w:rsid w:val="002124BD"/>
    <w:rsid w:val="00213572"/>
    <w:rsid w:val="0021594C"/>
    <w:rsid w:val="00215F93"/>
    <w:rsid w:val="0021723B"/>
    <w:rsid w:val="002219E9"/>
    <w:rsid w:val="00224F97"/>
    <w:rsid w:val="00224FA1"/>
    <w:rsid w:val="002273B3"/>
    <w:rsid w:val="002276E5"/>
    <w:rsid w:val="0023089B"/>
    <w:rsid w:val="00230DE3"/>
    <w:rsid w:val="00232D10"/>
    <w:rsid w:val="00233814"/>
    <w:rsid w:val="00233B0E"/>
    <w:rsid w:val="00241205"/>
    <w:rsid w:val="00243D8B"/>
    <w:rsid w:val="00244769"/>
    <w:rsid w:val="00247919"/>
    <w:rsid w:val="00250385"/>
    <w:rsid w:val="002504DE"/>
    <w:rsid w:val="0025058F"/>
    <w:rsid w:val="00250663"/>
    <w:rsid w:val="002510DE"/>
    <w:rsid w:val="00251A4A"/>
    <w:rsid w:val="00251C7E"/>
    <w:rsid w:val="002520D8"/>
    <w:rsid w:val="00253D05"/>
    <w:rsid w:val="002548FF"/>
    <w:rsid w:val="00255A5F"/>
    <w:rsid w:val="002567C1"/>
    <w:rsid w:val="002569DC"/>
    <w:rsid w:val="002624C9"/>
    <w:rsid w:val="00262A0F"/>
    <w:rsid w:val="00263326"/>
    <w:rsid w:val="0026355F"/>
    <w:rsid w:val="00264364"/>
    <w:rsid w:val="00266E6F"/>
    <w:rsid w:val="0027185F"/>
    <w:rsid w:val="00274478"/>
    <w:rsid w:val="00274F67"/>
    <w:rsid w:val="002752CF"/>
    <w:rsid w:val="0027795C"/>
    <w:rsid w:val="00277B5E"/>
    <w:rsid w:val="00280445"/>
    <w:rsid w:val="002820A7"/>
    <w:rsid w:val="00282CA2"/>
    <w:rsid w:val="00285B0F"/>
    <w:rsid w:val="00285DC0"/>
    <w:rsid w:val="002921B8"/>
    <w:rsid w:val="00293FAA"/>
    <w:rsid w:val="00294949"/>
    <w:rsid w:val="00294B23"/>
    <w:rsid w:val="002964CC"/>
    <w:rsid w:val="0029798E"/>
    <w:rsid w:val="002A11C4"/>
    <w:rsid w:val="002A3D11"/>
    <w:rsid w:val="002A4B04"/>
    <w:rsid w:val="002A5982"/>
    <w:rsid w:val="002B0267"/>
    <w:rsid w:val="002B2E69"/>
    <w:rsid w:val="002B3284"/>
    <w:rsid w:val="002B6CB8"/>
    <w:rsid w:val="002B77A3"/>
    <w:rsid w:val="002B7B26"/>
    <w:rsid w:val="002C149A"/>
    <w:rsid w:val="002C3EB8"/>
    <w:rsid w:val="002C3FB3"/>
    <w:rsid w:val="002C4141"/>
    <w:rsid w:val="002C44BC"/>
    <w:rsid w:val="002C7EF4"/>
    <w:rsid w:val="002D0017"/>
    <w:rsid w:val="002D6F04"/>
    <w:rsid w:val="002D728C"/>
    <w:rsid w:val="002E092F"/>
    <w:rsid w:val="002E2A7E"/>
    <w:rsid w:val="002E3399"/>
    <w:rsid w:val="002E40F1"/>
    <w:rsid w:val="002E432F"/>
    <w:rsid w:val="002E577C"/>
    <w:rsid w:val="002E6622"/>
    <w:rsid w:val="002E758B"/>
    <w:rsid w:val="002F06C4"/>
    <w:rsid w:val="002F0714"/>
    <w:rsid w:val="002F19E1"/>
    <w:rsid w:val="002F221C"/>
    <w:rsid w:val="002F28C9"/>
    <w:rsid w:val="002F2A8C"/>
    <w:rsid w:val="002F2EBE"/>
    <w:rsid w:val="002F3C8E"/>
    <w:rsid w:val="002F6689"/>
    <w:rsid w:val="002F6E9B"/>
    <w:rsid w:val="0030106D"/>
    <w:rsid w:val="003021A6"/>
    <w:rsid w:val="00302426"/>
    <w:rsid w:val="00302598"/>
    <w:rsid w:val="0031039B"/>
    <w:rsid w:val="003111D2"/>
    <w:rsid w:val="00311826"/>
    <w:rsid w:val="003121C5"/>
    <w:rsid w:val="00316F85"/>
    <w:rsid w:val="003174AE"/>
    <w:rsid w:val="0032119A"/>
    <w:rsid w:val="00322151"/>
    <w:rsid w:val="003236B6"/>
    <w:rsid w:val="00324121"/>
    <w:rsid w:val="003248EA"/>
    <w:rsid w:val="00325E6D"/>
    <w:rsid w:val="0032685B"/>
    <w:rsid w:val="0033128D"/>
    <w:rsid w:val="0033399B"/>
    <w:rsid w:val="00334D34"/>
    <w:rsid w:val="00337B33"/>
    <w:rsid w:val="00337CB5"/>
    <w:rsid w:val="003407AE"/>
    <w:rsid w:val="003427A4"/>
    <w:rsid w:val="0034545C"/>
    <w:rsid w:val="003503E2"/>
    <w:rsid w:val="00350612"/>
    <w:rsid w:val="003507D5"/>
    <w:rsid w:val="003531B8"/>
    <w:rsid w:val="00354F51"/>
    <w:rsid w:val="00355250"/>
    <w:rsid w:val="0035667E"/>
    <w:rsid w:val="00360A3C"/>
    <w:rsid w:val="003619BE"/>
    <w:rsid w:val="0036210D"/>
    <w:rsid w:val="00363428"/>
    <w:rsid w:val="003641B1"/>
    <w:rsid w:val="00364999"/>
    <w:rsid w:val="003653C8"/>
    <w:rsid w:val="00366AF2"/>
    <w:rsid w:val="00367EE1"/>
    <w:rsid w:val="0037098B"/>
    <w:rsid w:val="003727A8"/>
    <w:rsid w:val="00372F65"/>
    <w:rsid w:val="0037582F"/>
    <w:rsid w:val="00376584"/>
    <w:rsid w:val="0037797E"/>
    <w:rsid w:val="00377B9F"/>
    <w:rsid w:val="0038209E"/>
    <w:rsid w:val="003824AA"/>
    <w:rsid w:val="00382BA7"/>
    <w:rsid w:val="00383128"/>
    <w:rsid w:val="00383DEC"/>
    <w:rsid w:val="00385A09"/>
    <w:rsid w:val="00386902"/>
    <w:rsid w:val="0038773A"/>
    <w:rsid w:val="00391539"/>
    <w:rsid w:val="003927CF"/>
    <w:rsid w:val="00392CC3"/>
    <w:rsid w:val="00393722"/>
    <w:rsid w:val="00396022"/>
    <w:rsid w:val="00397A37"/>
    <w:rsid w:val="003A0D75"/>
    <w:rsid w:val="003A3001"/>
    <w:rsid w:val="003A4A80"/>
    <w:rsid w:val="003A4DA4"/>
    <w:rsid w:val="003A7FC8"/>
    <w:rsid w:val="003B0620"/>
    <w:rsid w:val="003B1AB6"/>
    <w:rsid w:val="003B246F"/>
    <w:rsid w:val="003B502D"/>
    <w:rsid w:val="003B5ABE"/>
    <w:rsid w:val="003B7675"/>
    <w:rsid w:val="003B78E0"/>
    <w:rsid w:val="003C1855"/>
    <w:rsid w:val="003C1995"/>
    <w:rsid w:val="003C220D"/>
    <w:rsid w:val="003C3CA1"/>
    <w:rsid w:val="003C6891"/>
    <w:rsid w:val="003C6934"/>
    <w:rsid w:val="003C6E4B"/>
    <w:rsid w:val="003D65F7"/>
    <w:rsid w:val="003D7878"/>
    <w:rsid w:val="003E3709"/>
    <w:rsid w:val="003E4803"/>
    <w:rsid w:val="003E6278"/>
    <w:rsid w:val="003F0600"/>
    <w:rsid w:val="003F3038"/>
    <w:rsid w:val="003F60B7"/>
    <w:rsid w:val="003F6A86"/>
    <w:rsid w:val="003F6B56"/>
    <w:rsid w:val="003F7A1A"/>
    <w:rsid w:val="00400E57"/>
    <w:rsid w:val="00401735"/>
    <w:rsid w:val="004020FE"/>
    <w:rsid w:val="00402B42"/>
    <w:rsid w:val="00404845"/>
    <w:rsid w:val="00404A26"/>
    <w:rsid w:val="00405FC1"/>
    <w:rsid w:val="004077E4"/>
    <w:rsid w:val="00407B8C"/>
    <w:rsid w:val="0041432A"/>
    <w:rsid w:val="00421361"/>
    <w:rsid w:val="004215EB"/>
    <w:rsid w:val="004219B4"/>
    <w:rsid w:val="00422182"/>
    <w:rsid w:val="00422931"/>
    <w:rsid w:val="00423119"/>
    <w:rsid w:val="00426528"/>
    <w:rsid w:val="00426E47"/>
    <w:rsid w:val="004317BF"/>
    <w:rsid w:val="00434E4E"/>
    <w:rsid w:val="00435D37"/>
    <w:rsid w:val="00436FE3"/>
    <w:rsid w:val="00443479"/>
    <w:rsid w:val="00443516"/>
    <w:rsid w:val="00444133"/>
    <w:rsid w:val="00445B12"/>
    <w:rsid w:val="0045337A"/>
    <w:rsid w:val="00454097"/>
    <w:rsid w:val="004559A6"/>
    <w:rsid w:val="00456124"/>
    <w:rsid w:val="004571A2"/>
    <w:rsid w:val="004617D3"/>
    <w:rsid w:val="004619DA"/>
    <w:rsid w:val="0046432D"/>
    <w:rsid w:val="004645A1"/>
    <w:rsid w:val="0046482B"/>
    <w:rsid w:val="00465430"/>
    <w:rsid w:val="00467A3B"/>
    <w:rsid w:val="00473252"/>
    <w:rsid w:val="004735C5"/>
    <w:rsid w:val="00474014"/>
    <w:rsid w:val="00480933"/>
    <w:rsid w:val="00481D25"/>
    <w:rsid w:val="00483EE9"/>
    <w:rsid w:val="00486A84"/>
    <w:rsid w:val="00491D4E"/>
    <w:rsid w:val="00495285"/>
    <w:rsid w:val="004A310D"/>
    <w:rsid w:val="004A4257"/>
    <w:rsid w:val="004A6923"/>
    <w:rsid w:val="004B1B2A"/>
    <w:rsid w:val="004B355F"/>
    <w:rsid w:val="004B3D29"/>
    <w:rsid w:val="004B3DDA"/>
    <w:rsid w:val="004B3EA1"/>
    <w:rsid w:val="004B4238"/>
    <w:rsid w:val="004C1CA2"/>
    <w:rsid w:val="004C2D18"/>
    <w:rsid w:val="004C5046"/>
    <w:rsid w:val="004C5B82"/>
    <w:rsid w:val="004C6EC8"/>
    <w:rsid w:val="004C7887"/>
    <w:rsid w:val="004D0289"/>
    <w:rsid w:val="004D34EE"/>
    <w:rsid w:val="004D46FF"/>
    <w:rsid w:val="004D505E"/>
    <w:rsid w:val="004D6BE3"/>
    <w:rsid w:val="004E0E1C"/>
    <w:rsid w:val="004E14FF"/>
    <w:rsid w:val="004E1A28"/>
    <w:rsid w:val="004E1B63"/>
    <w:rsid w:val="004E56D2"/>
    <w:rsid w:val="004E5ACB"/>
    <w:rsid w:val="004E7549"/>
    <w:rsid w:val="004F02E8"/>
    <w:rsid w:val="004F2589"/>
    <w:rsid w:val="004F2A5A"/>
    <w:rsid w:val="004F36E7"/>
    <w:rsid w:val="004F4155"/>
    <w:rsid w:val="004F6C2A"/>
    <w:rsid w:val="004F74A5"/>
    <w:rsid w:val="00500351"/>
    <w:rsid w:val="00503F04"/>
    <w:rsid w:val="00503FD6"/>
    <w:rsid w:val="005105D3"/>
    <w:rsid w:val="00510CE2"/>
    <w:rsid w:val="005121AD"/>
    <w:rsid w:val="005131E9"/>
    <w:rsid w:val="00513313"/>
    <w:rsid w:val="005159E9"/>
    <w:rsid w:val="00516458"/>
    <w:rsid w:val="00517A4E"/>
    <w:rsid w:val="00517AD9"/>
    <w:rsid w:val="00522400"/>
    <w:rsid w:val="005237AE"/>
    <w:rsid w:val="00524E94"/>
    <w:rsid w:val="0053195E"/>
    <w:rsid w:val="00531A4E"/>
    <w:rsid w:val="00532C93"/>
    <w:rsid w:val="00534193"/>
    <w:rsid w:val="00534497"/>
    <w:rsid w:val="00535033"/>
    <w:rsid w:val="0053618B"/>
    <w:rsid w:val="005366F9"/>
    <w:rsid w:val="0053704A"/>
    <w:rsid w:val="005370FE"/>
    <w:rsid w:val="00541C18"/>
    <w:rsid w:val="00546023"/>
    <w:rsid w:val="00546449"/>
    <w:rsid w:val="0055025C"/>
    <w:rsid w:val="00550312"/>
    <w:rsid w:val="005512F4"/>
    <w:rsid w:val="00552091"/>
    <w:rsid w:val="00552733"/>
    <w:rsid w:val="005529AB"/>
    <w:rsid w:val="0055682D"/>
    <w:rsid w:val="005570F3"/>
    <w:rsid w:val="00557BC7"/>
    <w:rsid w:val="00560BFB"/>
    <w:rsid w:val="00562AD9"/>
    <w:rsid w:val="00564EEC"/>
    <w:rsid w:val="00565B66"/>
    <w:rsid w:val="005668E6"/>
    <w:rsid w:val="00566D3F"/>
    <w:rsid w:val="0057137F"/>
    <w:rsid w:val="005726F1"/>
    <w:rsid w:val="0057498B"/>
    <w:rsid w:val="00575244"/>
    <w:rsid w:val="0057782E"/>
    <w:rsid w:val="00580BA7"/>
    <w:rsid w:val="005810C2"/>
    <w:rsid w:val="00582F1B"/>
    <w:rsid w:val="00584030"/>
    <w:rsid w:val="005859D1"/>
    <w:rsid w:val="00593710"/>
    <w:rsid w:val="0059796F"/>
    <w:rsid w:val="005A287A"/>
    <w:rsid w:val="005A2DB6"/>
    <w:rsid w:val="005A33B9"/>
    <w:rsid w:val="005A4B43"/>
    <w:rsid w:val="005A776B"/>
    <w:rsid w:val="005A7B55"/>
    <w:rsid w:val="005B51A4"/>
    <w:rsid w:val="005C1299"/>
    <w:rsid w:val="005C1F17"/>
    <w:rsid w:val="005C2D28"/>
    <w:rsid w:val="005C5212"/>
    <w:rsid w:val="005C5A38"/>
    <w:rsid w:val="005C5A6D"/>
    <w:rsid w:val="005C5FB7"/>
    <w:rsid w:val="005D016C"/>
    <w:rsid w:val="005D103F"/>
    <w:rsid w:val="005D1996"/>
    <w:rsid w:val="005D3483"/>
    <w:rsid w:val="005D3987"/>
    <w:rsid w:val="005D42B1"/>
    <w:rsid w:val="005D7377"/>
    <w:rsid w:val="005E33D5"/>
    <w:rsid w:val="005E3939"/>
    <w:rsid w:val="005E42D7"/>
    <w:rsid w:val="005F0DF9"/>
    <w:rsid w:val="005F1AF3"/>
    <w:rsid w:val="005F22A9"/>
    <w:rsid w:val="005F3299"/>
    <w:rsid w:val="005F4374"/>
    <w:rsid w:val="005F4AC8"/>
    <w:rsid w:val="005F67FB"/>
    <w:rsid w:val="00600361"/>
    <w:rsid w:val="00605684"/>
    <w:rsid w:val="00605788"/>
    <w:rsid w:val="006058F7"/>
    <w:rsid w:val="00607D9B"/>
    <w:rsid w:val="006134D3"/>
    <w:rsid w:val="00614C7B"/>
    <w:rsid w:val="00614E18"/>
    <w:rsid w:val="00615636"/>
    <w:rsid w:val="006162D4"/>
    <w:rsid w:val="006169AB"/>
    <w:rsid w:val="00616A8D"/>
    <w:rsid w:val="00616DAE"/>
    <w:rsid w:val="0061784A"/>
    <w:rsid w:val="00620163"/>
    <w:rsid w:val="0062154D"/>
    <w:rsid w:val="00622560"/>
    <w:rsid w:val="00622713"/>
    <w:rsid w:val="0062436F"/>
    <w:rsid w:val="00624817"/>
    <w:rsid w:val="00627D08"/>
    <w:rsid w:val="006300DD"/>
    <w:rsid w:val="006302CC"/>
    <w:rsid w:val="00632D6B"/>
    <w:rsid w:val="0063377A"/>
    <w:rsid w:val="00640B73"/>
    <w:rsid w:val="006425E6"/>
    <w:rsid w:val="00644A12"/>
    <w:rsid w:val="00645397"/>
    <w:rsid w:val="0064593B"/>
    <w:rsid w:val="00646982"/>
    <w:rsid w:val="00647F31"/>
    <w:rsid w:val="00650723"/>
    <w:rsid w:val="00651564"/>
    <w:rsid w:val="00651CC1"/>
    <w:rsid w:val="00651DBC"/>
    <w:rsid w:val="00654F6B"/>
    <w:rsid w:val="006553CC"/>
    <w:rsid w:val="006555B7"/>
    <w:rsid w:val="00660430"/>
    <w:rsid w:val="00665E71"/>
    <w:rsid w:val="00666066"/>
    <w:rsid w:val="0066694F"/>
    <w:rsid w:val="00666E6B"/>
    <w:rsid w:val="0066723A"/>
    <w:rsid w:val="00667C52"/>
    <w:rsid w:val="0067073E"/>
    <w:rsid w:val="00671898"/>
    <w:rsid w:val="00671A01"/>
    <w:rsid w:val="00671E88"/>
    <w:rsid w:val="0067254A"/>
    <w:rsid w:val="00674752"/>
    <w:rsid w:val="00677600"/>
    <w:rsid w:val="00677D3E"/>
    <w:rsid w:val="006807AC"/>
    <w:rsid w:val="00684FC7"/>
    <w:rsid w:val="00692918"/>
    <w:rsid w:val="006957FF"/>
    <w:rsid w:val="006976FF"/>
    <w:rsid w:val="006A004F"/>
    <w:rsid w:val="006A1CFC"/>
    <w:rsid w:val="006A355C"/>
    <w:rsid w:val="006A40A1"/>
    <w:rsid w:val="006A4C51"/>
    <w:rsid w:val="006A5C59"/>
    <w:rsid w:val="006B0104"/>
    <w:rsid w:val="006B2050"/>
    <w:rsid w:val="006B379A"/>
    <w:rsid w:val="006B41B9"/>
    <w:rsid w:val="006B4CEF"/>
    <w:rsid w:val="006B666F"/>
    <w:rsid w:val="006B6E54"/>
    <w:rsid w:val="006B73A0"/>
    <w:rsid w:val="006C08B9"/>
    <w:rsid w:val="006C093A"/>
    <w:rsid w:val="006C1162"/>
    <w:rsid w:val="006C1689"/>
    <w:rsid w:val="006C1826"/>
    <w:rsid w:val="006C243D"/>
    <w:rsid w:val="006C5858"/>
    <w:rsid w:val="006C5C5F"/>
    <w:rsid w:val="006C5E40"/>
    <w:rsid w:val="006C6B54"/>
    <w:rsid w:val="006C773D"/>
    <w:rsid w:val="006D01EC"/>
    <w:rsid w:val="006D186D"/>
    <w:rsid w:val="006D446E"/>
    <w:rsid w:val="006D4BBE"/>
    <w:rsid w:val="006D4F57"/>
    <w:rsid w:val="006D5868"/>
    <w:rsid w:val="006D5E69"/>
    <w:rsid w:val="006E2B05"/>
    <w:rsid w:val="006E39F6"/>
    <w:rsid w:val="006F1C66"/>
    <w:rsid w:val="006F5096"/>
    <w:rsid w:val="00700548"/>
    <w:rsid w:val="007018E4"/>
    <w:rsid w:val="0070310D"/>
    <w:rsid w:val="00703B6F"/>
    <w:rsid w:val="007051ED"/>
    <w:rsid w:val="007066FB"/>
    <w:rsid w:val="007076FA"/>
    <w:rsid w:val="007079A0"/>
    <w:rsid w:val="00710E58"/>
    <w:rsid w:val="00711156"/>
    <w:rsid w:val="0071580C"/>
    <w:rsid w:val="00716CDF"/>
    <w:rsid w:val="00716DC2"/>
    <w:rsid w:val="007234DF"/>
    <w:rsid w:val="00725257"/>
    <w:rsid w:val="00725443"/>
    <w:rsid w:val="00727646"/>
    <w:rsid w:val="00727980"/>
    <w:rsid w:val="00730D6F"/>
    <w:rsid w:val="007327C1"/>
    <w:rsid w:val="00732E07"/>
    <w:rsid w:val="00735B38"/>
    <w:rsid w:val="007360A6"/>
    <w:rsid w:val="00736EE2"/>
    <w:rsid w:val="007374B9"/>
    <w:rsid w:val="0074017E"/>
    <w:rsid w:val="00743057"/>
    <w:rsid w:val="00744B7B"/>
    <w:rsid w:val="0074731C"/>
    <w:rsid w:val="007473A7"/>
    <w:rsid w:val="00747F43"/>
    <w:rsid w:val="0075085E"/>
    <w:rsid w:val="007508B7"/>
    <w:rsid w:val="00751ADF"/>
    <w:rsid w:val="00755802"/>
    <w:rsid w:val="0075589C"/>
    <w:rsid w:val="00755944"/>
    <w:rsid w:val="00755994"/>
    <w:rsid w:val="00755C1B"/>
    <w:rsid w:val="00755E29"/>
    <w:rsid w:val="007576DF"/>
    <w:rsid w:val="0076148D"/>
    <w:rsid w:val="00762EC5"/>
    <w:rsid w:val="00765FE6"/>
    <w:rsid w:val="00766051"/>
    <w:rsid w:val="00766411"/>
    <w:rsid w:val="007665FF"/>
    <w:rsid w:val="007675D6"/>
    <w:rsid w:val="0077097D"/>
    <w:rsid w:val="00771E15"/>
    <w:rsid w:val="007745BA"/>
    <w:rsid w:val="00774A09"/>
    <w:rsid w:val="00780C58"/>
    <w:rsid w:val="00781828"/>
    <w:rsid w:val="00782826"/>
    <w:rsid w:val="007833D6"/>
    <w:rsid w:val="007856BB"/>
    <w:rsid w:val="0078632B"/>
    <w:rsid w:val="00790720"/>
    <w:rsid w:val="007919DA"/>
    <w:rsid w:val="00792A9C"/>
    <w:rsid w:val="00792BE3"/>
    <w:rsid w:val="00792DB9"/>
    <w:rsid w:val="00794665"/>
    <w:rsid w:val="007975FB"/>
    <w:rsid w:val="00797657"/>
    <w:rsid w:val="00797FF3"/>
    <w:rsid w:val="007A213B"/>
    <w:rsid w:val="007A21AD"/>
    <w:rsid w:val="007A3510"/>
    <w:rsid w:val="007A4C60"/>
    <w:rsid w:val="007A510D"/>
    <w:rsid w:val="007A5AEA"/>
    <w:rsid w:val="007A6AF6"/>
    <w:rsid w:val="007A743C"/>
    <w:rsid w:val="007B233E"/>
    <w:rsid w:val="007B529D"/>
    <w:rsid w:val="007B53BB"/>
    <w:rsid w:val="007B677E"/>
    <w:rsid w:val="007B67C9"/>
    <w:rsid w:val="007B70A3"/>
    <w:rsid w:val="007B7D8A"/>
    <w:rsid w:val="007B7F6D"/>
    <w:rsid w:val="007C1618"/>
    <w:rsid w:val="007C191E"/>
    <w:rsid w:val="007C2C2A"/>
    <w:rsid w:val="007C2F12"/>
    <w:rsid w:val="007C38AC"/>
    <w:rsid w:val="007C7648"/>
    <w:rsid w:val="007D2054"/>
    <w:rsid w:val="007D22E3"/>
    <w:rsid w:val="007D2B86"/>
    <w:rsid w:val="007D2C40"/>
    <w:rsid w:val="007D3854"/>
    <w:rsid w:val="007D4102"/>
    <w:rsid w:val="007D5639"/>
    <w:rsid w:val="007D7AA2"/>
    <w:rsid w:val="007E0E17"/>
    <w:rsid w:val="007E14D8"/>
    <w:rsid w:val="007E18DB"/>
    <w:rsid w:val="007E3916"/>
    <w:rsid w:val="007E3F78"/>
    <w:rsid w:val="007E508D"/>
    <w:rsid w:val="007E52B1"/>
    <w:rsid w:val="007E64D8"/>
    <w:rsid w:val="007F0BFA"/>
    <w:rsid w:val="007F14A7"/>
    <w:rsid w:val="007F1786"/>
    <w:rsid w:val="007F1BDD"/>
    <w:rsid w:val="007F2240"/>
    <w:rsid w:val="007F33DD"/>
    <w:rsid w:val="007F3C30"/>
    <w:rsid w:val="007F58A6"/>
    <w:rsid w:val="007F5B3F"/>
    <w:rsid w:val="0080105F"/>
    <w:rsid w:val="00801126"/>
    <w:rsid w:val="00801200"/>
    <w:rsid w:val="0080161D"/>
    <w:rsid w:val="0080274A"/>
    <w:rsid w:val="00810FB9"/>
    <w:rsid w:val="00811096"/>
    <w:rsid w:val="00814A65"/>
    <w:rsid w:val="008154E2"/>
    <w:rsid w:val="00815AEA"/>
    <w:rsid w:val="008177DE"/>
    <w:rsid w:val="00820298"/>
    <w:rsid w:val="008225B4"/>
    <w:rsid w:val="00822C0C"/>
    <w:rsid w:val="00825E1D"/>
    <w:rsid w:val="0082612F"/>
    <w:rsid w:val="008273DA"/>
    <w:rsid w:val="00830854"/>
    <w:rsid w:val="00834099"/>
    <w:rsid w:val="00834886"/>
    <w:rsid w:val="0083629E"/>
    <w:rsid w:val="00836DC9"/>
    <w:rsid w:val="00837658"/>
    <w:rsid w:val="00837A49"/>
    <w:rsid w:val="00837CF9"/>
    <w:rsid w:val="00837CFD"/>
    <w:rsid w:val="008416F5"/>
    <w:rsid w:val="00841A43"/>
    <w:rsid w:val="00843324"/>
    <w:rsid w:val="00843489"/>
    <w:rsid w:val="00843EB0"/>
    <w:rsid w:val="00845401"/>
    <w:rsid w:val="0084767B"/>
    <w:rsid w:val="00850B47"/>
    <w:rsid w:val="008517E8"/>
    <w:rsid w:val="008527DE"/>
    <w:rsid w:val="008571D2"/>
    <w:rsid w:val="00860C39"/>
    <w:rsid w:val="008619FF"/>
    <w:rsid w:val="00862089"/>
    <w:rsid w:val="0086257B"/>
    <w:rsid w:val="0086311A"/>
    <w:rsid w:val="0086324E"/>
    <w:rsid w:val="008640D1"/>
    <w:rsid w:val="00864362"/>
    <w:rsid w:val="0086627E"/>
    <w:rsid w:val="008667B4"/>
    <w:rsid w:val="00866991"/>
    <w:rsid w:val="00871716"/>
    <w:rsid w:val="00874021"/>
    <w:rsid w:val="00874ECF"/>
    <w:rsid w:val="00883549"/>
    <w:rsid w:val="008849F3"/>
    <w:rsid w:val="0089268B"/>
    <w:rsid w:val="008934C9"/>
    <w:rsid w:val="00893B43"/>
    <w:rsid w:val="00894770"/>
    <w:rsid w:val="0089512E"/>
    <w:rsid w:val="008A0526"/>
    <w:rsid w:val="008A15C9"/>
    <w:rsid w:val="008A161D"/>
    <w:rsid w:val="008A1DFD"/>
    <w:rsid w:val="008A2550"/>
    <w:rsid w:val="008A46E9"/>
    <w:rsid w:val="008A5F9F"/>
    <w:rsid w:val="008B02D8"/>
    <w:rsid w:val="008B065C"/>
    <w:rsid w:val="008B4069"/>
    <w:rsid w:val="008B48FB"/>
    <w:rsid w:val="008B6CAA"/>
    <w:rsid w:val="008B70C3"/>
    <w:rsid w:val="008B77BD"/>
    <w:rsid w:val="008C0520"/>
    <w:rsid w:val="008C1192"/>
    <w:rsid w:val="008C1E31"/>
    <w:rsid w:val="008C239A"/>
    <w:rsid w:val="008C41BD"/>
    <w:rsid w:val="008C4558"/>
    <w:rsid w:val="008D1FC6"/>
    <w:rsid w:val="008D348A"/>
    <w:rsid w:val="008D3FE7"/>
    <w:rsid w:val="008D6BF1"/>
    <w:rsid w:val="008E034D"/>
    <w:rsid w:val="008E0EE1"/>
    <w:rsid w:val="008E3EDD"/>
    <w:rsid w:val="008E4AD8"/>
    <w:rsid w:val="008E5F79"/>
    <w:rsid w:val="008E7165"/>
    <w:rsid w:val="008F0384"/>
    <w:rsid w:val="008F1C6B"/>
    <w:rsid w:val="008F3457"/>
    <w:rsid w:val="008F5BE9"/>
    <w:rsid w:val="009013C9"/>
    <w:rsid w:val="00907BC7"/>
    <w:rsid w:val="00914C14"/>
    <w:rsid w:val="00916D73"/>
    <w:rsid w:val="00917839"/>
    <w:rsid w:val="00921ACD"/>
    <w:rsid w:val="00922BE5"/>
    <w:rsid w:val="00924B50"/>
    <w:rsid w:val="009250BD"/>
    <w:rsid w:val="0092552E"/>
    <w:rsid w:val="00930836"/>
    <w:rsid w:val="0093140B"/>
    <w:rsid w:val="00931657"/>
    <w:rsid w:val="00931C0E"/>
    <w:rsid w:val="009321D9"/>
    <w:rsid w:val="00932EF2"/>
    <w:rsid w:val="00933379"/>
    <w:rsid w:val="0093381F"/>
    <w:rsid w:val="00933BEA"/>
    <w:rsid w:val="00933E65"/>
    <w:rsid w:val="00936398"/>
    <w:rsid w:val="00937A3B"/>
    <w:rsid w:val="00940045"/>
    <w:rsid w:val="0094135F"/>
    <w:rsid w:val="0094365B"/>
    <w:rsid w:val="00944D01"/>
    <w:rsid w:val="00945506"/>
    <w:rsid w:val="009458B4"/>
    <w:rsid w:val="0094632B"/>
    <w:rsid w:val="00946A2A"/>
    <w:rsid w:val="00947878"/>
    <w:rsid w:val="00950CA3"/>
    <w:rsid w:val="00951856"/>
    <w:rsid w:val="00953D00"/>
    <w:rsid w:val="009616FA"/>
    <w:rsid w:val="00963976"/>
    <w:rsid w:val="0096564E"/>
    <w:rsid w:val="00965BF4"/>
    <w:rsid w:val="00966068"/>
    <w:rsid w:val="009671C1"/>
    <w:rsid w:val="00971EA4"/>
    <w:rsid w:val="00972A26"/>
    <w:rsid w:val="00972CC7"/>
    <w:rsid w:val="009736B8"/>
    <w:rsid w:val="0097423C"/>
    <w:rsid w:val="00976E52"/>
    <w:rsid w:val="00977AB2"/>
    <w:rsid w:val="00980E3C"/>
    <w:rsid w:val="00981258"/>
    <w:rsid w:val="009826F7"/>
    <w:rsid w:val="00982D66"/>
    <w:rsid w:val="00984111"/>
    <w:rsid w:val="00984373"/>
    <w:rsid w:val="0098598E"/>
    <w:rsid w:val="00985D5D"/>
    <w:rsid w:val="00994629"/>
    <w:rsid w:val="00996D84"/>
    <w:rsid w:val="00996FC9"/>
    <w:rsid w:val="00997D25"/>
    <w:rsid w:val="009A03BE"/>
    <w:rsid w:val="009A104E"/>
    <w:rsid w:val="009A2C2C"/>
    <w:rsid w:val="009A3929"/>
    <w:rsid w:val="009A411D"/>
    <w:rsid w:val="009A44BD"/>
    <w:rsid w:val="009A506B"/>
    <w:rsid w:val="009A687C"/>
    <w:rsid w:val="009B063B"/>
    <w:rsid w:val="009B21DA"/>
    <w:rsid w:val="009B2DAD"/>
    <w:rsid w:val="009B3F43"/>
    <w:rsid w:val="009B4278"/>
    <w:rsid w:val="009B4C3A"/>
    <w:rsid w:val="009B6CC3"/>
    <w:rsid w:val="009C46E4"/>
    <w:rsid w:val="009C4AAC"/>
    <w:rsid w:val="009C53F8"/>
    <w:rsid w:val="009C5B8D"/>
    <w:rsid w:val="009C6960"/>
    <w:rsid w:val="009D0765"/>
    <w:rsid w:val="009D3472"/>
    <w:rsid w:val="009D6FAA"/>
    <w:rsid w:val="009E7E24"/>
    <w:rsid w:val="009F3A08"/>
    <w:rsid w:val="009F44FF"/>
    <w:rsid w:val="009F4A3A"/>
    <w:rsid w:val="00A00BD4"/>
    <w:rsid w:val="00A0138A"/>
    <w:rsid w:val="00A02327"/>
    <w:rsid w:val="00A024BB"/>
    <w:rsid w:val="00A04792"/>
    <w:rsid w:val="00A048C1"/>
    <w:rsid w:val="00A05172"/>
    <w:rsid w:val="00A060C8"/>
    <w:rsid w:val="00A06621"/>
    <w:rsid w:val="00A076AD"/>
    <w:rsid w:val="00A100C1"/>
    <w:rsid w:val="00A11A0B"/>
    <w:rsid w:val="00A1221E"/>
    <w:rsid w:val="00A12611"/>
    <w:rsid w:val="00A14A7E"/>
    <w:rsid w:val="00A16778"/>
    <w:rsid w:val="00A167CA"/>
    <w:rsid w:val="00A17510"/>
    <w:rsid w:val="00A17BB0"/>
    <w:rsid w:val="00A231DB"/>
    <w:rsid w:val="00A252C1"/>
    <w:rsid w:val="00A25943"/>
    <w:rsid w:val="00A265EC"/>
    <w:rsid w:val="00A3125C"/>
    <w:rsid w:val="00A33F8B"/>
    <w:rsid w:val="00A340AA"/>
    <w:rsid w:val="00A34FCB"/>
    <w:rsid w:val="00A361EF"/>
    <w:rsid w:val="00A3751A"/>
    <w:rsid w:val="00A37759"/>
    <w:rsid w:val="00A37B90"/>
    <w:rsid w:val="00A40866"/>
    <w:rsid w:val="00A416EA"/>
    <w:rsid w:val="00A433CF"/>
    <w:rsid w:val="00A46B16"/>
    <w:rsid w:val="00A52DA4"/>
    <w:rsid w:val="00A55B11"/>
    <w:rsid w:val="00A61B48"/>
    <w:rsid w:val="00A638A2"/>
    <w:rsid w:val="00A63DF4"/>
    <w:rsid w:val="00A64554"/>
    <w:rsid w:val="00A64762"/>
    <w:rsid w:val="00A64803"/>
    <w:rsid w:val="00A6529C"/>
    <w:rsid w:val="00A66CAE"/>
    <w:rsid w:val="00A7128C"/>
    <w:rsid w:val="00A714A0"/>
    <w:rsid w:val="00A71F78"/>
    <w:rsid w:val="00A72434"/>
    <w:rsid w:val="00A72906"/>
    <w:rsid w:val="00A77F19"/>
    <w:rsid w:val="00A8492D"/>
    <w:rsid w:val="00A85A66"/>
    <w:rsid w:val="00A86707"/>
    <w:rsid w:val="00A90EBB"/>
    <w:rsid w:val="00A947FA"/>
    <w:rsid w:val="00A953D0"/>
    <w:rsid w:val="00A95BC0"/>
    <w:rsid w:val="00AA02DC"/>
    <w:rsid w:val="00AA0AB3"/>
    <w:rsid w:val="00AA22F6"/>
    <w:rsid w:val="00AA22F9"/>
    <w:rsid w:val="00AA2C89"/>
    <w:rsid w:val="00AA3915"/>
    <w:rsid w:val="00AA3BA2"/>
    <w:rsid w:val="00AA4205"/>
    <w:rsid w:val="00AA53A3"/>
    <w:rsid w:val="00AA5998"/>
    <w:rsid w:val="00AA6CDB"/>
    <w:rsid w:val="00AB03D0"/>
    <w:rsid w:val="00AB2C5D"/>
    <w:rsid w:val="00AB72F2"/>
    <w:rsid w:val="00AC402C"/>
    <w:rsid w:val="00AC51B3"/>
    <w:rsid w:val="00AC71AD"/>
    <w:rsid w:val="00AD0E9B"/>
    <w:rsid w:val="00AD4ADA"/>
    <w:rsid w:val="00AD4DD3"/>
    <w:rsid w:val="00AD5117"/>
    <w:rsid w:val="00AE0BE7"/>
    <w:rsid w:val="00AE1605"/>
    <w:rsid w:val="00AE247E"/>
    <w:rsid w:val="00AE4381"/>
    <w:rsid w:val="00AE4E6D"/>
    <w:rsid w:val="00AE7F2A"/>
    <w:rsid w:val="00AF12A5"/>
    <w:rsid w:val="00AF43F8"/>
    <w:rsid w:val="00AF4AC8"/>
    <w:rsid w:val="00AF558C"/>
    <w:rsid w:val="00AF6129"/>
    <w:rsid w:val="00B007B2"/>
    <w:rsid w:val="00B016A3"/>
    <w:rsid w:val="00B028C9"/>
    <w:rsid w:val="00B02903"/>
    <w:rsid w:val="00B02F98"/>
    <w:rsid w:val="00B0783C"/>
    <w:rsid w:val="00B1024F"/>
    <w:rsid w:val="00B1190A"/>
    <w:rsid w:val="00B1280B"/>
    <w:rsid w:val="00B12D7A"/>
    <w:rsid w:val="00B13A03"/>
    <w:rsid w:val="00B145E9"/>
    <w:rsid w:val="00B16331"/>
    <w:rsid w:val="00B208C7"/>
    <w:rsid w:val="00B212AA"/>
    <w:rsid w:val="00B23E3A"/>
    <w:rsid w:val="00B253BF"/>
    <w:rsid w:val="00B2621D"/>
    <w:rsid w:val="00B26BA7"/>
    <w:rsid w:val="00B2729C"/>
    <w:rsid w:val="00B301EB"/>
    <w:rsid w:val="00B31A27"/>
    <w:rsid w:val="00B335BF"/>
    <w:rsid w:val="00B364C6"/>
    <w:rsid w:val="00B41F33"/>
    <w:rsid w:val="00B43417"/>
    <w:rsid w:val="00B450D0"/>
    <w:rsid w:val="00B45989"/>
    <w:rsid w:val="00B4785E"/>
    <w:rsid w:val="00B506B0"/>
    <w:rsid w:val="00B5086A"/>
    <w:rsid w:val="00B51547"/>
    <w:rsid w:val="00B55F7C"/>
    <w:rsid w:val="00B56E43"/>
    <w:rsid w:val="00B60241"/>
    <w:rsid w:val="00B60991"/>
    <w:rsid w:val="00B62835"/>
    <w:rsid w:val="00B62BB1"/>
    <w:rsid w:val="00B634E2"/>
    <w:rsid w:val="00B644E2"/>
    <w:rsid w:val="00B67489"/>
    <w:rsid w:val="00B700E3"/>
    <w:rsid w:val="00B73D7A"/>
    <w:rsid w:val="00B74C3F"/>
    <w:rsid w:val="00B760DC"/>
    <w:rsid w:val="00B76CA4"/>
    <w:rsid w:val="00B77451"/>
    <w:rsid w:val="00B77660"/>
    <w:rsid w:val="00B802FE"/>
    <w:rsid w:val="00B80E53"/>
    <w:rsid w:val="00B81ECE"/>
    <w:rsid w:val="00B82E2B"/>
    <w:rsid w:val="00B82E7B"/>
    <w:rsid w:val="00B83822"/>
    <w:rsid w:val="00B85064"/>
    <w:rsid w:val="00B85A3B"/>
    <w:rsid w:val="00B90FA7"/>
    <w:rsid w:val="00B9100F"/>
    <w:rsid w:val="00B93C0F"/>
    <w:rsid w:val="00B94CFB"/>
    <w:rsid w:val="00B970CD"/>
    <w:rsid w:val="00B97110"/>
    <w:rsid w:val="00B977E8"/>
    <w:rsid w:val="00BA072A"/>
    <w:rsid w:val="00BA2879"/>
    <w:rsid w:val="00BA3670"/>
    <w:rsid w:val="00BA4265"/>
    <w:rsid w:val="00BA45A6"/>
    <w:rsid w:val="00BA466D"/>
    <w:rsid w:val="00BA50DA"/>
    <w:rsid w:val="00BA64CA"/>
    <w:rsid w:val="00BA6B90"/>
    <w:rsid w:val="00BB019C"/>
    <w:rsid w:val="00BB165E"/>
    <w:rsid w:val="00BB1D25"/>
    <w:rsid w:val="00BB2937"/>
    <w:rsid w:val="00BB3591"/>
    <w:rsid w:val="00BB3818"/>
    <w:rsid w:val="00BB43F3"/>
    <w:rsid w:val="00BB4EB3"/>
    <w:rsid w:val="00BB5DFB"/>
    <w:rsid w:val="00BC154B"/>
    <w:rsid w:val="00BC4E81"/>
    <w:rsid w:val="00BD08C3"/>
    <w:rsid w:val="00BD25A8"/>
    <w:rsid w:val="00BD53E1"/>
    <w:rsid w:val="00BD5D29"/>
    <w:rsid w:val="00BE03DD"/>
    <w:rsid w:val="00BE19FD"/>
    <w:rsid w:val="00BE3296"/>
    <w:rsid w:val="00BE3FE8"/>
    <w:rsid w:val="00BE7B38"/>
    <w:rsid w:val="00BF023E"/>
    <w:rsid w:val="00BF0F01"/>
    <w:rsid w:val="00BF3220"/>
    <w:rsid w:val="00BF366A"/>
    <w:rsid w:val="00C020A2"/>
    <w:rsid w:val="00C025AA"/>
    <w:rsid w:val="00C03133"/>
    <w:rsid w:val="00C031E1"/>
    <w:rsid w:val="00C03718"/>
    <w:rsid w:val="00C0447C"/>
    <w:rsid w:val="00C04D89"/>
    <w:rsid w:val="00C10599"/>
    <w:rsid w:val="00C11D3B"/>
    <w:rsid w:val="00C12AFA"/>
    <w:rsid w:val="00C12F5E"/>
    <w:rsid w:val="00C13740"/>
    <w:rsid w:val="00C1400B"/>
    <w:rsid w:val="00C15E19"/>
    <w:rsid w:val="00C175C1"/>
    <w:rsid w:val="00C206C2"/>
    <w:rsid w:val="00C2252D"/>
    <w:rsid w:val="00C2356B"/>
    <w:rsid w:val="00C265AD"/>
    <w:rsid w:val="00C31C06"/>
    <w:rsid w:val="00C3358E"/>
    <w:rsid w:val="00C336EB"/>
    <w:rsid w:val="00C360AD"/>
    <w:rsid w:val="00C43521"/>
    <w:rsid w:val="00C4381B"/>
    <w:rsid w:val="00C452E7"/>
    <w:rsid w:val="00C477F8"/>
    <w:rsid w:val="00C50BEA"/>
    <w:rsid w:val="00C5152A"/>
    <w:rsid w:val="00C53B31"/>
    <w:rsid w:val="00C55930"/>
    <w:rsid w:val="00C55FF0"/>
    <w:rsid w:val="00C56179"/>
    <w:rsid w:val="00C5796B"/>
    <w:rsid w:val="00C57AA5"/>
    <w:rsid w:val="00C62277"/>
    <w:rsid w:val="00C630D7"/>
    <w:rsid w:val="00C64FA9"/>
    <w:rsid w:val="00C653AA"/>
    <w:rsid w:val="00C661DB"/>
    <w:rsid w:val="00C663D9"/>
    <w:rsid w:val="00C67458"/>
    <w:rsid w:val="00C72042"/>
    <w:rsid w:val="00C72E08"/>
    <w:rsid w:val="00C73242"/>
    <w:rsid w:val="00C75F9C"/>
    <w:rsid w:val="00C800A3"/>
    <w:rsid w:val="00C80B00"/>
    <w:rsid w:val="00C80C05"/>
    <w:rsid w:val="00C84D8E"/>
    <w:rsid w:val="00C8780D"/>
    <w:rsid w:val="00C9004C"/>
    <w:rsid w:val="00C908B3"/>
    <w:rsid w:val="00C914A2"/>
    <w:rsid w:val="00C9362D"/>
    <w:rsid w:val="00C9408D"/>
    <w:rsid w:val="00CA106B"/>
    <w:rsid w:val="00CA1E8F"/>
    <w:rsid w:val="00CA3221"/>
    <w:rsid w:val="00CA40F6"/>
    <w:rsid w:val="00CA697C"/>
    <w:rsid w:val="00CB12A5"/>
    <w:rsid w:val="00CB2F86"/>
    <w:rsid w:val="00CB6120"/>
    <w:rsid w:val="00CB7B2E"/>
    <w:rsid w:val="00CC0843"/>
    <w:rsid w:val="00CC0D12"/>
    <w:rsid w:val="00CC102D"/>
    <w:rsid w:val="00CC1D5B"/>
    <w:rsid w:val="00CC2EE0"/>
    <w:rsid w:val="00CC3138"/>
    <w:rsid w:val="00CC4F6C"/>
    <w:rsid w:val="00CC52B0"/>
    <w:rsid w:val="00CC53F9"/>
    <w:rsid w:val="00CC6AEB"/>
    <w:rsid w:val="00CC6BDF"/>
    <w:rsid w:val="00CC7761"/>
    <w:rsid w:val="00CD1389"/>
    <w:rsid w:val="00CD1C55"/>
    <w:rsid w:val="00CD1F1C"/>
    <w:rsid w:val="00CD28AA"/>
    <w:rsid w:val="00CD2E3D"/>
    <w:rsid w:val="00CD3B36"/>
    <w:rsid w:val="00CD3C17"/>
    <w:rsid w:val="00CD6E69"/>
    <w:rsid w:val="00CD6F27"/>
    <w:rsid w:val="00CE27DB"/>
    <w:rsid w:val="00CE3EE0"/>
    <w:rsid w:val="00CE401E"/>
    <w:rsid w:val="00CE457B"/>
    <w:rsid w:val="00CE5D4C"/>
    <w:rsid w:val="00CE5FB4"/>
    <w:rsid w:val="00CE6DD1"/>
    <w:rsid w:val="00CF47E6"/>
    <w:rsid w:val="00CF5E24"/>
    <w:rsid w:val="00CF7EBB"/>
    <w:rsid w:val="00D01D48"/>
    <w:rsid w:val="00D0241A"/>
    <w:rsid w:val="00D060A5"/>
    <w:rsid w:val="00D0664F"/>
    <w:rsid w:val="00D0727E"/>
    <w:rsid w:val="00D07E76"/>
    <w:rsid w:val="00D07FAE"/>
    <w:rsid w:val="00D112CC"/>
    <w:rsid w:val="00D1229D"/>
    <w:rsid w:val="00D124C9"/>
    <w:rsid w:val="00D12728"/>
    <w:rsid w:val="00D12D94"/>
    <w:rsid w:val="00D12E6E"/>
    <w:rsid w:val="00D13811"/>
    <w:rsid w:val="00D13851"/>
    <w:rsid w:val="00D13B47"/>
    <w:rsid w:val="00D14FA5"/>
    <w:rsid w:val="00D156A0"/>
    <w:rsid w:val="00D17430"/>
    <w:rsid w:val="00D208A4"/>
    <w:rsid w:val="00D246CA"/>
    <w:rsid w:val="00D24E53"/>
    <w:rsid w:val="00D25D9E"/>
    <w:rsid w:val="00D27BBA"/>
    <w:rsid w:val="00D30D67"/>
    <w:rsid w:val="00D30F10"/>
    <w:rsid w:val="00D3104E"/>
    <w:rsid w:val="00D31285"/>
    <w:rsid w:val="00D31814"/>
    <w:rsid w:val="00D32B6E"/>
    <w:rsid w:val="00D336E2"/>
    <w:rsid w:val="00D33F98"/>
    <w:rsid w:val="00D34451"/>
    <w:rsid w:val="00D35A79"/>
    <w:rsid w:val="00D4288C"/>
    <w:rsid w:val="00D42ECB"/>
    <w:rsid w:val="00D431E8"/>
    <w:rsid w:val="00D46B65"/>
    <w:rsid w:val="00D47E73"/>
    <w:rsid w:val="00D47F7C"/>
    <w:rsid w:val="00D50ADC"/>
    <w:rsid w:val="00D5193E"/>
    <w:rsid w:val="00D51C6D"/>
    <w:rsid w:val="00D5360A"/>
    <w:rsid w:val="00D5655B"/>
    <w:rsid w:val="00D57EA7"/>
    <w:rsid w:val="00D612A7"/>
    <w:rsid w:val="00D62B09"/>
    <w:rsid w:val="00D63F7C"/>
    <w:rsid w:val="00D648F0"/>
    <w:rsid w:val="00D663AD"/>
    <w:rsid w:val="00D66A01"/>
    <w:rsid w:val="00D66A58"/>
    <w:rsid w:val="00D70C14"/>
    <w:rsid w:val="00D70DAB"/>
    <w:rsid w:val="00D71B36"/>
    <w:rsid w:val="00D71B73"/>
    <w:rsid w:val="00D72676"/>
    <w:rsid w:val="00D732A1"/>
    <w:rsid w:val="00D7333E"/>
    <w:rsid w:val="00D747E6"/>
    <w:rsid w:val="00D768B3"/>
    <w:rsid w:val="00D7793A"/>
    <w:rsid w:val="00D800C0"/>
    <w:rsid w:val="00D811BB"/>
    <w:rsid w:val="00D832A3"/>
    <w:rsid w:val="00D835E7"/>
    <w:rsid w:val="00D91CC0"/>
    <w:rsid w:val="00D927EB"/>
    <w:rsid w:val="00D941C6"/>
    <w:rsid w:val="00D94297"/>
    <w:rsid w:val="00D97D91"/>
    <w:rsid w:val="00DA13C0"/>
    <w:rsid w:val="00DA3B7F"/>
    <w:rsid w:val="00DA492D"/>
    <w:rsid w:val="00DA49CB"/>
    <w:rsid w:val="00DA58E5"/>
    <w:rsid w:val="00DA63A3"/>
    <w:rsid w:val="00DA64CB"/>
    <w:rsid w:val="00DB0038"/>
    <w:rsid w:val="00DB022F"/>
    <w:rsid w:val="00DB1492"/>
    <w:rsid w:val="00DB1915"/>
    <w:rsid w:val="00DB282C"/>
    <w:rsid w:val="00DB45F9"/>
    <w:rsid w:val="00DC02DA"/>
    <w:rsid w:val="00DC2760"/>
    <w:rsid w:val="00DC2AA4"/>
    <w:rsid w:val="00DC3175"/>
    <w:rsid w:val="00DC3A30"/>
    <w:rsid w:val="00DC6350"/>
    <w:rsid w:val="00DD018D"/>
    <w:rsid w:val="00DD04F2"/>
    <w:rsid w:val="00DD12E9"/>
    <w:rsid w:val="00DD151F"/>
    <w:rsid w:val="00DD1902"/>
    <w:rsid w:val="00DD1A65"/>
    <w:rsid w:val="00DD32B9"/>
    <w:rsid w:val="00DD4693"/>
    <w:rsid w:val="00DD49B0"/>
    <w:rsid w:val="00DD576E"/>
    <w:rsid w:val="00DD7607"/>
    <w:rsid w:val="00DE026E"/>
    <w:rsid w:val="00DE1D65"/>
    <w:rsid w:val="00DE25C4"/>
    <w:rsid w:val="00DE470A"/>
    <w:rsid w:val="00DE7432"/>
    <w:rsid w:val="00DF0FAF"/>
    <w:rsid w:val="00DF2F1F"/>
    <w:rsid w:val="00DF3FD1"/>
    <w:rsid w:val="00DF4497"/>
    <w:rsid w:val="00DF4C4B"/>
    <w:rsid w:val="00DF6CCA"/>
    <w:rsid w:val="00DF755B"/>
    <w:rsid w:val="00E0094D"/>
    <w:rsid w:val="00E010AF"/>
    <w:rsid w:val="00E01874"/>
    <w:rsid w:val="00E01BF0"/>
    <w:rsid w:val="00E05919"/>
    <w:rsid w:val="00E075E9"/>
    <w:rsid w:val="00E11DEA"/>
    <w:rsid w:val="00E12C4A"/>
    <w:rsid w:val="00E13CC1"/>
    <w:rsid w:val="00E1466E"/>
    <w:rsid w:val="00E15E24"/>
    <w:rsid w:val="00E22160"/>
    <w:rsid w:val="00E23A56"/>
    <w:rsid w:val="00E24320"/>
    <w:rsid w:val="00E24BA8"/>
    <w:rsid w:val="00E24D0B"/>
    <w:rsid w:val="00E24D6B"/>
    <w:rsid w:val="00E27C02"/>
    <w:rsid w:val="00E27F28"/>
    <w:rsid w:val="00E30499"/>
    <w:rsid w:val="00E32D3C"/>
    <w:rsid w:val="00E353AE"/>
    <w:rsid w:val="00E35BE9"/>
    <w:rsid w:val="00E35EBC"/>
    <w:rsid w:val="00E36405"/>
    <w:rsid w:val="00E370E3"/>
    <w:rsid w:val="00E42654"/>
    <w:rsid w:val="00E42F19"/>
    <w:rsid w:val="00E46BF7"/>
    <w:rsid w:val="00E50D11"/>
    <w:rsid w:val="00E51DCD"/>
    <w:rsid w:val="00E5321B"/>
    <w:rsid w:val="00E53584"/>
    <w:rsid w:val="00E5759B"/>
    <w:rsid w:val="00E57B64"/>
    <w:rsid w:val="00E6067B"/>
    <w:rsid w:val="00E60CF3"/>
    <w:rsid w:val="00E617AD"/>
    <w:rsid w:val="00E61B4B"/>
    <w:rsid w:val="00E63D46"/>
    <w:rsid w:val="00E63E37"/>
    <w:rsid w:val="00E641D3"/>
    <w:rsid w:val="00E65E4D"/>
    <w:rsid w:val="00E66398"/>
    <w:rsid w:val="00E67CAA"/>
    <w:rsid w:val="00E70F18"/>
    <w:rsid w:val="00E7145A"/>
    <w:rsid w:val="00E74E62"/>
    <w:rsid w:val="00E769AC"/>
    <w:rsid w:val="00E77327"/>
    <w:rsid w:val="00E80E4A"/>
    <w:rsid w:val="00E81A22"/>
    <w:rsid w:val="00E86502"/>
    <w:rsid w:val="00E91716"/>
    <w:rsid w:val="00E92699"/>
    <w:rsid w:val="00E93E03"/>
    <w:rsid w:val="00E93F6C"/>
    <w:rsid w:val="00E94743"/>
    <w:rsid w:val="00E95C4D"/>
    <w:rsid w:val="00EA0545"/>
    <w:rsid w:val="00EA07E0"/>
    <w:rsid w:val="00EA18F7"/>
    <w:rsid w:val="00EA2084"/>
    <w:rsid w:val="00EA24D7"/>
    <w:rsid w:val="00EA2942"/>
    <w:rsid w:val="00EA3424"/>
    <w:rsid w:val="00EA369B"/>
    <w:rsid w:val="00EA3FB3"/>
    <w:rsid w:val="00EA4225"/>
    <w:rsid w:val="00EA43B4"/>
    <w:rsid w:val="00EA4577"/>
    <w:rsid w:val="00EA518D"/>
    <w:rsid w:val="00EA5467"/>
    <w:rsid w:val="00EA5DF9"/>
    <w:rsid w:val="00EA62F2"/>
    <w:rsid w:val="00EB0027"/>
    <w:rsid w:val="00EB1584"/>
    <w:rsid w:val="00EB24AF"/>
    <w:rsid w:val="00EB4189"/>
    <w:rsid w:val="00EB4643"/>
    <w:rsid w:val="00EB4DE1"/>
    <w:rsid w:val="00EB58D6"/>
    <w:rsid w:val="00EB5B11"/>
    <w:rsid w:val="00EB6BD5"/>
    <w:rsid w:val="00EC0BD9"/>
    <w:rsid w:val="00EC1062"/>
    <w:rsid w:val="00EC6DFD"/>
    <w:rsid w:val="00EC71BA"/>
    <w:rsid w:val="00EC7FAE"/>
    <w:rsid w:val="00ED0C5C"/>
    <w:rsid w:val="00ED17D2"/>
    <w:rsid w:val="00ED25D3"/>
    <w:rsid w:val="00ED57BC"/>
    <w:rsid w:val="00ED5FA8"/>
    <w:rsid w:val="00ED6A17"/>
    <w:rsid w:val="00ED6AF8"/>
    <w:rsid w:val="00ED6BBD"/>
    <w:rsid w:val="00ED6DC2"/>
    <w:rsid w:val="00EE107D"/>
    <w:rsid w:val="00EE3574"/>
    <w:rsid w:val="00EE490A"/>
    <w:rsid w:val="00EE542F"/>
    <w:rsid w:val="00EE752D"/>
    <w:rsid w:val="00EE7B2F"/>
    <w:rsid w:val="00EF2D4B"/>
    <w:rsid w:val="00EF42E6"/>
    <w:rsid w:val="00F000B7"/>
    <w:rsid w:val="00F00860"/>
    <w:rsid w:val="00F01158"/>
    <w:rsid w:val="00F01CE6"/>
    <w:rsid w:val="00F04935"/>
    <w:rsid w:val="00F05947"/>
    <w:rsid w:val="00F0770B"/>
    <w:rsid w:val="00F0777F"/>
    <w:rsid w:val="00F1282E"/>
    <w:rsid w:val="00F143C4"/>
    <w:rsid w:val="00F1538B"/>
    <w:rsid w:val="00F16B11"/>
    <w:rsid w:val="00F16B92"/>
    <w:rsid w:val="00F1794A"/>
    <w:rsid w:val="00F179D2"/>
    <w:rsid w:val="00F17D25"/>
    <w:rsid w:val="00F2327F"/>
    <w:rsid w:val="00F237AC"/>
    <w:rsid w:val="00F238A3"/>
    <w:rsid w:val="00F238FD"/>
    <w:rsid w:val="00F23C6F"/>
    <w:rsid w:val="00F2406A"/>
    <w:rsid w:val="00F24BBA"/>
    <w:rsid w:val="00F2606E"/>
    <w:rsid w:val="00F265D0"/>
    <w:rsid w:val="00F27BC9"/>
    <w:rsid w:val="00F30E8D"/>
    <w:rsid w:val="00F31548"/>
    <w:rsid w:val="00F33D88"/>
    <w:rsid w:val="00F34517"/>
    <w:rsid w:val="00F359D4"/>
    <w:rsid w:val="00F367E0"/>
    <w:rsid w:val="00F40F63"/>
    <w:rsid w:val="00F4103D"/>
    <w:rsid w:val="00F41183"/>
    <w:rsid w:val="00F43B72"/>
    <w:rsid w:val="00F43DD0"/>
    <w:rsid w:val="00F445BD"/>
    <w:rsid w:val="00F448A9"/>
    <w:rsid w:val="00F452A6"/>
    <w:rsid w:val="00F45978"/>
    <w:rsid w:val="00F46C86"/>
    <w:rsid w:val="00F5056F"/>
    <w:rsid w:val="00F50B31"/>
    <w:rsid w:val="00F50E39"/>
    <w:rsid w:val="00F516EF"/>
    <w:rsid w:val="00F51CC3"/>
    <w:rsid w:val="00F52784"/>
    <w:rsid w:val="00F52BD2"/>
    <w:rsid w:val="00F54AF0"/>
    <w:rsid w:val="00F55A81"/>
    <w:rsid w:val="00F56D62"/>
    <w:rsid w:val="00F57525"/>
    <w:rsid w:val="00F5790D"/>
    <w:rsid w:val="00F6366C"/>
    <w:rsid w:val="00F64729"/>
    <w:rsid w:val="00F650CF"/>
    <w:rsid w:val="00F6634E"/>
    <w:rsid w:val="00F67C55"/>
    <w:rsid w:val="00F73080"/>
    <w:rsid w:val="00F74173"/>
    <w:rsid w:val="00F75E0D"/>
    <w:rsid w:val="00F809C3"/>
    <w:rsid w:val="00F80AE4"/>
    <w:rsid w:val="00F818C4"/>
    <w:rsid w:val="00F82520"/>
    <w:rsid w:val="00F858AD"/>
    <w:rsid w:val="00F85E8D"/>
    <w:rsid w:val="00F86093"/>
    <w:rsid w:val="00F86107"/>
    <w:rsid w:val="00F87669"/>
    <w:rsid w:val="00F8799B"/>
    <w:rsid w:val="00F927B1"/>
    <w:rsid w:val="00F953E1"/>
    <w:rsid w:val="00F961FC"/>
    <w:rsid w:val="00F96394"/>
    <w:rsid w:val="00F964A0"/>
    <w:rsid w:val="00F965C9"/>
    <w:rsid w:val="00F968E9"/>
    <w:rsid w:val="00FA1101"/>
    <w:rsid w:val="00FA1375"/>
    <w:rsid w:val="00FA4552"/>
    <w:rsid w:val="00FA4F35"/>
    <w:rsid w:val="00FA4F41"/>
    <w:rsid w:val="00FA52EC"/>
    <w:rsid w:val="00FA5A87"/>
    <w:rsid w:val="00FA6A50"/>
    <w:rsid w:val="00FB0B33"/>
    <w:rsid w:val="00FB2C5D"/>
    <w:rsid w:val="00FB3556"/>
    <w:rsid w:val="00FB4763"/>
    <w:rsid w:val="00FB5F11"/>
    <w:rsid w:val="00FB6A9A"/>
    <w:rsid w:val="00FB7652"/>
    <w:rsid w:val="00FB7E11"/>
    <w:rsid w:val="00FC1E31"/>
    <w:rsid w:val="00FC2F14"/>
    <w:rsid w:val="00FC314C"/>
    <w:rsid w:val="00FC4853"/>
    <w:rsid w:val="00FC5882"/>
    <w:rsid w:val="00FD1618"/>
    <w:rsid w:val="00FD31DD"/>
    <w:rsid w:val="00FD33C4"/>
    <w:rsid w:val="00FD36B1"/>
    <w:rsid w:val="00FD49DC"/>
    <w:rsid w:val="00FD5A09"/>
    <w:rsid w:val="00FE1A2C"/>
    <w:rsid w:val="00FE295C"/>
    <w:rsid w:val="00FE394F"/>
    <w:rsid w:val="00FF0267"/>
    <w:rsid w:val="00FF0829"/>
    <w:rsid w:val="00FF0F63"/>
    <w:rsid w:val="00FF3FA3"/>
    <w:rsid w:val="00FF5D3E"/>
    <w:rsid w:val="00FF61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66108A0"/>
  <w15:docId w15:val="{B77105AF-1858-4070-B170-01E3A1B70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B72"/>
    <w:pPr>
      <w:spacing w:before="240" w:after="120" w:line="360" w:lineRule="auto"/>
      <w:jc w:val="both"/>
    </w:pPr>
    <w:rPr>
      <w:rFonts w:ascii="Arial" w:hAnsi="Arial"/>
      <w:sz w:val="22"/>
      <w:szCs w:val="24"/>
    </w:rPr>
  </w:style>
  <w:style w:type="paragraph" w:styleId="Ttulo1">
    <w:name w:val="heading 1"/>
    <w:basedOn w:val="Normal"/>
    <w:next w:val="Normal"/>
    <w:qFormat/>
    <w:rsid w:val="001906DF"/>
    <w:pPr>
      <w:keepNext/>
      <w:numPr>
        <w:numId w:val="1"/>
      </w:numPr>
      <w:spacing w:before="60"/>
      <w:outlineLvl w:val="0"/>
    </w:pPr>
    <w:rPr>
      <w:rFonts w:cs="Arial"/>
      <w:b/>
      <w:bCs/>
      <w:sz w:val="28"/>
      <w:u w:val="single"/>
    </w:rPr>
  </w:style>
  <w:style w:type="paragraph" w:styleId="Ttulo2">
    <w:name w:val="heading 2"/>
    <w:basedOn w:val="Normal"/>
    <w:next w:val="Normal"/>
    <w:link w:val="Ttulo2Car"/>
    <w:qFormat/>
    <w:rsid w:val="001906DF"/>
    <w:pPr>
      <w:numPr>
        <w:ilvl w:val="1"/>
        <w:numId w:val="1"/>
      </w:numPr>
      <w:tabs>
        <w:tab w:val="clear" w:pos="4828"/>
        <w:tab w:val="num" w:pos="576"/>
      </w:tabs>
      <w:ind w:left="576"/>
      <w:outlineLvl w:val="1"/>
    </w:pPr>
    <w:rPr>
      <w:rFonts w:cs="Arial"/>
      <w:b/>
      <w:bCs/>
      <w:iCs/>
      <w:sz w:val="26"/>
    </w:rPr>
  </w:style>
  <w:style w:type="paragraph" w:styleId="Ttulo3">
    <w:name w:val="heading 3"/>
    <w:basedOn w:val="Normal"/>
    <w:next w:val="Normal"/>
    <w:link w:val="Ttulo3Car"/>
    <w:qFormat/>
    <w:rsid w:val="00FF615F"/>
    <w:pPr>
      <w:keepNext/>
      <w:numPr>
        <w:ilvl w:val="2"/>
        <w:numId w:val="1"/>
      </w:numPr>
      <w:spacing w:line="312" w:lineRule="auto"/>
      <w:outlineLvl w:val="2"/>
    </w:pPr>
    <w:rPr>
      <w:rFonts w:cs="Arial"/>
      <w:b/>
      <w:i/>
      <w:iCs/>
    </w:rPr>
  </w:style>
  <w:style w:type="paragraph" w:styleId="Ttulo4">
    <w:name w:val="heading 4"/>
    <w:basedOn w:val="Normal"/>
    <w:next w:val="Normal"/>
    <w:qFormat/>
    <w:rsid w:val="003B502D"/>
    <w:pPr>
      <w:keepNext/>
      <w:numPr>
        <w:ilvl w:val="3"/>
        <w:numId w:val="1"/>
      </w:numPr>
      <w:spacing w:after="240"/>
      <w:outlineLvl w:val="3"/>
    </w:pPr>
    <w:rPr>
      <w:b/>
      <w:u w:val="single"/>
      <w:lang w:val="en-GB"/>
    </w:rPr>
  </w:style>
  <w:style w:type="paragraph" w:styleId="Ttulo5">
    <w:name w:val="heading 5"/>
    <w:basedOn w:val="Normal"/>
    <w:next w:val="Normal"/>
    <w:qFormat/>
    <w:rsid w:val="00247919"/>
    <w:pPr>
      <w:numPr>
        <w:ilvl w:val="4"/>
        <w:numId w:val="1"/>
      </w:numPr>
      <w:spacing w:after="60"/>
      <w:outlineLvl w:val="4"/>
    </w:pPr>
    <w:rPr>
      <w:b/>
      <w:bCs/>
      <w:i/>
      <w:iCs/>
      <w:szCs w:val="26"/>
    </w:rPr>
  </w:style>
  <w:style w:type="paragraph" w:styleId="Ttulo6">
    <w:name w:val="heading 6"/>
    <w:basedOn w:val="Normal"/>
    <w:next w:val="Normal"/>
    <w:qFormat/>
    <w:rsid w:val="0023089B"/>
    <w:pPr>
      <w:keepNext/>
      <w:framePr w:hSpace="141" w:wrap="around" w:vAnchor="page" w:hAnchor="margin" w:y="3425"/>
      <w:numPr>
        <w:ilvl w:val="5"/>
        <w:numId w:val="1"/>
      </w:numPr>
      <w:overflowPunct w:val="0"/>
      <w:autoSpaceDE w:val="0"/>
      <w:autoSpaceDN w:val="0"/>
      <w:adjustRightInd w:val="0"/>
      <w:spacing w:before="120"/>
      <w:jc w:val="center"/>
      <w:textAlignment w:val="baseline"/>
      <w:outlineLvl w:val="5"/>
    </w:pPr>
    <w:rPr>
      <w:b/>
      <w:sz w:val="32"/>
      <w:szCs w:val="20"/>
    </w:rPr>
  </w:style>
  <w:style w:type="paragraph" w:styleId="Ttulo7">
    <w:name w:val="heading 7"/>
    <w:basedOn w:val="Normal"/>
    <w:next w:val="Normal"/>
    <w:qFormat/>
    <w:rsid w:val="0023089B"/>
    <w:pPr>
      <w:keepNext/>
      <w:numPr>
        <w:ilvl w:val="6"/>
        <w:numId w:val="1"/>
      </w:numPr>
      <w:spacing w:before="120"/>
      <w:outlineLvl w:val="6"/>
    </w:pPr>
    <w:rPr>
      <w:b/>
      <w:bCs/>
      <w:color w:val="000000"/>
    </w:rPr>
  </w:style>
  <w:style w:type="paragraph" w:styleId="Ttulo8">
    <w:name w:val="heading 8"/>
    <w:basedOn w:val="Normal"/>
    <w:next w:val="Normal"/>
    <w:qFormat/>
    <w:rsid w:val="0023089B"/>
    <w:pPr>
      <w:numPr>
        <w:ilvl w:val="7"/>
        <w:numId w:val="1"/>
      </w:numPr>
      <w:spacing w:after="60"/>
      <w:outlineLvl w:val="7"/>
    </w:pPr>
    <w:rPr>
      <w:i/>
      <w:iCs/>
      <w:sz w:val="20"/>
    </w:rPr>
  </w:style>
  <w:style w:type="paragraph" w:styleId="Ttulo9">
    <w:name w:val="heading 9"/>
    <w:basedOn w:val="Normal"/>
    <w:next w:val="Normal"/>
    <w:qFormat/>
    <w:rsid w:val="0023089B"/>
    <w:pPr>
      <w:numPr>
        <w:ilvl w:val="8"/>
        <w:numId w:val="1"/>
      </w:numPr>
      <w:spacing w:after="60"/>
      <w:outlineLvl w:val="8"/>
    </w:pPr>
    <w:rPr>
      <w:rFonts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rsid w:val="0023089B"/>
  </w:style>
  <w:style w:type="paragraph" w:styleId="Ttulo">
    <w:name w:val="Title"/>
    <w:basedOn w:val="Normal"/>
    <w:qFormat/>
    <w:rsid w:val="0023089B"/>
    <w:pPr>
      <w:jc w:val="center"/>
    </w:pPr>
    <w:rPr>
      <w:b/>
      <w:bCs/>
      <w:sz w:val="28"/>
    </w:rPr>
  </w:style>
  <w:style w:type="paragraph" w:styleId="Textoindependiente">
    <w:name w:val="Body Text"/>
    <w:basedOn w:val="Normal"/>
    <w:rsid w:val="0023089B"/>
    <w:pPr>
      <w:spacing w:before="60"/>
    </w:pPr>
  </w:style>
  <w:style w:type="paragraph" w:styleId="Textonotapie">
    <w:name w:val="footnote text"/>
    <w:aliases w:val="DTE-VoetnootteksFootnote Text,DTE-Voetnoottekst,fn"/>
    <w:basedOn w:val="Normal"/>
    <w:link w:val="TextonotapieCar"/>
    <w:rsid w:val="0023089B"/>
    <w:rPr>
      <w:sz w:val="20"/>
      <w:szCs w:val="20"/>
    </w:rPr>
  </w:style>
  <w:style w:type="character" w:styleId="Refdenotaalpie">
    <w:name w:val="footnote reference"/>
    <w:aliases w:val="Footnote,SUPERS,BVI fnr"/>
    <w:basedOn w:val="Fuentedeprrafopredeter"/>
    <w:rsid w:val="0023089B"/>
    <w:rPr>
      <w:vertAlign w:val="superscript"/>
    </w:rPr>
  </w:style>
  <w:style w:type="paragraph" w:styleId="Encabezado">
    <w:name w:val="header"/>
    <w:basedOn w:val="Normal"/>
    <w:link w:val="EncabezadoCar"/>
    <w:rsid w:val="0023089B"/>
    <w:pPr>
      <w:tabs>
        <w:tab w:val="center" w:pos="4536"/>
        <w:tab w:val="right" w:pos="9072"/>
      </w:tabs>
    </w:pPr>
  </w:style>
  <w:style w:type="paragraph" w:styleId="Piedepgina">
    <w:name w:val="footer"/>
    <w:basedOn w:val="Normal"/>
    <w:link w:val="PiedepginaCar"/>
    <w:uiPriority w:val="99"/>
    <w:rsid w:val="0023089B"/>
    <w:pPr>
      <w:tabs>
        <w:tab w:val="center" w:pos="4536"/>
        <w:tab w:val="right" w:pos="9072"/>
      </w:tabs>
    </w:pPr>
  </w:style>
  <w:style w:type="character" w:customStyle="1" w:styleId="texte1g">
    <w:name w:val="texte1g"/>
    <w:basedOn w:val="Fuentedeprrafopredeter"/>
    <w:rsid w:val="0023089B"/>
    <w:rPr>
      <w:noProof w:val="0"/>
      <w:lang w:val="fr-FR" w:bidi="ar-SA"/>
    </w:rPr>
  </w:style>
  <w:style w:type="paragraph" w:styleId="Sangradetextonormal">
    <w:name w:val="Body Text Indent"/>
    <w:basedOn w:val="Normal"/>
    <w:rsid w:val="0023089B"/>
    <w:pPr>
      <w:spacing w:before="60"/>
      <w:ind w:left="720"/>
    </w:pPr>
  </w:style>
  <w:style w:type="paragraph" w:styleId="Textoindependiente3">
    <w:name w:val="Body Text 3"/>
    <w:basedOn w:val="Normal"/>
    <w:rsid w:val="0023089B"/>
    <w:pPr>
      <w:spacing w:before="60"/>
    </w:pPr>
  </w:style>
  <w:style w:type="paragraph" w:customStyle="1" w:styleId="Paranormal">
    <w:name w:val="Paranormal"/>
    <w:basedOn w:val="Normal"/>
    <w:rsid w:val="0023089B"/>
    <w:rPr>
      <w:sz w:val="20"/>
      <w:szCs w:val="20"/>
    </w:rPr>
  </w:style>
  <w:style w:type="paragraph" w:customStyle="1" w:styleId="paragraphe">
    <w:name w:val="paragraphe"/>
    <w:basedOn w:val="Normal"/>
    <w:rsid w:val="0023089B"/>
    <w:pPr>
      <w:spacing w:before="120"/>
    </w:pPr>
    <w:rPr>
      <w:szCs w:val="20"/>
    </w:rPr>
  </w:style>
  <w:style w:type="character" w:styleId="Hipervnculo">
    <w:name w:val="Hyperlink"/>
    <w:basedOn w:val="Fuentedeprrafopredeter"/>
    <w:uiPriority w:val="99"/>
    <w:rsid w:val="0023089B"/>
    <w:rPr>
      <w:color w:val="0000FF"/>
      <w:u w:val="single"/>
    </w:rPr>
  </w:style>
  <w:style w:type="paragraph" w:styleId="TDC1">
    <w:name w:val="toc 1"/>
    <w:basedOn w:val="Normal"/>
    <w:next w:val="Normal"/>
    <w:autoRedefine/>
    <w:uiPriority w:val="39"/>
    <w:rsid w:val="00F4103D"/>
    <w:pPr>
      <w:tabs>
        <w:tab w:val="left" w:pos="480"/>
        <w:tab w:val="right" w:leader="dot" w:pos="8919"/>
      </w:tabs>
      <w:spacing w:before="0" w:after="0" w:line="240" w:lineRule="auto"/>
      <w:outlineLvl w:val="0"/>
    </w:pPr>
    <w:rPr>
      <w:bCs/>
      <w:szCs w:val="28"/>
    </w:rPr>
  </w:style>
  <w:style w:type="paragraph" w:styleId="TDC2">
    <w:name w:val="toc 2"/>
    <w:basedOn w:val="Normal"/>
    <w:next w:val="Normal"/>
    <w:autoRedefine/>
    <w:uiPriority w:val="39"/>
    <w:rsid w:val="00F4103D"/>
    <w:pPr>
      <w:widowControl w:val="0"/>
      <w:tabs>
        <w:tab w:val="left" w:pos="720"/>
        <w:tab w:val="right" w:leader="dot" w:pos="8919"/>
      </w:tabs>
    </w:pPr>
    <w:rPr>
      <w:bCs/>
    </w:rPr>
  </w:style>
  <w:style w:type="paragraph" w:styleId="TDC3">
    <w:name w:val="toc 3"/>
    <w:basedOn w:val="Normal"/>
    <w:next w:val="Normal"/>
    <w:autoRedefine/>
    <w:uiPriority w:val="39"/>
    <w:rsid w:val="00510CE2"/>
    <w:pPr>
      <w:ind w:left="240"/>
    </w:pPr>
  </w:style>
  <w:style w:type="paragraph" w:styleId="TDC4">
    <w:name w:val="toc 4"/>
    <w:basedOn w:val="Normal"/>
    <w:next w:val="Normal"/>
    <w:autoRedefine/>
    <w:semiHidden/>
    <w:rsid w:val="0023089B"/>
    <w:pPr>
      <w:ind w:left="480"/>
    </w:pPr>
  </w:style>
  <w:style w:type="paragraph" w:styleId="TDC5">
    <w:name w:val="toc 5"/>
    <w:basedOn w:val="Normal"/>
    <w:next w:val="Normal"/>
    <w:autoRedefine/>
    <w:semiHidden/>
    <w:rsid w:val="0023089B"/>
    <w:pPr>
      <w:ind w:left="720"/>
    </w:pPr>
  </w:style>
  <w:style w:type="paragraph" w:styleId="TDC6">
    <w:name w:val="toc 6"/>
    <w:basedOn w:val="Normal"/>
    <w:next w:val="Normal"/>
    <w:autoRedefine/>
    <w:semiHidden/>
    <w:rsid w:val="0023089B"/>
    <w:pPr>
      <w:ind w:left="960"/>
    </w:pPr>
  </w:style>
  <w:style w:type="paragraph" w:styleId="TDC7">
    <w:name w:val="toc 7"/>
    <w:basedOn w:val="Normal"/>
    <w:next w:val="Normal"/>
    <w:autoRedefine/>
    <w:semiHidden/>
    <w:rsid w:val="0023089B"/>
    <w:pPr>
      <w:ind w:left="1200"/>
    </w:pPr>
  </w:style>
  <w:style w:type="paragraph" w:styleId="TDC8">
    <w:name w:val="toc 8"/>
    <w:basedOn w:val="Normal"/>
    <w:next w:val="Normal"/>
    <w:autoRedefine/>
    <w:semiHidden/>
    <w:rsid w:val="0023089B"/>
    <w:pPr>
      <w:ind w:left="1440"/>
    </w:pPr>
  </w:style>
  <w:style w:type="paragraph" w:styleId="TDC9">
    <w:name w:val="toc 9"/>
    <w:basedOn w:val="Normal"/>
    <w:next w:val="Normal"/>
    <w:autoRedefine/>
    <w:semiHidden/>
    <w:rsid w:val="0023089B"/>
    <w:pPr>
      <w:ind w:left="1680"/>
    </w:pPr>
  </w:style>
  <w:style w:type="paragraph" w:styleId="Subttulo">
    <w:name w:val="Subtitle"/>
    <w:basedOn w:val="Normal"/>
    <w:qFormat/>
    <w:rsid w:val="0023089B"/>
    <w:pPr>
      <w:jc w:val="center"/>
    </w:pPr>
    <w:rPr>
      <w:b/>
      <w:bCs/>
      <w:sz w:val="28"/>
      <w:u w:val="single"/>
    </w:rPr>
  </w:style>
  <w:style w:type="paragraph" w:customStyle="1" w:styleId="Retrait">
    <w:name w:val="Retrait"/>
    <w:basedOn w:val="Paranormal"/>
    <w:rsid w:val="0023089B"/>
    <w:pPr>
      <w:numPr>
        <w:numId w:val="2"/>
      </w:numPr>
      <w:overflowPunct w:val="0"/>
      <w:autoSpaceDE w:val="0"/>
      <w:autoSpaceDN w:val="0"/>
      <w:adjustRightInd w:val="0"/>
      <w:textAlignment w:val="baseline"/>
    </w:pPr>
    <w:rPr>
      <w:rFonts w:cs="Arial"/>
      <w:sz w:val="18"/>
    </w:rPr>
  </w:style>
  <w:style w:type="paragraph" w:styleId="Sangra2detindependiente">
    <w:name w:val="Body Text Indent 2"/>
    <w:basedOn w:val="Normal"/>
    <w:rsid w:val="0023089B"/>
    <w:pPr>
      <w:autoSpaceDE w:val="0"/>
      <w:autoSpaceDN w:val="0"/>
      <w:adjustRightInd w:val="0"/>
      <w:ind w:left="697"/>
    </w:pPr>
    <w:rPr>
      <w:rFonts w:cs="Arial"/>
      <w:sz w:val="20"/>
    </w:rPr>
  </w:style>
  <w:style w:type="paragraph" w:styleId="Sangra3detindependiente">
    <w:name w:val="Body Text Indent 3"/>
    <w:basedOn w:val="Normal"/>
    <w:rsid w:val="0023089B"/>
    <w:pPr>
      <w:autoSpaceDE w:val="0"/>
      <w:autoSpaceDN w:val="0"/>
      <w:adjustRightInd w:val="0"/>
      <w:ind w:left="1416"/>
    </w:pPr>
    <w:rPr>
      <w:rFonts w:cs="Arial"/>
      <w:sz w:val="20"/>
    </w:rPr>
  </w:style>
  <w:style w:type="paragraph" w:styleId="Textodeglobo">
    <w:name w:val="Balloon Text"/>
    <w:basedOn w:val="Normal"/>
    <w:semiHidden/>
    <w:rsid w:val="0023089B"/>
    <w:rPr>
      <w:rFonts w:ascii="Tahoma" w:hAnsi="Tahoma" w:cs="Tahoma"/>
      <w:sz w:val="16"/>
      <w:szCs w:val="16"/>
    </w:rPr>
  </w:style>
  <w:style w:type="character" w:styleId="Hipervnculovisitado">
    <w:name w:val="FollowedHyperlink"/>
    <w:basedOn w:val="Fuentedeprrafopredeter"/>
    <w:rsid w:val="0023089B"/>
    <w:rPr>
      <w:color w:val="800080"/>
      <w:u w:val="single"/>
    </w:rPr>
  </w:style>
  <w:style w:type="character" w:styleId="Refdecomentario">
    <w:name w:val="annotation reference"/>
    <w:basedOn w:val="Fuentedeprrafopredeter"/>
    <w:rsid w:val="0023089B"/>
    <w:rPr>
      <w:sz w:val="16"/>
      <w:szCs w:val="16"/>
    </w:rPr>
  </w:style>
  <w:style w:type="paragraph" w:styleId="Textocomentario">
    <w:name w:val="annotation text"/>
    <w:basedOn w:val="Normal"/>
    <w:link w:val="TextocomentarioCar"/>
    <w:uiPriority w:val="99"/>
    <w:semiHidden/>
    <w:rsid w:val="0023089B"/>
    <w:rPr>
      <w:sz w:val="20"/>
      <w:szCs w:val="20"/>
    </w:rPr>
  </w:style>
  <w:style w:type="paragraph" w:styleId="Asuntodelcomentario">
    <w:name w:val="annotation subject"/>
    <w:basedOn w:val="Textocomentario"/>
    <w:next w:val="Textocomentario"/>
    <w:semiHidden/>
    <w:rsid w:val="0023089B"/>
    <w:rPr>
      <w:b/>
      <w:bCs/>
    </w:rPr>
  </w:style>
  <w:style w:type="paragraph" w:customStyle="1" w:styleId="Default">
    <w:name w:val="Default"/>
    <w:rsid w:val="00F54AF0"/>
    <w:pPr>
      <w:autoSpaceDE w:val="0"/>
      <w:autoSpaceDN w:val="0"/>
      <w:adjustRightInd w:val="0"/>
    </w:pPr>
    <w:rPr>
      <w:rFonts w:ascii="Frutiger Roman" w:hAnsi="Frutiger Roman" w:cs="Frutiger Roman"/>
      <w:color w:val="000000"/>
      <w:sz w:val="24"/>
      <w:szCs w:val="24"/>
    </w:rPr>
  </w:style>
  <w:style w:type="paragraph" w:styleId="Prrafodelista">
    <w:name w:val="List Paragraph"/>
    <w:basedOn w:val="Normal"/>
    <w:link w:val="PrrafodelistaCar"/>
    <w:uiPriority w:val="34"/>
    <w:qFormat/>
    <w:rsid w:val="00F54AF0"/>
    <w:pPr>
      <w:ind w:left="720"/>
      <w:contextualSpacing/>
    </w:pPr>
  </w:style>
  <w:style w:type="paragraph" w:customStyle="1" w:styleId="EstiloVerdana11ptInterlineadoMltiple13ln">
    <w:name w:val="Estilo Verdana 11 pt Interlineado:  Múltiple 13 lín."/>
    <w:basedOn w:val="Normal"/>
    <w:rsid w:val="008F0384"/>
    <w:pPr>
      <w:spacing w:before="120" w:line="288" w:lineRule="auto"/>
    </w:pPr>
    <w:rPr>
      <w:rFonts w:ascii="Verdana" w:eastAsia="MS Mincho" w:hAnsi="Verdana"/>
      <w:szCs w:val="20"/>
      <w:lang w:val="es-ES" w:eastAsia="ja-JP"/>
    </w:rPr>
  </w:style>
  <w:style w:type="character" w:customStyle="1" w:styleId="Enags">
    <w:name w:val="Enagás"/>
    <w:rsid w:val="008F0384"/>
    <w:rPr>
      <w:rFonts w:ascii="Verdana" w:hAnsi="Verdana"/>
      <w:sz w:val="22"/>
    </w:rPr>
  </w:style>
  <w:style w:type="paragraph" w:customStyle="1" w:styleId="Normalpersonal">
    <w:name w:val="Normal (personal)"/>
    <w:basedOn w:val="Normal"/>
    <w:rsid w:val="008F0384"/>
    <w:pPr>
      <w:spacing w:before="120" w:after="240"/>
    </w:pPr>
    <w:rPr>
      <w:rFonts w:ascii="Verdana" w:hAnsi="Verdana"/>
      <w:lang w:val="es-ES" w:eastAsia="es-ES"/>
    </w:rPr>
  </w:style>
  <w:style w:type="character" w:styleId="Nmerodepgina">
    <w:name w:val="page number"/>
    <w:basedOn w:val="Fuentedeprrafopredeter"/>
    <w:rsid w:val="008F0384"/>
  </w:style>
  <w:style w:type="character" w:customStyle="1" w:styleId="PiedepginaCar">
    <w:name w:val="Pie de página Car"/>
    <w:link w:val="Piedepgina"/>
    <w:uiPriority w:val="99"/>
    <w:locked/>
    <w:rsid w:val="008F0384"/>
    <w:rPr>
      <w:color w:val="0000FF"/>
      <w:sz w:val="24"/>
      <w:szCs w:val="24"/>
    </w:rPr>
  </w:style>
  <w:style w:type="paragraph" w:customStyle="1" w:styleId="EstiloTtulo1Arial14ptSubrayado">
    <w:name w:val="Estilo Título 1 + Arial 14 pt Subrayado"/>
    <w:basedOn w:val="Ttulo1"/>
    <w:autoRedefine/>
    <w:rsid w:val="00C62277"/>
    <w:pPr>
      <w:keepNext w:val="0"/>
      <w:pageBreakBefore/>
      <w:numPr>
        <w:numId w:val="8"/>
      </w:numPr>
      <w:tabs>
        <w:tab w:val="left" w:pos="709"/>
      </w:tabs>
      <w:spacing w:before="240" w:after="240"/>
    </w:pPr>
    <w:rPr>
      <w:color w:val="000000" w:themeColor="text1"/>
      <w:szCs w:val="22"/>
      <w:lang w:val="en-GB" w:eastAsia="es-ES"/>
    </w:rPr>
  </w:style>
  <w:style w:type="paragraph" w:customStyle="1" w:styleId="EstiloTtulo2Arial13ptAntes12ptoDespus12pto">
    <w:name w:val="Estilo Título 2 + Arial 13 pt Antes:  12 pto Después:  12 pto"/>
    <w:basedOn w:val="Ttulo2"/>
    <w:autoRedefine/>
    <w:rsid w:val="001906DF"/>
    <w:pPr>
      <w:keepNext/>
      <w:numPr>
        <w:numId w:val="3"/>
      </w:numPr>
      <w:spacing w:after="240"/>
      <w:jc w:val="left"/>
    </w:pPr>
    <w:rPr>
      <w:rFonts w:cs="Times New Roman"/>
      <w:i/>
      <w:iCs w:val="0"/>
      <w:szCs w:val="20"/>
      <w:lang w:val="en-GB"/>
    </w:rPr>
  </w:style>
  <w:style w:type="paragraph" w:customStyle="1" w:styleId="EstiloTtulo3ArialCursivaAutomticoAntes12ptoDespu">
    <w:name w:val="Estilo Título 3 + Arial Cursiva Automático Antes:  12 pto Despué..."/>
    <w:basedOn w:val="Ttulo3"/>
    <w:rsid w:val="008F0384"/>
    <w:pPr>
      <w:numPr>
        <w:ilvl w:val="0"/>
        <w:numId w:val="0"/>
      </w:numPr>
      <w:tabs>
        <w:tab w:val="num" w:pos="1080"/>
      </w:tabs>
      <w:spacing w:after="240"/>
      <w:ind w:left="720" w:hanging="720"/>
    </w:pPr>
    <w:rPr>
      <w:rFonts w:cs="Times New Roman"/>
      <w:b w:val="0"/>
      <w:bCs/>
      <w:szCs w:val="20"/>
    </w:rPr>
  </w:style>
  <w:style w:type="paragraph" w:customStyle="1" w:styleId="EstiloTtulo312ptCursivaDespus12pto">
    <w:name w:val="Estilo Título 3 + 12 pt Cursiva Después:  12 pto"/>
    <w:basedOn w:val="Ttulo3"/>
    <w:rsid w:val="008F0384"/>
    <w:pPr>
      <w:numPr>
        <w:numId w:val="3"/>
      </w:numPr>
      <w:spacing w:after="240"/>
    </w:pPr>
    <w:rPr>
      <w:rFonts w:cs="Times New Roman"/>
      <w:b w:val="0"/>
      <w:bCs/>
      <w:szCs w:val="20"/>
      <w:lang w:val="es-ES" w:eastAsia="es-ES"/>
    </w:rPr>
  </w:style>
  <w:style w:type="paragraph" w:styleId="Descripcin">
    <w:name w:val="caption"/>
    <w:basedOn w:val="Normal"/>
    <w:next w:val="Normal"/>
    <w:uiPriority w:val="35"/>
    <w:qFormat/>
    <w:rsid w:val="008F0384"/>
    <w:pPr>
      <w:spacing w:before="120" w:line="312" w:lineRule="auto"/>
    </w:pPr>
    <w:rPr>
      <w:rFonts w:ascii="Verdana" w:eastAsia="MS Mincho" w:hAnsi="Verdana"/>
      <w:b/>
      <w:bCs/>
      <w:sz w:val="20"/>
      <w:szCs w:val="20"/>
      <w:lang w:val="es-ES" w:eastAsia="ja-JP"/>
    </w:rPr>
  </w:style>
  <w:style w:type="character" w:customStyle="1" w:styleId="TextonotapieCar">
    <w:name w:val="Texto nota pie Car"/>
    <w:aliases w:val="DTE-VoetnootteksFootnote Text Car,DTE-Voetnoottekst Car,fn Car"/>
    <w:link w:val="Textonotapie"/>
    <w:rsid w:val="008F0384"/>
    <w:rPr>
      <w:color w:val="0000FF"/>
    </w:rPr>
  </w:style>
  <w:style w:type="character" w:customStyle="1" w:styleId="FootnoteTextChar">
    <w:name w:val="Footnote Text Char"/>
    <w:semiHidden/>
    <w:locked/>
    <w:rsid w:val="008F0384"/>
    <w:rPr>
      <w:rFonts w:ascii="Verdana" w:hAnsi="Verdana" w:cs="Times New Roman"/>
      <w:sz w:val="20"/>
      <w:szCs w:val="20"/>
      <w:lang w:val="es-ES" w:eastAsia="ja-JP"/>
    </w:rPr>
  </w:style>
  <w:style w:type="paragraph" w:customStyle="1" w:styleId="TextinTable">
    <w:name w:val="Text in Table"/>
    <w:basedOn w:val="Normal"/>
    <w:rsid w:val="008F0384"/>
    <w:pPr>
      <w:spacing w:before="60" w:after="60"/>
    </w:pPr>
    <w:rPr>
      <w:rFonts w:cs="Courier New"/>
      <w:sz w:val="18"/>
      <w:szCs w:val="20"/>
      <w:lang w:val="en-GB" w:eastAsia="de-DE"/>
    </w:rPr>
  </w:style>
  <w:style w:type="character" w:customStyle="1" w:styleId="CarCar">
    <w:name w:val="Car Car"/>
    <w:semiHidden/>
    <w:rsid w:val="008F0384"/>
    <w:rPr>
      <w:rFonts w:ascii="Arial" w:hAnsi="Arial"/>
      <w:bCs/>
      <w:sz w:val="18"/>
      <w:lang w:val="en-GB" w:eastAsia="en-US"/>
    </w:rPr>
  </w:style>
  <w:style w:type="paragraph" w:styleId="Textonotaalfinal">
    <w:name w:val="endnote text"/>
    <w:basedOn w:val="Normal"/>
    <w:link w:val="TextonotaalfinalCar"/>
    <w:semiHidden/>
    <w:rsid w:val="008F0384"/>
    <w:pPr>
      <w:spacing w:before="120" w:line="312" w:lineRule="auto"/>
    </w:pPr>
    <w:rPr>
      <w:rFonts w:ascii="Verdana" w:eastAsia="MS Mincho" w:hAnsi="Verdana"/>
      <w:sz w:val="20"/>
      <w:szCs w:val="20"/>
      <w:lang w:val="es-ES" w:eastAsia="ja-JP"/>
    </w:rPr>
  </w:style>
  <w:style w:type="character" w:customStyle="1" w:styleId="TextonotaalfinalCar">
    <w:name w:val="Texto nota al final Car"/>
    <w:basedOn w:val="Fuentedeprrafopredeter"/>
    <w:link w:val="Textonotaalfinal"/>
    <w:semiHidden/>
    <w:rsid w:val="008F0384"/>
    <w:rPr>
      <w:rFonts w:ascii="Verdana" w:eastAsia="MS Mincho" w:hAnsi="Verdana"/>
      <w:lang w:val="es-ES" w:eastAsia="ja-JP"/>
    </w:rPr>
  </w:style>
  <w:style w:type="character" w:styleId="Refdenotaalfinal">
    <w:name w:val="endnote reference"/>
    <w:semiHidden/>
    <w:rsid w:val="008F0384"/>
    <w:rPr>
      <w:vertAlign w:val="superscript"/>
    </w:rPr>
  </w:style>
  <w:style w:type="paragraph" w:customStyle="1" w:styleId="ListParagraph1">
    <w:name w:val="List Paragraph1"/>
    <w:basedOn w:val="Normal"/>
    <w:rsid w:val="008F0384"/>
    <w:pPr>
      <w:spacing w:after="200" w:line="276" w:lineRule="auto"/>
      <w:ind w:left="720"/>
      <w:contextualSpacing/>
    </w:pPr>
    <w:rPr>
      <w:rFonts w:ascii="Calibri" w:hAnsi="Calibri"/>
      <w:szCs w:val="22"/>
      <w:lang w:val="es-ES" w:eastAsia="en-US"/>
    </w:rPr>
  </w:style>
  <w:style w:type="character" w:customStyle="1" w:styleId="FooterChar">
    <w:name w:val="Footer Char"/>
    <w:locked/>
    <w:rsid w:val="008F0384"/>
    <w:rPr>
      <w:rFonts w:cs="Times New Roman"/>
    </w:rPr>
  </w:style>
  <w:style w:type="table" w:styleId="Tablaconcuadrcula">
    <w:name w:val="Table Grid"/>
    <w:basedOn w:val="Tablanormal"/>
    <w:uiPriority w:val="39"/>
    <w:rsid w:val="008F0384"/>
    <w:pPr>
      <w:spacing w:before="120" w:after="120" w:line="312" w:lineRule="auto"/>
      <w:jc w:val="both"/>
    </w:pPr>
    <w:rPr>
      <w:rFonts w:eastAsia="MS Mincho"/>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2">
    <w:name w:val="Estilo2"/>
    <w:basedOn w:val="EstiloTtulo1Arial14ptSubrayado"/>
    <w:rsid w:val="008F0384"/>
    <w:pPr>
      <w:numPr>
        <w:numId w:val="4"/>
      </w:numPr>
    </w:pPr>
  </w:style>
  <w:style w:type="character" w:customStyle="1" w:styleId="Ttulo3Car">
    <w:name w:val="Título 3 Car"/>
    <w:link w:val="Ttulo3"/>
    <w:rsid w:val="00FF615F"/>
    <w:rPr>
      <w:rFonts w:ascii="Arial" w:hAnsi="Arial" w:cs="Arial"/>
      <w:b/>
      <w:i/>
      <w:iCs/>
      <w:sz w:val="22"/>
      <w:szCs w:val="24"/>
    </w:rPr>
  </w:style>
  <w:style w:type="paragraph" w:customStyle="1" w:styleId="EstiloEstiloTextoindependienteVerdana10ptNegritaSubrayado">
    <w:name w:val="Estilo Estilo Texto independiente + Verdana 10 pt Negrita Subrayado ..."/>
    <w:basedOn w:val="Normal"/>
    <w:rsid w:val="008F0384"/>
    <w:pPr>
      <w:numPr>
        <w:numId w:val="5"/>
      </w:numPr>
      <w:spacing w:before="120" w:line="312" w:lineRule="auto"/>
    </w:pPr>
    <w:rPr>
      <w:rFonts w:ascii="Verdana" w:eastAsia="MS Mincho" w:hAnsi="Verdana"/>
      <w:lang w:val="es-ES" w:eastAsia="ja-JP"/>
    </w:rPr>
  </w:style>
  <w:style w:type="character" w:customStyle="1" w:styleId="hps">
    <w:name w:val="hps"/>
    <w:basedOn w:val="Fuentedeprrafopredeter"/>
    <w:rsid w:val="008F0384"/>
  </w:style>
  <w:style w:type="character" w:customStyle="1" w:styleId="hpsatn">
    <w:name w:val="hps atn"/>
    <w:basedOn w:val="Fuentedeprrafopredeter"/>
    <w:rsid w:val="008F0384"/>
  </w:style>
  <w:style w:type="character" w:customStyle="1" w:styleId="atn">
    <w:name w:val="atn"/>
    <w:basedOn w:val="Fuentedeprrafopredeter"/>
    <w:rsid w:val="008F0384"/>
  </w:style>
  <w:style w:type="table" w:customStyle="1" w:styleId="Tablaconcuadrcula1">
    <w:name w:val="Tabla con cuadrícula1"/>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semiHidden/>
    <w:rsid w:val="008F0384"/>
    <w:pPr>
      <w:shd w:val="clear" w:color="auto" w:fill="000080"/>
      <w:spacing w:before="120" w:line="312" w:lineRule="auto"/>
    </w:pPr>
    <w:rPr>
      <w:rFonts w:ascii="Tahoma" w:eastAsia="MS Mincho" w:hAnsi="Tahoma" w:cs="Tahoma"/>
      <w:sz w:val="20"/>
      <w:szCs w:val="20"/>
      <w:lang w:val="es-ES" w:eastAsia="ja-JP"/>
    </w:rPr>
  </w:style>
  <w:style w:type="character" w:customStyle="1" w:styleId="MapadeldocumentoCar">
    <w:name w:val="Mapa del documento Car"/>
    <w:basedOn w:val="Fuentedeprrafopredeter"/>
    <w:link w:val="Mapadeldocumento"/>
    <w:semiHidden/>
    <w:rsid w:val="008F0384"/>
    <w:rPr>
      <w:rFonts w:ascii="Tahoma" w:eastAsia="MS Mincho" w:hAnsi="Tahoma" w:cs="Tahoma"/>
      <w:shd w:val="clear" w:color="auto" w:fill="000080"/>
      <w:lang w:val="es-ES" w:eastAsia="ja-JP"/>
    </w:rPr>
  </w:style>
  <w:style w:type="table" w:customStyle="1" w:styleId="Tablaconcuadrcula9">
    <w:name w:val="Tabla con cuadrícula9"/>
    <w:basedOn w:val="Tablanormal"/>
    <w:next w:val="Tablaconcuadrcula"/>
    <w:rsid w:val="008F0384"/>
    <w:rPr>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semnumero">
    <w:name w:val="Títulosemnumero"/>
    <w:basedOn w:val="Normal"/>
    <w:next w:val="Normal"/>
    <w:link w:val="TtulosemnumeroCarcter"/>
    <w:rsid w:val="008F0384"/>
    <w:pPr>
      <w:keepNext/>
      <w:spacing w:before="480"/>
    </w:pPr>
    <w:rPr>
      <w:b/>
      <w:smallCaps/>
      <w:sz w:val="20"/>
      <w:szCs w:val="20"/>
      <w:lang w:val="pt-PT" w:eastAsia="pt-PT"/>
    </w:rPr>
  </w:style>
  <w:style w:type="character" w:customStyle="1" w:styleId="TtulosemnumeroCarcter">
    <w:name w:val="Títulosemnumero Carácter"/>
    <w:link w:val="Ttulosemnumero"/>
    <w:rsid w:val="008F0384"/>
    <w:rPr>
      <w:rFonts w:ascii="Arial" w:hAnsi="Arial"/>
      <w:b/>
      <w:smallCaps/>
      <w:lang w:val="pt-PT" w:eastAsia="pt-PT"/>
    </w:rPr>
  </w:style>
  <w:style w:type="character" w:customStyle="1" w:styleId="EncabezadoCar">
    <w:name w:val="Encabezado Car"/>
    <w:link w:val="Encabezado"/>
    <w:rsid w:val="008F0384"/>
    <w:rPr>
      <w:color w:val="0000FF"/>
      <w:sz w:val="24"/>
      <w:szCs w:val="24"/>
    </w:rPr>
  </w:style>
  <w:style w:type="character" w:customStyle="1" w:styleId="Estilo11ptNegrito">
    <w:name w:val="Estilo 11 pt Negrito"/>
    <w:rsid w:val="008F0384"/>
    <w:rPr>
      <w:rFonts w:ascii="MetroMedium LT Two" w:hAnsi="MetroMedium LT Two" w:cs="Times New Roman"/>
      <w:bCs/>
      <w:sz w:val="22"/>
    </w:rPr>
  </w:style>
  <w:style w:type="paragraph" w:customStyle="1" w:styleId="Corpo">
    <w:name w:val="Corpo"/>
    <w:link w:val="CorpoCarcter"/>
    <w:rsid w:val="008F0384"/>
    <w:pPr>
      <w:spacing w:before="240" w:line="360" w:lineRule="auto"/>
      <w:jc w:val="both"/>
    </w:pPr>
    <w:rPr>
      <w:rFonts w:ascii="Arial" w:hAnsi="Arial"/>
      <w:lang w:val="pt-PT" w:eastAsia="pt-PT"/>
    </w:rPr>
  </w:style>
  <w:style w:type="paragraph" w:customStyle="1" w:styleId="bulletalinea">
    <w:name w:val="bulletalinea"/>
    <w:basedOn w:val="Corpo"/>
    <w:rsid w:val="008F0384"/>
    <w:pPr>
      <w:numPr>
        <w:numId w:val="6"/>
      </w:numPr>
      <w:tabs>
        <w:tab w:val="num" w:pos="360"/>
        <w:tab w:val="num" w:pos="420"/>
      </w:tabs>
      <w:spacing w:before="120"/>
      <w:ind w:left="420"/>
    </w:pPr>
  </w:style>
  <w:style w:type="character" w:customStyle="1" w:styleId="CorpoCarcter">
    <w:name w:val="Corpo Carácter"/>
    <w:link w:val="Corpo"/>
    <w:rsid w:val="008F0384"/>
    <w:rPr>
      <w:rFonts w:ascii="Arial" w:hAnsi="Arial"/>
      <w:lang w:val="pt-PT" w:eastAsia="pt-PT"/>
    </w:rPr>
  </w:style>
  <w:style w:type="paragraph" w:customStyle="1" w:styleId="Contrato-Texto">
    <w:name w:val="Contrato - Texto"/>
    <w:basedOn w:val="Normal"/>
    <w:uiPriority w:val="99"/>
    <w:rsid w:val="008F0384"/>
    <w:pPr>
      <w:ind w:left="1134"/>
    </w:pPr>
    <w:rPr>
      <w:rFonts w:ascii="Trebuchet MS" w:hAnsi="Trebuchet MS"/>
      <w:color w:val="000000"/>
      <w:sz w:val="20"/>
      <w:szCs w:val="20"/>
      <w:lang w:val="pt-PT" w:eastAsia="en-US"/>
    </w:rPr>
  </w:style>
  <w:style w:type="paragraph" w:customStyle="1" w:styleId="bulletnumerado">
    <w:name w:val="bulletnumerado"/>
    <w:basedOn w:val="Normal"/>
    <w:rsid w:val="008F0384"/>
    <w:pPr>
      <w:spacing w:before="120"/>
    </w:pPr>
    <w:rPr>
      <w:sz w:val="20"/>
      <w:szCs w:val="20"/>
      <w:lang w:val="pt-PT" w:eastAsia="pt-PT"/>
    </w:rPr>
  </w:style>
  <w:style w:type="paragraph" w:customStyle="1" w:styleId="SombreadoColorido-Cor11">
    <w:name w:val="Sombreado Colorido - Cor 11"/>
    <w:hidden/>
    <w:uiPriority w:val="71"/>
    <w:rsid w:val="008F0384"/>
    <w:rPr>
      <w:rFonts w:ascii="Verdana" w:eastAsia="MS Mincho" w:hAnsi="Verdana"/>
      <w:sz w:val="22"/>
      <w:szCs w:val="24"/>
      <w:lang w:val="es-ES" w:eastAsia="ja-JP"/>
    </w:rPr>
  </w:style>
  <w:style w:type="character" w:styleId="Textoennegrita">
    <w:name w:val="Strong"/>
    <w:basedOn w:val="Fuentedeprrafopredeter"/>
    <w:uiPriority w:val="22"/>
    <w:qFormat/>
    <w:rsid w:val="008F0384"/>
    <w:rPr>
      <w:b/>
      <w:bCs/>
    </w:rPr>
  </w:style>
  <w:style w:type="paragraph" w:styleId="Revisin">
    <w:name w:val="Revision"/>
    <w:hidden/>
    <w:uiPriority w:val="99"/>
    <w:semiHidden/>
    <w:rsid w:val="008F0384"/>
    <w:rPr>
      <w:rFonts w:ascii="Verdana" w:eastAsia="MS Mincho" w:hAnsi="Verdana"/>
      <w:sz w:val="22"/>
      <w:szCs w:val="24"/>
      <w:lang w:val="es-ES" w:eastAsia="ja-JP"/>
    </w:rPr>
  </w:style>
  <w:style w:type="paragraph" w:customStyle="1" w:styleId="CM1">
    <w:name w:val="CM1"/>
    <w:basedOn w:val="Default"/>
    <w:next w:val="Default"/>
    <w:uiPriority w:val="99"/>
    <w:rsid w:val="008F0384"/>
    <w:rPr>
      <w:rFonts w:ascii="EUAlbertina" w:eastAsia="MS Mincho" w:hAnsi="EUAlbertina" w:cs="Times New Roman"/>
      <w:color w:val="auto"/>
      <w:lang w:val="es-ES" w:eastAsia="pt-PT"/>
    </w:rPr>
  </w:style>
  <w:style w:type="paragraph" w:customStyle="1" w:styleId="CM3">
    <w:name w:val="CM3"/>
    <w:basedOn w:val="Default"/>
    <w:next w:val="Default"/>
    <w:uiPriority w:val="99"/>
    <w:rsid w:val="008F0384"/>
    <w:rPr>
      <w:rFonts w:ascii="EUAlbertina" w:eastAsia="MS Mincho" w:hAnsi="EUAlbertina" w:cs="Times New Roman"/>
      <w:color w:val="auto"/>
      <w:lang w:val="es-ES" w:eastAsia="pt-PT"/>
    </w:rPr>
  </w:style>
  <w:style w:type="paragraph" w:customStyle="1" w:styleId="CM4">
    <w:name w:val="CM4"/>
    <w:basedOn w:val="Default"/>
    <w:next w:val="Default"/>
    <w:uiPriority w:val="99"/>
    <w:rsid w:val="008F0384"/>
    <w:rPr>
      <w:rFonts w:ascii="EUAlbertina" w:eastAsia="MS Mincho" w:hAnsi="EUAlbertina" w:cs="Times New Roman"/>
      <w:color w:val="auto"/>
      <w:lang w:val="es-ES" w:eastAsia="pt-PT"/>
    </w:rPr>
  </w:style>
  <w:style w:type="character" w:customStyle="1" w:styleId="Subttulo1">
    <w:name w:val="Subtítulo1"/>
    <w:basedOn w:val="Fuentedeprrafopredeter"/>
    <w:rsid w:val="008F0384"/>
  </w:style>
  <w:style w:type="paragraph" w:customStyle="1" w:styleId="Estilo1">
    <w:name w:val="Estilo1"/>
    <w:basedOn w:val="Normal"/>
    <w:qFormat/>
    <w:rsid w:val="008F0384"/>
    <w:pPr>
      <w:numPr>
        <w:numId w:val="7"/>
      </w:numPr>
      <w:spacing w:after="240"/>
      <w:outlineLvl w:val="3"/>
    </w:pPr>
    <w:rPr>
      <w:rFonts w:cs="Arial"/>
      <w:szCs w:val="22"/>
      <w:u w:val="single"/>
      <w:lang w:val="en-GB"/>
    </w:rPr>
  </w:style>
  <w:style w:type="character" w:customStyle="1" w:styleId="Ttulo2Car">
    <w:name w:val="Título 2 Car"/>
    <w:basedOn w:val="Fuentedeprrafopredeter"/>
    <w:link w:val="Ttulo2"/>
    <w:rsid w:val="001906DF"/>
    <w:rPr>
      <w:rFonts w:ascii="Arial" w:hAnsi="Arial" w:cs="Arial"/>
      <w:b/>
      <w:bCs/>
      <w:iCs/>
      <w:sz w:val="26"/>
      <w:szCs w:val="24"/>
    </w:rPr>
  </w:style>
  <w:style w:type="paragraph" w:styleId="NormalWeb">
    <w:name w:val="Normal (Web)"/>
    <w:basedOn w:val="Normal"/>
    <w:uiPriority w:val="99"/>
    <w:semiHidden/>
    <w:unhideWhenUsed/>
    <w:rsid w:val="00DB0038"/>
    <w:pPr>
      <w:spacing w:before="100" w:beforeAutospacing="1" w:after="100" w:afterAutospacing="1"/>
    </w:pPr>
    <w:rPr>
      <w:lang w:val="en-US" w:eastAsia="en-US"/>
    </w:rPr>
  </w:style>
  <w:style w:type="paragraph" w:styleId="Tabladeilustraciones">
    <w:name w:val="table of figures"/>
    <w:basedOn w:val="Normal"/>
    <w:next w:val="Normal"/>
    <w:uiPriority w:val="99"/>
    <w:unhideWhenUsed/>
    <w:rsid w:val="007F0BFA"/>
    <w:rPr>
      <w:rFonts w:asciiTheme="minorHAnsi" w:hAnsiTheme="minorHAnsi"/>
      <w:i/>
      <w:iCs/>
      <w:sz w:val="20"/>
      <w:szCs w:val="20"/>
    </w:rPr>
  </w:style>
  <w:style w:type="paragraph" w:customStyle="1" w:styleId="Body1">
    <w:name w:val="Body 1"/>
    <w:rsid w:val="004E7549"/>
    <w:pPr>
      <w:spacing w:before="240" w:after="200" w:line="276" w:lineRule="auto"/>
      <w:jc w:val="both"/>
      <w:outlineLvl w:val="0"/>
    </w:pPr>
    <w:rPr>
      <w:rFonts w:ascii="Helvetica" w:eastAsia="Arial Unicode MS" w:hAnsi="Helvetica"/>
      <w:color w:val="000000"/>
      <w:sz w:val="22"/>
      <w:u w:color="000000"/>
      <w:lang w:val="es-ES" w:eastAsia="es-ES"/>
    </w:rPr>
  </w:style>
  <w:style w:type="character" w:customStyle="1" w:styleId="apple-converted-space">
    <w:name w:val="apple-converted-space"/>
    <w:basedOn w:val="Fuentedeprrafopredeter"/>
    <w:rsid w:val="00087C0D"/>
  </w:style>
  <w:style w:type="character" w:styleId="nfasis">
    <w:name w:val="Emphasis"/>
    <w:basedOn w:val="Fuentedeprrafopredeter"/>
    <w:uiPriority w:val="20"/>
    <w:qFormat/>
    <w:rsid w:val="00D71B73"/>
    <w:rPr>
      <w:i/>
      <w:iCs/>
    </w:rPr>
  </w:style>
  <w:style w:type="character" w:styleId="Textodelmarcadordeposicin">
    <w:name w:val="Placeholder Text"/>
    <w:basedOn w:val="Fuentedeprrafopredeter"/>
    <w:uiPriority w:val="99"/>
    <w:semiHidden/>
    <w:rsid w:val="0046482B"/>
    <w:rPr>
      <w:color w:val="808080"/>
    </w:rPr>
  </w:style>
  <w:style w:type="character" w:customStyle="1" w:styleId="TextocomentarioCar">
    <w:name w:val="Texto comentario Car"/>
    <w:basedOn w:val="Fuentedeprrafopredeter"/>
    <w:link w:val="Textocomentario"/>
    <w:uiPriority w:val="99"/>
    <w:semiHidden/>
    <w:rsid w:val="00D42ECB"/>
    <w:rPr>
      <w:rFonts w:ascii="Arial" w:hAnsi="Arial"/>
    </w:rPr>
  </w:style>
  <w:style w:type="paragraph" w:customStyle="1" w:styleId="corpsdetexte">
    <w:name w:val="corps de texte"/>
    <w:basedOn w:val="Normal"/>
    <w:link w:val="corpsdetexteCar"/>
    <w:qFormat/>
    <w:rsid w:val="00325E6D"/>
    <w:pPr>
      <w:spacing w:before="0" w:line="240" w:lineRule="auto"/>
    </w:pPr>
    <w:rPr>
      <w:rFonts w:ascii="Franklin Gothic Book" w:eastAsia="Cambria" w:hAnsi="Franklin Gothic Book" w:cs="Arial"/>
      <w:sz w:val="20"/>
      <w:szCs w:val="20"/>
      <w:lang w:val="en-GB" w:eastAsia="en-GB" w:bidi="en-GB"/>
    </w:rPr>
  </w:style>
  <w:style w:type="character" w:customStyle="1" w:styleId="corpsdetexteCar">
    <w:name w:val="corps de texte Car"/>
    <w:basedOn w:val="Fuentedeprrafopredeter"/>
    <w:link w:val="corpsdetexte"/>
    <w:rsid w:val="00325E6D"/>
    <w:rPr>
      <w:rFonts w:ascii="Franklin Gothic Book" w:eastAsia="Cambria" w:hAnsi="Franklin Gothic Book" w:cs="Arial"/>
      <w:lang w:val="en-GB" w:eastAsia="en-GB" w:bidi="en-GB"/>
    </w:rPr>
  </w:style>
  <w:style w:type="table" w:customStyle="1" w:styleId="Listaclara-nfasis11">
    <w:name w:val="Lista clara - Énfasis 11"/>
    <w:basedOn w:val="Tablanormal"/>
    <w:next w:val="Listaclara-nfasis1"/>
    <w:uiPriority w:val="61"/>
    <w:rsid w:val="004F4155"/>
    <w:rPr>
      <w:rFonts w:ascii="Verdana" w:eastAsia="Verdana" w:hAnsi="Verdana"/>
      <w:sz w:val="22"/>
      <w:szCs w:val="22"/>
      <w:lang w:val="es-ES" w:eastAsia="en-US"/>
    </w:rPr>
    <w:tblPr>
      <w:tblStyleRowBandSize w:val="1"/>
      <w:tblStyleColBandSize w:val="1"/>
      <w:tblBorders>
        <w:top w:val="single" w:sz="8" w:space="0" w:color="007AAE"/>
        <w:left w:val="single" w:sz="8" w:space="0" w:color="007AAE"/>
        <w:bottom w:val="single" w:sz="8" w:space="0" w:color="007AAE"/>
        <w:right w:val="single" w:sz="8" w:space="0" w:color="007AAE"/>
      </w:tblBorders>
    </w:tblPr>
    <w:tblStylePr w:type="firstRow">
      <w:pPr>
        <w:spacing w:before="0" w:after="0" w:line="240" w:lineRule="auto"/>
      </w:pPr>
      <w:rPr>
        <w:b/>
        <w:bCs/>
        <w:color w:val="FFFFFF"/>
      </w:rPr>
      <w:tblPr/>
      <w:tcPr>
        <w:shd w:val="clear" w:color="auto" w:fill="007AAE"/>
      </w:tcPr>
    </w:tblStylePr>
    <w:tblStylePr w:type="lastRow">
      <w:pPr>
        <w:spacing w:before="0" w:after="0" w:line="240" w:lineRule="auto"/>
      </w:pPr>
      <w:rPr>
        <w:b/>
        <w:bCs/>
      </w:rPr>
      <w:tblPr/>
      <w:tcPr>
        <w:tcBorders>
          <w:top w:val="double" w:sz="6" w:space="0" w:color="007AAE"/>
          <w:left w:val="single" w:sz="8" w:space="0" w:color="007AAE"/>
          <w:bottom w:val="single" w:sz="8" w:space="0" w:color="007AAE"/>
          <w:right w:val="single" w:sz="8" w:space="0" w:color="007AAE"/>
        </w:tcBorders>
      </w:tcPr>
    </w:tblStylePr>
    <w:tblStylePr w:type="firstCol">
      <w:rPr>
        <w:b/>
        <w:bCs/>
      </w:rPr>
    </w:tblStylePr>
    <w:tblStylePr w:type="lastCol">
      <w:rPr>
        <w:b/>
        <w:bCs/>
      </w:rPr>
    </w:tblStylePr>
    <w:tblStylePr w:type="band1Vert">
      <w:tblPr/>
      <w:tcPr>
        <w:tcBorders>
          <w:top w:val="single" w:sz="8" w:space="0" w:color="007AAE"/>
          <w:left w:val="single" w:sz="8" w:space="0" w:color="007AAE"/>
          <w:bottom w:val="single" w:sz="8" w:space="0" w:color="007AAE"/>
          <w:right w:val="single" w:sz="8" w:space="0" w:color="007AAE"/>
        </w:tcBorders>
      </w:tcPr>
    </w:tblStylePr>
    <w:tblStylePr w:type="band1Horz">
      <w:tblPr/>
      <w:tcPr>
        <w:tcBorders>
          <w:top w:val="single" w:sz="8" w:space="0" w:color="007AAE"/>
          <w:left w:val="single" w:sz="8" w:space="0" w:color="007AAE"/>
          <w:bottom w:val="single" w:sz="8" w:space="0" w:color="007AAE"/>
          <w:right w:val="single" w:sz="8" w:space="0" w:color="007AAE"/>
        </w:tcBorders>
      </w:tcPr>
    </w:tblStylePr>
  </w:style>
  <w:style w:type="table" w:customStyle="1" w:styleId="Tablaconcuadrcula10">
    <w:name w:val="Tabla con cuadrícula10"/>
    <w:basedOn w:val="Tablanormal"/>
    <w:next w:val="Tablaconcuadrcula"/>
    <w:uiPriority w:val="59"/>
    <w:rsid w:val="004F4155"/>
    <w:rPr>
      <w:rFonts w:ascii="Verdana" w:eastAsia="Verdana" w:hAnsi="Verdana"/>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4F4155"/>
    <w:rPr>
      <w:rFonts w:ascii="Verdana" w:eastAsia="Verdana" w:hAnsi="Verdana"/>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semiHidden/>
    <w:unhideWhenUsed/>
    <w:rsid w:val="004F415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rrafodelistaCar">
    <w:name w:val="Párrafo de lista Car"/>
    <w:basedOn w:val="Fuentedeprrafopredeter"/>
    <w:link w:val="Prrafodelista"/>
    <w:uiPriority w:val="34"/>
    <w:locked/>
    <w:rsid w:val="003236B6"/>
    <w:rPr>
      <w:rFonts w:ascii="Arial" w:hAnsi="Arial"/>
      <w:sz w:val="22"/>
      <w:szCs w:val="24"/>
    </w:rPr>
  </w:style>
  <w:style w:type="paragraph" w:customStyle="1" w:styleId="balancingimage">
    <w:name w:val="balancing.image"/>
    <w:basedOn w:val="Normal"/>
    <w:rsid w:val="00FC4853"/>
    <w:pPr>
      <w:spacing w:before="120" w:after="240" w:line="252" w:lineRule="auto"/>
      <w:jc w:val="center"/>
    </w:pPr>
    <w:rPr>
      <w:rFonts w:ascii="Calibri Light" w:eastAsiaTheme="minorHAnsi" w:hAnsi="Calibri Light"/>
      <w:szCs w:val="22"/>
      <w:lang w:val="es-ES" w:eastAsia="de-DE"/>
    </w:rPr>
  </w:style>
  <w:style w:type="paragraph" w:customStyle="1" w:styleId="Balancingtableheading1-2">
    <w:name w:val="Balancing.table.heading.1-2"/>
    <w:basedOn w:val="Normal"/>
    <w:rsid w:val="00FC4853"/>
    <w:pPr>
      <w:spacing w:before="0" w:after="0" w:line="240" w:lineRule="auto"/>
      <w:ind w:left="-85" w:right="-94"/>
      <w:jc w:val="center"/>
    </w:pPr>
    <w:rPr>
      <w:rFonts w:eastAsiaTheme="minorHAnsi" w:cs="Arial"/>
      <w:b/>
      <w:bCs/>
      <w:color w:val="FFFFFF"/>
      <w:sz w:val="14"/>
      <w:szCs w:val="14"/>
      <w:lang w:val="es-E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6962">
      <w:bodyDiv w:val="1"/>
      <w:marLeft w:val="0"/>
      <w:marRight w:val="0"/>
      <w:marTop w:val="0"/>
      <w:marBottom w:val="0"/>
      <w:divBdr>
        <w:top w:val="none" w:sz="0" w:space="0" w:color="auto"/>
        <w:left w:val="none" w:sz="0" w:space="0" w:color="auto"/>
        <w:bottom w:val="none" w:sz="0" w:space="0" w:color="auto"/>
        <w:right w:val="none" w:sz="0" w:space="0" w:color="auto"/>
      </w:divBdr>
    </w:div>
    <w:div w:id="99032129">
      <w:bodyDiv w:val="1"/>
      <w:marLeft w:val="0"/>
      <w:marRight w:val="0"/>
      <w:marTop w:val="0"/>
      <w:marBottom w:val="0"/>
      <w:divBdr>
        <w:top w:val="none" w:sz="0" w:space="0" w:color="auto"/>
        <w:left w:val="none" w:sz="0" w:space="0" w:color="auto"/>
        <w:bottom w:val="none" w:sz="0" w:space="0" w:color="auto"/>
        <w:right w:val="none" w:sz="0" w:space="0" w:color="auto"/>
      </w:divBdr>
    </w:div>
    <w:div w:id="328949013">
      <w:bodyDiv w:val="1"/>
      <w:marLeft w:val="0"/>
      <w:marRight w:val="0"/>
      <w:marTop w:val="0"/>
      <w:marBottom w:val="0"/>
      <w:divBdr>
        <w:top w:val="none" w:sz="0" w:space="0" w:color="auto"/>
        <w:left w:val="none" w:sz="0" w:space="0" w:color="auto"/>
        <w:bottom w:val="none" w:sz="0" w:space="0" w:color="auto"/>
        <w:right w:val="none" w:sz="0" w:space="0" w:color="auto"/>
      </w:divBdr>
    </w:div>
    <w:div w:id="489255696">
      <w:bodyDiv w:val="1"/>
      <w:marLeft w:val="0"/>
      <w:marRight w:val="0"/>
      <w:marTop w:val="0"/>
      <w:marBottom w:val="0"/>
      <w:divBdr>
        <w:top w:val="none" w:sz="0" w:space="0" w:color="auto"/>
        <w:left w:val="none" w:sz="0" w:space="0" w:color="auto"/>
        <w:bottom w:val="none" w:sz="0" w:space="0" w:color="auto"/>
        <w:right w:val="none" w:sz="0" w:space="0" w:color="auto"/>
      </w:divBdr>
    </w:div>
    <w:div w:id="520165759">
      <w:bodyDiv w:val="1"/>
      <w:marLeft w:val="0"/>
      <w:marRight w:val="0"/>
      <w:marTop w:val="0"/>
      <w:marBottom w:val="0"/>
      <w:divBdr>
        <w:top w:val="none" w:sz="0" w:space="0" w:color="auto"/>
        <w:left w:val="none" w:sz="0" w:space="0" w:color="auto"/>
        <w:bottom w:val="none" w:sz="0" w:space="0" w:color="auto"/>
        <w:right w:val="none" w:sz="0" w:space="0" w:color="auto"/>
      </w:divBdr>
    </w:div>
    <w:div w:id="567107446">
      <w:bodyDiv w:val="1"/>
      <w:marLeft w:val="0"/>
      <w:marRight w:val="0"/>
      <w:marTop w:val="0"/>
      <w:marBottom w:val="0"/>
      <w:divBdr>
        <w:top w:val="none" w:sz="0" w:space="0" w:color="auto"/>
        <w:left w:val="none" w:sz="0" w:space="0" w:color="auto"/>
        <w:bottom w:val="none" w:sz="0" w:space="0" w:color="auto"/>
        <w:right w:val="none" w:sz="0" w:space="0" w:color="auto"/>
      </w:divBdr>
    </w:div>
    <w:div w:id="607469994">
      <w:bodyDiv w:val="1"/>
      <w:marLeft w:val="0"/>
      <w:marRight w:val="0"/>
      <w:marTop w:val="0"/>
      <w:marBottom w:val="0"/>
      <w:divBdr>
        <w:top w:val="none" w:sz="0" w:space="0" w:color="auto"/>
        <w:left w:val="none" w:sz="0" w:space="0" w:color="auto"/>
        <w:bottom w:val="none" w:sz="0" w:space="0" w:color="auto"/>
        <w:right w:val="none" w:sz="0" w:space="0" w:color="auto"/>
      </w:divBdr>
    </w:div>
    <w:div w:id="617641319">
      <w:bodyDiv w:val="1"/>
      <w:marLeft w:val="0"/>
      <w:marRight w:val="0"/>
      <w:marTop w:val="0"/>
      <w:marBottom w:val="0"/>
      <w:divBdr>
        <w:top w:val="none" w:sz="0" w:space="0" w:color="auto"/>
        <w:left w:val="none" w:sz="0" w:space="0" w:color="auto"/>
        <w:bottom w:val="none" w:sz="0" w:space="0" w:color="auto"/>
        <w:right w:val="none" w:sz="0" w:space="0" w:color="auto"/>
      </w:divBdr>
    </w:div>
    <w:div w:id="798958540">
      <w:bodyDiv w:val="1"/>
      <w:marLeft w:val="0"/>
      <w:marRight w:val="0"/>
      <w:marTop w:val="0"/>
      <w:marBottom w:val="0"/>
      <w:divBdr>
        <w:top w:val="none" w:sz="0" w:space="0" w:color="auto"/>
        <w:left w:val="none" w:sz="0" w:space="0" w:color="auto"/>
        <w:bottom w:val="none" w:sz="0" w:space="0" w:color="auto"/>
        <w:right w:val="none" w:sz="0" w:space="0" w:color="auto"/>
      </w:divBdr>
    </w:div>
    <w:div w:id="927152055">
      <w:bodyDiv w:val="1"/>
      <w:marLeft w:val="0"/>
      <w:marRight w:val="0"/>
      <w:marTop w:val="0"/>
      <w:marBottom w:val="0"/>
      <w:divBdr>
        <w:top w:val="none" w:sz="0" w:space="0" w:color="auto"/>
        <w:left w:val="none" w:sz="0" w:space="0" w:color="auto"/>
        <w:bottom w:val="none" w:sz="0" w:space="0" w:color="auto"/>
        <w:right w:val="none" w:sz="0" w:space="0" w:color="auto"/>
      </w:divBdr>
      <w:divsChild>
        <w:div w:id="1810441277">
          <w:marLeft w:val="1987"/>
          <w:marRight w:val="0"/>
          <w:marTop w:val="0"/>
          <w:marBottom w:val="0"/>
          <w:divBdr>
            <w:top w:val="none" w:sz="0" w:space="0" w:color="auto"/>
            <w:left w:val="none" w:sz="0" w:space="0" w:color="auto"/>
            <w:bottom w:val="none" w:sz="0" w:space="0" w:color="auto"/>
            <w:right w:val="none" w:sz="0" w:space="0" w:color="auto"/>
          </w:divBdr>
        </w:div>
        <w:div w:id="1988969126">
          <w:marLeft w:val="1987"/>
          <w:marRight w:val="0"/>
          <w:marTop w:val="0"/>
          <w:marBottom w:val="0"/>
          <w:divBdr>
            <w:top w:val="none" w:sz="0" w:space="0" w:color="auto"/>
            <w:left w:val="none" w:sz="0" w:space="0" w:color="auto"/>
            <w:bottom w:val="none" w:sz="0" w:space="0" w:color="auto"/>
            <w:right w:val="none" w:sz="0" w:space="0" w:color="auto"/>
          </w:divBdr>
        </w:div>
        <w:div w:id="2071297967">
          <w:marLeft w:val="1987"/>
          <w:marRight w:val="0"/>
          <w:marTop w:val="0"/>
          <w:marBottom w:val="0"/>
          <w:divBdr>
            <w:top w:val="none" w:sz="0" w:space="0" w:color="auto"/>
            <w:left w:val="none" w:sz="0" w:space="0" w:color="auto"/>
            <w:bottom w:val="none" w:sz="0" w:space="0" w:color="auto"/>
            <w:right w:val="none" w:sz="0" w:space="0" w:color="auto"/>
          </w:divBdr>
        </w:div>
        <w:div w:id="45565814">
          <w:marLeft w:val="1987"/>
          <w:marRight w:val="0"/>
          <w:marTop w:val="0"/>
          <w:marBottom w:val="0"/>
          <w:divBdr>
            <w:top w:val="none" w:sz="0" w:space="0" w:color="auto"/>
            <w:left w:val="none" w:sz="0" w:space="0" w:color="auto"/>
            <w:bottom w:val="none" w:sz="0" w:space="0" w:color="auto"/>
            <w:right w:val="none" w:sz="0" w:space="0" w:color="auto"/>
          </w:divBdr>
        </w:div>
        <w:div w:id="377357831">
          <w:marLeft w:val="1987"/>
          <w:marRight w:val="0"/>
          <w:marTop w:val="0"/>
          <w:marBottom w:val="0"/>
          <w:divBdr>
            <w:top w:val="none" w:sz="0" w:space="0" w:color="auto"/>
            <w:left w:val="none" w:sz="0" w:space="0" w:color="auto"/>
            <w:bottom w:val="none" w:sz="0" w:space="0" w:color="auto"/>
            <w:right w:val="none" w:sz="0" w:space="0" w:color="auto"/>
          </w:divBdr>
        </w:div>
        <w:div w:id="1495105022">
          <w:marLeft w:val="1987"/>
          <w:marRight w:val="0"/>
          <w:marTop w:val="0"/>
          <w:marBottom w:val="0"/>
          <w:divBdr>
            <w:top w:val="none" w:sz="0" w:space="0" w:color="auto"/>
            <w:left w:val="none" w:sz="0" w:space="0" w:color="auto"/>
            <w:bottom w:val="none" w:sz="0" w:space="0" w:color="auto"/>
            <w:right w:val="none" w:sz="0" w:space="0" w:color="auto"/>
          </w:divBdr>
        </w:div>
      </w:divsChild>
    </w:div>
    <w:div w:id="1023673301">
      <w:bodyDiv w:val="1"/>
      <w:marLeft w:val="0"/>
      <w:marRight w:val="0"/>
      <w:marTop w:val="0"/>
      <w:marBottom w:val="0"/>
      <w:divBdr>
        <w:top w:val="none" w:sz="0" w:space="0" w:color="auto"/>
        <w:left w:val="none" w:sz="0" w:space="0" w:color="auto"/>
        <w:bottom w:val="none" w:sz="0" w:space="0" w:color="auto"/>
        <w:right w:val="none" w:sz="0" w:space="0" w:color="auto"/>
      </w:divBdr>
    </w:div>
    <w:div w:id="1030645338">
      <w:bodyDiv w:val="1"/>
      <w:marLeft w:val="0"/>
      <w:marRight w:val="0"/>
      <w:marTop w:val="0"/>
      <w:marBottom w:val="0"/>
      <w:divBdr>
        <w:top w:val="none" w:sz="0" w:space="0" w:color="auto"/>
        <w:left w:val="none" w:sz="0" w:space="0" w:color="auto"/>
        <w:bottom w:val="none" w:sz="0" w:space="0" w:color="auto"/>
        <w:right w:val="none" w:sz="0" w:space="0" w:color="auto"/>
      </w:divBdr>
    </w:div>
    <w:div w:id="1090813359">
      <w:bodyDiv w:val="1"/>
      <w:marLeft w:val="0"/>
      <w:marRight w:val="0"/>
      <w:marTop w:val="0"/>
      <w:marBottom w:val="0"/>
      <w:divBdr>
        <w:top w:val="none" w:sz="0" w:space="0" w:color="auto"/>
        <w:left w:val="none" w:sz="0" w:space="0" w:color="auto"/>
        <w:bottom w:val="none" w:sz="0" w:space="0" w:color="auto"/>
        <w:right w:val="none" w:sz="0" w:space="0" w:color="auto"/>
      </w:divBdr>
    </w:div>
    <w:div w:id="1152721165">
      <w:bodyDiv w:val="1"/>
      <w:marLeft w:val="0"/>
      <w:marRight w:val="0"/>
      <w:marTop w:val="0"/>
      <w:marBottom w:val="0"/>
      <w:divBdr>
        <w:top w:val="none" w:sz="0" w:space="0" w:color="auto"/>
        <w:left w:val="none" w:sz="0" w:space="0" w:color="auto"/>
        <w:bottom w:val="none" w:sz="0" w:space="0" w:color="auto"/>
        <w:right w:val="none" w:sz="0" w:space="0" w:color="auto"/>
      </w:divBdr>
    </w:div>
    <w:div w:id="1174295909">
      <w:bodyDiv w:val="1"/>
      <w:marLeft w:val="0"/>
      <w:marRight w:val="0"/>
      <w:marTop w:val="0"/>
      <w:marBottom w:val="0"/>
      <w:divBdr>
        <w:top w:val="none" w:sz="0" w:space="0" w:color="auto"/>
        <w:left w:val="none" w:sz="0" w:space="0" w:color="auto"/>
        <w:bottom w:val="none" w:sz="0" w:space="0" w:color="auto"/>
        <w:right w:val="none" w:sz="0" w:space="0" w:color="auto"/>
      </w:divBdr>
    </w:div>
    <w:div w:id="1179126149">
      <w:bodyDiv w:val="1"/>
      <w:marLeft w:val="0"/>
      <w:marRight w:val="0"/>
      <w:marTop w:val="0"/>
      <w:marBottom w:val="0"/>
      <w:divBdr>
        <w:top w:val="none" w:sz="0" w:space="0" w:color="auto"/>
        <w:left w:val="none" w:sz="0" w:space="0" w:color="auto"/>
        <w:bottom w:val="none" w:sz="0" w:space="0" w:color="auto"/>
        <w:right w:val="none" w:sz="0" w:space="0" w:color="auto"/>
      </w:divBdr>
    </w:div>
    <w:div w:id="1393113867">
      <w:bodyDiv w:val="1"/>
      <w:marLeft w:val="0"/>
      <w:marRight w:val="0"/>
      <w:marTop w:val="0"/>
      <w:marBottom w:val="0"/>
      <w:divBdr>
        <w:top w:val="none" w:sz="0" w:space="0" w:color="auto"/>
        <w:left w:val="none" w:sz="0" w:space="0" w:color="auto"/>
        <w:bottom w:val="none" w:sz="0" w:space="0" w:color="auto"/>
        <w:right w:val="none" w:sz="0" w:space="0" w:color="auto"/>
      </w:divBdr>
      <w:divsChild>
        <w:div w:id="1635674789">
          <w:marLeft w:val="1987"/>
          <w:marRight w:val="0"/>
          <w:marTop w:val="0"/>
          <w:marBottom w:val="0"/>
          <w:divBdr>
            <w:top w:val="none" w:sz="0" w:space="0" w:color="auto"/>
            <w:left w:val="none" w:sz="0" w:space="0" w:color="auto"/>
            <w:bottom w:val="none" w:sz="0" w:space="0" w:color="auto"/>
            <w:right w:val="none" w:sz="0" w:space="0" w:color="auto"/>
          </w:divBdr>
        </w:div>
        <w:div w:id="1562399548">
          <w:marLeft w:val="1987"/>
          <w:marRight w:val="0"/>
          <w:marTop w:val="0"/>
          <w:marBottom w:val="0"/>
          <w:divBdr>
            <w:top w:val="none" w:sz="0" w:space="0" w:color="auto"/>
            <w:left w:val="none" w:sz="0" w:space="0" w:color="auto"/>
            <w:bottom w:val="none" w:sz="0" w:space="0" w:color="auto"/>
            <w:right w:val="none" w:sz="0" w:space="0" w:color="auto"/>
          </w:divBdr>
        </w:div>
        <w:div w:id="1309020411">
          <w:marLeft w:val="1987"/>
          <w:marRight w:val="0"/>
          <w:marTop w:val="0"/>
          <w:marBottom w:val="0"/>
          <w:divBdr>
            <w:top w:val="none" w:sz="0" w:space="0" w:color="auto"/>
            <w:left w:val="none" w:sz="0" w:space="0" w:color="auto"/>
            <w:bottom w:val="none" w:sz="0" w:space="0" w:color="auto"/>
            <w:right w:val="none" w:sz="0" w:space="0" w:color="auto"/>
          </w:divBdr>
        </w:div>
        <w:div w:id="2133665346">
          <w:marLeft w:val="1987"/>
          <w:marRight w:val="0"/>
          <w:marTop w:val="0"/>
          <w:marBottom w:val="0"/>
          <w:divBdr>
            <w:top w:val="none" w:sz="0" w:space="0" w:color="auto"/>
            <w:left w:val="none" w:sz="0" w:space="0" w:color="auto"/>
            <w:bottom w:val="none" w:sz="0" w:space="0" w:color="auto"/>
            <w:right w:val="none" w:sz="0" w:space="0" w:color="auto"/>
          </w:divBdr>
        </w:div>
      </w:divsChild>
    </w:div>
    <w:div w:id="1584024560">
      <w:bodyDiv w:val="1"/>
      <w:marLeft w:val="0"/>
      <w:marRight w:val="0"/>
      <w:marTop w:val="0"/>
      <w:marBottom w:val="0"/>
      <w:divBdr>
        <w:top w:val="none" w:sz="0" w:space="0" w:color="auto"/>
        <w:left w:val="none" w:sz="0" w:space="0" w:color="auto"/>
        <w:bottom w:val="none" w:sz="0" w:space="0" w:color="auto"/>
        <w:right w:val="none" w:sz="0" w:space="0" w:color="auto"/>
      </w:divBdr>
    </w:div>
    <w:div w:id="1703238607">
      <w:bodyDiv w:val="1"/>
      <w:marLeft w:val="0"/>
      <w:marRight w:val="0"/>
      <w:marTop w:val="0"/>
      <w:marBottom w:val="0"/>
      <w:divBdr>
        <w:top w:val="none" w:sz="0" w:space="0" w:color="auto"/>
        <w:left w:val="none" w:sz="0" w:space="0" w:color="auto"/>
        <w:bottom w:val="none" w:sz="0" w:space="0" w:color="auto"/>
        <w:right w:val="none" w:sz="0" w:space="0" w:color="auto"/>
      </w:divBdr>
    </w:div>
    <w:div w:id="1794249071">
      <w:bodyDiv w:val="1"/>
      <w:marLeft w:val="0"/>
      <w:marRight w:val="0"/>
      <w:marTop w:val="0"/>
      <w:marBottom w:val="0"/>
      <w:divBdr>
        <w:top w:val="none" w:sz="0" w:space="0" w:color="auto"/>
        <w:left w:val="none" w:sz="0" w:space="0" w:color="auto"/>
        <w:bottom w:val="none" w:sz="0" w:space="0" w:color="auto"/>
        <w:right w:val="none" w:sz="0" w:space="0" w:color="auto"/>
      </w:divBdr>
    </w:div>
    <w:div w:id="1857308611">
      <w:bodyDiv w:val="1"/>
      <w:marLeft w:val="0"/>
      <w:marRight w:val="0"/>
      <w:marTop w:val="0"/>
      <w:marBottom w:val="0"/>
      <w:divBdr>
        <w:top w:val="none" w:sz="0" w:space="0" w:color="auto"/>
        <w:left w:val="none" w:sz="0" w:space="0" w:color="auto"/>
        <w:bottom w:val="none" w:sz="0" w:space="0" w:color="auto"/>
        <w:right w:val="none" w:sz="0" w:space="0" w:color="auto"/>
      </w:divBdr>
    </w:div>
    <w:div w:id="1969818766">
      <w:bodyDiv w:val="1"/>
      <w:marLeft w:val="0"/>
      <w:marRight w:val="0"/>
      <w:marTop w:val="0"/>
      <w:marBottom w:val="0"/>
      <w:divBdr>
        <w:top w:val="none" w:sz="0" w:space="0" w:color="auto"/>
        <w:left w:val="none" w:sz="0" w:space="0" w:color="auto"/>
        <w:bottom w:val="none" w:sz="0" w:space="0" w:color="auto"/>
        <w:right w:val="none" w:sz="0" w:space="0" w:color="auto"/>
      </w:divBdr>
    </w:div>
    <w:div w:id="1974286528">
      <w:bodyDiv w:val="1"/>
      <w:marLeft w:val="0"/>
      <w:marRight w:val="0"/>
      <w:marTop w:val="0"/>
      <w:marBottom w:val="0"/>
      <w:divBdr>
        <w:top w:val="none" w:sz="0" w:space="0" w:color="auto"/>
        <w:left w:val="none" w:sz="0" w:space="0" w:color="auto"/>
        <w:bottom w:val="none" w:sz="0" w:space="0" w:color="auto"/>
        <w:right w:val="none" w:sz="0" w:space="0" w:color="auto"/>
      </w:divBdr>
    </w:div>
    <w:div w:id="1975331273">
      <w:bodyDiv w:val="1"/>
      <w:marLeft w:val="0"/>
      <w:marRight w:val="0"/>
      <w:marTop w:val="0"/>
      <w:marBottom w:val="0"/>
      <w:divBdr>
        <w:top w:val="none" w:sz="0" w:space="0" w:color="auto"/>
        <w:left w:val="none" w:sz="0" w:space="0" w:color="auto"/>
        <w:bottom w:val="none" w:sz="0" w:space="0" w:color="auto"/>
        <w:right w:val="none" w:sz="0" w:space="0" w:color="auto"/>
      </w:divBdr>
      <w:divsChild>
        <w:div w:id="1935550810">
          <w:marLeft w:val="1267"/>
          <w:marRight w:val="0"/>
          <w:marTop w:val="0"/>
          <w:marBottom w:val="0"/>
          <w:divBdr>
            <w:top w:val="none" w:sz="0" w:space="0" w:color="auto"/>
            <w:left w:val="none" w:sz="0" w:space="0" w:color="auto"/>
            <w:bottom w:val="none" w:sz="0" w:space="0" w:color="auto"/>
            <w:right w:val="none" w:sz="0" w:space="0" w:color="auto"/>
          </w:divBdr>
        </w:div>
        <w:div w:id="1250000784">
          <w:marLeft w:val="1267"/>
          <w:marRight w:val="0"/>
          <w:marTop w:val="0"/>
          <w:marBottom w:val="0"/>
          <w:divBdr>
            <w:top w:val="none" w:sz="0" w:space="0" w:color="auto"/>
            <w:left w:val="none" w:sz="0" w:space="0" w:color="auto"/>
            <w:bottom w:val="none" w:sz="0" w:space="0" w:color="auto"/>
            <w:right w:val="none" w:sz="0" w:space="0" w:color="auto"/>
          </w:divBdr>
        </w:div>
      </w:divsChild>
    </w:div>
    <w:div w:id="204474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chart" Target="charts/chart5.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image" Target="media/image30.emf"/><Relationship Id="rId50" Type="http://schemas.openxmlformats.org/officeDocument/2006/relationships/image" Target="media/image33.jpeg"/><Relationship Id="rId55" Type="http://schemas.openxmlformats.org/officeDocument/2006/relationships/chart" Target="charts/chart10.xml"/><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chart" Target="charts/chart1.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https://www.ign.ren.pt/acoes-de-compensacao-do-gtg?p_p_id=listAllocationYear_WAR_renatrportlet&amp;p_p_lifecycle=0&amp;_listAllocationYear_WAR_renatrportlet_implicitModel=true" TargetMode="External"/><Relationship Id="rId37" Type="http://schemas.openxmlformats.org/officeDocument/2006/relationships/chart" Target="charts/chart3.xml"/><Relationship Id="rId40" Type="http://schemas.openxmlformats.org/officeDocument/2006/relationships/image" Target="media/image25.png"/><Relationship Id="rId45" Type="http://schemas.openxmlformats.org/officeDocument/2006/relationships/chart" Target="charts/chart6.xml"/><Relationship Id="rId53" Type="http://schemas.openxmlformats.org/officeDocument/2006/relationships/chart" Target="charts/chart8.xml"/><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chart" Target="charts/chart2.xml"/><Relationship Id="rId35" Type="http://schemas.openxmlformats.org/officeDocument/2006/relationships/image" Target="media/image23.jpeg"/><Relationship Id="rId43" Type="http://schemas.openxmlformats.org/officeDocument/2006/relationships/image" Target="media/image28.png"/><Relationship Id="rId48" Type="http://schemas.openxmlformats.org/officeDocument/2006/relationships/image" Target="media/image31.jpeg"/><Relationship Id="rId56" Type="http://schemas.openxmlformats.org/officeDocument/2006/relationships/header" Target="header1.xml"/><Relationship Id="rId64" Type="http://schemas.openxmlformats.org/officeDocument/2006/relationships/customXml" Target="../customXml/item5.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tetra.tigf.fr/SBT/public/StockGazConduite.do?action=listePrev"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chart" Target="charts/chart4.xml"/><Relationship Id="rId46" Type="http://schemas.openxmlformats.org/officeDocument/2006/relationships/chart" Target="charts/chart7.xml"/><Relationship Id="rId59" Type="http://schemas.openxmlformats.org/officeDocument/2006/relationships/fontTable" Target="fontTable.xml"/><Relationship Id="rId20" Type="http://schemas.openxmlformats.org/officeDocument/2006/relationships/image" Target="media/image12.emf"/><Relationship Id="rId41" Type="http://schemas.openxmlformats.org/officeDocument/2006/relationships/image" Target="media/image26.jpeg"/><Relationship Id="rId54" Type="http://schemas.openxmlformats.org/officeDocument/2006/relationships/chart" Target="charts/chart9.xm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s://www.ign.ren.pt/web/guest/gestao-comercial1" TargetMode="External"/><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enagas.es/enagas/es/Gestion_Tecnica_Sistema/Consulta_publica/Propuesta_Procedimi" TargetMode="External"/><Relationship Id="rId2" Type="http://schemas.openxmlformats.org/officeDocument/2006/relationships/hyperlink" Target="https://dre.pt/application/file/74305613" TargetMode="External"/><Relationship Id="rId1" Type="http://schemas.openxmlformats.org/officeDocument/2006/relationships/hyperlink" Target="http://www.erse.pt/pt/gasnatural/regulamentos/operacaodasinfra-estruturas/Documents/Diretiva%2018_2016%20de%2027%20de%20outubro.pdf" TargetMode="External"/><Relationship Id="rId4" Type="http://schemas.openxmlformats.org/officeDocument/2006/relationships/hyperlink" Target="https://dre.pt/application/file/74305613"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8.emf"/><Relationship Id="rId2" Type="http://schemas.openxmlformats.org/officeDocument/2006/relationships/image" Target="media/image37.png"/><Relationship Id="rId1" Type="http://schemas.openxmlformats.org/officeDocument/2006/relationships/image" Target="media/image36.png"/><Relationship Id="rId4" Type="http://schemas.openxmlformats.org/officeDocument/2006/relationships/image" Target="media/image39.jpeg"/></Relationships>
</file>

<file path=word/_rels/header2.xml.rels><?xml version="1.0" encoding="UTF-8" standalone="yes"?>
<Relationships xmlns="http://schemas.openxmlformats.org/package/2006/relationships"><Relationship Id="rId3" Type="http://schemas.openxmlformats.org/officeDocument/2006/relationships/image" Target="media/image38.emf"/><Relationship Id="rId2" Type="http://schemas.openxmlformats.org/officeDocument/2006/relationships/image" Target="media/image37.png"/><Relationship Id="rId1" Type="http://schemas.openxmlformats.org/officeDocument/2006/relationships/image" Target="media/image36.png"/><Relationship Id="rId4" Type="http://schemas.openxmlformats.org/officeDocument/2006/relationships/image" Target="media/image39.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7857FK\AppData\Local\Microsoft\Windows\INetCache\Content.Outlook\GI2GAN5J\BAL678-17-171031%20Effect%20Monitoring%20Questionnaire%202017%20PEG%20nord%20%20TRS%20mark.._.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tgmsb\Desktop\Question&#225;rio_BAL_SGRI_Index_SystemStatu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gmsb\Desktop\Question&#225;rio_BAL_SGRI_Index_SystemStatu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gmsb\Desktop\Question&#225;rio_BAL_SGRI_Index_SystemStatu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gmsb\Desktop\Question&#225;rio_BAL_SGRI_Index_SystemStatu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460014\Desktop\Neutralidade%20-%20SGR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gmsb\Desktop\Question&#225;rio_BAL_SGRI_Index_SystemStatu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tgmsb\Desktop\Question&#225;rio_BAL_SGRI_Index_SystemStatu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tgmsb\Desktop\Question&#225;rio_BAL_SGRI_Index_SystemStatus.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tgmsb\Desktop\Question&#225;rio_BAL_SGRI_Index_SystemStatu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1"/>
              <a:t>GRTgaz balancing actions on TRS </a:t>
            </a:r>
          </a:p>
        </c:rich>
      </c:tx>
      <c:layout>
        <c:manualLayout>
          <c:xMode val="edge"/>
          <c:yMode val="edge"/>
          <c:x val="0.26245873612399845"/>
          <c:y val="1.25508974303437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scatterChart>
        <c:scatterStyle val="lineMarker"/>
        <c:varyColors val="0"/>
        <c:ser>
          <c:idx val="0"/>
          <c:order val="0"/>
          <c:tx>
            <c:strRef>
              <c:f>Feuil1!$D$4:$D$5</c:f>
              <c:strCache>
                <c:ptCount val="2"/>
                <c:pt idx="0">
                  <c:v>BUY</c:v>
                </c:pt>
                <c:pt idx="1">
                  <c:v>Gas volumes procured 
(MWh/ gas day)</c:v>
                </c:pt>
              </c:strCache>
            </c:strRef>
          </c:tx>
          <c:spPr>
            <a:ln w="25400" cap="rnd">
              <a:noFill/>
              <a:round/>
            </a:ln>
            <a:effectLst/>
          </c:spPr>
          <c:marker>
            <c:symbol val="circle"/>
            <c:size val="5"/>
            <c:spPr>
              <a:solidFill>
                <a:schemeClr val="accent1"/>
              </a:solidFill>
              <a:ln w="9525">
                <a:solidFill>
                  <a:schemeClr val="accent1"/>
                </a:solidFill>
              </a:ln>
              <a:effectLst/>
            </c:spPr>
          </c:marker>
          <c:xVal>
            <c:numRef>
              <c:f>Feuil1!$C$6:$C$370</c:f>
              <c:numCache>
                <c:formatCode>m/d/yyyy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xVal>
          <c:yVal>
            <c:numRef>
              <c:f>Feuil1!$D$6:$D$370</c:f>
              <c:numCache>
                <c:formatCode>#,##0</c:formatCode>
                <c:ptCount val="365"/>
                <c:pt idx="0">
                  <c:v>0</c:v>
                </c:pt>
                <c:pt idx="1">
                  <c:v>0</c:v>
                </c:pt>
                <c:pt idx="2">
                  <c:v>0</c:v>
                </c:pt>
                <c:pt idx="3">
                  <c:v>0</c:v>
                </c:pt>
                <c:pt idx="4">
                  <c:v>0</c:v>
                </c:pt>
                <c:pt idx="5">
                  <c:v>17610</c:v>
                </c:pt>
                <c:pt idx="6">
                  <c:v>75590</c:v>
                </c:pt>
                <c:pt idx="7">
                  <c:v>0</c:v>
                </c:pt>
                <c:pt idx="8">
                  <c:v>0</c:v>
                </c:pt>
                <c:pt idx="9">
                  <c:v>0</c:v>
                </c:pt>
                <c:pt idx="10">
                  <c:v>12790</c:v>
                </c:pt>
                <c:pt idx="11">
                  <c:v>34510</c:v>
                </c:pt>
                <c:pt idx="12">
                  <c:v>0</c:v>
                </c:pt>
                <c:pt idx="13">
                  <c:v>0</c:v>
                </c:pt>
                <c:pt idx="14">
                  <c:v>2220</c:v>
                </c:pt>
                <c:pt idx="15">
                  <c:v>0</c:v>
                </c:pt>
                <c:pt idx="16">
                  <c:v>0</c:v>
                </c:pt>
                <c:pt idx="17">
                  <c:v>0</c:v>
                </c:pt>
                <c:pt idx="18">
                  <c:v>15400</c:v>
                </c:pt>
                <c:pt idx="19">
                  <c:v>0</c:v>
                </c:pt>
                <c:pt idx="20">
                  <c:v>16880</c:v>
                </c:pt>
                <c:pt idx="21">
                  <c:v>16880</c:v>
                </c:pt>
                <c:pt idx="22">
                  <c:v>2330</c:v>
                </c:pt>
                <c:pt idx="23">
                  <c:v>0</c:v>
                </c:pt>
                <c:pt idx="24">
                  <c:v>0</c:v>
                </c:pt>
                <c:pt idx="25">
                  <c:v>0</c:v>
                </c:pt>
                <c:pt idx="26">
                  <c:v>9870</c:v>
                </c:pt>
                <c:pt idx="27">
                  <c:v>12030</c:v>
                </c:pt>
                <c:pt idx="28">
                  <c:v>0</c:v>
                </c:pt>
                <c:pt idx="29">
                  <c:v>0</c:v>
                </c:pt>
                <c:pt idx="30">
                  <c:v>25330</c:v>
                </c:pt>
                <c:pt idx="31">
                  <c:v>0</c:v>
                </c:pt>
                <c:pt idx="32">
                  <c:v>0</c:v>
                </c:pt>
                <c:pt idx="33">
                  <c:v>19570</c:v>
                </c:pt>
                <c:pt idx="34">
                  <c:v>2000</c:v>
                </c:pt>
                <c:pt idx="35">
                  <c:v>10570</c:v>
                </c:pt>
                <c:pt idx="36">
                  <c:v>0</c:v>
                </c:pt>
                <c:pt idx="37">
                  <c:v>0</c:v>
                </c:pt>
                <c:pt idx="38">
                  <c:v>11260</c:v>
                </c:pt>
                <c:pt idx="39">
                  <c:v>1370</c:v>
                </c:pt>
                <c:pt idx="40">
                  <c:v>0</c:v>
                </c:pt>
                <c:pt idx="41">
                  <c:v>7000</c:v>
                </c:pt>
                <c:pt idx="42">
                  <c:v>0</c:v>
                </c:pt>
                <c:pt idx="43">
                  <c:v>0</c:v>
                </c:pt>
                <c:pt idx="44">
                  <c:v>0</c:v>
                </c:pt>
                <c:pt idx="45">
                  <c:v>0</c:v>
                </c:pt>
                <c:pt idx="46">
                  <c:v>0</c:v>
                </c:pt>
                <c:pt idx="47">
                  <c:v>0</c:v>
                </c:pt>
                <c:pt idx="48">
                  <c:v>4990</c:v>
                </c:pt>
                <c:pt idx="49">
                  <c:v>0</c:v>
                </c:pt>
                <c:pt idx="50">
                  <c:v>0</c:v>
                </c:pt>
                <c:pt idx="51">
                  <c:v>0</c:v>
                </c:pt>
                <c:pt idx="52">
                  <c:v>0</c:v>
                </c:pt>
                <c:pt idx="53">
                  <c:v>10970</c:v>
                </c:pt>
                <c:pt idx="54">
                  <c:v>0</c:v>
                </c:pt>
                <c:pt idx="55">
                  <c:v>4000</c:v>
                </c:pt>
                <c:pt idx="56">
                  <c:v>0</c:v>
                </c:pt>
                <c:pt idx="57">
                  <c:v>0</c:v>
                </c:pt>
                <c:pt idx="58">
                  <c:v>0</c:v>
                </c:pt>
                <c:pt idx="59">
                  <c:v>3370</c:v>
                </c:pt>
                <c:pt idx="60">
                  <c:v>10610</c:v>
                </c:pt>
                <c:pt idx="61">
                  <c:v>3190</c:v>
                </c:pt>
                <c:pt idx="62">
                  <c:v>5620</c:v>
                </c:pt>
                <c:pt idx="63">
                  <c:v>0</c:v>
                </c:pt>
                <c:pt idx="64">
                  <c:v>12600</c:v>
                </c:pt>
                <c:pt idx="65">
                  <c:v>13620</c:v>
                </c:pt>
                <c:pt idx="66">
                  <c:v>0</c:v>
                </c:pt>
                <c:pt idx="67">
                  <c:v>0</c:v>
                </c:pt>
                <c:pt idx="68">
                  <c:v>22630</c:v>
                </c:pt>
                <c:pt idx="69">
                  <c:v>0</c:v>
                </c:pt>
                <c:pt idx="70">
                  <c:v>35670</c:v>
                </c:pt>
                <c:pt idx="71">
                  <c:v>4280</c:v>
                </c:pt>
                <c:pt idx="72">
                  <c:v>0</c:v>
                </c:pt>
                <c:pt idx="73">
                  <c:v>4000</c:v>
                </c:pt>
                <c:pt idx="74">
                  <c:v>1750</c:v>
                </c:pt>
                <c:pt idx="75">
                  <c:v>0</c:v>
                </c:pt>
                <c:pt idx="76">
                  <c:v>11200</c:v>
                </c:pt>
                <c:pt idx="77">
                  <c:v>0</c:v>
                </c:pt>
                <c:pt idx="78">
                  <c:v>3290</c:v>
                </c:pt>
                <c:pt idx="79">
                  <c:v>15930</c:v>
                </c:pt>
                <c:pt idx="80">
                  <c:v>1600</c:v>
                </c:pt>
                <c:pt idx="81">
                  <c:v>0</c:v>
                </c:pt>
                <c:pt idx="82">
                  <c:v>12500</c:v>
                </c:pt>
                <c:pt idx="83">
                  <c:v>740</c:v>
                </c:pt>
                <c:pt idx="84">
                  <c:v>0</c:v>
                </c:pt>
                <c:pt idx="85">
                  <c:v>0</c:v>
                </c:pt>
                <c:pt idx="86">
                  <c:v>0</c:v>
                </c:pt>
                <c:pt idx="87">
                  <c:v>0</c:v>
                </c:pt>
                <c:pt idx="88">
                  <c:v>9450</c:v>
                </c:pt>
                <c:pt idx="89">
                  <c:v>9850</c:v>
                </c:pt>
                <c:pt idx="90">
                  <c:v>0</c:v>
                </c:pt>
                <c:pt idx="91">
                  <c:v>0</c:v>
                </c:pt>
                <c:pt idx="92">
                  <c:v>40000</c:v>
                </c:pt>
                <c:pt idx="93">
                  <c:v>0</c:v>
                </c:pt>
                <c:pt idx="94">
                  <c:v>32780</c:v>
                </c:pt>
                <c:pt idx="95">
                  <c:v>18460</c:v>
                </c:pt>
                <c:pt idx="96">
                  <c:v>8200</c:v>
                </c:pt>
                <c:pt idx="97">
                  <c:v>880</c:v>
                </c:pt>
                <c:pt idx="98">
                  <c:v>1000</c:v>
                </c:pt>
                <c:pt idx="99">
                  <c:v>920</c:v>
                </c:pt>
                <c:pt idx="100">
                  <c:v>0</c:v>
                </c:pt>
                <c:pt idx="101">
                  <c:v>0</c:v>
                </c:pt>
                <c:pt idx="102">
                  <c:v>0</c:v>
                </c:pt>
                <c:pt idx="103">
                  <c:v>15430</c:v>
                </c:pt>
                <c:pt idx="104">
                  <c:v>0</c:v>
                </c:pt>
                <c:pt idx="105">
                  <c:v>0</c:v>
                </c:pt>
                <c:pt idx="106">
                  <c:v>0</c:v>
                </c:pt>
                <c:pt idx="107">
                  <c:v>3850</c:v>
                </c:pt>
                <c:pt idx="108">
                  <c:v>0</c:v>
                </c:pt>
                <c:pt idx="109">
                  <c:v>0</c:v>
                </c:pt>
                <c:pt idx="110">
                  <c:v>370</c:v>
                </c:pt>
                <c:pt idx="111">
                  <c:v>46310</c:v>
                </c:pt>
                <c:pt idx="112">
                  <c:v>0</c:v>
                </c:pt>
                <c:pt idx="113">
                  <c:v>0</c:v>
                </c:pt>
                <c:pt idx="114">
                  <c:v>0</c:v>
                </c:pt>
                <c:pt idx="115">
                  <c:v>55290</c:v>
                </c:pt>
                <c:pt idx="116">
                  <c:v>20000</c:v>
                </c:pt>
                <c:pt idx="117">
                  <c:v>29980</c:v>
                </c:pt>
                <c:pt idx="118">
                  <c:v>0</c:v>
                </c:pt>
                <c:pt idx="119">
                  <c:v>0</c:v>
                </c:pt>
                <c:pt idx="120">
                  <c:v>0</c:v>
                </c:pt>
                <c:pt idx="121">
                  <c:v>0</c:v>
                </c:pt>
                <c:pt idx="122">
                  <c:v>0</c:v>
                </c:pt>
                <c:pt idx="123">
                  <c:v>15500</c:v>
                </c:pt>
                <c:pt idx="124">
                  <c:v>0</c:v>
                </c:pt>
                <c:pt idx="125">
                  <c:v>0</c:v>
                </c:pt>
                <c:pt idx="126">
                  <c:v>0</c:v>
                </c:pt>
                <c:pt idx="127">
                  <c:v>33110</c:v>
                </c:pt>
                <c:pt idx="128">
                  <c:v>10730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10360</c:v>
                </c:pt>
                <c:pt idx="151">
                  <c:v>15010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4170</c:v>
                </c:pt>
                <c:pt idx="176">
                  <c:v>5460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1260</c:v>
                </c:pt>
                <c:pt idx="198">
                  <c:v>0</c:v>
                </c:pt>
                <c:pt idx="199">
                  <c:v>0</c:v>
                </c:pt>
                <c:pt idx="200">
                  <c:v>0</c:v>
                </c:pt>
                <c:pt idx="201">
                  <c:v>0</c:v>
                </c:pt>
                <c:pt idx="202">
                  <c:v>0</c:v>
                </c:pt>
                <c:pt idx="203">
                  <c:v>0</c:v>
                </c:pt>
                <c:pt idx="204">
                  <c:v>0</c:v>
                </c:pt>
                <c:pt idx="205">
                  <c:v>0</c:v>
                </c:pt>
                <c:pt idx="206">
                  <c:v>0</c:v>
                </c:pt>
                <c:pt idx="207">
                  <c:v>0</c:v>
                </c:pt>
                <c:pt idx="208">
                  <c:v>0</c:v>
                </c:pt>
                <c:pt idx="209">
                  <c:v>10620</c:v>
                </c:pt>
                <c:pt idx="210">
                  <c:v>0</c:v>
                </c:pt>
                <c:pt idx="211">
                  <c:v>3040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6360</c:v>
                </c:pt>
                <c:pt idx="230">
                  <c:v>0</c:v>
                </c:pt>
                <c:pt idx="231">
                  <c:v>0</c:v>
                </c:pt>
                <c:pt idx="232">
                  <c:v>0</c:v>
                </c:pt>
                <c:pt idx="233">
                  <c:v>0</c:v>
                </c:pt>
                <c:pt idx="234">
                  <c:v>0</c:v>
                </c:pt>
                <c:pt idx="235">
                  <c:v>0</c:v>
                </c:pt>
                <c:pt idx="236">
                  <c:v>0</c:v>
                </c:pt>
                <c:pt idx="237">
                  <c:v>0</c:v>
                </c:pt>
                <c:pt idx="238">
                  <c:v>0</c:v>
                </c:pt>
                <c:pt idx="239">
                  <c:v>0</c:v>
                </c:pt>
                <c:pt idx="240">
                  <c:v>28940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4000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720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yVal>
          <c:smooth val="0"/>
          <c:extLst>
            <c:ext xmlns:c16="http://schemas.microsoft.com/office/drawing/2014/chart" uri="{C3380CC4-5D6E-409C-BE32-E72D297353CC}">
              <c16:uniqueId val="{00000000-25F8-4549-9A4E-4DFA5D891817}"/>
            </c:ext>
          </c:extLst>
        </c:ser>
        <c:ser>
          <c:idx val="3"/>
          <c:order val="3"/>
          <c:tx>
            <c:strRef>
              <c:f>Feuil1!$G$4:$G$5</c:f>
              <c:strCache>
                <c:ptCount val="2"/>
                <c:pt idx="0">
                  <c:v>SELL</c:v>
                </c:pt>
                <c:pt idx="1">
                  <c:v>Gas volumes procured 
(MWh/ gas day)</c:v>
                </c:pt>
              </c:strCache>
            </c:strRef>
          </c:tx>
          <c:spPr>
            <a:ln w="25400" cap="rnd">
              <a:noFill/>
              <a:round/>
            </a:ln>
            <a:effectLst/>
          </c:spPr>
          <c:marker>
            <c:symbol val="circle"/>
            <c:size val="5"/>
            <c:spPr>
              <a:solidFill>
                <a:schemeClr val="accent4"/>
              </a:solidFill>
              <a:ln w="9525">
                <a:solidFill>
                  <a:schemeClr val="accent4"/>
                </a:solidFill>
              </a:ln>
              <a:effectLst/>
            </c:spPr>
          </c:marker>
          <c:xVal>
            <c:numRef>
              <c:f>Feuil1!$C$6:$C$370</c:f>
              <c:numCache>
                <c:formatCode>m/d/yyyy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xVal>
          <c:yVal>
            <c:numRef>
              <c:f>Feuil1!$G$6:$G$370</c:f>
              <c:numCache>
                <c:formatCode>#,##0</c:formatCode>
                <c:ptCount val="365"/>
                <c:pt idx="0">
                  <c:v>0</c:v>
                </c:pt>
                <c:pt idx="1">
                  <c:v>0</c:v>
                </c:pt>
                <c:pt idx="2">
                  <c:v>53860</c:v>
                </c:pt>
                <c:pt idx="3">
                  <c:v>0</c:v>
                </c:pt>
                <c:pt idx="4">
                  <c:v>0</c:v>
                </c:pt>
                <c:pt idx="5">
                  <c:v>0</c:v>
                </c:pt>
                <c:pt idx="6">
                  <c:v>0</c:v>
                </c:pt>
                <c:pt idx="7">
                  <c:v>0</c:v>
                </c:pt>
                <c:pt idx="8">
                  <c:v>0</c:v>
                </c:pt>
                <c:pt idx="9">
                  <c:v>0</c:v>
                </c:pt>
                <c:pt idx="10">
                  <c:v>0</c:v>
                </c:pt>
                <c:pt idx="11">
                  <c:v>0</c:v>
                </c:pt>
                <c:pt idx="12">
                  <c:v>0</c:v>
                </c:pt>
                <c:pt idx="13">
                  <c:v>0</c:v>
                </c:pt>
                <c:pt idx="14">
                  <c:v>0</c:v>
                </c:pt>
                <c:pt idx="15">
                  <c:v>0</c:v>
                </c:pt>
                <c:pt idx="16">
                  <c:v>8990</c:v>
                </c:pt>
                <c:pt idx="17">
                  <c:v>0</c:v>
                </c:pt>
                <c:pt idx="18">
                  <c:v>0</c:v>
                </c:pt>
                <c:pt idx="19">
                  <c:v>420</c:v>
                </c:pt>
                <c:pt idx="20">
                  <c:v>0</c:v>
                </c:pt>
                <c:pt idx="21">
                  <c:v>0</c:v>
                </c:pt>
                <c:pt idx="22">
                  <c:v>0</c:v>
                </c:pt>
                <c:pt idx="23">
                  <c:v>0</c:v>
                </c:pt>
                <c:pt idx="24">
                  <c:v>1310</c:v>
                </c:pt>
                <c:pt idx="25">
                  <c:v>1000</c:v>
                </c:pt>
                <c:pt idx="26">
                  <c:v>0</c:v>
                </c:pt>
                <c:pt idx="27">
                  <c:v>0</c:v>
                </c:pt>
                <c:pt idx="28">
                  <c:v>0</c:v>
                </c:pt>
                <c:pt idx="29">
                  <c:v>0</c:v>
                </c:pt>
                <c:pt idx="30">
                  <c:v>0</c:v>
                </c:pt>
                <c:pt idx="31">
                  <c:v>0</c:v>
                </c:pt>
                <c:pt idx="32">
                  <c:v>0</c:v>
                </c:pt>
                <c:pt idx="33">
                  <c:v>0</c:v>
                </c:pt>
                <c:pt idx="34">
                  <c:v>0</c:v>
                </c:pt>
                <c:pt idx="35">
                  <c:v>0</c:v>
                </c:pt>
                <c:pt idx="36">
                  <c:v>9890</c:v>
                </c:pt>
                <c:pt idx="37">
                  <c:v>0</c:v>
                </c:pt>
                <c:pt idx="38">
                  <c:v>0</c:v>
                </c:pt>
                <c:pt idx="39">
                  <c:v>0</c:v>
                </c:pt>
                <c:pt idx="40">
                  <c:v>0</c:v>
                </c:pt>
                <c:pt idx="41">
                  <c:v>0</c:v>
                </c:pt>
                <c:pt idx="42">
                  <c:v>0</c:v>
                </c:pt>
                <c:pt idx="43">
                  <c:v>0</c:v>
                </c:pt>
                <c:pt idx="44">
                  <c:v>34390</c:v>
                </c:pt>
                <c:pt idx="45">
                  <c:v>5640</c:v>
                </c:pt>
                <c:pt idx="46">
                  <c:v>0</c:v>
                </c:pt>
                <c:pt idx="47">
                  <c:v>0</c:v>
                </c:pt>
                <c:pt idx="48">
                  <c:v>0</c:v>
                </c:pt>
                <c:pt idx="49">
                  <c:v>28490</c:v>
                </c:pt>
                <c:pt idx="50">
                  <c:v>10690</c:v>
                </c:pt>
                <c:pt idx="51">
                  <c:v>50000</c:v>
                </c:pt>
                <c:pt idx="52">
                  <c:v>3500</c:v>
                </c:pt>
                <c:pt idx="53">
                  <c:v>0</c:v>
                </c:pt>
                <c:pt idx="54">
                  <c:v>0</c:v>
                </c:pt>
                <c:pt idx="55">
                  <c:v>0</c:v>
                </c:pt>
                <c:pt idx="56">
                  <c:v>0</c:v>
                </c:pt>
                <c:pt idx="57">
                  <c:v>0</c:v>
                </c:pt>
                <c:pt idx="58">
                  <c:v>27500</c:v>
                </c:pt>
                <c:pt idx="59">
                  <c:v>0</c:v>
                </c:pt>
                <c:pt idx="60">
                  <c:v>0</c:v>
                </c:pt>
                <c:pt idx="61">
                  <c:v>0</c:v>
                </c:pt>
                <c:pt idx="62">
                  <c:v>0</c:v>
                </c:pt>
                <c:pt idx="63">
                  <c:v>0</c:v>
                </c:pt>
                <c:pt idx="64">
                  <c:v>0</c:v>
                </c:pt>
                <c:pt idx="65">
                  <c:v>0</c:v>
                </c:pt>
                <c:pt idx="66">
                  <c:v>0</c:v>
                </c:pt>
                <c:pt idx="67">
                  <c:v>960</c:v>
                </c:pt>
                <c:pt idx="68">
                  <c:v>0</c:v>
                </c:pt>
                <c:pt idx="69">
                  <c:v>0</c:v>
                </c:pt>
                <c:pt idx="70">
                  <c:v>0</c:v>
                </c:pt>
                <c:pt idx="71">
                  <c:v>0</c:v>
                </c:pt>
                <c:pt idx="72">
                  <c:v>0</c:v>
                </c:pt>
                <c:pt idx="73">
                  <c:v>0</c:v>
                </c:pt>
                <c:pt idx="74">
                  <c:v>0</c:v>
                </c:pt>
                <c:pt idx="75">
                  <c:v>0</c:v>
                </c:pt>
                <c:pt idx="76">
                  <c:v>0</c:v>
                </c:pt>
                <c:pt idx="77">
                  <c:v>12370</c:v>
                </c:pt>
                <c:pt idx="78">
                  <c:v>0</c:v>
                </c:pt>
                <c:pt idx="79">
                  <c:v>0</c:v>
                </c:pt>
                <c:pt idx="80">
                  <c:v>0</c:v>
                </c:pt>
                <c:pt idx="81">
                  <c:v>43720</c:v>
                </c:pt>
                <c:pt idx="82">
                  <c:v>0</c:v>
                </c:pt>
                <c:pt idx="83">
                  <c:v>0</c:v>
                </c:pt>
                <c:pt idx="84">
                  <c:v>18370</c:v>
                </c:pt>
                <c:pt idx="85">
                  <c:v>24760</c:v>
                </c:pt>
                <c:pt idx="86">
                  <c:v>18370</c:v>
                </c:pt>
                <c:pt idx="87">
                  <c:v>0</c:v>
                </c:pt>
                <c:pt idx="88">
                  <c:v>0</c:v>
                </c:pt>
                <c:pt idx="89">
                  <c:v>0</c:v>
                </c:pt>
                <c:pt idx="90">
                  <c:v>30800</c:v>
                </c:pt>
                <c:pt idx="91">
                  <c:v>0</c:v>
                </c:pt>
                <c:pt idx="92">
                  <c:v>0</c:v>
                </c:pt>
                <c:pt idx="93">
                  <c:v>0</c:v>
                </c:pt>
                <c:pt idx="94">
                  <c:v>0</c:v>
                </c:pt>
                <c:pt idx="95">
                  <c:v>0</c:v>
                </c:pt>
                <c:pt idx="96">
                  <c:v>0</c:v>
                </c:pt>
                <c:pt idx="97">
                  <c:v>0</c:v>
                </c:pt>
                <c:pt idx="98">
                  <c:v>0</c:v>
                </c:pt>
                <c:pt idx="99">
                  <c:v>0</c:v>
                </c:pt>
                <c:pt idx="100">
                  <c:v>0</c:v>
                </c:pt>
                <c:pt idx="101">
                  <c:v>6000</c:v>
                </c:pt>
                <c:pt idx="102">
                  <c:v>0</c:v>
                </c:pt>
                <c:pt idx="103">
                  <c:v>0</c:v>
                </c:pt>
                <c:pt idx="104">
                  <c:v>34170</c:v>
                </c:pt>
                <c:pt idx="105">
                  <c:v>0</c:v>
                </c:pt>
                <c:pt idx="106">
                  <c:v>0</c:v>
                </c:pt>
                <c:pt idx="107">
                  <c:v>0</c:v>
                </c:pt>
                <c:pt idx="108">
                  <c:v>0</c:v>
                </c:pt>
                <c:pt idx="109">
                  <c:v>440</c:v>
                </c:pt>
                <c:pt idx="110">
                  <c:v>0</c:v>
                </c:pt>
                <c:pt idx="111">
                  <c:v>0</c:v>
                </c:pt>
                <c:pt idx="112">
                  <c:v>0</c:v>
                </c:pt>
                <c:pt idx="113">
                  <c:v>0</c:v>
                </c:pt>
                <c:pt idx="114">
                  <c:v>0</c:v>
                </c:pt>
                <c:pt idx="115">
                  <c:v>0</c:v>
                </c:pt>
                <c:pt idx="116">
                  <c:v>0</c:v>
                </c:pt>
                <c:pt idx="117">
                  <c:v>0</c:v>
                </c:pt>
                <c:pt idx="118">
                  <c:v>0</c:v>
                </c:pt>
                <c:pt idx="119">
                  <c:v>32570</c:v>
                </c:pt>
                <c:pt idx="120">
                  <c:v>0</c:v>
                </c:pt>
                <c:pt idx="121">
                  <c:v>0</c:v>
                </c:pt>
                <c:pt idx="122">
                  <c:v>17200</c:v>
                </c:pt>
                <c:pt idx="123">
                  <c:v>0</c:v>
                </c:pt>
                <c:pt idx="124">
                  <c:v>0</c:v>
                </c:pt>
                <c:pt idx="125">
                  <c:v>0</c:v>
                </c:pt>
                <c:pt idx="126">
                  <c:v>0</c:v>
                </c:pt>
                <c:pt idx="127">
                  <c:v>0</c:v>
                </c:pt>
                <c:pt idx="128">
                  <c:v>0</c:v>
                </c:pt>
                <c:pt idx="129">
                  <c:v>0</c:v>
                </c:pt>
                <c:pt idx="130">
                  <c:v>0</c:v>
                </c:pt>
                <c:pt idx="131">
                  <c:v>19830</c:v>
                </c:pt>
                <c:pt idx="132">
                  <c:v>0</c:v>
                </c:pt>
                <c:pt idx="133">
                  <c:v>0</c:v>
                </c:pt>
                <c:pt idx="134">
                  <c:v>0</c:v>
                </c:pt>
                <c:pt idx="135">
                  <c:v>0</c:v>
                </c:pt>
                <c:pt idx="136">
                  <c:v>0</c:v>
                </c:pt>
                <c:pt idx="137">
                  <c:v>7790</c:v>
                </c:pt>
                <c:pt idx="138">
                  <c:v>0</c:v>
                </c:pt>
                <c:pt idx="139">
                  <c:v>0</c:v>
                </c:pt>
                <c:pt idx="140">
                  <c:v>650</c:v>
                </c:pt>
                <c:pt idx="141">
                  <c:v>0</c:v>
                </c:pt>
                <c:pt idx="142">
                  <c:v>0</c:v>
                </c:pt>
                <c:pt idx="143">
                  <c:v>0</c:v>
                </c:pt>
                <c:pt idx="144">
                  <c:v>20840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16280</c:v>
                </c:pt>
                <c:pt idx="161">
                  <c:v>20530</c:v>
                </c:pt>
                <c:pt idx="162">
                  <c:v>0</c:v>
                </c:pt>
                <c:pt idx="163">
                  <c:v>0</c:v>
                </c:pt>
                <c:pt idx="164">
                  <c:v>0</c:v>
                </c:pt>
                <c:pt idx="165">
                  <c:v>2820</c:v>
                </c:pt>
                <c:pt idx="166">
                  <c:v>0</c:v>
                </c:pt>
                <c:pt idx="167">
                  <c:v>0</c:v>
                </c:pt>
                <c:pt idx="168">
                  <c:v>0</c:v>
                </c:pt>
                <c:pt idx="169">
                  <c:v>5060</c:v>
                </c:pt>
                <c:pt idx="170">
                  <c:v>10710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11940</c:v>
                </c:pt>
                <c:pt idx="185">
                  <c:v>18750</c:v>
                </c:pt>
                <c:pt idx="186">
                  <c:v>0</c:v>
                </c:pt>
                <c:pt idx="187">
                  <c:v>0</c:v>
                </c:pt>
                <c:pt idx="188">
                  <c:v>49400</c:v>
                </c:pt>
                <c:pt idx="189">
                  <c:v>0</c:v>
                </c:pt>
                <c:pt idx="190">
                  <c:v>0</c:v>
                </c:pt>
                <c:pt idx="191">
                  <c:v>13500</c:v>
                </c:pt>
                <c:pt idx="192">
                  <c:v>18100</c:v>
                </c:pt>
                <c:pt idx="193">
                  <c:v>0</c:v>
                </c:pt>
                <c:pt idx="194">
                  <c:v>0</c:v>
                </c:pt>
                <c:pt idx="195">
                  <c:v>2350</c:v>
                </c:pt>
                <c:pt idx="196">
                  <c:v>14300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2900</c:v>
                </c:pt>
                <c:pt idx="225">
                  <c:v>0</c:v>
                </c:pt>
                <c:pt idx="226">
                  <c:v>0</c:v>
                </c:pt>
                <c:pt idx="227">
                  <c:v>0</c:v>
                </c:pt>
                <c:pt idx="228">
                  <c:v>0</c:v>
                </c:pt>
                <c:pt idx="229">
                  <c:v>0</c:v>
                </c:pt>
                <c:pt idx="230">
                  <c:v>0</c:v>
                </c:pt>
                <c:pt idx="231">
                  <c:v>0</c:v>
                </c:pt>
                <c:pt idx="232">
                  <c:v>0</c:v>
                </c:pt>
                <c:pt idx="233">
                  <c:v>0</c:v>
                </c:pt>
                <c:pt idx="234">
                  <c:v>0</c:v>
                </c:pt>
                <c:pt idx="235">
                  <c:v>0</c:v>
                </c:pt>
                <c:pt idx="236">
                  <c:v>0</c:v>
                </c:pt>
                <c:pt idx="237">
                  <c:v>8790</c:v>
                </c:pt>
                <c:pt idx="238">
                  <c:v>0</c:v>
                </c:pt>
                <c:pt idx="239">
                  <c:v>6500</c:v>
                </c:pt>
                <c:pt idx="240">
                  <c:v>0</c:v>
                </c:pt>
                <c:pt idx="241">
                  <c:v>5740</c:v>
                </c:pt>
                <c:pt idx="242">
                  <c:v>0</c:v>
                </c:pt>
                <c:pt idx="243">
                  <c:v>18750</c:v>
                </c:pt>
                <c:pt idx="244">
                  <c:v>0</c:v>
                </c:pt>
                <c:pt idx="245">
                  <c:v>34650</c:v>
                </c:pt>
                <c:pt idx="246">
                  <c:v>0</c:v>
                </c:pt>
                <c:pt idx="247">
                  <c:v>0</c:v>
                </c:pt>
                <c:pt idx="248">
                  <c:v>0</c:v>
                </c:pt>
                <c:pt idx="249">
                  <c:v>0</c:v>
                </c:pt>
                <c:pt idx="250">
                  <c:v>0</c:v>
                </c:pt>
                <c:pt idx="251">
                  <c:v>0</c:v>
                </c:pt>
                <c:pt idx="252">
                  <c:v>0</c:v>
                </c:pt>
                <c:pt idx="253">
                  <c:v>0</c:v>
                </c:pt>
                <c:pt idx="254">
                  <c:v>39540</c:v>
                </c:pt>
                <c:pt idx="255">
                  <c:v>6280</c:v>
                </c:pt>
                <c:pt idx="256">
                  <c:v>0</c:v>
                </c:pt>
                <c:pt idx="257">
                  <c:v>330</c:v>
                </c:pt>
                <c:pt idx="258">
                  <c:v>0</c:v>
                </c:pt>
                <c:pt idx="259">
                  <c:v>0</c:v>
                </c:pt>
                <c:pt idx="260">
                  <c:v>0</c:v>
                </c:pt>
                <c:pt idx="261">
                  <c:v>0</c:v>
                </c:pt>
                <c:pt idx="262">
                  <c:v>7740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8340</c:v>
                </c:pt>
                <c:pt idx="281">
                  <c:v>0</c:v>
                </c:pt>
                <c:pt idx="282">
                  <c:v>0</c:v>
                </c:pt>
                <c:pt idx="283">
                  <c:v>9620</c:v>
                </c:pt>
                <c:pt idx="284">
                  <c:v>860</c:v>
                </c:pt>
                <c:pt idx="285">
                  <c:v>0</c:v>
                </c:pt>
                <c:pt idx="286">
                  <c:v>24480</c:v>
                </c:pt>
                <c:pt idx="287">
                  <c:v>0</c:v>
                </c:pt>
                <c:pt idx="288">
                  <c:v>0</c:v>
                </c:pt>
                <c:pt idx="289">
                  <c:v>0</c:v>
                </c:pt>
                <c:pt idx="290">
                  <c:v>0</c:v>
                </c:pt>
                <c:pt idx="291">
                  <c:v>0</c:v>
                </c:pt>
                <c:pt idx="292">
                  <c:v>0</c:v>
                </c:pt>
                <c:pt idx="293">
                  <c:v>22610</c:v>
                </c:pt>
                <c:pt idx="294">
                  <c:v>2000</c:v>
                </c:pt>
                <c:pt idx="295">
                  <c:v>0</c:v>
                </c:pt>
                <c:pt idx="296">
                  <c:v>0</c:v>
                </c:pt>
                <c:pt idx="297">
                  <c:v>0</c:v>
                </c:pt>
                <c:pt idx="298">
                  <c:v>0</c:v>
                </c:pt>
                <c:pt idx="299">
                  <c:v>0</c:v>
                </c:pt>
                <c:pt idx="300">
                  <c:v>0</c:v>
                </c:pt>
                <c:pt idx="301">
                  <c:v>28530</c:v>
                </c:pt>
                <c:pt idx="302">
                  <c:v>0</c:v>
                </c:pt>
                <c:pt idx="303">
                  <c:v>390</c:v>
                </c:pt>
                <c:pt idx="304">
                  <c:v>0</c:v>
                </c:pt>
                <c:pt idx="305">
                  <c:v>0</c:v>
                </c:pt>
                <c:pt idx="306">
                  <c:v>0</c:v>
                </c:pt>
                <c:pt idx="307">
                  <c:v>0</c:v>
                </c:pt>
                <c:pt idx="308">
                  <c:v>0</c:v>
                </c:pt>
                <c:pt idx="309">
                  <c:v>0</c:v>
                </c:pt>
                <c:pt idx="310">
                  <c:v>0</c:v>
                </c:pt>
                <c:pt idx="311">
                  <c:v>0</c:v>
                </c:pt>
                <c:pt idx="312">
                  <c:v>0</c:v>
                </c:pt>
                <c:pt idx="313">
                  <c:v>0</c:v>
                </c:pt>
                <c:pt idx="314">
                  <c:v>45120</c:v>
                </c:pt>
                <c:pt idx="315">
                  <c:v>21580</c:v>
                </c:pt>
                <c:pt idx="316">
                  <c:v>33500</c:v>
                </c:pt>
                <c:pt idx="317">
                  <c:v>2810</c:v>
                </c:pt>
                <c:pt idx="318">
                  <c:v>0</c:v>
                </c:pt>
                <c:pt idx="319">
                  <c:v>0</c:v>
                </c:pt>
                <c:pt idx="320">
                  <c:v>0</c:v>
                </c:pt>
                <c:pt idx="321">
                  <c:v>0</c:v>
                </c:pt>
                <c:pt idx="322">
                  <c:v>5470</c:v>
                </c:pt>
                <c:pt idx="323">
                  <c:v>0</c:v>
                </c:pt>
                <c:pt idx="324">
                  <c:v>0</c:v>
                </c:pt>
                <c:pt idx="325">
                  <c:v>19030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8790</c:v>
                </c:pt>
                <c:pt idx="351">
                  <c:v>0</c:v>
                </c:pt>
                <c:pt idx="352">
                  <c:v>28820</c:v>
                </c:pt>
                <c:pt idx="353">
                  <c:v>0</c:v>
                </c:pt>
                <c:pt idx="354">
                  <c:v>0</c:v>
                </c:pt>
                <c:pt idx="355">
                  <c:v>0</c:v>
                </c:pt>
                <c:pt idx="356">
                  <c:v>0</c:v>
                </c:pt>
                <c:pt idx="357">
                  <c:v>0</c:v>
                </c:pt>
                <c:pt idx="358">
                  <c:v>0</c:v>
                </c:pt>
                <c:pt idx="359">
                  <c:v>0</c:v>
                </c:pt>
                <c:pt idx="360">
                  <c:v>0</c:v>
                </c:pt>
                <c:pt idx="361">
                  <c:v>0</c:v>
                </c:pt>
                <c:pt idx="362">
                  <c:v>0</c:v>
                </c:pt>
                <c:pt idx="363">
                  <c:v>0</c:v>
                </c:pt>
                <c:pt idx="364">
                  <c:v>0</c:v>
                </c:pt>
              </c:numCache>
            </c:numRef>
          </c:yVal>
          <c:smooth val="0"/>
          <c:extLst>
            <c:ext xmlns:c16="http://schemas.microsoft.com/office/drawing/2014/chart" uri="{C3380CC4-5D6E-409C-BE32-E72D297353CC}">
              <c16:uniqueId val="{00000001-25F8-4549-9A4E-4DFA5D891817}"/>
            </c:ext>
          </c:extLst>
        </c:ser>
        <c:dLbls>
          <c:showLegendKey val="0"/>
          <c:showVal val="0"/>
          <c:showCatName val="0"/>
          <c:showSerName val="0"/>
          <c:showPercent val="0"/>
          <c:showBubbleSize val="0"/>
        </c:dLbls>
        <c:axId val="230275744"/>
        <c:axId val="149481792"/>
        <c:extLst>
          <c:ext xmlns:c15="http://schemas.microsoft.com/office/drawing/2012/chart" uri="{02D57815-91ED-43cb-92C2-25804820EDAC}">
            <c15:filteredScatterSeries>
              <c15:ser>
                <c:idx val="2"/>
                <c:order val="2"/>
                <c:tx>
                  <c:strRef>
                    <c:extLst>
                      <c:ext uri="{02D57815-91ED-43cb-92C2-25804820EDAC}">
                        <c15:formulaRef>
                          <c15:sqref>Feuil1!$F$4:$F$5</c15:sqref>
                        </c15:formulaRef>
                      </c:ext>
                    </c:extLst>
                    <c:strCache>
                      <c:ptCount val="2"/>
                      <c:pt idx="0">
                        <c:v>BUY</c:v>
                      </c:pt>
                      <c:pt idx="1">
                        <c:v>Number of balancing actions [gas day]</c:v>
                      </c:pt>
                    </c:strCache>
                  </c:strRef>
                </c:tx>
                <c:spPr>
                  <a:ln w="25400" cap="rnd">
                    <a:noFill/>
                    <a:round/>
                  </a:ln>
                  <a:effectLst/>
                </c:spPr>
                <c:marker>
                  <c:symbol val="circle"/>
                  <c:size val="5"/>
                  <c:spPr>
                    <a:solidFill>
                      <a:schemeClr val="accent3"/>
                    </a:solidFill>
                    <a:ln w="9525">
                      <a:solidFill>
                        <a:schemeClr val="accent3"/>
                      </a:solidFill>
                    </a:ln>
                    <a:effectLst/>
                  </c:spPr>
                </c:marker>
                <c:xVal>
                  <c:numRef>
                    <c:extLst>
                      <c:ext uri="{02D57815-91ED-43cb-92C2-25804820EDAC}">
                        <c15:formulaRef>
                          <c15:sqref>Feuil1!$C$6:$C$370</c15:sqref>
                        </c15:formulaRef>
                      </c:ext>
                    </c:extLst>
                    <c:numCache>
                      <c:formatCode>m/d/yyyy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xVal>
                <c:yVal>
                  <c:numRef>
                    <c:extLst>
                      <c:ext uri="{02D57815-91ED-43cb-92C2-25804820EDAC}">
                        <c15:formulaRef>
                          <c15:sqref>Feuil1!$F$6:$F$370</c15:sqref>
                        </c15:formulaRef>
                      </c:ext>
                    </c:extLst>
                    <c:numCache>
                      <c:formatCode>General</c:formatCode>
                      <c:ptCount val="365"/>
                      <c:pt idx="0">
                        <c:v>0</c:v>
                      </c:pt>
                      <c:pt idx="1">
                        <c:v>0</c:v>
                      </c:pt>
                      <c:pt idx="2">
                        <c:v>0</c:v>
                      </c:pt>
                      <c:pt idx="3">
                        <c:v>0</c:v>
                      </c:pt>
                      <c:pt idx="4">
                        <c:v>0</c:v>
                      </c:pt>
                      <c:pt idx="5">
                        <c:v>2</c:v>
                      </c:pt>
                      <c:pt idx="6">
                        <c:v>3</c:v>
                      </c:pt>
                      <c:pt idx="7">
                        <c:v>0</c:v>
                      </c:pt>
                      <c:pt idx="8">
                        <c:v>0</c:v>
                      </c:pt>
                      <c:pt idx="9">
                        <c:v>0</c:v>
                      </c:pt>
                      <c:pt idx="10">
                        <c:v>1</c:v>
                      </c:pt>
                      <c:pt idx="11">
                        <c:v>2</c:v>
                      </c:pt>
                      <c:pt idx="12">
                        <c:v>0</c:v>
                      </c:pt>
                      <c:pt idx="13">
                        <c:v>0</c:v>
                      </c:pt>
                      <c:pt idx="14">
                        <c:v>1</c:v>
                      </c:pt>
                      <c:pt idx="15">
                        <c:v>0</c:v>
                      </c:pt>
                      <c:pt idx="16">
                        <c:v>0</c:v>
                      </c:pt>
                      <c:pt idx="17">
                        <c:v>0</c:v>
                      </c:pt>
                      <c:pt idx="18">
                        <c:v>3</c:v>
                      </c:pt>
                      <c:pt idx="19">
                        <c:v>0</c:v>
                      </c:pt>
                      <c:pt idx="20">
                        <c:v>1</c:v>
                      </c:pt>
                      <c:pt idx="21">
                        <c:v>2</c:v>
                      </c:pt>
                      <c:pt idx="22">
                        <c:v>1</c:v>
                      </c:pt>
                      <c:pt idx="23">
                        <c:v>0</c:v>
                      </c:pt>
                      <c:pt idx="24">
                        <c:v>0</c:v>
                      </c:pt>
                      <c:pt idx="25">
                        <c:v>0</c:v>
                      </c:pt>
                      <c:pt idx="26">
                        <c:v>2</c:v>
                      </c:pt>
                      <c:pt idx="27">
                        <c:v>2</c:v>
                      </c:pt>
                      <c:pt idx="28">
                        <c:v>0</c:v>
                      </c:pt>
                      <c:pt idx="29">
                        <c:v>0</c:v>
                      </c:pt>
                      <c:pt idx="30">
                        <c:v>2</c:v>
                      </c:pt>
                      <c:pt idx="31">
                        <c:v>0</c:v>
                      </c:pt>
                      <c:pt idx="32">
                        <c:v>0</c:v>
                      </c:pt>
                      <c:pt idx="33">
                        <c:v>2</c:v>
                      </c:pt>
                      <c:pt idx="34">
                        <c:v>1</c:v>
                      </c:pt>
                      <c:pt idx="35">
                        <c:v>1</c:v>
                      </c:pt>
                      <c:pt idx="36">
                        <c:v>0</c:v>
                      </c:pt>
                      <c:pt idx="37">
                        <c:v>0</c:v>
                      </c:pt>
                      <c:pt idx="38">
                        <c:v>1</c:v>
                      </c:pt>
                      <c:pt idx="39">
                        <c:v>1</c:v>
                      </c:pt>
                      <c:pt idx="40">
                        <c:v>0</c:v>
                      </c:pt>
                      <c:pt idx="41">
                        <c:v>1</c:v>
                      </c:pt>
                      <c:pt idx="42">
                        <c:v>0</c:v>
                      </c:pt>
                      <c:pt idx="43">
                        <c:v>0</c:v>
                      </c:pt>
                      <c:pt idx="44">
                        <c:v>0</c:v>
                      </c:pt>
                      <c:pt idx="45">
                        <c:v>0</c:v>
                      </c:pt>
                      <c:pt idx="46">
                        <c:v>0</c:v>
                      </c:pt>
                      <c:pt idx="47">
                        <c:v>0</c:v>
                      </c:pt>
                      <c:pt idx="48">
                        <c:v>1</c:v>
                      </c:pt>
                      <c:pt idx="49">
                        <c:v>0</c:v>
                      </c:pt>
                      <c:pt idx="50">
                        <c:v>0</c:v>
                      </c:pt>
                      <c:pt idx="51">
                        <c:v>0</c:v>
                      </c:pt>
                      <c:pt idx="52">
                        <c:v>0</c:v>
                      </c:pt>
                      <c:pt idx="53">
                        <c:v>2</c:v>
                      </c:pt>
                      <c:pt idx="54">
                        <c:v>0</c:v>
                      </c:pt>
                      <c:pt idx="55">
                        <c:v>1</c:v>
                      </c:pt>
                      <c:pt idx="56">
                        <c:v>0</c:v>
                      </c:pt>
                      <c:pt idx="57">
                        <c:v>0</c:v>
                      </c:pt>
                      <c:pt idx="58">
                        <c:v>0</c:v>
                      </c:pt>
                      <c:pt idx="59">
                        <c:v>1</c:v>
                      </c:pt>
                      <c:pt idx="60">
                        <c:v>2</c:v>
                      </c:pt>
                      <c:pt idx="61">
                        <c:v>2</c:v>
                      </c:pt>
                      <c:pt idx="62">
                        <c:v>1</c:v>
                      </c:pt>
                      <c:pt idx="63">
                        <c:v>0</c:v>
                      </c:pt>
                      <c:pt idx="64">
                        <c:v>2</c:v>
                      </c:pt>
                      <c:pt idx="65">
                        <c:v>2</c:v>
                      </c:pt>
                      <c:pt idx="66">
                        <c:v>0</c:v>
                      </c:pt>
                      <c:pt idx="67">
                        <c:v>0</c:v>
                      </c:pt>
                      <c:pt idx="68">
                        <c:v>2</c:v>
                      </c:pt>
                      <c:pt idx="69">
                        <c:v>0</c:v>
                      </c:pt>
                      <c:pt idx="70">
                        <c:v>3</c:v>
                      </c:pt>
                      <c:pt idx="71">
                        <c:v>2</c:v>
                      </c:pt>
                      <c:pt idx="72">
                        <c:v>0</c:v>
                      </c:pt>
                      <c:pt idx="73">
                        <c:v>1</c:v>
                      </c:pt>
                      <c:pt idx="74">
                        <c:v>2</c:v>
                      </c:pt>
                      <c:pt idx="75">
                        <c:v>0</c:v>
                      </c:pt>
                      <c:pt idx="76">
                        <c:v>2</c:v>
                      </c:pt>
                      <c:pt idx="77">
                        <c:v>0</c:v>
                      </c:pt>
                      <c:pt idx="78">
                        <c:v>1</c:v>
                      </c:pt>
                      <c:pt idx="79">
                        <c:v>1</c:v>
                      </c:pt>
                      <c:pt idx="80">
                        <c:v>1</c:v>
                      </c:pt>
                      <c:pt idx="81">
                        <c:v>0</c:v>
                      </c:pt>
                      <c:pt idx="82">
                        <c:v>2</c:v>
                      </c:pt>
                      <c:pt idx="83">
                        <c:v>1</c:v>
                      </c:pt>
                      <c:pt idx="84">
                        <c:v>0</c:v>
                      </c:pt>
                      <c:pt idx="85">
                        <c:v>0</c:v>
                      </c:pt>
                      <c:pt idx="86">
                        <c:v>0</c:v>
                      </c:pt>
                      <c:pt idx="87">
                        <c:v>0</c:v>
                      </c:pt>
                      <c:pt idx="88">
                        <c:v>1</c:v>
                      </c:pt>
                      <c:pt idx="89">
                        <c:v>1</c:v>
                      </c:pt>
                      <c:pt idx="90">
                        <c:v>0</c:v>
                      </c:pt>
                      <c:pt idx="91">
                        <c:v>0</c:v>
                      </c:pt>
                      <c:pt idx="92">
                        <c:v>1</c:v>
                      </c:pt>
                      <c:pt idx="93">
                        <c:v>0</c:v>
                      </c:pt>
                      <c:pt idx="94">
                        <c:v>3</c:v>
                      </c:pt>
                      <c:pt idx="95">
                        <c:v>1</c:v>
                      </c:pt>
                      <c:pt idx="96">
                        <c:v>1</c:v>
                      </c:pt>
                      <c:pt idx="97">
                        <c:v>1</c:v>
                      </c:pt>
                      <c:pt idx="98">
                        <c:v>1</c:v>
                      </c:pt>
                      <c:pt idx="99">
                        <c:v>1</c:v>
                      </c:pt>
                      <c:pt idx="100">
                        <c:v>0</c:v>
                      </c:pt>
                      <c:pt idx="101">
                        <c:v>0</c:v>
                      </c:pt>
                      <c:pt idx="102">
                        <c:v>0</c:v>
                      </c:pt>
                      <c:pt idx="103">
                        <c:v>1</c:v>
                      </c:pt>
                      <c:pt idx="104">
                        <c:v>0</c:v>
                      </c:pt>
                      <c:pt idx="105">
                        <c:v>0</c:v>
                      </c:pt>
                      <c:pt idx="106">
                        <c:v>0</c:v>
                      </c:pt>
                      <c:pt idx="107">
                        <c:v>2</c:v>
                      </c:pt>
                      <c:pt idx="108">
                        <c:v>0</c:v>
                      </c:pt>
                      <c:pt idx="109">
                        <c:v>0</c:v>
                      </c:pt>
                      <c:pt idx="110">
                        <c:v>1</c:v>
                      </c:pt>
                      <c:pt idx="111">
                        <c:v>2</c:v>
                      </c:pt>
                      <c:pt idx="112">
                        <c:v>0</c:v>
                      </c:pt>
                      <c:pt idx="113">
                        <c:v>0</c:v>
                      </c:pt>
                      <c:pt idx="114">
                        <c:v>0</c:v>
                      </c:pt>
                      <c:pt idx="115">
                        <c:v>3</c:v>
                      </c:pt>
                      <c:pt idx="116">
                        <c:v>1</c:v>
                      </c:pt>
                      <c:pt idx="117">
                        <c:v>3</c:v>
                      </c:pt>
                      <c:pt idx="118">
                        <c:v>0</c:v>
                      </c:pt>
                      <c:pt idx="119">
                        <c:v>0</c:v>
                      </c:pt>
                      <c:pt idx="120">
                        <c:v>0</c:v>
                      </c:pt>
                      <c:pt idx="121">
                        <c:v>0</c:v>
                      </c:pt>
                      <c:pt idx="122">
                        <c:v>0</c:v>
                      </c:pt>
                      <c:pt idx="123">
                        <c:v>2</c:v>
                      </c:pt>
                      <c:pt idx="124">
                        <c:v>0</c:v>
                      </c:pt>
                      <c:pt idx="125">
                        <c:v>0</c:v>
                      </c:pt>
                      <c:pt idx="126">
                        <c:v>0</c:v>
                      </c:pt>
                      <c:pt idx="127">
                        <c:v>3</c:v>
                      </c:pt>
                      <c:pt idx="128">
                        <c:v>3</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2</c:v>
                      </c:pt>
                      <c:pt idx="151">
                        <c:v>2</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1</c:v>
                      </c:pt>
                      <c:pt idx="176">
                        <c:v>1</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1</c:v>
                      </c:pt>
                      <c:pt idx="198">
                        <c:v>0</c:v>
                      </c:pt>
                      <c:pt idx="199">
                        <c:v>0</c:v>
                      </c:pt>
                      <c:pt idx="200">
                        <c:v>0</c:v>
                      </c:pt>
                      <c:pt idx="201">
                        <c:v>0</c:v>
                      </c:pt>
                      <c:pt idx="202">
                        <c:v>0</c:v>
                      </c:pt>
                      <c:pt idx="203">
                        <c:v>0</c:v>
                      </c:pt>
                      <c:pt idx="204">
                        <c:v>0</c:v>
                      </c:pt>
                      <c:pt idx="205">
                        <c:v>0</c:v>
                      </c:pt>
                      <c:pt idx="206">
                        <c:v>0</c:v>
                      </c:pt>
                      <c:pt idx="207">
                        <c:v>0</c:v>
                      </c:pt>
                      <c:pt idx="208">
                        <c:v>0</c:v>
                      </c:pt>
                      <c:pt idx="209">
                        <c:v>3</c:v>
                      </c:pt>
                      <c:pt idx="210">
                        <c:v>0</c:v>
                      </c:pt>
                      <c:pt idx="211">
                        <c:v>1</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2</c:v>
                      </c:pt>
                      <c:pt idx="230">
                        <c:v>0</c:v>
                      </c:pt>
                      <c:pt idx="231">
                        <c:v>0</c:v>
                      </c:pt>
                      <c:pt idx="232">
                        <c:v>0</c:v>
                      </c:pt>
                      <c:pt idx="233">
                        <c:v>0</c:v>
                      </c:pt>
                      <c:pt idx="234">
                        <c:v>0</c:v>
                      </c:pt>
                      <c:pt idx="235">
                        <c:v>0</c:v>
                      </c:pt>
                      <c:pt idx="236">
                        <c:v>0</c:v>
                      </c:pt>
                      <c:pt idx="237">
                        <c:v>0</c:v>
                      </c:pt>
                      <c:pt idx="238">
                        <c:v>0</c:v>
                      </c:pt>
                      <c:pt idx="239">
                        <c:v>0</c:v>
                      </c:pt>
                      <c:pt idx="240">
                        <c:v>2</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1</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1</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yVal>
                <c:smooth val="0"/>
                <c:extLst>
                  <c:ext xmlns:c16="http://schemas.microsoft.com/office/drawing/2014/chart" uri="{C3380CC4-5D6E-409C-BE32-E72D297353CC}">
                    <c16:uniqueId val="{00000004-25F8-4549-9A4E-4DFA5D891817}"/>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Feuil1!$I$4:$I$5</c15:sqref>
                        </c15:formulaRef>
                      </c:ext>
                    </c:extLst>
                    <c:strCache>
                      <c:ptCount val="2"/>
                      <c:pt idx="0">
                        <c:v>SELL</c:v>
                      </c:pt>
                      <c:pt idx="1">
                        <c:v>Number of balancing actions [gas day]</c:v>
                      </c:pt>
                    </c:strCache>
                  </c:strRef>
                </c:tx>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Feuil1!$C$6:$C$370</c15:sqref>
                        </c15:formulaRef>
                      </c:ext>
                    </c:extLst>
                    <c:numCache>
                      <c:formatCode>m/d/yyyy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xVal>
                <c:yVal>
                  <c:numRef>
                    <c:extLst xmlns:c15="http://schemas.microsoft.com/office/drawing/2012/chart">
                      <c:ext xmlns:c15="http://schemas.microsoft.com/office/drawing/2012/chart" uri="{02D57815-91ED-43cb-92C2-25804820EDAC}">
                        <c15:formulaRef>
                          <c15:sqref>Feuil1!$I$6:$I$370</c15:sqref>
                        </c15:formulaRef>
                      </c:ext>
                    </c:extLst>
                    <c:numCache>
                      <c:formatCode>General</c:formatCode>
                      <c:ptCount val="365"/>
                      <c:pt idx="0">
                        <c:v>0</c:v>
                      </c:pt>
                      <c:pt idx="1">
                        <c:v>0</c:v>
                      </c:pt>
                      <c:pt idx="2">
                        <c:v>3</c:v>
                      </c:pt>
                      <c:pt idx="3">
                        <c:v>0</c:v>
                      </c:pt>
                      <c:pt idx="4">
                        <c:v>0</c:v>
                      </c:pt>
                      <c:pt idx="5">
                        <c:v>0</c:v>
                      </c:pt>
                      <c:pt idx="6">
                        <c:v>0</c:v>
                      </c:pt>
                      <c:pt idx="7">
                        <c:v>0</c:v>
                      </c:pt>
                      <c:pt idx="8">
                        <c:v>0</c:v>
                      </c:pt>
                      <c:pt idx="9">
                        <c:v>0</c:v>
                      </c:pt>
                      <c:pt idx="10">
                        <c:v>0</c:v>
                      </c:pt>
                      <c:pt idx="11">
                        <c:v>0</c:v>
                      </c:pt>
                      <c:pt idx="12">
                        <c:v>0</c:v>
                      </c:pt>
                      <c:pt idx="13">
                        <c:v>0</c:v>
                      </c:pt>
                      <c:pt idx="14">
                        <c:v>0</c:v>
                      </c:pt>
                      <c:pt idx="15">
                        <c:v>0</c:v>
                      </c:pt>
                      <c:pt idx="16">
                        <c:v>2</c:v>
                      </c:pt>
                      <c:pt idx="17">
                        <c:v>0</c:v>
                      </c:pt>
                      <c:pt idx="18">
                        <c:v>0</c:v>
                      </c:pt>
                      <c:pt idx="19">
                        <c:v>1</c:v>
                      </c:pt>
                      <c:pt idx="20">
                        <c:v>0</c:v>
                      </c:pt>
                      <c:pt idx="21">
                        <c:v>0</c:v>
                      </c:pt>
                      <c:pt idx="22">
                        <c:v>0</c:v>
                      </c:pt>
                      <c:pt idx="23">
                        <c:v>0</c:v>
                      </c:pt>
                      <c:pt idx="24">
                        <c:v>1</c:v>
                      </c:pt>
                      <c:pt idx="25">
                        <c:v>1</c:v>
                      </c:pt>
                      <c:pt idx="26">
                        <c:v>0</c:v>
                      </c:pt>
                      <c:pt idx="27">
                        <c:v>0</c:v>
                      </c:pt>
                      <c:pt idx="28">
                        <c:v>0</c:v>
                      </c:pt>
                      <c:pt idx="29">
                        <c:v>0</c:v>
                      </c:pt>
                      <c:pt idx="30">
                        <c:v>0</c:v>
                      </c:pt>
                      <c:pt idx="31">
                        <c:v>0</c:v>
                      </c:pt>
                      <c:pt idx="32">
                        <c:v>0</c:v>
                      </c:pt>
                      <c:pt idx="33">
                        <c:v>0</c:v>
                      </c:pt>
                      <c:pt idx="34">
                        <c:v>0</c:v>
                      </c:pt>
                      <c:pt idx="35">
                        <c:v>0</c:v>
                      </c:pt>
                      <c:pt idx="36">
                        <c:v>2</c:v>
                      </c:pt>
                      <c:pt idx="37">
                        <c:v>0</c:v>
                      </c:pt>
                      <c:pt idx="38">
                        <c:v>0</c:v>
                      </c:pt>
                      <c:pt idx="39">
                        <c:v>0</c:v>
                      </c:pt>
                      <c:pt idx="40">
                        <c:v>0</c:v>
                      </c:pt>
                      <c:pt idx="41">
                        <c:v>0</c:v>
                      </c:pt>
                      <c:pt idx="42">
                        <c:v>0</c:v>
                      </c:pt>
                      <c:pt idx="43">
                        <c:v>0</c:v>
                      </c:pt>
                      <c:pt idx="44">
                        <c:v>2</c:v>
                      </c:pt>
                      <c:pt idx="45">
                        <c:v>1</c:v>
                      </c:pt>
                      <c:pt idx="46">
                        <c:v>0</c:v>
                      </c:pt>
                      <c:pt idx="47">
                        <c:v>0</c:v>
                      </c:pt>
                      <c:pt idx="48">
                        <c:v>0</c:v>
                      </c:pt>
                      <c:pt idx="49">
                        <c:v>3</c:v>
                      </c:pt>
                      <c:pt idx="50">
                        <c:v>2</c:v>
                      </c:pt>
                      <c:pt idx="51">
                        <c:v>2</c:v>
                      </c:pt>
                      <c:pt idx="52">
                        <c:v>1</c:v>
                      </c:pt>
                      <c:pt idx="53">
                        <c:v>0</c:v>
                      </c:pt>
                      <c:pt idx="54">
                        <c:v>0</c:v>
                      </c:pt>
                      <c:pt idx="55">
                        <c:v>0</c:v>
                      </c:pt>
                      <c:pt idx="56">
                        <c:v>0</c:v>
                      </c:pt>
                      <c:pt idx="57">
                        <c:v>0</c:v>
                      </c:pt>
                      <c:pt idx="58">
                        <c:v>2</c:v>
                      </c:pt>
                      <c:pt idx="59">
                        <c:v>0</c:v>
                      </c:pt>
                      <c:pt idx="60">
                        <c:v>0</c:v>
                      </c:pt>
                      <c:pt idx="61">
                        <c:v>0</c:v>
                      </c:pt>
                      <c:pt idx="62">
                        <c:v>0</c:v>
                      </c:pt>
                      <c:pt idx="63">
                        <c:v>0</c:v>
                      </c:pt>
                      <c:pt idx="64">
                        <c:v>0</c:v>
                      </c:pt>
                      <c:pt idx="65">
                        <c:v>0</c:v>
                      </c:pt>
                      <c:pt idx="66">
                        <c:v>0</c:v>
                      </c:pt>
                      <c:pt idx="67">
                        <c:v>1</c:v>
                      </c:pt>
                      <c:pt idx="68">
                        <c:v>0</c:v>
                      </c:pt>
                      <c:pt idx="69">
                        <c:v>0</c:v>
                      </c:pt>
                      <c:pt idx="70">
                        <c:v>0</c:v>
                      </c:pt>
                      <c:pt idx="71">
                        <c:v>0</c:v>
                      </c:pt>
                      <c:pt idx="72">
                        <c:v>0</c:v>
                      </c:pt>
                      <c:pt idx="73">
                        <c:v>0</c:v>
                      </c:pt>
                      <c:pt idx="74">
                        <c:v>0</c:v>
                      </c:pt>
                      <c:pt idx="75">
                        <c:v>0</c:v>
                      </c:pt>
                      <c:pt idx="76">
                        <c:v>0</c:v>
                      </c:pt>
                      <c:pt idx="77">
                        <c:v>2</c:v>
                      </c:pt>
                      <c:pt idx="78">
                        <c:v>0</c:v>
                      </c:pt>
                      <c:pt idx="79">
                        <c:v>0</c:v>
                      </c:pt>
                      <c:pt idx="80">
                        <c:v>0</c:v>
                      </c:pt>
                      <c:pt idx="81">
                        <c:v>2</c:v>
                      </c:pt>
                      <c:pt idx="82">
                        <c:v>0</c:v>
                      </c:pt>
                      <c:pt idx="83">
                        <c:v>0</c:v>
                      </c:pt>
                      <c:pt idx="84">
                        <c:v>2</c:v>
                      </c:pt>
                      <c:pt idx="85">
                        <c:v>3</c:v>
                      </c:pt>
                      <c:pt idx="86">
                        <c:v>2</c:v>
                      </c:pt>
                      <c:pt idx="87">
                        <c:v>0</c:v>
                      </c:pt>
                      <c:pt idx="88">
                        <c:v>0</c:v>
                      </c:pt>
                      <c:pt idx="89">
                        <c:v>0</c:v>
                      </c:pt>
                      <c:pt idx="90">
                        <c:v>3</c:v>
                      </c:pt>
                      <c:pt idx="91">
                        <c:v>0</c:v>
                      </c:pt>
                      <c:pt idx="92">
                        <c:v>0</c:v>
                      </c:pt>
                      <c:pt idx="93">
                        <c:v>0</c:v>
                      </c:pt>
                      <c:pt idx="94">
                        <c:v>0</c:v>
                      </c:pt>
                      <c:pt idx="95">
                        <c:v>0</c:v>
                      </c:pt>
                      <c:pt idx="96">
                        <c:v>0</c:v>
                      </c:pt>
                      <c:pt idx="97">
                        <c:v>0</c:v>
                      </c:pt>
                      <c:pt idx="98">
                        <c:v>0</c:v>
                      </c:pt>
                      <c:pt idx="99">
                        <c:v>0</c:v>
                      </c:pt>
                      <c:pt idx="100">
                        <c:v>0</c:v>
                      </c:pt>
                      <c:pt idx="101">
                        <c:v>1</c:v>
                      </c:pt>
                      <c:pt idx="102">
                        <c:v>0</c:v>
                      </c:pt>
                      <c:pt idx="103">
                        <c:v>0</c:v>
                      </c:pt>
                      <c:pt idx="104">
                        <c:v>1</c:v>
                      </c:pt>
                      <c:pt idx="105">
                        <c:v>0</c:v>
                      </c:pt>
                      <c:pt idx="106">
                        <c:v>0</c:v>
                      </c:pt>
                      <c:pt idx="107">
                        <c:v>0</c:v>
                      </c:pt>
                      <c:pt idx="108">
                        <c:v>0</c:v>
                      </c:pt>
                      <c:pt idx="109">
                        <c:v>1</c:v>
                      </c:pt>
                      <c:pt idx="110">
                        <c:v>0</c:v>
                      </c:pt>
                      <c:pt idx="111">
                        <c:v>0</c:v>
                      </c:pt>
                      <c:pt idx="112">
                        <c:v>0</c:v>
                      </c:pt>
                      <c:pt idx="113">
                        <c:v>0</c:v>
                      </c:pt>
                      <c:pt idx="114">
                        <c:v>0</c:v>
                      </c:pt>
                      <c:pt idx="115">
                        <c:v>0</c:v>
                      </c:pt>
                      <c:pt idx="116">
                        <c:v>0</c:v>
                      </c:pt>
                      <c:pt idx="117">
                        <c:v>0</c:v>
                      </c:pt>
                      <c:pt idx="118">
                        <c:v>0</c:v>
                      </c:pt>
                      <c:pt idx="119">
                        <c:v>4</c:v>
                      </c:pt>
                      <c:pt idx="120">
                        <c:v>0</c:v>
                      </c:pt>
                      <c:pt idx="121">
                        <c:v>0</c:v>
                      </c:pt>
                      <c:pt idx="122">
                        <c:v>2</c:v>
                      </c:pt>
                      <c:pt idx="123">
                        <c:v>0</c:v>
                      </c:pt>
                      <c:pt idx="124">
                        <c:v>0</c:v>
                      </c:pt>
                      <c:pt idx="125">
                        <c:v>0</c:v>
                      </c:pt>
                      <c:pt idx="126">
                        <c:v>0</c:v>
                      </c:pt>
                      <c:pt idx="127">
                        <c:v>0</c:v>
                      </c:pt>
                      <c:pt idx="128">
                        <c:v>0</c:v>
                      </c:pt>
                      <c:pt idx="129">
                        <c:v>0</c:v>
                      </c:pt>
                      <c:pt idx="130">
                        <c:v>0</c:v>
                      </c:pt>
                      <c:pt idx="131">
                        <c:v>2</c:v>
                      </c:pt>
                      <c:pt idx="132">
                        <c:v>0</c:v>
                      </c:pt>
                      <c:pt idx="133">
                        <c:v>0</c:v>
                      </c:pt>
                      <c:pt idx="134">
                        <c:v>0</c:v>
                      </c:pt>
                      <c:pt idx="135">
                        <c:v>0</c:v>
                      </c:pt>
                      <c:pt idx="136">
                        <c:v>0</c:v>
                      </c:pt>
                      <c:pt idx="137">
                        <c:v>2</c:v>
                      </c:pt>
                      <c:pt idx="138">
                        <c:v>0</c:v>
                      </c:pt>
                      <c:pt idx="139">
                        <c:v>0</c:v>
                      </c:pt>
                      <c:pt idx="140">
                        <c:v>1</c:v>
                      </c:pt>
                      <c:pt idx="141">
                        <c:v>0</c:v>
                      </c:pt>
                      <c:pt idx="142">
                        <c:v>0</c:v>
                      </c:pt>
                      <c:pt idx="143">
                        <c:v>0</c:v>
                      </c:pt>
                      <c:pt idx="144">
                        <c:v>2</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2</c:v>
                      </c:pt>
                      <c:pt idx="161">
                        <c:v>4</c:v>
                      </c:pt>
                      <c:pt idx="162">
                        <c:v>0</c:v>
                      </c:pt>
                      <c:pt idx="163">
                        <c:v>0</c:v>
                      </c:pt>
                      <c:pt idx="164">
                        <c:v>0</c:v>
                      </c:pt>
                      <c:pt idx="165">
                        <c:v>1</c:v>
                      </c:pt>
                      <c:pt idx="166">
                        <c:v>0</c:v>
                      </c:pt>
                      <c:pt idx="167">
                        <c:v>0</c:v>
                      </c:pt>
                      <c:pt idx="168">
                        <c:v>0</c:v>
                      </c:pt>
                      <c:pt idx="169">
                        <c:v>2</c:v>
                      </c:pt>
                      <c:pt idx="170">
                        <c:v>3</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2</c:v>
                      </c:pt>
                      <c:pt idx="185">
                        <c:v>3</c:v>
                      </c:pt>
                      <c:pt idx="186">
                        <c:v>0</c:v>
                      </c:pt>
                      <c:pt idx="187">
                        <c:v>0</c:v>
                      </c:pt>
                      <c:pt idx="188">
                        <c:v>3</c:v>
                      </c:pt>
                      <c:pt idx="189">
                        <c:v>0</c:v>
                      </c:pt>
                      <c:pt idx="190">
                        <c:v>0</c:v>
                      </c:pt>
                      <c:pt idx="191">
                        <c:v>2</c:v>
                      </c:pt>
                      <c:pt idx="192">
                        <c:v>2</c:v>
                      </c:pt>
                      <c:pt idx="193">
                        <c:v>0</c:v>
                      </c:pt>
                      <c:pt idx="194">
                        <c:v>0</c:v>
                      </c:pt>
                      <c:pt idx="195">
                        <c:v>2</c:v>
                      </c:pt>
                      <c:pt idx="196">
                        <c:v>2</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2</c:v>
                      </c:pt>
                      <c:pt idx="225">
                        <c:v>0</c:v>
                      </c:pt>
                      <c:pt idx="226">
                        <c:v>0</c:v>
                      </c:pt>
                      <c:pt idx="227">
                        <c:v>0</c:v>
                      </c:pt>
                      <c:pt idx="228">
                        <c:v>0</c:v>
                      </c:pt>
                      <c:pt idx="229">
                        <c:v>0</c:v>
                      </c:pt>
                      <c:pt idx="230">
                        <c:v>0</c:v>
                      </c:pt>
                      <c:pt idx="231">
                        <c:v>0</c:v>
                      </c:pt>
                      <c:pt idx="232">
                        <c:v>0</c:v>
                      </c:pt>
                      <c:pt idx="233">
                        <c:v>0</c:v>
                      </c:pt>
                      <c:pt idx="234">
                        <c:v>0</c:v>
                      </c:pt>
                      <c:pt idx="235">
                        <c:v>0</c:v>
                      </c:pt>
                      <c:pt idx="236">
                        <c:v>0</c:v>
                      </c:pt>
                      <c:pt idx="237">
                        <c:v>2</c:v>
                      </c:pt>
                      <c:pt idx="238">
                        <c:v>0</c:v>
                      </c:pt>
                      <c:pt idx="239">
                        <c:v>2</c:v>
                      </c:pt>
                      <c:pt idx="240">
                        <c:v>0</c:v>
                      </c:pt>
                      <c:pt idx="241">
                        <c:v>2</c:v>
                      </c:pt>
                      <c:pt idx="242">
                        <c:v>0</c:v>
                      </c:pt>
                      <c:pt idx="243">
                        <c:v>2</c:v>
                      </c:pt>
                      <c:pt idx="244">
                        <c:v>0</c:v>
                      </c:pt>
                      <c:pt idx="245">
                        <c:v>2</c:v>
                      </c:pt>
                      <c:pt idx="246">
                        <c:v>0</c:v>
                      </c:pt>
                      <c:pt idx="247">
                        <c:v>0</c:v>
                      </c:pt>
                      <c:pt idx="248">
                        <c:v>0</c:v>
                      </c:pt>
                      <c:pt idx="249">
                        <c:v>0</c:v>
                      </c:pt>
                      <c:pt idx="250">
                        <c:v>0</c:v>
                      </c:pt>
                      <c:pt idx="251">
                        <c:v>0</c:v>
                      </c:pt>
                      <c:pt idx="252">
                        <c:v>0</c:v>
                      </c:pt>
                      <c:pt idx="253">
                        <c:v>0</c:v>
                      </c:pt>
                      <c:pt idx="254">
                        <c:v>3</c:v>
                      </c:pt>
                      <c:pt idx="255">
                        <c:v>1</c:v>
                      </c:pt>
                      <c:pt idx="256">
                        <c:v>0</c:v>
                      </c:pt>
                      <c:pt idx="257">
                        <c:v>1</c:v>
                      </c:pt>
                      <c:pt idx="258">
                        <c:v>0</c:v>
                      </c:pt>
                      <c:pt idx="259">
                        <c:v>0</c:v>
                      </c:pt>
                      <c:pt idx="260">
                        <c:v>0</c:v>
                      </c:pt>
                      <c:pt idx="261">
                        <c:v>0</c:v>
                      </c:pt>
                      <c:pt idx="262">
                        <c:v>3</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2</c:v>
                      </c:pt>
                      <c:pt idx="281">
                        <c:v>0</c:v>
                      </c:pt>
                      <c:pt idx="282">
                        <c:v>0</c:v>
                      </c:pt>
                      <c:pt idx="283">
                        <c:v>3</c:v>
                      </c:pt>
                      <c:pt idx="284">
                        <c:v>1</c:v>
                      </c:pt>
                      <c:pt idx="285">
                        <c:v>0</c:v>
                      </c:pt>
                      <c:pt idx="286">
                        <c:v>3</c:v>
                      </c:pt>
                      <c:pt idx="287">
                        <c:v>0</c:v>
                      </c:pt>
                      <c:pt idx="288">
                        <c:v>0</c:v>
                      </c:pt>
                      <c:pt idx="289">
                        <c:v>0</c:v>
                      </c:pt>
                      <c:pt idx="290">
                        <c:v>0</c:v>
                      </c:pt>
                      <c:pt idx="291">
                        <c:v>0</c:v>
                      </c:pt>
                      <c:pt idx="292">
                        <c:v>0</c:v>
                      </c:pt>
                      <c:pt idx="293">
                        <c:v>3</c:v>
                      </c:pt>
                      <c:pt idx="294">
                        <c:v>1</c:v>
                      </c:pt>
                      <c:pt idx="295">
                        <c:v>0</c:v>
                      </c:pt>
                      <c:pt idx="296">
                        <c:v>0</c:v>
                      </c:pt>
                      <c:pt idx="297">
                        <c:v>0</c:v>
                      </c:pt>
                      <c:pt idx="298">
                        <c:v>0</c:v>
                      </c:pt>
                      <c:pt idx="299">
                        <c:v>0</c:v>
                      </c:pt>
                      <c:pt idx="300">
                        <c:v>0</c:v>
                      </c:pt>
                      <c:pt idx="301">
                        <c:v>4</c:v>
                      </c:pt>
                      <c:pt idx="302">
                        <c:v>0</c:v>
                      </c:pt>
                      <c:pt idx="303">
                        <c:v>1</c:v>
                      </c:pt>
                      <c:pt idx="304">
                        <c:v>0</c:v>
                      </c:pt>
                      <c:pt idx="305">
                        <c:v>0</c:v>
                      </c:pt>
                      <c:pt idx="306">
                        <c:v>0</c:v>
                      </c:pt>
                      <c:pt idx="307">
                        <c:v>0</c:v>
                      </c:pt>
                      <c:pt idx="308">
                        <c:v>0</c:v>
                      </c:pt>
                      <c:pt idx="309">
                        <c:v>0</c:v>
                      </c:pt>
                      <c:pt idx="310">
                        <c:v>0</c:v>
                      </c:pt>
                      <c:pt idx="311">
                        <c:v>0</c:v>
                      </c:pt>
                      <c:pt idx="312">
                        <c:v>0</c:v>
                      </c:pt>
                      <c:pt idx="313">
                        <c:v>0</c:v>
                      </c:pt>
                      <c:pt idx="314">
                        <c:v>3</c:v>
                      </c:pt>
                      <c:pt idx="315">
                        <c:v>2</c:v>
                      </c:pt>
                      <c:pt idx="316">
                        <c:v>3</c:v>
                      </c:pt>
                      <c:pt idx="317">
                        <c:v>1</c:v>
                      </c:pt>
                      <c:pt idx="318">
                        <c:v>0</c:v>
                      </c:pt>
                      <c:pt idx="319">
                        <c:v>0</c:v>
                      </c:pt>
                      <c:pt idx="320">
                        <c:v>0</c:v>
                      </c:pt>
                      <c:pt idx="321">
                        <c:v>0</c:v>
                      </c:pt>
                      <c:pt idx="322">
                        <c:v>2</c:v>
                      </c:pt>
                      <c:pt idx="323">
                        <c:v>0</c:v>
                      </c:pt>
                      <c:pt idx="324">
                        <c:v>0</c:v>
                      </c:pt>
                      <c:pt idx="325">
                        <c:v>3</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3</c:v>
                      </c:pt>
                      <c:pt idx="351">
                        <c:v>0</c:v>
                      </c:pt>
                      <c:pt idx="352">
                        <c:v>2</c:v>
                      </c:pt>
                      <c:pt idx="353">
                        <c:v>0</c:v>
                      </c:pt>
                      <c:pt idx="354">
                        <c:v>0</c:v>
                      </c:pt>
                      <c:pt idx="355">
                        <c:v>0</c:v>
                      </c:pt>
                      <c:pt idx="356">
                        <c:v>0</c:v>
                      </c:pt>
                      <c:pt idx="357">
                        <c:v>0</c:v>
                      </c:pt>
                      <c:pt idx="358">
                        <c:v>0</c:v>
                      </c:pt>
                      <c:pt idx="359">
                        <c:v>0</c:v>
                      </c:pt>
                      <c:pt idx="360">
                        <c:v>0</c:v>
                      </c:pt>
                      <c:pt idx="361">
                        <c:v>0</c:v>
                      </c:pt>
                      <c:pt idx="362">
                        <c:v>0</c:v>
                      </c:pt>
                      <c:pt idx="363">
                        <c:v>0</c:v>
                      </c:pt>
                      <c:pt idx="364">
                        <c:v>0</c:v>
                      </c:pt>
                    </c:numCache>
                  </c:numRef>
                </c:yVal>
                <c:smooth val="0"/>
                <c:extLst xmlns:c15="http://schemas.microsoft.com/office/drawing/2012/chart">
                  <c:ext xmlns:c16="http://schemas.microsoft.com/office/drawing/2014/chart" uri="{C3380CC4-5D6E-409C-BE32-E72D297353CC}">
                    <c16:uniqueId val="{00000005-25F8-4549-9A4E-4DFA5D891817}"/>
                  </c:ext>
                </c:extLst>
              </c15:ser>
            </c15:filteredScatterSeries>
          </c:ext>
        </c:extLst>
      </c:scatterChart>
      <c:scatterChart>
        <c:scatterStyle val="lineMarker"/>
        <c:varyColors val="0"/>
        <c:ser>
          <c:idx val="1"/>
          <c:order val="1"/>
          <c:tx>
            <c:strRef>
              <c:f>Feuil1!$E$4:$E$5</c:f>
              <c:strCache>
                <c:ptCount val="2"/>
                <c:pt idx="0">
                  <c:v>BUY</c:v>
                </c:pt>
                <c:pt idx="1">
                  <c:v>Daily weighted averaged prices [EUR/MWh/gas day]</c:v>
                </c:pt>
              </c:strCache>
            </c:strRef>
          </c:tx>
          <c:spPr>
            <a:ln w="25400" cap="rnd">
              <a:noFill/>
              <a:round/>
            </a:ln>
            <a:effectLst/>
          </c:spPr>
          <c:marker>
            <c:symbol val="circle"/>
            <c:size val="5"/>
            <c:spPr>
              <a:solidFill>
                <a:schemeClr val="accent2"/>
              </a:solidFill>
              <a:ln w="9525">
                <a:solidFill>
                  <a:schemeClr val="accent2"/>
                </a:solidFill>
              </a:ln>
              <a:effectLst/>
            </c:spPr>
          </c:marker>
          <c:xVal>
            <c:numRef>
              <c:f>Feuil1!$C$6:$C$370</c:f>
              <c:numCache>
                <c:formatCode>m/d/yyyy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xVal>
          <c:yVal>
            <c:numRef>
              <c:f>Feuil1!$E$6:$E$370</c:f>
              <c:numCache>
                <c:formatCode>General</c:formatCode>
                <c:ptCount val="365"/>
                <c:pt idx="0">
                  <c:v>0</c:v>
                </c:pt>
                <c:pt idx="1">
                  <c:v>0</c:v>
                </c:pt>
                <c:pt idx="2">
                  <c:v>0</c:v>
                </c:pt>
                <c:pt idx="3">
                  <c:v>0</c:v>
                </c:pt>
                <c:pt idx="4">
                  <c:v>0</c:v>
                </c:pt>
                <c:pt idx="5">
                  <c:v>17.152999999999999</c:v>
                </c:pt>
                <c:pt idx="6">
                  <c:v>17.338999999999999</c:v>
                </c:pt>
                <c:pt idx="7">
                  <c:v>0</c:v>
                </c:pt>
                <c:pt idx="8">
                  <c:v>0</c:v>
                </c:pt>
                <c:pt idx="9">
                  <c:v>0</c:v>
                </c:pt>
                <c:pt idx="10">
                  <c:v>17.457999999999998</c:v>
                </c:pt>
                <c:pt idx="11">
                  <c:v>16.591000000000001</c:v>
                </c:pt>
                <c:pt idx="12">
                  <c:v>0</c:v>
                </c:pt>
                <c:pt idx="13">
                  <c:v>0</c:v>
                </c:pt>
                <c:pt idx="14">
                  <c:v>15.911</c:v>
                </c:pt>
                <c:pt idx="15">
                  <c:v>0</c:v>
                </c:pt>
                <c:pt idx="16">
                  <c:v>0</c:v>
                </c:pt>
                <c:pt idx="17">
                  <c:v>0</c:v>
                </c:pt>
                <c:pt idx="18">
                  <c:v>17.298999999999999</c:v>
                </c:pt>
                <c:pt idx="19">
                  <c:v>0</c:v>
                </c:pt>
                <c:pt idx="20">
                  <c:v>17.311</c:v>
                </c:pt>
                <c:pt idx="21">
                  <c:v>18.305</c:v>
                </c:pt>
                <c:pt idx="22">
                  <c:v>17.251000000000001</c:v>
                </c:pt>
                <c:pt idx="23">
                  <c:v>0</c:v>
                </c:pt>
                <c:pt idx="24">
                  <c:v>0</c:v>
                </c:pt>
                <c:pt idx="25">
                  <c:v>0</c:v>
                </c:pt>
                <c:pt idx="26">
                  <c:v>19.353999999999999</c:v>
                </c:pt>
                <c:pt idx="27">
                  <c:v>19.309000000000001</c:v>
                </c:pt>
                <c:pt idx="28">
                  <c:v>0</c:v>
                </c:pt>
                <c:pt idx="29">
                  <c:v>0</c:v>
                </c:pt>
                <c:pt idx="30">
                  <c:v>19.029</c:v>
                </c:pt>
                <c:pt idx="31">
                  <c:v>0</c:v>
                </c:pt>
                <c:pt idx="32">
                  <c:v>0</c:v>
                </c:pt>
                <c:pt idx="33">
                  <c:v>20.847000000000001</c:v>
                </c:pt>
                <c:pt idx="34">
                  <c:v>19.710999999999999</c:v>
                </c:pt>
                <c:pt idx="35">
                  <c:v>18.77</c:v>
                </c:pt>
                <c:pt idx="36">
                  <c:v>0</c:v>
                </c:pt>
                <c:pt idx="37">
                  <c:v>0</c:v>
                </c:pt>
                <c:pt idx="38">
                  <c:v>19.478000000000002</c:v>
                </c:pt>
                <c:pt idx="39">
                  <c:v>19.829999999999998</c:v>
                </c:pt>
                <c:pt idx="40">
                  <c:v>0</c:v>
                </c:pt>
                <c:pt idx="41">
                  <c:v>19.747</c:v>
                </c:pt>
                <c:pt idx="42">
                  <c:v>0</c:v>
                </c:pt>
                <c:pt idx="43">
                  <c:v>0</c:v>
                </c:pt>
                <c:pt idx="44">
                  <c:v>0</c:v>
                </c:pt>
                <c:pt idx="45">
                  <c:v>0</c:v>
                </c:pt>
                <c:pt idx="46">
                  <c:v>0</c:v>
                </c:pt>
                <c:pt idx="47">
                  <c:v>0</c:v>
                </c:pt>
                <c:pt idx="48">
                  <c:v>19.658999999999999</c:v>
                </c:pt>
                <c:pt idx="49">
                  <c:v>0</c:v>
                </c:pt>
                <c:pt idx="50">
                  <c:v>0</c:v>
                </c:pt>
                <c:pt idx="51">
                  <c:v>0</c:v>
                </c:pt>
                <c:pt idx="52">
                  <c:v>0</c:v>
                </c:pt>
                <c:pt idx="53">
                  <c:v>20.036000000000001</c:v>
                </c:pt>
                <c:pt idx="54">
                  <c:v>0</c:v>
                </c:pt>
                <c:pt idx="55">
                  <c:v>20.148</c:v>
                </c:pt>
                <c:pt idx="56">
                  <c:v>0</c:v>
                </c:pt>
                <c:pt idx="57">
                  <c:v>0</c:v>
                </c:pt>
                <c:pt idx="58">
                  <c:v>0</c:v>
                </c:pt>
                <c:pt idx="59">
                  <c:v>20.56</c:v>
                </c:pt>
                <c:pt idx="60">
                  <c:v>21.419</c:v>
                </c:pt>
                <c:pt idx="61">
                  <c:v>21.289000000000001</c:v>
                </c:pt>
                <c:pt idx="62">
                  <c:v>20.262</c:v>
                </c:pt>
                <c:pt idx="63">
                  <c:v>0</c:v>
                </c:pt>
                <c:pt idx="64">
                  <c:v>18.134</c:v>
                </c:pt>
                <c:pt idx="65">
                  <c:v>20.213999999999999</c:v>
                </c:pt>
                <c:pt idx="66">
                  <c:v>0</c:v>
                </c:pt>
                <c:pt idx="67">
                  <c:v>0</c:v>
                </c:pt>
                <c:pt idx="68">
                  <c:v>19.085000000000001</c:v>
                </c:pt>
                <c:pt idx="69">
                  <c:v>0</c:v>
                </c:pt>
                <c:pt idx="70">
                  <c:v>19.11</c:v>
                </c:pt>
                <c:pt idx="71">
                  <c:v>19.138999999999999</c:v>
                </c:pt>
                <c:pt idx="72">
                  <c:v>0</c:v>
                </c:pt>
                <c:pt idx="73">
                  <c:v>20.132000000000001</c:v>
                </c:pt>
                <c:pt idx="74">
                  <c:v>20.768999999999998</c:v>
                </c:pt>
                <c:pt idx="75">
                  <c:v>0</c:v>
                </c:pt>
                <c:pt idx="76">
                  <c:v>20.635000000000002</c:v>
                </c:pt>
                <c:pt idx="77">
                  <c:v>0</c:v>
                </c:pt>
                <c:pt idx="78">
                  <c:v>20.76</c:v>
                </c:pt>
                <c:pt idx="79">
                  <c:v>22.3</c:v>
                </c:pt>
                <c:pt idx="80">
                  <c:v>22.878</c:v>
                </c:pt>
                <c:pt idx="81">
                  <c:v>0</c:v>
                </c:pt>
                <c:pt idx="82">
                  <c:v>23.515000000000001</c:v>
                </c:pt>
                <c:pt idx="83">
                  <c:v>23.422999999999998</c:v>
                </c:pt>
                <c:pt idx="84">
                  <c:v>0</c:v>
                </c:pt>
                <c:pt idx="85">
                  <c:v>0</c:v>
                </c:pt>
                <c:pt idx="86">
                  <c:v>0</c:v>
                </c:pt>
                <c:pt idx="87">
                  <c:v>0</c:v>
                </c:pt>
                <c:pt idx="88">
                  <c:v>23.416</c:v>
                </c:pt>
                <c:pt idx="89">
                  <c:v>24.210999999999999</c:v>
                </c:pt>
                <c:pt idx="90">
                  <c:v>0</c:v>
                </c:pt>
                <c:pt idx="91">
                  <c:v>0</c:v>
                </c:pt>
                <c:pt idx="92">
                  <c:v>26.844999999999999</c:v>
                </c:pt>
                <c:pt idx="93">
                  <c:v>0</c:v>
                </c:pt>
                <c:pt idx="94">
                  <c:v>25.55</c:v>
                </c:pt>
                <c:pt idx="95">
                  <c:v>26.242000000000001</c:v>
                </c:pt>
                <c:pt idx="96">
                  <c:v>28.178999999999998</c:v>
                </c:pt>
                <c:pt idx="97">
                  <c:v>28.998000000000001</c:v>
                </c:pt>
                <c:pt idx="98">
                  <c:v>30.094999999999999</c:v>
                </c:pt>
                <c:pt idx="99">
                  <c:v>31.768999999999998</c:v>
                </c:pt>
                <c:pt idx="100">
                  <c:v>0</c:v>
                </c:pt>
                <c:pt idx="101">
                  <c:v>0</c:v>
                </c:pt>
                <c:pt idx="102">
                  <c:v>0</c:v>
                </c:pt>
                <c:pt idx="103">
                  <c:v>37.277000000000001</c:v>
                </c:pt>
                <c:pt idx="104">
                  <c:v>0</c:v>
                </c:pt>
                <c:pt idx="105">
                  <c:v>0</c:v>
                </c:pt>
                <c:pt idx="106">
                  <c:v>0</c:v>
                </c:pt>
                <c:pt idx="107">
                  <c:v>36.731999999999999</c:v>
                </c:pt>
                <c:pt idx="108">
                  <c:v>0</c:v>
                </c:pt>
                <c:pt idx="109">
                  <c:v>0</c:v>
                </c:pt>
                <c:pt idx="110">
                  <c:v>32.966000000000001</c:v>
                </c:pt>
                <c:pt idx="111">
                  <c:v>38.030999999999999</c:v>
                </c:pt>
                <c:pt idx="112">
                  <c:v>0</c:v>
                </c:pt>
                <c:pt idx="113">
                  <c:v>0</c:v>
                </c:pt>
                <c:pt idx="114">
                  <c:v>0</c:v>
                </c:pt>
                <c:pt idx="115">
                  <c:v>41.610999999999997</c:v>
                </c:pt>
                <c:pt idx="116">
                  <c:v>41.75</c:v>
                </c:pt>
                <c:pt idx="117">
                  <c:v>41.173000000000002</c:v>
                </c:pt>
                <c:pt idx="118">
                  <c:v>0</c:v>
                </c:pt>
                <c:pt idx="119">
                  <c:v>0</c:v>
                </c:pt>
                <c:pt idx="120">
                  <c:v>0</c:v>
                </c:pt>
                <c:pt idx="121">
                  <c:v>0</c:v>
                </c:pt>
                <c:pt idx="122">
                  <c:v>0</c:v>
                </c:pt>
                <c:pt idx="123">
                  <c:v>24.454000000000001</c:v>
                </c:pt>
                <c:pt idx="124">
                  <c:v>0</c:v>
                </c:pt>
                <c:pt idx="125">
                  <c:v>0</c:v>
                </c:pt>
                <c:pt idx="126">
                  <c:v>0</c:v>
                </c:pt>
                <c:pt idx="127">
                  <c:v>25.885000000000002</c:v>
                </c:pt>
                <c:pt idx="128">
                  <c:v>24.89</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17.838000000000001</c:v>
                </c:pt>
                <c:pt idx="151">
                  <c:v>17.562999999999999</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15.263</c:v>
                </c:pt>
                <c:pt idx="176">
                  <c:v>15.231999999999999</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15.882</c:v>
                </c:pt>
                <c:pt idx="198">
                  <c:v>0</c:v>
                </c:pt>
                <c:pt idx="199">
                  <c:v>0</c:v>
                </c:pt>
                <c:pt idx="200">
                  <c:v>0</c:v>
                </c:pt>
                <c:pt idx="201">
                  <c:v>0</c:v>
                </c:pt>
                <c:pt idx="202">
                  <c:v>0</c:v>
                </c:pt>
                <c:pt idx="203">
                  <c:v>0</c:v>
                </c:pt>
                <c:pt idx="204">
                  <c:v>0</c:v>
                </c:pt>
                <c:pt idx="205">
                  <c:v>0</c:v>
                </c:pt>
                <c:pt idx="206">
                  <c:v>0</c:v>
                </c:pt>
                <c:pt idx="207">
                  <c:v>0</c:v>
                </c:pt>
                <c:pt idx="208">
                  <c:v>0</c:v>
                </c:pt>
                <c:pt idx="209">
                  <c:v>17.030999999999999</c:v>
                </c:pt>
                <c:pt idx="210">
                  <c:v>0</c:v>
                </c:pt>
                <c:pt idx="211">
                  <c:v>16.277999999999999</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15.525</c:v>
                </c:pt>
                <c:pt idx="230">
                  <c:v>0</c:v>
                </c:pt>
                <c:pt idx="231">
                  <c:v>0</c:v>
                </c:pt>
                <c:pt idx="232">
                  <c:v>0</c:v>
                </c:pt>
                <c:pt idx="233">
                  <c:v>0</c:v>
                </c:pt>
                <c:pt idx="234">
                  <c:v>0</c:v>
                </c:pt>
                <c:pt idx="235">
                  <c:v>0</c:v>
                </c:pt>
                <c:pt idx="236">
                  <c:v>0</c:v>
                </c:pt>
                <c:pt idx="237">
                  <c:v>0</c:v>
                </c:pt>
                <c:pt idx="238">
                  <c:v>0</c:v>
                </c:pt>
                <c:pt idx="239">
                  <c:v>0</c:v>
                </c:pt>
                <c:pt idx="240">
                  <c:v>15.643000000000001</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16.972999999999999</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17.963999999999999</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yVal>
          <c:smooth val="0"/>
          <c:extLst>
            <c:ext xmlns:c16="http://schemas.microsoft.com/office/drawing/2014/chart" uri="{C3380CC4-5D6E-409C-BE32-E72D297353CC}">
              <c16:uniqueId val="{00000002-25F8-4549-9A4E-4DFA5D891817}"/>
            </c:ext>
          </c:extLst>
        </c:ser>
        <c:ser>
          <c:idx val="4"/>
          <c:order val="4"/>
          <c:tx>
            <c:strRef>
              <c:f>Feuil1!$H$4:$H$5</c:f>
              <c:strCache>
                <c:ptCount val="2"/>
                <c:pt idx="0">
                  <c:v>SELL</c:v>
                </c:pt>
                <c:pt idx="1">
                  <c:v>Daily weighted averaged prices [EUR/MWh/gas day]</c:v>
                </c:pt>
              </c:strCache>
            </c:strRef>
          </c:tx>
          <c:spPr>
            <a:ln w="25400" cap="rnd">
              <a:noFill/>
              <a:round/>
            </a:ln>
            <a:effectLst/>
          </c:spPr>
          <c:marker>
            <c:symbol val="circle"/>
            <c:size val="5"/>
            <c:spPr>
              <a:solidFill>
                <a:schemeClr val="accent5"/>
              </a:solidFill>
              <a:ln w="9525">
                <a:solidFill>
                  <a:schemeClr val="accent5"/>
                </a:solidFill>
              </a:ln>
              <a:effectLst/>
            </c:spPr>
          </c:marker>
          <c:xVal>
            <c:numRef>
              <c:f>Feuil1!$C$6:$C$370</c:f>
              <c:numCache>
                <c:formatCode>m/d/yyyy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xVal>
          <c:yVal>
            <c:numRef>
              <c:f>Feuil1!$H$6:$H$370</c:f>
              <c:numCache>
                <c:formatCode>General</c:formatCode>
                <c:ptCount val="365"/>
                <c:pt idx="0">
                  <c:v>0</c:v>
                </c:pt>
                <c:pt idx="1">
                  <c:v>0</c:v>
                </c:pt>
                <c:pt idx="2">
                  <c:v>14.694000000000001</c:v>
                </c:pt>
                <c:pt idx="3">
                  <c:v>0</c:v>
                </c:pt>
                <c:pt idx="4">
                  <c:v>0</c:v>
                </c:pt>
                <c:pt idx="5">
                  <c:v>0</c:v>
                </c:pt>
                <c:pt idx="6">
                  <c:v>0</c:v>
                </c:pt>
                <c:pt idx="7">
                  <c:v>0</c:v>
                </c:pt>
                <c:pt idx="8">
                  <c:v>0</c:v>
                </c:pt>
                <c:pt idx="9">
                  <c:v>0</c:v>
                </c:pt>
                <c:pt idx="10">
                  <c:v>0</c:v>
                </c:pt>
                <c:pt idx="11">
                  <c:v>0</c:v>
                </c:pt>
                <c:pt idx="12">
                  <c:v>0</c:v>
                </c:pt>
                <c:pt idx="13">
                  <c:v>0</c:v>
                </c:pt>
                <c:pt idx="14">
                  <c:v>0</c:v>
                </c:pt>
                <c:pt idx="15">
                  <c:v>0</c:v>
                </c:pt>
                <c:pt idx="16">
                  <c:v>16.315000000000001</c:v>
                </c:pt>
                <c:pt idx="17">
                  <c:v>0</c:v>
                </c:pt>
                <c:pt idx="18">
                  <c:v>0</c:v>
                </c:pt>
                <c:pt idx="19">
                  <c:v>17.32</c:v>
                </c:pt>
                <c:pt idx="20">
                  <c:v>0</c:v>
                </c:pt>
                <c:pt idx="21">
                  <c:v>0</c:v>
                </c:pt>
                <c:pt idx="22">
                  <c:v>0</c:v>
                </c:pt>
                <c:pt idx="23">
                  <c:v>0</c:v>
                </c:pt>
                <c:pt idx="24">
                  <c:v>18.559999999999999</c:v>
                </c:pt>
                <c:pt idx="25">
                  <c:v>18.687000000000001</c:v>
                </c:pt>
                <c:pt idx="26">
                  <c:v>0</c:v>
                </c:pt>
                <c:pt idx="27">
                  <c:v>0</c:v>
                </c:pt>
                <c:pt idx="28">
                  <c:v>0</c:v>
                </c:pt>
                <c:pt idx="29">
                  <c:v>0</c:v>
                </c:pt>
                <c:pt idx="30">
                  <c:v>0</c:v>
                </c:pt>
                <c:pt idx="31">
                  <c:v>0</c:v>
                </c:pt>
                <c:pt idx="32">
                  <c:v>0</c:v>
                </c:pt>
                <c:pt idx="33">
                  <c:v>0</c:v>
                </c:pt>
                <c:pt idx="34">
                  <c:v>0</c:v>
                </c:pt>
                <c:pt idx="35">
                  <c:v>0</c:v>
                </c:pt>
                <c:pt idx="36">
                  <c:v>18.585999999999999</c:v>
                </c:pt>
                <c:pt idx="37">
                  <c:v>0</c:v>
                </c:pt>
                <c:pt idx="38">
                  <c:v>0</c:v>
                </c:pt>
                <c:pt idx="39">
                  <c:v>0</c:v>
                </c:pt>
                <c:pt idx="40">
                  <c:v>0</c:v>
                </c:pt>
                <c:pt idx="41">
                  <c:v>0</c:v>
                </c:pt>
                <c:pt idx="42">
                  <c:v>0</c:v>
                </c:pt>
                <c:pt idx="43">
                  <c:v>0</c:v>
                </c:pt>
                <c:pt idx="44">
                  <c:v>19.22</c:v>
                </c:pt>
                <c:pt idx="45">
                  <c:v>19.582999999999998</c:v>
                </c:pt>
                <c:pt idx="46">
                  <c:v>0</c:v>
                </c:pt>
                <c:pt idx="47">
                  <c:v>0</c:v>
                </c:pt>
                <c:pt idx="48">
                  <c:v>0</c:v>
                </c:pt>
                <c:pt idx="49">
                  <c:v>18.908999999999999</c:v>
                </c:pt>
                <c:pt idx="50">
                  <c:v>19.059999999999999</c:v>
                </c:pt>
                <c:pt idx="51">
                  <c:v>18.905999999999999</c:v>
                </c:pt>
                <c:pt idx="52">
                  <c:v>19.085999999999999</c:v>
                </c:pt>
                <c:pt idx="53">
                  <c:v>0</c:v>
                </c:pt>
                <c:pt idx="54">
                  <c:v>0</c:v>
                </c:pt>
                <c:pt idx="55">
                  <c:v>0</c:v>
                </c:pt>
                <c:pt idx="56">
                  <c:v>0</c:v>
                </c:pt>
                <c:pt idx="57">
                  <c:v>0</c:v>
                </c:pt>
                <c:pt idx="58">
                  <c:v>19.765999999999998</c:v>
                </c:pt>
                <c:pt idx="59">
                  <c:v>0</c:v>
                </c:pt>
                <c:pt idx="60">
                  <c:v>0</c:v>
                </c:pt>
                <c:pt idx="61">
                  <c:v>0</c:v>
                </c:pt>
                <c:pt idx="62">
                  <c:v>0</c:v>
                </c:pt>
                <c:pt idx="63">
                  <c:v>0</c:v>
                </c:pt>
                <c:pt idx="64">
                  <c:v>0</c:v>
                </c:pt>
                <c:pt idx="65">
                  <c:v>0</c:v>
                </c:pt>
                <c:pt idx="66">
                  <c:v>0</c:v>
                </c:pt>
                <c:pt idx="67">
                  <c:v>18.309999999999999</c:v>
                </c:pt>
                <c:pt idx="68">
                  <c:v>0</c:v>
                </c:pt>
                <c:pt idx="69">
                  <c:v>0</c:v>
                </c:pt>
                <c:pt idx="70">
                  <c:v>0</c:v>
                </c:pt>
                <c:pt idx="71">
                  <c:v>0</c:v>
                </c:pt>
                <c:pt idx="72">
                  <c:v>0</c:v>
                </c:pt>
                <c:pt idx="73">
                  <c:v>0</c:v>
                </c:pt>
                <c:pt idx="74">
                  <c:v>0</c:v>
                </c:pt>
                <c:pt idx="75">
                  <c:v>0</c:v>
                </c:pt>
                <c:pt idx="76">
                  <c:v>0</c:v>
                </c:pt>
                <c:pt idx="77">
                  <c:v>19.672000000000001</c:v>
                </c:pt>
                <c:pt idx="78">
                  <c:v>0</c:v>
                </c:pt>
                <c:pt idx="79">
                  <c:v>0</c:v>
                </c:pt>
                <c:pt idx="80">
                  <c:v>0</c:v>
                </c:pt>
                <c:pt idx="81">
                  <c:v>21.89</c:v>
                </c:pt>
                <c:pt idx="82">
                  <c:v>0</c:v>
                </c:pt>
                <c:pt idx="83">
                  <c:v>0</c:v>
                </c:pt>
                <c:pt idx="84">
                  <c:v>20.724</c:v>
                </c:pt>
                <c:pt idx="85">
                  <c:v>19.056999999999999</c:v>
                </c:pt>
                <c:pt idx="86">
                  <c:v>20.684999999999999</c:v>
                </c:pt>
                <c:pt idx="87">
                  <c:v>0</c:v>
                </c:pt>
                <c:pt idx="88">
                  <c:v>0</c:v>
                </c:pt>
                <c:pt idx="89">
                  <c:v>0</c:v>
                </c:pt>
                <c:pt idx="90">
                  <c:v>22.382000000000001</c:v>
                </c:pt>
                <c:pt idx="91">
                  <c:v>0</c:v>
                </c:pt>
                <c:pt idx="92">
                  <c:v>0</c:v>
                </c:pt>
                <c:pt idx="93">
                  <c:v>0</c:v>
                </c:pt>
                <c:pt idx="94">
                  <c:v>0</c:v>
                </c:pt>
                <c:pt idx="95">
                  <c:v>0</c:v>
                </c:pt>
                <c:pt idx="96">
                  <c:v>0</c:v>
                </c:pt>
                <c:pt idx="97">
                  <c:v>0</c:v>
                </c:pt>
                <c:pt idx="98">
                  <c:v>0</c:v>
                </c:pt>
                <c:pt idx="99">
                  <c:v>0</c:v>
                </c:pt>
                <c:pt idx="100">
                  <c:v>0</c:v>
                </c:pt>
                <c:pt idx="101">
                  <c:v>35.652000000000001</c:v>
                </c:pt>
                <c:pt idx="102">
                  <c:v>0</c:v>
                </c:pt>
                <c:pt idx="103">
                  <c:v>0</c:v>
                </c:pt>
                <c:pt idx="104">
                  <c:v>36.049999999999997</c:v>
                </c:pt>
                <c:pt idx="105">
                  <c:v>0</c:v>
                </c:pt>
                <c:pt idx="106">
                  <c:v>0</c:v>
                </c:pt>
                <c:pt idx="107">
                  <c:v>0</c:v>
                </c:pt>
                <c:pt idx="108">
                  <c:v>0</c:v>
                </c:pt>
                <c:pt idx="109">
                  <c:v>31.94</c:v>
                </c:pt>
                <c:pt idx="110">
                  <c:v>0</c:v>
                </c:pt>
                <c:pt idx="111">
                  <c:v>0</c:v>
                </c:pt>
                <c:pt idx="112">
                  <c:v>0</c:v>
                </c:pt>
                <c:pt idx="113">
                  <c:v>0</c:v>
                </c:pt>
                <c:pt idx="114">
                  <c:v>0</c:v>
                </c:pt>
                <c:pt idx="115">
                  <c:v>0</c:v>
                </c:pt>
                <c:pt idx="116">
                  <c:v>0</c:v>
                </c:pt>
                <c:pt idx="117">
                  <c:v>0</c:v>
                </c:pt>
                <c:pt idx="118">
                  <c:v>0</c:v>
                </c:pt>
                <c:pt idx="119">
                  <c:v>24.558</c:v>
                </c:pt>
                <c:pt idx="120">
                  <c:v>0</c:v>
                </c:pt>
                <c:pt idx="121">
                  <c:v>0</c:v>
                </c:pt>
                <c:pt idx="122">
                  <c:v>27.561</c:v>
                </c:pt>
                <c:pt idx="123">
                  <c:v>0</c:v>
                </c:pt>
                <c:pt idx="124">
                  <c:v>0</c:v>
                </c:pt>
                <c:pt idx="125">
                  <c:v>0</c:v>
                </c:pt>
                <c:pt idx="126">
                  <c:v>0</c:v>
                </c:pt>
                <c:pt idx="127">
                  <c:v>0</c:v>
                </c:pt>
                <c:pt idx="128">
                  <c:v>0</c:v>
                </c:pt>
                <c:pt idx="129">
                  <c:v>0</c:v>
                </c:pt>
                <c:pt idx="130">
                  <c:v>0</c:v>
                </c:pt>
                <c:pt idx="131">
                  <c:v>21.942</c:v>
                </c:pt>
                <c:pt idx="132">
                  <c:v>0</c:v>
                </c:pt>
                <c:pt idx="133">
                  <c:v>0</c:v>
                </c:pt>
                <c:pt idx="134">
                  <c:v>0</c:v>
                </c:pt>
                <c:pt idx="135">
                  <c:v>0</c:v>
                </c:pt>
                <c:pt idx="136">
                  <c:v>0</c:v>
                </c:pt>
                <c:pt idx="137">
                  <c:v>18.844000000000001</c:v>
                </c:pt>
                <c:pt idx="138">
                  <c:v>0</c:v>
                </c:pt>
                <c:pt idx="139">
                  <c:v>0</c:v>
                </c:pt>
                <c:pt idx="140">
                  <c:v>18</c:v>
                </c:pt>
                <c:pt idx="141">
                  <c:v>0</c:v>
                </c:pt>
                <c:pt idx="142">
                  <c:v>0</c:v>
                </c:pt>
                <c:pt idx="143">
                  <c:v>0</c:v>
                </c:pt>
                <c:pt idx="144">
                  <c:v>17.783999999999999</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15.888999999999999</c:v>
                </c:pt>
                <c:pt idx="161">
                  <c:v>15.292</c:v>
                </c:pt>
                <c:pt idx="162">
                  <c:v>0</c:v>
                </c:pt>
                <c:pt idx="163">
                  <c:v>0</c:v>
                </c:pt>
                <c:pt idx="164">
                  <c:v>0</c:v>
                </c:pt>
                <c:pt idx="165">
                  <c:v>15.864000000000001</c:v>
                </c:pt>
                <c:pt idx="166">
                  <c:v>0</c:v>
                </c:pt>
                <c:pt idx="167">
                  <c:v>0</c:v>
                </c:pt>
                <c:pt idx="168">
                  <c:v>0</c:v>
                </c:pt>
                <c:pt idx="169">
                  <c:v>15.869</c:v>
                </c:pt>
                <c:pt idx="170">
                  <c:v>15.747999999999999</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15.952</c:v>
                </c:pt>
                <c:pt idx="185">
                  <c:v>16.146999999999998</c:v>
                </c:pt>
                <c:pt idx="186">
                  <c:v>0</c:v>
                </c:pt>
                <c:pt idx="187">
                  <c:v>0</c:v>
                </c:pt>
                <c:pt idx="188">
                  <c:v>15.475</c:v>
                </c:pt>
                <c:pt idx="189">
                  <c:v>0</c:v>
                </c:pt>
                <c:pt idx="190">
                  <c:v>0</c:v>
                </c:pt>
                <c:pt idx="191">
                  <c:v>15.686</c:v>
                </c:pt>
                <c:pt idx="192">
                  <c:v>15.1</c:v>
                </c:pt>
                <c:pt idx="193">
                  <c:v>0</c:v>
                </c:pt>
                <c:pt idx="194">
                  <c:v>0</c:v>
                </c:pt>
                <c:pt idx="195">
                  <c:v>15.621</c:v>
                </c:pt>
                <c:pt idx="196">
                  <c:v>15.461</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15.481999999999999</c:v>
                </c:pt>
                <c:pt idx="225">
                  <c:v>0</c:v>
                </c:pt>
                <c:pt idx="226">
                  <c:v>0</c:v>
                </c:pt>
                <c:pt idx="227">
                  <c:v>0</c:v>
                </c:pt>
                <c:pt idx="228">
                  <c:v>0</c:v>
                </c:pt>
                <c:pt idx="229">
                  <c:v>0</c:v>
                </c:pt>
                <c:pt idx="230">
                  <c:v>0</c:v>
                </c:pt>
                <c:pt idx="231">
                  <c:v>0</c:v>
                </c:pt>
                <c:pt idx="232">
                  <c:v>0</c:v>
                </c:pt>
                <c:pt idx="233">
                  <c:v>0</c:v>
                </c:pt>
                <c:pt idx="234">
                  <c:v>0</c:v>
                </c:pt>
                <c:pt idx="235">
                  <c:v>0</c:v>
                </c:pt>
                <c:pt idx="236">
                  <c:v>0</c:v>
                </c:pt>
                <c:pt idx="237">
                  <c:v>15.898999999999999</c:v>
                </c:pt>
                <c:pt idx="238">
                  <c:v>0</c:v>
                </c:pt>
                <c:pt idx="239">
                  <c:v>15.420999999999999</c:v>
                </c:pt>
                <c:pt idx="240">
                  <c:v>0</c:v>
                </c:pt>
                <c:pt idx="241">
                  <c:v>16.218</c:v>
                </c:pt>
                <c:pt idx="242">
                  <c:v>0</c:v>
                </c:pt>
                <c:pt idx="243">
                  <c:v>15.337999999999999</c:v>
                </c:pt>
                <c:pt idx="244">
                  <c:v>0</c:v>
                </c:pt>
                <c:pt idx="245">
                  <c:v>13.853</c:v>
                </c:pt>
                <c:pt idx="246">
                  <c:v>0</c:v>
                </c:pt>
                <c:pt idx="247">
                  <c:v>0</c:v>
                </c:pt>
                <c:pt idx="248">
                  <c:v>0</c:v>
                </c:pt>
                <c:pt idx="249">
                  <c:v>0</c:v>
                </c:pt>
                <c:pt idx="250">
                  <c:v>0</c:v>
                </c:pt>
                <c:pt idx="251">
                  <c:v>0</c:v>
                </c:pt>
                <c:pt idx="252">
                  <c:v>0</c:v>
                </c:pt>
                <c:pt idx="253">
                  <c:v>0</c:v>
                </c:pt>
                <c:pt idx="254">
                  <c:v>14.246</c:v>
                </c:pt>
                <c:pt idx="255">
                  <c:v>14.914</c:v>
                </c:pt>
                <c:pt idx="256">
                  <c:v>0</c:v>
                </c:pt>
                <c:pt idx="257">
                  <c:v>15.12</c:v>
                </c:pt>
                <c:pt idx="258">
                  <c:v>0</c:v>
                </c:pt>
                <c:pt idx="259">
                  <c:v>0</c:v>
                </c:pt>
                <c:pt idx="260">
                  <c:v>0</c:v>
                </c:pt>
                <c:pt idx="261">
                  <c:v>0</c:v>
                </c:pt>
                <c:pt idx="262">
                  <c:v>16.032</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15.173999999999999</c:v>
                </c:pt>
                <c:pt idx="281">
                  <c:v>0</c:v>
                </c:pt>
                <c:pt idx="282">
                  <c:v>0</c:v>
                </c:pt>
                <c:pt idx="283">
                  <c:v>14.509</c:v>
                </c:pt>
                <c:pt idx="284">
                  <c:v>14.57</c:v>
                </c:pt>
                <c:pt idx="285">
                  <c:v>0</c:v>
                </c:pt>
                <c:pt idx="286">
                  <c:v>13.882</c:v>
                </c:pt>
                <c:pt idx="287">
                  <c:v>0</c:v>
                </c:pt>
                <c:pt idx="288">
                  <c:v>0</c:v>
                </c:pt>
                <c:pt idx="289">
                  <c:v>0</c:v>
                </c:pt>
                <c:pt idx="290">
                  <c:v>0</c:v>
                </c:pt>
                <c:pt idx="291">
                  <c:v>0</c:v>
                </c:pt>
                <c:pt idx="292">
                  <c:v>0</c:v>
                </c:pt>
                <c:pt idx="293">
                  <c:v>14.266999999999999</c:v>
                </c:pt>
                <c:pt idx="294">
                  <c:v>15.042999999999999</c:v>
                </c:pt>
                <c:pt idx="295">
                  <c:v>0</c:v>
                </c:pt>
                <c:pt idx="296">
                  <c:v>0</c:v>
                </c:pt>
                <c:pt idx="297">
                  <c:v>0</c:v>
                </c:pt>
                <c:pt idx="298">
                  <c:v>0</c:v>
                </c:pt>
                <c:pt idx="299">
                  <c:v>0</c:v>
                </c:pt>
                <c:pt idx="300">
                  <c:v>0</c:v>
                </c:pt>
                <c:pt idx="301">
                  <c:v>14.364000000000001</c:v>
                </c:pt>
                <c:pt idx="302">
                  <c:v>0</c:v>
                </c:pt>
                <c:pt idx="303">
                  <c:v>14.884</c:v>
                </c:pt>
                <c:pt idx="304">
                  <c:v>0</c:v>
                </c:pt>
                <c:pt idx="305">
                  <c:v>0</c:v>
                </c:pt>
                <c:pt idx="306">
                  <c:v>0</c:v>
                </c:pt>
                <c:pt idx="307">
                  <c:v>0</c:v>
                </c:pt>
                <c:pt idx="308">
                  <c:v>0</c:v>
                </c:pt>
                <c:pt idx="309">
                  <c:v>0</c:v>
                </c:pt>
                <c:pt idx="310">
                  <c:v>0</c:v>
                </c:pt>
                <c:pt idx="311">
                  <c:v>0</c:v>
                </c:pt>
                <c:pt idx="312">
                  <c:v>0</c:v>
                </c:pt>
                <c:pt idx="313">
                  <c:v>0</c:v>
                </c:pt>
                <c:pt idx="314">
                  <c:v>14.618</c:v>
                </c:pt>
                <c:pt idx="315">
                  <c:v>15.156000000000001</c:v>
                </c:pt>
                <c:pt idx="316">
                  <c:v>15.375</c:v>
                </c:pt>
                <c:pt idx="317">
                  <c:v>15.59</c:v>
                </c:pt>
                <c:pt idx="318">
                  <c:v>0</c:v>
                </c:pt>
                <c:pt idx="319">
                  <c:v>0</c:v>
                </c:pt>
                <c:pt idx="320">
                  <c:v>0</c:v>
                </c:pt>
                <c:pt idx="321">
                  <c:v>0</c:v>
                </c:pt>
                <c:pt idx="322">
                  <c:v>15.885999999999999</c:v>
                </c:pt>
                <c:pt idx="323">
                  <c:v>0</c:v>
                </c:pt>
                <c:pt idx="324">
                  <c:v>0</c:v>
                </c:pt>
                <c:pt idx="325">
                  <c:v>16.131</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17.344999999999999</c:v>
                </c:pt>
                <c:pt idx="351">
                  <c:v>0</c:v>
                </c:pt>
                <c:pt idx="352">
                  <c:v>17.917999999999999</c:v>
                </c:pt>
                <c:pt idx="353">
                  <c:v>0</c:v>
                </c:pt>
                <c:pt idx="354">
                  <c:v>0</c:v>
                </c:pt>
                <c:pt idx="355">
                  <c:v>0</c:v>
                </c:pt>
                <c:pt idx="356">
                  <c:v>0</c:v>
                </c:pt>
                <c:pt idx="357">
                  <c:v>0</c:v>
                </c:pt>
                <c:pt idx="358">
                  <c:v>0</c:v>
                </c:pt>
                <c:pt idx="359">
                  <c:v>0</c:v>
                </c:pt>
                <c:pt idx="360">
                  <c:v>0</c:v>
                </c:pt>
                <c:pt idx="361">
                  <c:v>0</c:v>
                </c:pt>
                <c:pt idx="362">
                  <c:v>0</c:v>
                </c:pt>
                <c:pt idx="363">
                  <c:v>0</c:v>
                </c:pt>
                <c:pt idx="364">
                  <c:v>0</c:v>
                </c:pt>
              </c:numCache>
            </c:numRef>
          </c:yVal>
          <c:smooth val="0"/>
          <c:extLst>
            <c:ext xmlns:c16="http://schemas.microsoft.com/office/drawing/2014/chart" uri="{C3380CC4-5D6E-409C-BE32-E72D297353CC}">
              <c16:uniqueId val="{00000003-25F8-4549-9A4E-4DFA5D891817}"/>
            </c:ext>
          </c:extLst>
        </c:ser>
        <c:dLbls>
          <c:showLegendKey val="0"/>
          <c:showVal val="0"/>
          <c:showCatName val="0"/>
          <c:showSerName val="0"/>
          <c:showPercent val="0"/>
          <c:showBubbleSize val="0"/>
        </c:dLbls>
        <c:axId val="149585048"/>
        <c:axId val="149885136"/>
      </c:scatterChart>
      <c:valAx>
        <c:axId val="230275744"/>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9481792"/>
        <c:crosses val="autoZero"/>
        <c:crossBetween val="midCat"/>
      </c:valAx>
      <c:valAx>
        <c:axId val="149481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0275744"/>
        <c:crosses val="autoZero"/>
        <c:crossBetween val="midCat"/>
      </c:valAx>
      <c:valAx>
        <c:axId val="149885136"/>
        <c:scaling>
          <c:orientation val="minMax"/>
        </c:scaling>
        <c:delete val="0"/>
        <c:axPos val="r"/>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9585048"/>
        <c:crosses val="max"/>
        <c:crossBetween val="midCat"/>
      </c:valAx>
      <c:valAx>
        <c:axId val="149585048"/>
        <c:scaling>
          <c:orientation val="minMax"/>
        </c:scaling>
        <c:delete val="1"/>
        <c:axPos val="b"/>
        <c:numFmt formatCode="m/d/yyyy" sourceLinked="1"/>
        <c:majorTickMark val="out"/>
        <c:minorTickMark val="none"/>
        <c:tickLblPos val="nextTo"/>
        <c:crossAx val="149885136"/>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t-PT" sz="900"/>
              <a:t>Global Linepack Flexibility Utilization</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10379591439958896"/>
          <c:y val="0.25317406143344712"/>
          <c:w val="0.85207108370712903"/>
          <c:h val="0.47203300099432965"/>
        </c:manualLayout>
      </c:layout>
      <c:lineChart>
        <c:grouping val="standard"/>
        <c:varyColors val="0"/>
        <c:ser>
          <c:idx val="0"/>
          <c:order val="0"/>
          <c:spPr>
            <a:ln w="19050" cap="rnd">
              <a:solidFill>
                <a:schemeClr val="accent1"/>
              </a:solidFill>
              <a:round/>
            </a:ln>
            <a:effectLst/>
          </c:spPr>
          <c:marker>
            <c:symbol val="none"/>
          </c:marker>
          <c:cat>
            <c:numRef>
              <c:f>parágrafo_3.7!$B$4:$B$368</c:f>
              <c:numCache>
                <c:formatCode>[$-409]mmm\-yy;@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cat>
          <c:val>
            <c:numRef>
              <c:f>parágrafo_3.7!$AR$4:$AR$368</c:f>
              <c:numCache>
                <c:formatCode>General</c:formatCode>
                <c:ptCount val="365"/>
                <c:pt idx="0">
                  <c:v>3804676</c:v>
                </c:pt>
                <c:pt idx="1">
                  <c:v>-146219</c:v>
                </c:pt>
                <c:pt idx="2">
                  <c:v>7507205</c:v>
                </c:pt>
                <c:pt idx="3">
                  <c:v>5251016</c:v>
                </c:pt>
                <c:pt idx="4">
                  <c:v>7627890</c:v>
                </c:pt>
                <c:pt idx="5">
                  <c:v>-5561013</c:v>
                </c:pt>
                <c:pt idx="6">
                  <c:v>772879</c:v>
                </c:pt>
                <c:pt idx="7">
                  <c:v>-1656395</c:v>
                </c:pt>
                <c:pt idx="8">
                  <c:v>-199906</c:v>
                </c:pt>
                <c:pt idx="9">
                  <c:v>-6166107</c:v>
                </c:pt>
                <c:pt idx="10">
                  <c:v>-311428</c:v>
                </c:pt>
                <c:pt idx="11">
                  <c:v>1076827</c:v>
                </c:pt>
                <c:pt idx="12">
                  <c:v>1918894</c:v>
                </c:pt>
                <c:pt idx="13">
                  <c:v>3558677</c:v>
                </c:pt>
                <c:pt idx="14">
                  <c:v>620116</c:v>
                </c:pt>
                <c:pt idx="15">
                  <c:v>-1764441</c:v>
                </c:pt>
                <c:pt idx="16">
                  <c:v>-202097</c:v>
                </c:pt>
                <c:pt idx="17">
                  <c:v>-2364136</c:v>
                </c:pt>
                <c:pt idx="18">
                  <c:v>-2546581</c:v>
                </c:pt>
                <c:pt idx="19">
                  <c:v>-2474595</c:v>
                </c:pt>
                <c:pt idx="20">
                  <c:v>-1119284</c:v>
                </c:pt>
                <c:pt idx="21">
                  <c:v>-2373839</c:v>
                </c:pt>
                <c:pt idx="22">
                  <c:v>-3862988</c:v>
                </c:pt>
                <c:pt idx="23">
                  <c:v>-3753315</c:v>
                </c:pt>
                <c:pt idx="24">
                  <c:v>-3396882</c:v>
                </c:pt>
                <c:pt idx="25">
                  <c:v>-4725953</c:v>
                </c:pt>
                <c:pt idx="26">
                  <c:v>-3116174</c:v>
                </c:pt>
                <c:pt idx="27">
                  <c:v>-2932853</c:v>
                </c:pt>
                <c:pt idx="28">
                  <c:v>-3950963</c:v>
                </c:pt>
                <c:pt idx="29">
                  <c:v>-5099062</c:v>
                </c:pt>
                <c:pt idx="30">
                  <c:v>-5956381</c:v>
                </c:pt>
                <c:pt idx="31">
                  <c:v>-2518362</c:v>
                </c:pt>
                <c:pt idx="32">
                  <c:v>-2479459</c:v>
                </c:pt>
                <c:pt idx="33">
                  <c:v>-1678279</c:v>
                </c:pt>
                <c:pt idx="34">
                  <c:v>-2511290</c:v>
                </c:pt>
                <c:pt idx="35">
                  <c:v>125707</c:v>
                </c:pt>
                <c:pt idx="36">
                  <c:v>-1658206</c:v>
                </c:pt>
                <c:pt idx="37">
                  <c:v>-2323974</c:v>
                </c:pt>
                <c:pt idx="38">
                  <c:v>-2997989</c:v>
                </c:pt>
                <c:pt idx="39">
                  <c:v>3383055</c:v>
                </c:pt>
                <c:pt idx="40">
                  <c:v>6944943</c:v>
                </c:pt>
                <c:pt idx="41">
                  <c:v>2642383</c:v>
                </c:pt>
                <c:pt idx="42">
                  <c:v>544434</c:v>
                </c:pt>
                <c:pt idx="43">
                  <c:v>295580</c:v>
                </c:pt>
                <c:pt idx="44">
                  <c:v>1862501</c:v>
                </c:pt>
                <c:pt idx="45">
                  <c:v>-23060</c:v>
                </c:pt>
                <c:pt idx="46">
                  <c:v>230004</c:v>
                </c:pt>
                <c:pt idx="47">
                  <c:v>577163</c:v>
                </c:pt>
                <c:pt idx="48">
                  <c:v>2757177</c:v>
                </c:pt>
                <c:pt idx="49">
                  <c:v>-468062</c:v>
                </c:pt>
                <c:pt idx="50">
                  <c:v>-755242</c:v>
                </c:pt>
                <c:pt idx="51">
                  <c:v>-2582789</c:v>
                </c:pt>
                <c:pt idx="52">
                  <c:v>4274459</c:v>
                </c:pt>
                <c:pt idx="53">
                  <c:v>2889552</c:v>
                </c:pt>
                <c:pt idx="54">
                  <c:v>1088721</c:v>
                </c:pt>
                <c:pt idx="55">
                  <c:v>1987758</c:v>
                </c:pt>
                <c:pt idx="56">
                  <c:v>1426646</c:v>
                </c:pt>
                <c:pt idx="57">
                  <c:v>3524627</c:v>
                </c:pt>
                <c:pt idx="58">
                  <c:v>627363</c:v>
                </c:pt>
                <c:pt idx="59">
                  <c:v>-124830</c:v>
                </c:pt>
                <c:pt idx="60">
                  <c:v>-1641768</c:v>
                </c:pt>
                <c:pt idx="61">
                  <c:v>1319646</c:v>
                </c:pt>
                <c:pt idx="62">
                  <c:v>6377265</c:v>
                </c:pt>
                <c:pt idx="63">
                  <c:v>318632</c:v>
                </c:pt>
                <c:pt idx="64">
                  <c:v>-11934</c:v>
                </c:pt>
                <c:pt idx="65">
                  <c:v>1425942</c:v>
                </c:pt>
                <c:pt idx="66">
                  <c:v>1209585</c:v>
                </c:pt>
                <c:pt idx="67">
                  <c:v>-6375264</c:v>
                </c:pt>
                <c:pt idx="68">
                  <c:v>-2118431</c:v>
                </c:pt>
                <c:pt idx="69">
                  <c:v>-9267443</c:v>
                </c:pt>
                <c:pt idx="70">
                  <c:v>-3056617</c:v>
                </c:pt>
                <c:pt idx="71">
                  <c:v>-956717</c:v>
                </c:pt>
                <c:pt idx="72">
                  <c:v>1440534</c:v>
                </c:pt>
                <c:pt idx="73">
                  <c:v>-695456</c:v>
                </c:pt>
                <c:pt idx="74">
                  <c:v>3451701</c:v>
                </c:pt>
                <c:pt idx="75">
                  <c:v>1240419</c:v>
                </c:pt>
                <c:pt idx="76">
                  <c:v>-421983</c:v>
                </c:pt>
                <c:pt idx="77">
                  <c:v>-1522281</c:v>
                </c:pt>
                <c:pt idx="78">
                  <c:v>-168555</c:v>
                </c:pt>
                <c:pt idx="79">
                  <c:v>-2702991</c:v>
                </c:pt>
                <c:pt idx="80">
                  <c:v>-565417</c:v>
                </c:pt>
                <c:pt idx="81">
                  <c:v>1324639</c:v>
                </c:pt>
                <c:pt idx="82">
                  <c:v>-2204014</c:v>
                </c:pt>
                <c:pt idx="83">
                  <c:v>-4781101</c:v>
                </c:pt>
                <c:pt idx="84">
                  <c:v>-3194472</c:v>
                </c:pt>
                <c:pt idx="85">
                  <c:v>-466625</c:v>
                </c:pt>
                <c:pt idx="86">
                  <c:v>-2397246</c:v>
                </c:pt>
                <c:pt idx="87">
                  <c:v>1038935</c:v>
                </c:pt>
                <c:pt idx="88">
                  <c:v>-2399685</c:v>
                </c:pt>
                <c:pt idx="89">
                  <c:v>-3932737</c:v>
                </c:pt>
                <c:pt idx="90">
                  <c:v>-5649944</c:v>
                </c:pt>
                <c:pt idx="91">
                  <c:v>392871</c:v>
                </c:pt>
                <c:pt idx="92">
                  <c:v>-3916737</c:v>
                </c:pt>
                <c:pt idx="93">
                  <c:v>-5056739</c:v>
                </c:pt>
                <c:pt idx="94">
                  <c:v>-923391</c:v>
                </c:pt>
                <c:pt idx="95">
                  <c:v>674027</c:v>
                </c:pt>
                <c:pt idx="96">
                  <c:v>-260725</c:v>
                </c:pt>
                <c:pt idx="97">
                  <c:v>1208417</c:v>
                </c:pt>
                <c:pt idx="98">
                  <c:v>1696518</c:v>
                </c:pt>
                <c:pt idx="99">
                  <c:v>526017</c:v>
                </c:pt>
                <c:pt idx="100">
                  <c:v>3035614</c:v>
                </c:pt>
                <c:pt idx="101">
                  <c:v>-2448886</c:v>
                </c:pt>
                <c:pt idx="102">
                  <c:v>-304178</c:v>
                </c:pt>
                <c:pt idx="103">
                  <c:v>2028940</c:v>
                </c:pt>
                <c:pt idx="104">
                  <c:v>-1688249</c:v>
                </c:pt>
                <c:pt idx="105">
                  <c:v>-997219</c:v>
                </c:pt>
                <c:pt idx="106">
                  <c:v>-396705</c:v>
                </c:pt>
                <c:pt idx="107">
                  <c:v>732691</c:v>
                </c:pt>
                <c:pt idx="108">
                  <c:v>1227797</c:v>
                </c:pt>
                <c:pt idx="109">
                  <c:v>3652400</c:v>
                </c:pt>
                <c:pt idx="110">
                  <c:v>2443819</c:v>
                </c:pt>
                <c:pt idx="111">
                  <c:v>-95587</c:v>
                </c:pt>
                <c:pt idx="112">
                  <c:v>-866646</c:v>
                </c:pt>
                <c:pt idx="113">
                  <c:v>-74472</c:v>
                </c:pt>
                <c:pt idx="114">
                  <c:v>928932</c:v>
                </c:pt>
                <c:pt idx="115">
                  <c:v>-6257788</c:v>
                </c:pt>
                <c:pt idx="116">
                  <c:v>1353742</c:v>
                </c:pt>
                <c:pt idx="117">
                  <c:v>1301943</c:v>
                </c:pt>
                <c:pt idx="118">
                  <c:v>1567540</c:v>
                </c:pt>
                <c:pt idx="119">
                  <c:v>-758787</c:v>
                </c:pt>
                <c:pt idx="120">
                  <c:v>-6410790</c:v>
                </c:pt>
                <c:pt idx="121">
                  <c:v>-4023928</c:v>
                </c:pt>
                <c:pt idx="122">
                  <c:v>6304261</c:v>
                </c:pt>
                <c:pt idx="123">
                  <c:v>179582</c:v>
                </c:pt>
                <c:pt idx="124">
                  <c:v>-1857997</c:v>
                </c:pt>
                <c:pt idx="125">
                  <c:v>-2297727</c:v>
                </c:pt>
                <c:pt idx="126">
                  <c:v>-5357232</c:v>
                </c:pt>
                <c:pt idx="127">
                  <c:v>-1047344</c:v>
                </c:pt>
                <c:pt idx="128">
                  <c:v>-1619221</c:v>
                </c:pt>
                <c:pt idx="129">
                  <c:v>-1103050</c:v>
                </c:pt>
                <c:pt idx="130">
                  <c:v>2060241</c:v>
                </c:pt>
                <c:pt idx="131">
                  <c:v>1960472</c:v>
                </c:pt>
                <c:pt idx="132">
                  <c:v>1497385</c:v>
                </c:pt>
                <c:pt idx="133">
                  <c:v>1034361</c:v>
                </c:pt>
                <c:pt idx="134">
                  <c:v>-1596091</c:v>
                </c:pt>
                <c:pt idx="135">
                  <c:v>1484387</c:v>
                </c:pt>
                <c:pt idx="136">
                  <c:v>2468264</c:v>
                </c:pt>
                <c:pt idx="137">
                  <c:v>-533004</c:v>
                </c:pt>
                <c:pt idx="138">
                  <c:v>656653</c:v>
                </c:pt>
                <c:pt idx="139">
                  <c:v>-566688</c:v>
                </c:pt>
                <c:pt idx="140">
                  <c:v>620024</c:v>
                </c:pt>
                <c:pt idx="141">
                  <c:v>-2601491</c:v>
                </c:pt>
                <c:pt idx="142">
                  <c:v>-1934002</c:v>
                </c:pt>
                <c:pt idx="143">
                  <c:v>-717495</c:v>
                </c:pt>
                <c:pt idx="144">
                  <c:v>-1302521</c:v>
                </c:pt>
                <c:pt idx="145">
                  <c:v>1276879</c:v>
                </c:pt>
                <c:pt idx="146">
                  <c:v>-709120</c:v>
                </c:pt>
                <c:pt idx="147">
                  <c:v>-1648357</c:v>
                </c:pt>
                <c:pt idx="148">
                  <c:v>-1148334</c:v>
                </c:pt>
                <c:pt idx="149">
                  <c:v>-4705091</c:v>
                </c:pt>
                <c:pt idx="150">
                  <c:v>-292185</c:v>
                </c:pt>
                <c:pt idx="151">
                  <c:v>1643085</c:v>
                </c:pt>
                <c:pt idx="152">
                  <c:v>-2595137</c:v>
                </c:pt>
                <c:pt idx="153">
                  <c:v>3468062</c:v>
                </c:pt>
                <c:pt idx="154">
                  <c:v>2955694</c:v>
                </c:pt>
                <c:pt idx="155">
                  <c:v>-2386173</c:v>
                </c:pt>
                <c:pt idx="156">
                  <c:v>-1226773</c:v>
                </c:pt>
                <c:pt idx="157">
                  <c:v>1399318</c:v>
                </c:pt>
                <c:pt idx="158">
                  <c:v>2651410</c:v>
                </c:pt>
                <c:pt idx="159">
                  <c:v>-2919398</c:v>
                </c:pt>
                <c:pt idx="160">
                  <c:v>-4008177</c:v>
                </c:pt>
                <c:pt idx="161">
                  <c:v>-2556771</c:v>
                </c:pt>
                <c:pt idx="162">
                  <c:v>249586</c:v>
                </c:pt>
                <c:pt idx="163">
                  <c:v>628608</c:v>
                </c:pt>
                <c:pt idx="164">
                  <c:v>-424760</c:v>
                </c:pt>
                <c:pt idx="165">
                  <c:v>-431776</c:v>
                </c:pt>
                <c:pt idx="166">
                  <c:v>2802454</c:v>
                </c:pt>
                <c:pt idx="167">
                  <c:v>1820678</c:v>
                </c:pt>
                <c:pt idx="168">
                  <c:v>1784173</c:v>
                </c:pt>
                <c:pt idx="169">
                  <c:v>1219277</c:v>
                </c:pt>
                <c:pt idx="170">
                  <c:v>-1769531</c:v>
                </c:pt>
                <c:pt idx="171">
                  <c:v>-851193</c:v>
                </c:pt>
                <c:pt idx="172">
                  <c:v>4183660</c:v>
                </c:pt>
                <c:pt idx="173">
                  <c:v>3980530</c:v>
                </c:pt>
                <c:pt idx="174">
                  <c:v>834293</c:v>
                </c:pt>
                <c:pt idx="175">
                  <c:v>2187384</c:v>
                </c:pt>
                <c:pt idx="176">
                  <c:v>-6054927</c:v>
                </c:pt>
                <c:pt idx="177">
                  <c:v>1137788</c:v>
                </c:pt>
                <c:pt idx="178">
                  <c:v>2002133</c:v>
                </c:pt>
                <c:pt idx="179">
                  <c:v>2832390</c:v>
                </c:pt>
                <c:pt idx="180">
                  <c:v>252742</c:v>
                </c:pt>
                <c:pt idx="181">
                  <c:v>-291915</c:v>
                </c:pt>
                <c:pt idx="182">
                  <c:v>1294266</c:v>
                </c:pt>
                <c:pt idx="183">
                  <c:v>519990</c:v>
                </c:pt>
                <c:pt idx="184">
                  <c:v>-2605073</c:v>
                </c:pt>
                <c:pt idx="185">
                  <c:v>-996941</c:v>
                </c:pt>
                <c:pt idx="186">
                  <c:v>-2224399</c:v>
                </c:pt>
                <c:pt idx="187">
                  <c:v>-1298105</c:v>
                </c:pt>
                <c:pt idx="188">
                  <c:v>-1334234</c:v>
                </c:pt>
                <c:pt idx="189">
                  <c:v>-905178</c:v>
                </c:pt>
                <c:pt idx="190">
                  <c:v>-30699</c:v>
                </c:pt>
                <c:pt idx="191">
                  <c:v>-654435</c:v>
                </c:pt>
                <c:pt idx="192">
                  <c:v>998679</c:v>
                </c:pt>
                <c:pt idx="193">
                  <c:v>-3207191</c:v>
                </c:pt>
                <c:pt idx="194">
                  <c:v>-340020</c:v>
                </c:pt>
                <c:pt idx="195">
                  <c:v>-3035163</c:v>
                </c:pt>
                <c:pt idx="196">
                  <c:v>-740986</c:v>
                </c:pt>
                <c:pt idx="197">
                  <c:v>-3267691</c:v>
                </c:pt>
                <c:pt idx="198">
                  <c:v>-13306047</c:v>
                </c:pt>
                <c:pt idx="199">
                  <c:v>321373</c:v>
                </c:pt>
                <c:pt idx="200">
                  <c:v>239394</c:v>
                </c:pt>
                <c:pt idx="201">
                  <c:v>-1099539</c:v>
                </c:pt>
                <c:pt idx="202">
                  <c:v>1805899</c:v>
                </c:pt>
                <c:pt idx="203">
                  <c:v>2171178</c:v>
                </c:pt>
                <c:pt idx="204">
                  <c:v>1211812</c:v>
                </c:pt>
                <c:pt idx="205">
                  <c:v>-2742105</c:v>
                </c:pt>
                <c:pt idx="206">
                  <c:v>-2653749</c:v>
                </c:pt>
                <c:pt idx="207">
                  <c:v>2584561</c:v>
                </c:pt>
                <c:pt idx="208">
                  <c:v>-1007257</c:v>
                </c:pt>
                <c:pt idx="209">
                  <c:v>987386</c:v>
                </c:pt>
                <c:pt idx="210">
                  <c:v>1479223</c:v>
                </c:pt>
                <c:pt idx="211">
                  <c:v>-2021247</c:v>
                </c:pt>
                <c:pt idx="212">
                  <c:v>169693</c:v>
                </c:pt>
                <c:pt idx="213">
                  <c:v>2515100</c:v>
                </c:pt>
                <c:pt idx="214">
                  <c:v>-1730313</c:v>
                </c:pt>
                <c:pt idx="215">
                  <c:v>-126829</c:v>
                </c:pt>
                <c:pt idx="216">
                  <c:v>-1901738</c:v>
                </c:pt>
                <c:pt idx="217">
                  <c:v>1272933</c:v>
                </c:pt>
                <c:pt idx="218">
                  <c:v>-288943</c:v>
                </c:pt>
                <c:pt idx="219">
                  <c:v>-301385</c:v>
                </c:pt>
                <c:pt idx="220">
                  <c:v>1477408</c:v>
                </c:pt>
                <c:pt idx="221">
                  <c:v>1340159</c:v>
                </c:pt>
                <c:pt idx="222">
                  <c:v>1692405</c:v>
                </c:pt>
                <c:pt idx="223">
                  <c:v>179621</c:v>
                </c:pt>
                <c:pt idx="224">
                  <c:v>-199496</c:v>
                </c:pt>
                <c:pt idx="225">
                  <c:v>1219265</c:v>
                </c:pt>
                <c:pt idx="226">
                  <c:v>146818</c:v>
                </c:pt>
                <c:pt idx="227">
                  <c:v>-829221</c:v>
                </c:pt>
                <c:pt idx="228">
                  <c:v>732788</c:v>
                </c:pt>
                <c:pt idx="229">
                  <c:v>2264718</c:v>
                </c:pt>
                <c:pt idx="230">
                  <c:v>-8938</c:v>
                </c:pt>
                <c:pt idx="231">
                  <c:v>-1478979</c:v>
                </c:pt>
                <c:pt idx="232">
                  <c:v>-1025411</c:v>
                </c:pt>
                <c:pt idx="233">
                  <c:v>-507156</c:v>
                </c:pt>
                <c:pt idx="234">
                  <c:v>-307669</c:v>
                </c:pt>
                <c:pt idx="235">
                  <c:v>-2704010</c:v>
                </c:pt>
                <c:pt idx="236">
                  <c:v>-2466863</c:v>
                </c:pt>
                <c:pt idx="237">
                  <c:v>1414296</c:v>
                </c:pt>
                <c:pt idx="238">
                  <c:v>-503944</c:v>
                </c:pt>
                <c:pt idx="239">
                  <c:v>-1167100</c:v>
                </c:pt>
                <c:pt idx="240">
                  <c:v>806708</c:v>
                </c:pt>
                <c:pt idx="241">
                  <c:v>-3524623</c:v>
                </c:pt>
                <c:pt idx="242">
                  <c:v>-1840227</c:v>
                </c:pt>
                <c:pt idx="243">
                  <c:v>-2465424</c:v>
                </c:pt>
                <c:pt idx="244">
                  <c:v>-6265110</c:v>
                </c:pt>
                <c:pt idx="245">
                  <c:v>707029</c:v>
                </c:pt>
                <c:pt idx="246">
                  <c:v>-2994398</c:v>
                </c:pt>
                <c:pt idx="247">
                  <c:v>1847374</c:v>
                </c:pt>
                <c:pt idx="248">
                  <c:v>1673036</c:v>
                </c:pt>
                <c:pt idx="249">
                  <c:v>-188085</c:v>
                </c:pt>
                <c:pt idx="250">
                  <c:v>-436567</c:v>
                </c:pt>
                <c:pt idx="251">
                  <c:v>165577</c:v>
                </c:pt>
                <c:pt idx="252">
                  <c:v>-1979918</c:v>
                </c:pt>
                <c:pt idx="253">
                  <c:v>2064103</c:v>
                </c:pt>
                <c:pt idx="254">
                  <c:v>414291</c:v>
                </c:pt>
                <c:pt idx="255">
                  <c:v>-443071</c:v>
                </c:pt>
                <c:pt idx="256">
                  <c:v>-3942142</c:v>
                </c:pt>
                <c:pt idx="257">
                  <c:v>-2891643</c:v>
                </c:pt>
                <c:pt idx="258">
                  <c:v>-869836</c:v>
                </c:pt>
                <c:pt idx="259">
                  <c:v>-2159853</c:v>
                </c:pt>
                <c:pt idx="260">
                  <c:v>-1699958</c:v>
                </c:pt>
                <c:pt idx="261">
                  <c:v>-5472061</c:v>
                </c:pt>
                <c:pt idx="262">
                  <c:v>-2161730</c:v>
                </c:pt>
                <c:pt idx="263">
                  <c:v>681098</c:v>
                </c:pt>
                <c:pt idx="264">
                  <c:v>4202155</c:v>
                </c:pt>
                <c:pt idx="265">
                  <c:v>-1158896</c:v>
                </c:pt>
                <c:pt idx="266">
                  <c:v>-1617007</c:v>
                </c:pt>
                <c:pt idx="267">
                  <c:v>-1042176</c:v>
                </c:pt>
                <c:pt idx="268">
                  <c:v>1880675</c:v>
                </c:pt>
                <c:pt idx="269">
                  <c:v>-1226191</c:v>
                </c:pt>
                <c:pt idx="270">
                  <c:v>51314</c:v>
                </c:pt>
                <c:pt idx="271">
                  <c:v>-1265764</c:v>
                </c:pt>
                <c:pt idx="272">
                  <c:v>-3471794</c:v>
                </c:pt>
                <c:pt idx="273">
                  <c:v>-348038</c:v>
                </c:pt>
                <c:pt idx="274">
                  <c:v>-3614635</c:v>
                </c:pt>
                <c:pt idx="275">
                  <c:v>-1053181</c:v>
                </c:pt>
                <c:pt idx="276">
                  <c:v>1777719</c:v>
                </c:pt>
                <c:pt idx="277">
                  <c:v>953674</c:v>
                </c:pt>
                <c:pt idx="278">
                  <c:v>-1552198</c:v>
                </c:pt>
                <c:pt idx="279">
                  <c:v>-2112495</c:v>
                </c:pt>
                <c:pt idx="280">
                  <c:v>-4234628</c:v>
                </c:pt>
                <c:pt idx="281">
                  <c:v>-4910468</c:v>
                </c:pt>
                <c:pt idx="282">
                  <c:v>293531</c:v>
                </c:pt>
                <c:pt idx="283">
                  <c:v>-1742101</c:v>
                </c:pt>
                <c:pt idx="284">
                  <c:v>-152500</c:v>
                </c:pt>
                <c:pt idx="285">
                  <c:v>-2571921</c:v>
                </c:pt>
                <c:pt idx="286">
                  <c:v>303431</c:v>
                </c:pt>
                <c:pt idx="287">
                  <c:v>655254</c:v>
                </c:pt>
                <c:pt idx="288">
                  <c:v>-2338305</c:v>
                </c:pt>
                <c:pt idx="289">
                  <c:v>-2155864</c:v>
                </c:pt>
                <c:pt idx="290">
                  <c:v>297748</c:v>
                </c:pt>
                <c:pt idx="291">
                  <c:v>-835367</c:v>
                </c:pt>
                <c:pt idx="292">
                  <c:v>-261832</c:v>
                </c:pt>
                <c:pt idx="293">
                  <c:v>4187461</c:v>
                </c:pt>
                <c:pt idx="294">
                  <c:v>48465</c:v>
                </c:pt>
                <c:pt idx="295">
                  <c:v>-219167</c:v>
                </c:pt>
                <c:pt idx="296">
                  <c:v>1008508</c:v>
                </c:pt>
                <c:pt idx="297">
                  <c:v>2799415</c:v>
                </c:pt>
                <c:pt idx="298">
                  <c:v>1670472</c:v>
                </c:pt>
                <c:pt idx="299">
                  <c:v>2332593</c:v>
                </c:pt>
                <c:pt idx="300">
                  <c:v>-1149366</c:v>
                </c:pt>
                <c:pt idx="301">
                  <c:v>-2606016</c:v>
                </c:pt>
                <c:pt idx="302">
                  <c:v>-6290468</c:v>
                </c:pt>
                <c:pt idx="303">
                  <c:v>-786723</c:v>
                </c:pt>
                <c:pt idx="304">
                  <c:v>2408183</c:v>
                </c:pt>
                <c:pt idx="305">
                  <c:v>323411</c:v>
                </c:pt>
                <c:pt idx="306">
                  <c:v>-1833054</c:v>
                </c:pt>
                <c:pt idx="307">
                  <c:v>-2002894</c:v>
                </c:pt>
                <c:pt idx="308">
                  <c:v>-2754116</c:v>
                </c:pt>
                <c:pt idx="309">
                  <c:v>-1926247</c:v>
                </c:pt>
                <c:pt idx="310">
                  <c:v>-1294959</c:v>
                </c:pt>
                <c:pt idx="311">
                  <c:v>-1352567</c:v>
                </c:pt>
                <c:pt idx="312">
                  <c:v>1065057</c:v>
                </c:pt>
                <c:pt idx="313">
                  <c:v>-391350</c:v>
                </c:pt>
                <c:pt idx="314">
                  <c:v>4926010</c:v>
                </c:pt>
                <c:pt idx="315">
                  <c:v>-851322</c:v>
                </c:pt>
                <c:pt idx="316">
                  <c:v>-2251114</c:v>
                </c:pt>
                <c:pt idx="317">
                  <c:v>-1929544</c:v>
                </c:pt>
                <c:pt idx="318">
                  <c:v>2356769</c:v>
                </c:pt>
                <c:pt idx="319">
                  <c:v>-1302044</c:v>
                </c:pt>
                <c:pt idx="320">
                  <c:v>-136289</c:v>
                </c:pt>
                <c:pt idx="321">
                  <c:v>-796609</c:v>
                </c:pt>
                <c:pt idx="322">
                  <c:v>-1860867</c:v>
                </c:pt>
                <c:pt idx="323">
                  <c:v>-2758766</c:v>
                </c:pt>
                <c:pt idx="324">
                  <c:v>-4311816</c:v>
                </c:pt>
                <c:pt idx="325">
                  <c:v>442000</c:v>
                </c:pt>
                <c:pt idx="326">
                  <c:v>1864715</c:v>
                </c:pt>
                <c:pt idx="327">
                  <c:v>4475361</c:v>
                </c:pt>
                <c:pt idx="328">
                  <c:v>2669443</c:v>
                </c:pt>
                <c:pt idx="329">
                  <c:v>4482878</c:v>
                </c:pt>
                <c:pt idx="330">
                  <c:v>2470775</c:v>
                </c:pt>
                <c:pt idx="331">
                  <c:v>468608</c:v>
                </c:pt>
                <c:pt idx="332">
                  <c:v>3815871</c:v>
                </c:pt>
                <c:pt idx="333">
                  <c:v>2841119</c:v>
                </c:pt>
                <c:pt idx="334">
                  <c:v>1381015</c:v>
                </c:pt>
                <c:pt idx="335">
                  <c:v>1268761</c:v>
                </c:pt>
                <c:pt idx="336">
                  <c:v>164525</c:v>
                </c:pt>
                <c:pt idx="337">
                  <c:v>-3216067</c:v>
                </c:pt>
                <c:pt idx="338">
                  <c:v>3524127</c:v>
                </c:pt>
                <c:pt idx="339">
                  <c:v>3198578</c:v>
                </c:pt>
                <c:pt idx="340">
                  <c:v>1556566</c:v>
                </c:pt>
                <c:pt idx="341">
                  <c:v>-91569</c:v>
                </c:pt>
                <c:pt idx="342">
                  <c:v>-629566</c:v>
                </c:pt>
                <c:pt idx="343">
                  <c:v>643716</c:v>
                </c:pt>
                <c:pt idx="344">
                  <c:v>-1519998</c:v>
                </c:pt>
                <c:pt idx="345">
                  <c:v>93698</c:v>
                </c:pt>
                <c:pt idx="346">
                  <c:v>2528917</c:v>
                </c:pt>
                <c:pt idx="347">
                  <c:v>1976570</c:v>
                </c:pt>
                <c:pt idx="348">
                  <c:v>2169305</c:v>
                </c:pt>
                <c:pt idx="349">
                  <c:v>3406717</c:v>
                </c:pt>
                <c:pt idx="350">
                  <c:v>-1507269</c:v>
                </c:pt>
                <c:pt idx="351">
                  <c:v>368643</c:v>
                </c:pt>
                <c:pt idx="352">
                  <c:v>502759</c:v>
                </c:pt>
                <c:pt idx="353">
                  <c:v>1309099</c:v>
                </c:pt>
                <c:pt idx="354">
                  <c:v>1054220</c:v>
                </c:pt>
                <c:pt idx="355">
                  <c:v>2096456</c:v>
                </c:pt>
                <c:pt idx="356">
                  <c:v>1940306</c:v>
                </c:pt>
                <c:pt idx="357">
                  <c:v>250367</c:v>
                </c:pt>
                <c:pt idx="358">
                  <c:v>-90260</c:v>
                </c:pt>
                <c:pt idx="359">
                  <c:v>299894</c:v>
                </c:pt>
                <c:pt idx="360">
                  <c:v>-2077335</c:v>
                </c:pt>
                <c:pt idx="361">
                  <c:v>1357012</c:v>
                </c:pt>
                <c:pt idx="362">
                  <c:v>-1194389</c:v>
                </c:pt>
                <c:pt idx="363">
                  <c:v>1613128</c:v>
                </c:pt>
                <c:pt idx="364">
                  <c:v>-919129</c:v>
                </c:pt>
              </c:numCache>
            </c:numRef>
          </c:val>
          <c:smooth val="0"/>
          <c:extLst>
            <c:ext xmlns:c16="http://schemas.microsoft.com/office/drawing/2014/chart" uri="{C3380CC4-5D6E-409C-BE32-E72D297353CC}">
              <c16:uniqueId val="{00000000-FF86-4E12-834A-D1C5678F2A34}"/>
            </c:ext>
          </c:extLst>
        </c:ser>
        <c:dLbls>
          <c:showLegendKey val="0"/>
          <c:showVal val="0"/>
          <c:showCatName val="0"/>
          <c:showSerName val="0"/>
          <c:showPercent val="0"/>
          <c:showBubbleSize val="0"/>
        </c:dLbls>
        <c:smooth val="0"/>
        <c:axId val="220946656"/>
        <c:axId val="152460968"/>
      </c:lineChart>
      <c:dateAx>
        <c:axId val="220946656"/>
        <c:scaling>
          <c:orientation val="minMax"/>
        </c:scaling>
        <c:delete val="0"/>
        <c:axPos val="b"/>
        <c:numFmt formatCode="[$]mmm/yy;@" sourceLinked="0"/>
        <c:majorTickMark val="none"/>
        <c:minorTickMark val="none"/>
        <c:tickLblPos val="low"/>
        <c:spPr>
          <a:noFill/>
          <a:ln w="25400"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152460968"/>
        <c:crosses val="autoZero"/>
        <c:auto val="1"/>
        <c:lblOffset val="100"/>
        <c:baseTimeUnit val="days"/>
        <c:majorUnit val="1"/>
        <c:majorTimeUnit val="months"/>
      </c:dateAx>
      <c:valAx>
        <c:axId val="152460968"/>
        <c:scaling>
          <c:orientation val="minMax"/>
          <c:max val="1500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20946656"/>
        <c:crosses val="autoZero"/>
        <c:crossBetween val="midCat"/>
        <c:majorUnit val="15000000"/>
        <c:dispUnits>
          <c:builtInUnit val="thousands"/>
          <c:dispUnitsLbl>
            <c:layout>
              <c:manualLayout>
                <c:xMode val="edge"/>
                <c:yMode val="edge"/>
                <c:x val="2.3349488721317237E-2"/>
                <c:y val="3.5981376353396939E-2"/>
              </c:manualLayout>
            </c:layout>
            <c:tx>
              <c:rich>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MWh</a:t>
                  </a:r>
                </a:p>
              </c:rich>
            </c:tx>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Use of Operational Gas caused</a:t>
            </a:r>
            <a:r>
              <a:rPr lang="en-US" sz="900" baseline="0"/>
              <a:t> by </a:t>
            </a:r>
            <a:r>
              <a:rPr lang="en-US" sz="900"/>
              <a:t>Imbalances [MWh]</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spPr>
            <a:ln w="19050" cap="rnd">
              <a:solidFill>
                <a:schemeClr val="accent1"/>
              </a:solidFill>
              <a:round/>
            </a:ln>
            <a:effectLst/>
          </c:spPr>
          <c:marker>
            <c:symbol val="none"/>
          </c:marker>
          <c:cat>
            <c:numRef>
              <c:f>parágrafo_3.7!$B$4:$B$368</c:f>
              <c:numCache>
                <c:formatCode>[$-409]mmm\-yy;@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cat>
          <c:val>
            <c:numRef>
              <c:f>parágrafo_3.7!$AN$4:$AN$368</c:f>
              <c:numCache>
                <c:formatCode>General</c:formatCode>
                <c:ptCount val="365"/>
                <c:pt idx="0">
                  <c:v>800957</c:v>
                </c:pt>
                <c:pt idx="1">
                  <c:v>2543438</c:v>
                </c:pt>
                <c:pt idx="2">
                  <c:v>2519318</c:v>
                </c:pt>
                <c:pt idx="3">
                  <c:v>2102900</c:v>
                </c:pt>
                <c:pt idx="4">
                  <c:v>4814159</c:v>
                </c:pt>
                <c:pt idx="5">
                  <c:v>-5118729</c:v>
                </c:pt>
                <c:pt idx="6">
                  <c:v>-17166921</c:v>
                </c:pt>
                <c:pt idx="7">
                  <c:v>-16747457</c:v>
                </c:pt>
                <c:pt idx="8">
                  <c:v>-14940202</c:v>
                </c:pt>
                <c:pt idx="9">
                  <c:v>-19007027</c:v>
                </c:pt>
                <c:pt idx="10">
                  <c:v>-19326380</c:v>
                </c:pt>
                <c:pt idx="11">
                  <c:v>-19904939</c:v>
                </c:pt>
                <c:pt idx="12">
                  <c:v>-20051948</c:v>
                </c:pt>
                <c:pt idx="13">
                  <c:v>-20202168</c:v>
                </c:pt>
                <c:pt idx="14">
                  <c:v>-20062686</c:v>
                </c:pt>
                <c:pt idx="15">
                  <c:v>-20056371</c:v>
                </c:pt>
                <c:pt idx="16">
                  <c:v>-20043917</c:v>
                </c:pt>
                <c:pt idx="17">
                  <c:v>-20554304</c:v>
                </c:pt>
                <c:pt idx="18">
                  <c:v>-20970718</c:v>
                </c:pt>
                <c:pt idx="19">
                  <c:v>-21267423</c:v>
                </c:pt>
                <c:pt idx="20">
                  <c:v>-21039154</c:v>
                </c:pt>
                <c:pt idx="21">
                  <c:v>-20742251</c:v>
                </c:pt>
                <c:pt idx="22">
                  <c:v>-20121303</c:v>
                </c:pt>
                <c:pt idx="23">
                  <c:v>-19952081</c:v>
                </c:pt>
                <c:pt idx="24">
                  <c:v>-19678808</c:v>
                </c:pt>
                <c:pt idx="25">
                  <c:v>-19742851</c:v>
                </c:pt>
                <c:pt idx="26">
                  <c:v>-18827019</c:v>
                </c:pt>
                <c:pt idx="27">
                  <c:v>-18397220</c:v>
                </c:pt>
                <c:pt idx="28">
                  <c:v>-17214268</c:v>
                </c:pt>
                <c:pt idx="29">
                  <c:v>-16147567</c:v>
                </c:pt>
                <c:pt idx="30">
                  <c:v>-15276526</c:v>
                </c:pt>
              </c:numCache>
            </c:numRef>
          </c:val>
          <c:smooth val="0"/>
          <c:extLst>
            <c:ext xmlns:c16="http://schemas.microsoft.com/office/drawing/2014/chart" uri="{C3380CC4-5D6E-409C-BE32-E72D297353CC}">
              <c16:uniqueId val="{00000000-BA16-4592-A7B9-48752E62E61C}"/>
            </c:ext>
          </c:extLst>
        </c:ser>
        <c:ser>
          <c:idx val="1"/>
          <c:order val="1"/>
          <c:spPr>
            <a:ln w="19050" cap="rnd">
              <a:solidFill>
                <a:schemeClr val="accent1"/>
              </a:solidFill>
              <a:round/>
            </a:ln>
            <a:effectLst/>
          </c:spPr>
          <c:marker>
            <c:symbol val="none"/>
          </c:marker>
          <c:cat>
            <c:numRef>
              <c:f>parágrafo_3.7!$B$4:$B$368</c:f>
              <c:numCache>
                <c:formatCode>[$-409]mmm\-yy;@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cat>
          <c:val>
            <c:numRef>
              <c:f>parágrafo_3.7!$AP$4:$AP$368</c:f>
              <c:numCache>
                <c:formatCode>General</c:formatCode>
                <c:ptCount val="365"/>
                <c:pt idx="30">
                  <c:v>0</c:v>
                </c:pt>
                <c:pt idx="31">
                  <c:v>3657361</c:v>
                </c:pt>
                <c:pt idx="32">
                  <c:v>4003635</c:v>
                </c:pt>
                <c:pt idx="33">
                  <c:v>4197236</c:v>
                </c:pt>
                <c:pt idx="34">
                  <c:v>4197225</c:v>
                </c:pt>
                <c:pt idx="35">
                  <c:v>4205295</c:v>
                </c:pt>
                <c:pt idx="36">
                  <c:v>4186615</c:v>
                </c:pt>
                <c:pt idx="37">
                  <c:v>4079889</c:v>
                </c:pt>
                <c:pt idx="38">
                  <c:v>3858032</c:v>
                </c:pt>
                <c:pt idx="39">
                  <c:v>3468038</c:v>
                </c:pt>
                <c:pt idx="40">
                  <c:v>2629734</c:v>
                </c:pt>
                <c:pt idx="41">
                  <c:v>2493923</c:v>
                </c:pt>
                <c:pt idx="42">
                  <c:v>2426527</c:v>
                </c:pt>
                <c:pt idx="43">
                  <c:v>2394175</c:v>
                </c:pt>
                <c:pt idx="44">
                  <c:v>260818</c:v>
                </c:pt>
                <c:pt idx="45">
                  <c:v>260755</c:v>
                </c:pt>
                <c:pt idx="46">
                  <c:v>260692</c:v>
                </c:pt>
                <c:pt idx="47">
                  <c:v>283485</c:v>
                </c:pt>
                <c:pt idx="48">
                  <c:v>266405</c:v>
                </c:pt>
                <c:pt idx="49">
                  <c:v>250624</c:v>
                </c:pt>
                <c:pt idx="50">
                  <c:v>250554</c:v>
                </c:pt>
                <c:pt idx="51">
                  <c:v>222438</c:v>
                </c:pt>
                <c:pt idx="52">
                  <c:v>143017</c:v>
                </c:pt>
                <c:pt idx="53">
                  <c:v>-692296</c:v>
                </c:pt>
                <c:pt idx="54">
                  <c:v>-704955</c:v>
                </c:pt>
                <c:pt idx="55">
                  <c:v>-671156</c:v>
                </c:pt>
                <c:pt idx="56">
                  <c:v>-784016</c:v>
                </c:pt>
                <c:pt idx="57">
                  <c:v>-782979</c:v>
                </c:pt>
                <c:pt idx="58">
                  <c:v>-786311</c:v>
                </c:pt>
                <c:pt idx="59">
                  <c:v>-799325</c:v>
                </c:pt>
                <c:pt idx="60">
                  <c:v>-763781</c:v>
                </c:pt>
                <c:pt idx="61">
                  <c:v>-997450</c:v>
                </c:pt>
                <c:pt idx="62">
                  <c:v>-1106749</c:v>
                </c:pt>
                <c:pt idx="63">
                  <c:v>-1101967</c:v>
                </c:pt>
                <c:pt idx="64">
                  <c:v>-1106453</c:v>
                </c:pt>
                <c:pt idx="65">
                  <c:v>-212256</c:v>
                </c:pt>
                <c:pt idx="66">
                  <c:v>183103</c:v>
                </c:pt>
                <c:pt idx="67">
                  <c:v>541184</c:v>
                </c:pt>
                <c:pt idx="68">
                  <c:v>362300</c:v>
                </c:pt>
                <c:pt idx="69">
                  <c:v>2744451</c:v>
                </c:pt>
                <c:pt idx="70">
                  <c:v>2752677</c:v>
                </c:pt>
                <c:pt idx="71">
                  <c:v>2740872</c:v>
                </c:pt>
                <c:pt idx="72">
                  <c:v>3484909</c:v>
                </c:pt>
                <c:pt idx="73">
                  <c:v>2837221</c:v>
                </c:pt>
                <c:pt idx="74">
                  <c:v>2187584</c:v>
                </c:pt>
                <c:pt idx="75">
                  <c:v>2167319</c:v>
                </c:pt>
                <c:pt idx="76">
                  <c:v>1791525</c:v>
                </c:pt>
                <c:pt idx="77">
                  <c:v>1781433</c:v>
                </c:pt>
                <c:pt idx="78">
                  <c:v>1760377</c:v>
                </c:pt>
                <c:pt idx="79">
                  <c:v>1918592</c:v>
                </c:pt>
                <c:pt idx="80">
                  <c:v>2172210</c:v>
                </c:pt>
                <c:pt idx="81">
                  <c:v>2171812</c:v>
                </c:pt>
                <c:pt idx="82">
                  <c:v>2380153</c:v>
                </c:pt>
                <c:pt idx="83">
                  <c:v>3815766</c:v>
                </c:pt>
                <c:pt idx="84">
                  <c:v>3704051</c:v>
                </c:pt>
                <c:pt idx="85">
                  <c:v>2445458</c:v>
                </c:pt>
                <c:pt idx="86">
                  <c:v>3910471</c:v>
                </c:pt>
                <c:pt idx="87">
                  <c:v>3910121</c:v>
                </c:pt>
                <c:pt idx="88">
                  <c:v>5519560</c:v>
                </c:pt>
                <c:pt idx="89">
                  <c:v>6420874</c:v>
                </c:pt>
                <c:pt idx="90">
                  <c:v>6863701</c:v>
                </c:pt>
                <c:pt idx="91">
                  <c:v>7704601</c:v>
                </c:pt>
                <c:pt idx="92">
                  <c:v>7767970</c:v>
                </c:pt>
                <c:pt idx="93">
                  <c:v>6661762</c:v>
                </c:pt>
                <c:pt idx="94">
                  <c:v>6657048</c:v>
                </c:pt>
                <c:pt idx="95">
                  <c:v>7236938</c:v>
                </c:pt>
                <c:pt idx="96">
                  <c:v>7321765</c:v>
                </c:pt>
                <c:pt idx="97">
                  <c:v>7299718</c:v>
                </c:pt>
                <c:pt idx="98">
                  <c:v>-207335</c:v>
                </c:pt>
                <c:pt idx="99">
                  <c:v>-3076296</c:v>
                </c:pt>
                <c:pt idx="100">
                  <c:v>-3157957</c:v>
                </c:pt>
                <c:pt idx="101">
                  <c:v>-3137239</c:v>
                </c:pt>
                <c:pt idx="102">
                  <c:v>-2970607</c:v>
                </c:pt>
                <c:pt idx="103">
                  <c:v>-2925584</c:v>
                </c:pt>
                <c:pt idx="104">
                  <c:v>-2516406</c:v>
                </c:pt>
                <c:pt idx="105">
                  <c:v>-2020462</c:v>
                </c:pt>
                <c:pt idx="106">
                  <c:v>-2020591</c:v>
                </c:pt>
                <c:pt idx="107">
                  <c:v>-2062534</c:v>
                </c:pt>
                <c:pt idx="108">
                  <c:v>-2062562</c:v>
                </c:pt>
                <c:pt idx="109">
                  <c:v>-2052565</c:v>
                </c:pt>
                <c:pt idx="110">
                  <c:v>-9891913</c:v>
                </c:pt>
                <c:pt idx="111">
                  <c:v>-9899634</c:v>
                </c:pt>
                <c:pt idx="112">
                  <c:v>-9913049</c:v>
                </c:pt>
                <c:pt idx="113">
                  <c:v>-9918968</c:v>
                </c:pt>
                <c:pt idx="114">
                  <c:v>-9897420</c:v>
                </c:pt>
                <c:pt idx="115">
                  <c:v>-9898665</c:v>
                </c:pt>
                <c:pt idx="116">
                  <c:v>-9563146</c:v>
                </c:pt>
                <c:pt idx="117">
                  <c:v>-9618282</c:v>
                </c:pt>
                <c:pt idx="118">
                  <c:v>-8728170</c:v>
                </c:pt>
                <c:pt idx="119">
                  <c:v>-8556418</c:v>
                </c:pt>
                <c:pt idx="120">
                  <c:v>-8458927</c:v>
                </c:pt>
                <c:pt idx="121">
                  <c:v>-7701486</c:v>
                </c:pt>
                <c:pt idx="122">
                  <c:v>-7654651</c:v>
                </c:pt>
                <c:pt idx="123">
                  <c:v>-7418465</c:v>
                </c:pt>
                <c:pt idx="124">
                  <c:v>-6914472</c:v>
                </c:pt>
                <c:pt idx="125">
                  <c:v>-7346893</c:v>
                </c:pt>
                <c:pt idx="126">
                  <c:v>-7307103</c:v>
                </c:pt>
                <c:pt idx="127">
                  <c:v>-7497022</c:v>
                </c:pt>
                <c:pt idx="128">
                  <c:v>-7509148</c:v>
                </c:pt>
                <c:pt idx="129">
                  <c:v>-7541129</c:v>
                </c:pt>
                <c:pt idx="130">
                  <c:v>-7584065</c:v>
                </c:pt>
                <c:pt idx="131">
                  <c:v>-8522695</c:v>
                </c:pt>
                <c:pt idx="132">
                  <c:v>-9553526</c:v>
                </c:pt>
                <c:pt idx="133">
                  <c:v>-9941615</c:v>
                </c:pt>
                <c:pt idx="134">
                  <c:v>-9962804</c:v>
                </c:pt>
                <c:pt idx="135">
                  <c:v>-9948546</c:v>
                </c:pt>
                <c:pt idx="136">
                  <c:v>-8713991</c:v>
                </c:pt>
                <c:pt idx="137">
                  <c:v>-8694847</c:v>
                </c:pt>
                <c:pt idx="138">
                  <c:v>-9137033</c:v>
                </c:pt>
                <c:pt idx="139">
                  <c:v>-9617295</c:v>
                </c:pt>
                <c:pt idx="140">
                  <c:v>-9842745</c:v>
                </c:pt>
                <c:pt idx="141">
                  <c:v>-10000065</c:v>
                </c:pt>
                <c:pt idx="142">
                  <c:v>-10435648</c:v>
                </c:pt>
                <c:pt idx="143">
                  <c:v>-10904050</c:v>
                </c:pt>
                <c:pt idx="144">
                  <c:v>-11328835</c:v>
                </c:pt>
                <c:pt idx="145">
                  <c:v>-11753342</c:v>
                </c:pt>
                <c:pt idx="146">
                  <c:v>-12224817</c:v>
                </c:pt>
                <c:pt idx="147">
                  <c:v>-12437948</c:v>
                </c:pt>
                <c:pt idx="148">
                  <c:v>-12551161</c:v>
                </c:pt>
                <c:pt idx="149">
                  <c:v>-12058667</c:v>
                </c:pt>
                <c:pt idx="150">
                  <c:v>-12237433</c:v>
                </c:pt>
                <c:pt idx="151">
                  <c:v>-13426046</c:v>
                </c:pt>
                <c:pt idx="152">
                  <c:v>-14152625</c:v>
                </c:pt>
                <c:pt idx="153">
                  <c:v>-14557337</c:v>
                </c:pt>
                <c:pt idx="154">
                  <c:v>-14763422</c:v>
                </c:pt>
                <c:pt idx="155">
                  <c:v>-14904444</c:v>
                </c:pt>
                <c:pt idx="156">
                  <c:v>-15324841</c:v>
                </c:pt>
                <c:pt idx="157">
                  <c:v>-15763410</c:v>
                </c:pt>
                <c:pt idx="158">
                  <c:v>-16165865</c:v>
                </c:pt>
                <c:pt idx="159">
                  <c:v>-16487857</c:v>
                </c:pt>
                <c:pt idx="160">
                  <c:v>-16272160</c:v>
                </c:pt>
                <c:pt idx="161">
                  <c:v>-15927672</c:v>
                </c:pt>
                <c:pt idx="162">
                  <c:v>-16040360</c:v>
                </c:pt>
                <c:pt idx="163">
                  <c:v>-17055148</c:v>
                </c:pt>
                <c:pt idx="164">
                  <c:v>-17861383</c:v>
                </c:pt>
                <c:pt idx="165">
                  <c:v>-18276774</c:v>
                </c:pt>
                <c:pt idx="166">
                  <c:v>-21079624</c:v>
                </c:pt>
                <c:pt idx="167">
                  <c:v>-22128252</c:v>
                </c:pt>
                <c:pt idx="168">
                  <c:v>-22947574</c:v>
                </c:pt>
                <c:pt idx="169">
                  <c:v>-23064171</c:v>
                </c:pt>
                <c:pt idx="170">
                  <c:v>-23723279</c:v>
                </c:pt>
                <c:pt idx="171">
                  <c:v>-24173955</c:v>
                </c:pt>
                <c:pt idx="172">
                  <c:v>-24621062</c:v>
                </c:pt>
                <c:pt idx="173">
                  <c:v>-25266028</c:v>
                </c:pt>
                <c:pt idx="174">
                  <c:v>-25803445</c:v>
                </c:pt>
                <c:pt idx="175">
                  <c:v>-26015274</c:v>
                </c:pt>
                <c:pt idx="176">
                  <c:v>-26161795</c:v>
                </c:pt>
                <c:pt idx="177">
                  <c:v>-26683398</c:v>
                </c:pt>
                <c:pt idx="178">
                  <c:v>-29496299</c:v>
                </c:pt>
                <c:pt idx="179">
                  <c:v>-32163838</c:v>
                </c:pt>
                <c:pt idx="180">
                  <c:v>-32606869</c:v>
                </c:pt>
                <c:pt idx="181">
                  <c:v>-32998682</c:v>
                </c:pt>
                <c:pt idx="182">
                  <c:v>-36353998</c:v>
                </c:pt>
                <c:pt idx="183">
                  <c:v>-35362366</c:v>
                </c:pt>
                <c:pt idx="184">
                  <c:v>-35286615</c:v>
                </c:pt>
                <c:pt idx="185">
                  <c:v>-35568906</c:v>
                </c:pt>
                <c:pt idx="186">
                  <c:v>-35639621</c:v>
                </c:pt>
                <c:pt idx="187">
                  <c:v>-35889134</c:v>
                </c:pt>
                <c:pt idx="188">
                  <c:v>-36142537</c:v>
                </c:pt>
                <c:pt idx="189">
                  <c:v>-36248467</c:v>
                </c:pt>
                <c:pt idx="190">
                  <c:v>-36825304</c:v>
                </c:pt>
                <c:pt idx="191">
                  <c:v>-37028090</c:v>
                </c:pt>
                <c:pt idx="192">
                  <c:v>-37281318</c:v>
                </c:pt>
                <c:pt idx="193">
                  <c:v>-37551691</c:v>
                </c:pt>
                <c:pt idx="194">
                  <c:v>-37619228</c:v>
                </c:pt>
                <c:pt idx="195">
                  <c:v>-37764833</c:v>
                </c:pt>
                <c:pt idx="196">
                  <c:v>-37973354</c:v>
                </c:pt>
                <c:pt idx="197">
                  <c:v>-37176774</c:v>
                </c:pt>
                <c:pt idx="198">
                  <c:v>-35950854</c:v>
                </c:pt>
                <c:pt idx="199">
                  <c:v>-36104406</c:v>
                </c:pt>
                <c:pt idx="200">
                  <c:v>-30360852</c:v>
                </c:pt>
                <c:pt idx="201">
                  <c:v>-30605029</c:v>
                </c:pt>
                <c:pt idx="202">
                  <c:v>-30878504</c:v>
                </c:pt>
                <c:pt idx="203">
                  <c:v>-31041634</c:v>
                </c:pt>
                <c:pt idx="204">
                  <c:v>-32108629</c:v>
                </c:pt>
                <c:pt idx="205">
                  <c:v>-32181819</c:v>
                </c:pt>
                <c:pt idx="206">
                  <c:v>-32378534</c:v>
                </c:pt>
                <c:pt idx="207">
                  <c:v>-32670304</c:v>
                </c:pt>
                <c:pt idx="208">
                  <c:v>-26938794</c:v>
                </c:pt>
                <c:pt idx="209">
                  <c:v>-27174534</c:v>
                </c:pt>
                <c:pt idx="210">
                  <c:v>-27314369</c:v>
                </c:pt>
                <c:pt idx="211">
                  <c:v>-27290557</c:v>
                </c:pt>
                <c:pt idx="212">
                  <c:v>-27402892</c:v>
                </c:pt>
                <c:pt idx="213">
                  <c:v>-27570681</c:v>
                </c:pt>
                <c:pt idx="214">
                  <c:v>-27747308</c:v>
                </c:pt>
                <c:pt idx="215">
                  <c:v>-24382963</c:v>
                </c:pt>
                <c:pt idx="216">
                  <c:v>-24637169</c:v>
                </c:pt>
                <c:pt idx="217">
                  <c:v>-24745801</c:v>
                </c:pt>
                <c:pt idx="218">
                  <c:v>-24785444</c:v>
                </c:pt>
                <c:pt idx="219">
                  <c:v>-25005226</c:v>
                </c:pt>
                <c:pt idx="220">
                  <c:v>-25234212</c:v>
                </c:pt>
                <c:pt idx="221">
                  <c:v>-25453974</c:v>
                </c:pt>
                <c:pt idx="222">
                  <c:v>-19717053</c:v>
                </c:pt>
                <c:pt idx="223">
                  <c:v>-19970172</c:v>
                </c:pt>
                <c:pt idx="224">
                  <c:v>-19976248</c:v>
                </c:pt>
                <c:pt idx="225">
                  <c:v>-20023871</c:v>
                </c:pt>
                <c:pt idx="226">
                  <c:v>-20266402</c:v>
                </c:pt>
                <c:pt idx="227">
                  <c:v>-20493728</c:v>
                </c:pt>
                <c:pt idx="228">
                  <c:v>-20744739</c:v>
                </c:pt>
                <c:pt idx="229">
                  <c:v>-21364396</c:v>
                </c:pt>
                <c:pt idx="230">
                  <c:v>-21596705</c:v>
                </c:pt>
                <c:pt idx="231">
                  <c:v>-21691452</c:v>
                </c:pt>
                <c:pt idx="232">
                  <c:v>-21525653</c:v>
                </c:pt>
                <c:pt idx="233">
                  <c:v>-22156432</c:v>
                </c:pt>
                <c:pt idx="234">
                  <c:v>-22384206</c:v>
                </c:pt>
                <c:pt idx="235">
                  <c:v>-22642188</c:v>
                </c:pt>
                <c:pt idx="236">
                  <c:v>-22906372</c:v>
                </c:pt>
                <c:pt idx="237">
                  <c:v>-23130188</c:v>
                </c:pt>
                <c:pt idx="238">
                  <c:v>-23268213</c:v>
                </c:pt>
                <c:pt idx="239">
                  <c:v>-23320712</c:v>
                </c:pt>
                <c:pt idx="240">
                  <c:v>-29540187</c:v>
                </c:pt>
                <c:pt idx="241">
                  <c:v>-28317953</c:v>
                </c:pt>
                <c:pt idx="242">
                  <c:v>-28433844</c:v>
                </c:pt>
                <c:pt idx="243">
                  <c:v>-28103863</c:v>
                </c:pt>
                <c:pt idx="244">
                  <c:v>-28242601</c:v>
                </c:pt>
                <c:pt idx="245">
                  <c:v>-30986827</c:v>
                </c:pt>
                <c:pt idx="246">
                  <c:v>-32000391</c:v>
                </c:pt>
                <c:pt idx="247">
                  <c:v>-31750610</c:v>
                </c:pt>
                <c:pt idx="248">
                  <c:v>-32799406</c:v>
                </c:pt>
                <c:pt idx="249">
                  <c:v>-27015693</c:v>
                </c:pt>
                <c:pt idx="250">
                  <c:v>-27179762</c:v>
                </c:pt>
                <c:pt idx="251">
                  <c:v>-27340515</c:v>
                </c:pt>
                <c:pt idx="252">
                  <c:v>-27433598</c:v>
                </c:pt>
                <c:pt idx="253">
                  <c:v>-27475169</c:v>
                </c:pt>
                <c:pt idx="254">
                  <c:v>-27598558</c:v>
                </c:pt>
                <c:pt idx="255">
                  <c:v>-27739100</c:v>
                </c:pt>
                <c:pt idx="256">
                  <c:v>-27844716</c:v>
                </c:pt>
                <c:pt idx="257">
                  <c:v>-25652751</c:v>
                </c:pt>
                <c:pt idx="258">
                  <c:v>-25586415</c:v>
                </c:pt>
                <c:pt idx="259">
                  <c:v>-25091044</c:v>
                </c:pt>
                <c:pt idx="260">
                  <c:v>-25127278</c:v>
                </c:pt>
                <c:pt idx="261">
                  <c:v>-25128971</c:v>
                </c:pt>
                <c:pt idx="262">
                  <c:v>-25256937</c:v>
                </c:pt>
                <c:pt idx="263">
                  <c:v>-25408365</c:v>
                </c:pt>
                <c:pt idx="264">
                  <c:v>-19616366</c:v>
                </c:pt>
                <c:pt idx="265">
                  <c:v>-19779623</c:v>
                </c:pt>
                <c:pt idx="266">
                  <c:v>-19890200</c:v>
                </c:pt>
                <c:pt idx="267">
                  <c:v>-19943790</c:v>
                </c:pt>
                <c:pt idx="268">
                  <c:v>-20068563</c:v>
                </c:pt>
                <c:pt idx="269">
                  <c:v>-20225375</c:v>
                </c:pt>
                <c:pt idx="270">
                  <c:v>-17983473</c:v>
                </c:pt>
                <c:pt idx="271">
                  <c:v>-11074247</c:v>
                </c:pt>
                <c:pt idx="272">
                  <c:v>-8458325</c:v>
                </c:pt>
                <c:pt idx="273">
                  <c:v>-9427491</c:v>
                </c:pt>
                <c:pt idx="274">
                  <c:v>-9272164</c:v>
                </c:pt>
                <c:pt idx="275">
                  <c:v>-9323264</c:v>
                </c:pt>
                <c:pt idx="276">
                  <c:v>-9401645</c:v>
                </c:pt>
                <c:pt idx="277">
                  <c:v>-9589488</c:v>
                </c:pt>
                <c:pt idx="278">
                  <c:v>-9699214</c:v>
                </c:pt>
                <c:pt idx="279">
                  <c:v>-9811574</c:v>
                </c:pt>
                <c:pt idx="280">
                  <c:v>-9859719</c:v>
                </c:pt>
                <c:pt idx="281">
                  <c:v>-9539227</c:v>
                </c:pt>
                <c:pt idx="282">
                  <c:v>-9596850</c:v>
                </c:pt>
                <c:pt idx="283">
                  <c:v>-9673483</c:v>
                </c:pt>
                <c:pt idx="284">
                  <c:v>-9792256</c:v>
                </c:pt>
                <c:pt idx="285">
                  <c:v>-9887509</c:v>
                </c:pt>
                <c:pt idx="286">
                  <c:v>-9961130</c:v>
                </c:pt>
                <c:pt idx="287">
                  <c:v>-10038061</c:v>
                </c:pt>
                <c:pt idx="288">
                  <c:v>-10055536</c:v>
                </c:pt>
                <c:pt idx="289">
                  <c:v>-10151986</c:v>
                </c:pt>
                <c:pt idx="290">
                  <c:v>-10262465</c:v>
                </c:pt>
                <c:pt idx="291">
                  <c:v>-10342467</c:v>
                </c:pt>
                <c:pt idx="292">
                  <c:v>-10426834</c:v>
                </c:pt>
                <c:pt idx="293">
                  <c:v>-10501397</c:v>
                </c:pt>
                <c:pt idx="294">
                  <c:v>-10565102</c:v>
                </c:pt>
                <c:pt idx="295">
                  <c:v>-10489723</c:v>
                </c:pt>
                <c:pt idx="296">
                  <c:v>-10531320</c:v>
                </c:pt>
                <c:pt idx="297">
                  <c:v>-10959010</c:v>
                </c:pt>
                <c:pt idx="298">
                  <c:v>-11022703</c:v>
                </c:pt>
                <c:pt idx="299">
                  <c:v>-11132787</c:v>
                </c:pt>
                <c:pt idx="300">
                  <c:v>-11148490</c:v>
                </c:pt>
                <c:pt idx="301">
                  <c:v>-9419158</c:v>
                </c:pt>
                <c:pt idx="302">
                  <c:v>-7350795</c:v>
                </c:pt>
                <c:pt idx="303">
                  <c:v>-5929393</c:v>
                </c:pt>
                <c:pt idx="304">
                  <c:v>-5478118</c:v>
                </c:pt>
                <c:pt idx="305">
                  <c:v>-5202097</c:v>
                </c:pt>
                <c:pt idx="306">
                  <c:v>-5217442</c:v>
                </c:pt>
                <c:pt idx="307">
                  <c:v>-4619872</c:v>
                </c:pt>
                <c:pt idx="308">
                  <c:v>223295</c:v>
                </c:pt>
                <c:pt idx="309">
                  <c:v>2300244</c:v>
                </c:pt>
                <c:pt idx="310">
                  <c:v>2258833</c:v>
                </c:pt>
                <c:pt idx="311">
                  <c:v>2223276</c:v>
                </c:pt>
                <c:pt idx="312">
                  <c:v>2152782</c:v>
                </c:pt>
                <c:pt idx="313">
                  <c:v>2103496</c:v>
                </c:pt>
                <c:pt idx="314">
                  <c:v>2061542</c:v>
                </c:pt>
                <c:pt idx="315">
                  <c:v>2003300</c:v>
                </c:pt>
                <c:pt idx="316">
                  <c:v>1995655</c:v>
                </c:pt>
                <c:pt idx="317">
                  <c:v>1998363</c:v>
                </c:pt>
                <c:pt idx="318">
                  <c:v>1965556</c:v>
                </c:pt>
                <c:pt idx="319">
                  <c:v>2366546</c:v>
                </c:pt>
                <c:pt idx="320">
                  <c:v>2344812</c:v>
                </c:pt>
                <c:pt idx="321">
                  <c:v>2350977</c:v>
                </c:pt>
                <c:pt idx="322">
                  <c:v>2499746</c:v>
                </c:pt>
                <c:pt idx="323">
                  <c:v>3763162</c:v>
                </c:pt>
                <c:pt idx="324">
                  <c:v>3920659</c:v>
                </c:pt>
                <c:pt idx="325">
                  <c:v>3931944</c:v>
                </c:pt>
                <c:pt idx="326">
                  <c:v>3930594</c:v>
                </c:pt>
                <c:pt idx="327">
                  <c:v>3868826</c:v>
                </c:pt>
                <c:pt idx="328">
                  <c:v>3874078</c:v>
                </c:pt>
                <c:pt idx="329">
                  <c:v>3859664</c:v>
                </c:pt>
                <c:pt idx="330">
                  <c:v>3809800</c:v>
                </c:pt>
                <c:pt idx="331">
                  <c:v>3750499</c:v>
                </c:pt>
                <c:pt idx="332">
                  <c:v>3678929</c:v>
                </c:pt>
                <c:pt idx="333">
                  <c:v>3615769</c:v>
                </c:pt>
                <c:pt idx="334">
                  <c:v>3542070</c:v>
                </c:pt>
                <c:pt idx="335">
                  <c:v>3487963</c:v>
                </c:pt>
                <c:pt idx="336">
                  <c:v>3509013</c:v>
                </c:pt>
                <c:pt idx="337">
                  <c:v>3434033</c:v>
                </c:pt>
                <c:pt idx="338">
                  <c:v>2555678</c:v>
                </c:pt>
                <c:pt idx="339">
                  <c:v>1366085</c:v>
                </c:pt>
                <c:pt idx="340">
                  <c:v>1291293</c:v>
                </c:pt>
                <c:pt idx="341">
                  <c:v>1201657</c:v>
                </c:pt>
                <c:pt idx="342">
                  <c:v>1095183</c:v>
                </c:pt>
                <c:pt idx="343">
                  <c:v>969436</c:v>
                </c:pt>
                <c:pt idx="344">
                  <c:v>853369</c:v>
                </c:pt>
                <c:pt idx="345">
                  <c:v>703424</c:v>
                </c:pt>
                <c:pt idx="346">
                  <c:v>537043</c:v>
                </c:pt>
                <c:pt idx="347">
                  <c:v>-125912</c:v>
                </c:pt>
                <c:pt idx="348">
                  <c:v>-979473</c:v>
                </c:pt>
                <c:pt idx="349">
                  <c:v>-2265214</c:v>
                </c:pt>
                <c:pt idx="350">
                  <c:v>-2344313</c:v>
                </c:pt>
                <c:pt idx="351">
                  <c:v>-2418247</c:v>
                </c:pt>
                <c:pt idx="352">
                  <c:v>-2613806</c:v>
                </c:pt>
                <c:pt idx="353">
                  <c:v>-3198838</c:v>
                </c:pt>
                <c:pt idx="354">
                  <c:v>-3388553</c:v>
                </c:pt>
                <c:pt idx="355">
                  <c:v>-4593295</c:v>
                </c:pt>
                <c:pt idx="356">
                  <c:v>-6545724</c:v>
                </c:pt>
                <c:pt idx="357">
                  <c:v>-6665579</c:v>
                </c:pt>
                <c:pt idx="358">
                  <c:v>-4714939</c:v>
                </c:pt>
                <c:pt idx="359">
                  <c:v>-4859868</c:v>
                </c:pt>
                <c:pt idx="360">
                  <c:v>-5102942</c:v>
                </c:pt>
                <c:pt idx="361">
                  <c:v>-5344230</c:v>
                </c:pt>
                <c:pt idx="362">
                  <c:v>-5543709</c:v>
                </c:pt>
                <c:pt idx="363">
                  <c:v>-5734702</c:v>
                </c:pt>
                <c:pt idx="364">
                  <c:v>-5042309</c:v>
                </c:pt>
              </c:numCache>
            </c:numRef>
          </c:val>
          <c:smooth val="0"/>
          <c:extLst>
            <c:ext xmlns:c16="http://schemas.microsoft.com/office/drawing/2014/chart" uri="{C3380CC4-5D6E-409C-BE32-E72D297353CC}">
              <c16:uniqueId val="{00000001-BA16-4592-A7B9-48752E62E61C}"/>
            </c:ext>
          </c:extLst>
        </c:ser>
        <c:dLbls>
          <c:showLegendKey val="0"/>
          <c:showVal val="0"/>
          <c:showCatName val="0"/>
          <c:showSerName val="0"/>
          <c:showPercent val="0"/>
          <c:showBubbleSize val="0"/>
        </c:dLbls>
        <c:smooth val="0"/>
        <c:axId val="219015608"/>
        <c:axId val="219143056"/>
      </c:lineChart>
      <c:dateAx>
        <c:axId val="219015608"/>
        <c:scaling>
          <c:orientation val="minMax"/>
        </c:scaling>
        <c:delete val="0"/>
        <c:axPos val="b"/>
        <c:numFmt formatCode="[$]mmm/yy;@" sourceLinked="0"/>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19143056"/>
        <c:crosses val="autoZero"/>
        <c:auto val="1"/>
        <c:lblOffset val="100"/>
        <c:baseTimeUnit val="days"/>
        <c:majorUnit val="1"/>
        <c:majorTimeUnit val="months"/>
      </c:dateAx>
      <c:valAx>
        <c:axId val="219143056"/>
        <c:scaling>
          <c:orientation val="minMax"/>
          <c:max val="50000000"/>
          <c:min val="-50000000"/>
        </c:scaling>
        <c:delete val="0"/>
        <c:axPos val="l"/>
        <c:majorGridlines>
          <c:spPr>
            <a:ln w="6350" cap="flat" cmpd="sng" algn="ctr">
              <a:solidFill>
                <a:schemeClr val="bg1">
                  <a:lumMod val="85000"/>
                </a:schemeClr>
              </a:solidFill>
              <a:prstDash val="sys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19015608"/>
        <c:crosses val="autoZero"/>
        <c:crossBetween val="between"/>
        <c:majorUnit val="20000000"/>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t-PT" sz="900"/>
              <a:t>Imbalance</a:t>
            </a:r>
            <a:r>
              <a:rPr lang="pt-PT" sz="900" baseline="0"/>
              <a:t> Volumes: NU Long</a:t>
            </a:r>
            <a:endParaRPr lang="pt-PT" sz="900"/>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parágrafo_3.4__3.5__3.7!$V$2</c:f>
              <c:strCache>
                <c:ptCount val="1"/>
                <c:pt idx="0">
                  <c:v>Users long</c:v>
                </c:pt>
              </c:strCache>
            </c:strRef>
          </c:tx>
          <c:spPr>
            <a:ln w="12700" cap="rnd">
              <a:solidFill>
                <a:schemeClr val="accent1"/>
              </a:solidFill>
              <a:round/>
            </a:ln>
            <a:effectLst/>
          </c:spPr>
          <c:marker>
            <c:symbol val="none"/>
          </c:marker>
          <c:cat>
            <c:numRef>
              <c:f>parágrafo_3.4__3.5__3.7!$B$4:$B$368</c:f>
              <c:numCache>
                <c:formatCode>[$-409]d\-mmm\-yyyy;@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cat>
          <c:val>
            <c:numRef>
              <c:f>parágrafo_3.4__3.5__3.7!$V$4:$V$368</c:f>
              <c:numCache>
                <c:formatCode>General</c:formatCode>
                <c:ptCount val="365"/>
                <c:pt idx="0">
                  <c:v>1151.18</c:v>
                </c:pt>
                <c:pt idx="1">
                  <c:v>2069.2399999999998</c:v>
                </c:pt>
                <c:pt idx="2">
                  <c:v>10.97</c:v>
                </c:pt>
                <c:pt idx="3">
                  <c:v>1.36</c:v>
                </c:pt>
                <c:pt idx="4">
                  <c:v>2947.53</c:v>
                </c:pt>
                <c:pt idx="5">
                  <c:v>882.51</c:v>
                </c:pt>
                <c:pt idx="6">
                  <c:v>22.94</c:v>
                </c:pt>
                <c:pt idx="7">
                  <c:v>1501.37</c:v>
                </c:pt>
                <c:pt idx="8">
                  <c:v>1973.76</c:v>
                </c:pt>
                <c:pt idx="9">
                  <c:v>8.14</c:v>
                </c:pt>
                <c:pt idx="10">
                  <c:v>7.07</c:v>
                </c:pt>
                <c:pt idx="11">
                  <c:v>11.9</c:v>
                </c:pt>
                <c:pt idx="12">
                  <c:v>6.84</c:v>
                </c:pt>
                <c:pt idx="13">
                  <c:v>6.08</c:v>
                </c:pt>
                <c:pt idx="14">
                  <c:v>139.47999999999999</c:v>
                </c:pt>
                <c:pt idx="15">
                  <c:v>6.32</c:v>
                </c:pt>
                <c:pt idx="16">
                  <c:v>14.77</c:v>
                </c:pt>
                <c:pt idx="17">
                  <c:v>181.22</c:v>
                </c:pt>
                <c:pt idx="18">
                  <c:v>0</c:v>
                </c:pt>
                <c:pt idx="19">
                  <c:v>184.15</c:v>
                </c:pt>
                <c:pt idx="20">
                  <c:v>228.27</c:v>
                </c:pt>
                <c:pt idx="21">
                  <c:v>301.61</c:v>
                </c:pt>
                <c:pt idx="22">
                  <c:v>620.95000000000005</c:v>
                </c:pt>
                <c:pt idx="23">
                  <c:v>169.22</c:v>
                </c:pt>
                <c:pt idx="24">
                  <c:v>273.27</c:v>
                </c:pt>
                <c:pt idx="25">
                  <c:v>103.66</c:v>
                </c:pt>
                <c:pt idx="26">
                  <c:v>1249.05</c:v>
                </c:pt>
                <c:pt idx="27">
                  <c:v>735.24</c:v>
                </c:pt>
                <c:pt idx="28">
                  <c:v>1213.72</c:v>
                </c:pt>
                <c:pt idx="29">
                  <c:v>1066.71</c:v>
                </c:pt>
                <c:pt idx="30">
                  <c:v>871.05</c:v>
                </c:pt>
                <c:pt idx="31">
                  <c:v>3657.36</c:v>
                </c:pt>
                <c:pt idx="32">
                  <c:v>346.28</c:v>
                </c:pt>
                <c:pt idx="33">
                  <c:v>193.61</c:v>
                </c:pt>
                <c:pt idx="34">
                  <c:v>0</c:v>
                </c:pt>
                <c:pt idx="35">
                  <c:v>11.14</c:v>
                </c:pt>
                <c:pt idx="36">
                  <c:v>13.4</c:v>
                </c:pt>
                <c:pt idx="37">
                  <c:v>9.99</c:v>
                </c:pt>
                <c:pt idx="38">
                  <c:v>9.99</c:v>
                </c:pt>
                <c:pt idx="39">
                  <c:v>9.99</c:v>
                </c:pt>
                <c:pt idx="40">
                  <c:v>9.99</c:v>
                </c:pt>
                <c:pt idx="41">
                  <c:v>9.98</c:v>
                </c:pt>
                <c:pt idx="42">
                  <c:v>0</c:v>
                </c:pt>
                <c:pt idx="43">
                  <c:v>0.57999999999999996</c:v>
                </c:pt>
                <c:pt idx="44">
                  <c:v>0</c:v>
                </c:pt>
                <c:pt idx="45">
                  <c:v>0</c:v>
                </c:pt>
                <c:pt idx="46">
                  <c:v>0</c:v>
                </c:pt>
                <c:pt idx="47">
                  <c:v>22.86</c:v>
                </c:pt>
                <c:pt idx="48">
                  <c:v>0</c:v>
                </c:pt>
                <c:pt idx="49">
                  <c:v>0.57999999999999996</c:v>
                </c:pt>
                <c:pt idx="50">
                  <c:v>0</c:v>
                </c:pt>
                <c:pt idx="51">
                  <c:v>42.74</c:v>
                </c:pt>
                <c:pt idx="52">
                  <c:v>0</c:v>
                </c:pt>
                <c:pt idx="53">
                  <c:v>25.37</c:v>
                </c:pt>
                <c:pt idx="54">
                  <c:v>0</c:v>
                </c:pt>
                <c:pt idx="55">
                  <c:v>35.380000000000003</c:v>
                </c:pt>
                <c:pt idx="56">
                  <c:v>0</c:v>
                </c:pt>
                <c:pt idx="57">
                  <c:v>9.7200000000000006</c:v>
                </c:pt>
                <c:pt idx="58">
                  <c:v>0</c:v>
                </c:pt>
                <c:pt idx="59">
                  <c:v>0</c:v>
                </c:pt>
                <c:pt idx="60">
                  <c:v>35.94</c:v>
                </c:pt>
                <c:pt idx="61">
                  <c:v>118.06</c:v>
                </c:pt>
                <c:pt idx="62">
                  <c:v>0.21</c:v>
                </c:pt>
                <c:pt idx="63">
                  <c:v>5.51</c:v>
                </c:pt>
                <c:pt idx="64">
                  <c:v>4.47</c:v>
                </c:pt>
                <c:pt idx="65">
                  <c:v>895.16</c:v>
                </c:pt>
                <c:pt idx="66">
                  <c:v>396.36</c:v>
                </c:pt>
                <c:pt idx="67">
                  <c:v>359.03</c:v>
                </c:pt>
                <c:pt idx="68">
                  <c:v>5.07</c:v>
                </c:pt>
                <c:pt idx="69">
                  <c:v>2383.42</c:v>
                </c:pt>
                <c:pt idx="70">
                  <c:v>9.16</c:v>
                </c:pt>
                <c:pt idx="71">
                  <c:v>9.09</c:v>
                </c:pt>
                <c:pt idx="72">
                  <c:v>745.87</c:v>
                </c:pt>
                <c:pt idx="73">
                  <c:v>0</c:v>
                </c:pt>
                <c:pt idx="74">
                  <c:v>0</c:v>
                </c:pt>
                <c:pt idx="75">
                  <c:v>0</c:v>
                </c:pt>
                <c:pt idx="76">
                  <c:v>0</c:v>
                </c:pt>
                <c:pt idx="77">
                  <c:v>1.67</c:v>
                </c:pt>
                <c:pt idx="78">
                  <c:v>1.82</c:v>
                </c:pt>
                <c:pt idx="79">
                  <c:v>161.91</c:v>
                </c:pt>
                <c:pt idx="80">
                  <c:v>253.62</c:v>
                </c:pt>
                <c:pt idx="81">
                  <c:v>0</c:v>
                </c:pt>
                <c:pt idx="82">
                  <c:v>208.34</c:v>
                </c:pt>
                <c:pt idx="83">
                  <c:v>1497.29</c:v>
                </c:pt>
                <c:pt idx="84">
                  <c:v>413.11</c:v>
                </c:pt>
                <c:pt idx="85">
                  <c:v>2.83</c:v>
                </c:pt>
                <c:pt idx="86">
                  <c:v>1465.1</c:v>
                </c:pt>
                <c:pt idx="87">
                  <c:v>0</c:v>
                </c:pt>
                <c:pt idx="88">
                  <c:v>1616.34</c:v>
                </c:pt>
                <c:pt idx="89">
                  <c:v>902.08</c:v>
                </c:pt>
                <c:pt idx="90">
                  <c:v>443.61</c:v>
                </c:pt>
                <c:pt idx="91">
                  <c:v>868.41</c:v>
                </c:pt>
                <c:pt idx="92" formatCode="#,##0">
                  <c:v>274.01</c:v>
                </c:pt>
                <c:pt idx="93" formatCode="#,##0">
                  <c:v>73.650000000000006</c:v>
                </c:pt>
                <c:pt idx="94" formatCode="#,##0">
                  <c:v>0</c:v>
                </c:pt>
                <c:pt idx="95" formatCode="#,##0">
                  <c:v>581.08000000000004</c:v>
                </c:pt>
                <c:pt idx="96" formatCode="#,##0">
                  <c:v>100.14</c:v>
                </c:pt>
                <c:pt idx="97" formatCode="#,##0">
                  <c:v>0.2</c:v>
                </c:pt>
                <c:pt idx="98" formatCode="#,##0">
                  <c:v>0.77</c:v>
                </c:pt>
                <c:pt idx="99" formatCode="#,##0">
                  <c:v>6.69</c:v>
                </c:pt>
                <c:pt idx="100" formatCode="#,##0">
                  <c:v>0</c:v>
                </c:pt>
                <c:pt idx="101" formatCode="#,##0">
                  <c:v>25.77</c:v>
                </c:pt>
                <c:pt idx="102" formatCode="#,##0">
                  <c:v>165.5</c:v>
                </c:pt>
                <c:pt idx="103" formatCode="#,##0">
                  <c:v>44.24</c:v>
                </c:pt>
                <c:pt idx="104" formatCode="#,##0">
                  <c:v>407.9</c:v>
                </c:pt>
                <c:pt idx="105" formatCode="#,##0">
                  <c:v>494.75</c:v>
                </c:pt>
                <c:pt idx="106" formatCode="#,##0">
                  <c:v>0.23</c:v>
                </c:pt>
                <c:pt idx="107" formatCode="#,##0">
                  <c:v>0.43</c:v>
                </c:pt>
                <c:pt idx="108" formatCode="#,##0">
                  <c:v>0.79</c:v>
                </c:pt>
                <c:pt idx="109" formatCode="#,##0">
                  <c:v>10.130000000000001</c:v>
                </c:pt>
                <c:pt idx="110" formatCode="#,##0">
                  <c:v>0.32</c:v>
                </c:pt>
                <c:pt idx="111" formatCode="#,##0">
                  <c:v>0</c:v>
                </c:pt>
                <c:pt idx="112" formatCode="#,##0">
                  <c:v>0</c:v>
                </c:pt>
                <c:pt idx="113" formatCode="#,##0">
                  <c:v>0</c:v>
                </c:pt>
                <c:pt idx="114" formatCode="#,##0">
                  <c:v>27.03</c:v>
                </c:pt>
                <c:pt idx="115" formatCode="#,##0">
                  <c:v>0</c:v>
                </c:pt>
                <c:pt idx="116" formatCode="#,##0">
                  <c:v>353.63</c:v>
                </c:pt>
                <c:pt idx="117" formatCode="#,##0">
                  <c:v>155.08000000000001</c:v>
                </c:pt>
                <c:pt idx="118" formatCode="#,##0">
                  <c:v>894.18</c:v>
                </c:pt>
                <c:pt idx="119" formatCode="#,##0">
                  <c:v>173.23</c:v>
                </c:pt>
                <c:pt idx="120" formatCode="#,##0">
                  <c:v>79.8</c:v>
                </c:pt>
                <c:pt idx="121" formatCode="#,##0">
                  <c:v>761.44</c:v>
                </c:pt>
                <c:pt idx="122" formatCode="#,##0">
                  <c:v>48.14</c:v>
                </c:pt>
                <c:pt idx="123" formatCode="#,##0">
                  <c:v>2195.29</c:v>
                </c:pt>
                <c:pt idx="124" formatCode="#,##0">
                  <c:v>2489.64</c:v>
                </c:pt>
                <c:pt idx="125" formatCode="#,##0">
                  <c:v>2.25</c:v>
                </c:pt>
                <c:pt idx="126" formatCode="#,##0">
                  <c:v>269.26</c:v>
                </c:pt>
                <c:pt idx="127" formatCode="#,##0">
                  <c:v>3.9</c:v>
                </c:pt>
                <c:pt idx="128" formatCode="#,##0">
                  <c:v>2.44</c:v>
                </c:pt>
                <c:pt idx="129" formatCode="#,##0">
                  <c:v>1.55</c:v>
                </c:pt>
                <c:pt idx="130" formatCode="#,##0">
                  <c:v>1.26</c:v>
                </c:pt>
                <c:pt idx="131" formatCode="#,##0">
                  <c:v>1.05</c:v>
                </c:pt>
                <c:pt idx="132" formatCode="#,##0">
                  <c:v>14.3</c:v>
                </c:pt>
                <c:pt idx="133" formatCode="#,##0">
                  <c:v>0</c:v>
                </c:pt>
                <c:pt idx="134" formatCode="#,##0">
                  <c:v>0</c:v>
                </c:pt>
                <c:pt idx="135" formatCode="#,##0">
                  <c:v>19.02</c:v>
                </c:pt>
                <c:pt idx="136" formatCode="#,##0">
                  <c:v>1236.8399999999999</c:v>
                </c:pt>
                <c:pt idx="137" formatCode="#,##0">
                  <c:v>22.2</c:v>
                </c:pt>
                <c:pt idx="138" formatCode="#,##0">
                  <c:v>0</c:v>
                </c:pt>
                <c:pt idx="139" formatCode="#,##0">
                  <c:v>0</c:v>
                </c:pt>
                <c:pt idx="140" formatCode="#,##0">
                  <c:v>13.58</c:v>
                </c:pt>
                <c:pt idx="141" formatCode="#,##0">
                  <c:v>5.6</c:v>
                </c:pt>
                <c:pt idx="142" formatCode="#,##0">
                  <c:v>0</c:v>
                </c:pt>
                <c:pt idx="143" formatCode="#,##0">
                  <c:v>2.98</c:v>
                </c:pt>
                <c:pt idx="144" formatCode="#,##0">
                  <c:v>22.19</c:v>
                </c:pt>
                <c:pt idx="145" formatCode="#,##0">
                  <c:v>23.05</c:v>
                </c:pt>
                <c:pt idx="146" formatCode="#,##0">
                  <c:v>4.29</c:v>
                </c:pt>
                <c:pt idx="147" formatCode="#,##0">
                  <c:v>5.75</c:v>
                </c:pt>
                <c:pt idx="148" formatCode="#,##0">
                  <c:v>5.75</c:v>
                </c:pt>
                <c:pt idx="149" formatCode="#,##0">
                  <c:v>694.3</c:v>
                </c:pt>
                <c:pt idx="150" formatCode="#,##0">
                  <c:v>0</c:v>
                </c:pt>
                <c:pt idx="151" formatCode="#,##0">
                  <c:v>0</c:v>
                </c:pt>
                <c:pt idx="152" formatCode="#,##0">
                  <c:v>0</c:v>
                </c:pt>
                <c:pt idx="153" formatCode="#,##0">
                  <c:v>1.83</c:v>
                </c:pt>
                <c:pt idx="154" formatCode="#,##0">
                  <c:v>0</c:v>
                </c:pt>
                <c:pt idx="155" formatCode="#,##0">
                  <c:v>1.76</c:v>
                </c:pt>
                <c:pt idx="156" formatCode="#,##0">
                  <c:v>2.5</c:v>
                </c:pt>
                <c:pt idx="157" formatCode="#,##0">
                  <c:v>2.54</c:v>
                </c:pt>
                <c:pt idx="158" formatCode="#,##0">
                  <c:v>2.91</c:v>
                </c:pt>
                <c:pt idx="159" formatCode="#,##0">
                  <c:v>100.85</c:v>
                </c:pt>
                <c:pt idx="160" formatCode="#,##0">
                  <c:v>629.91</c:v>
                </c:pt>
                <c:pt idx="161" formatCode="#,##0">
                  <c:v>512.66999999999996</c:v>
                </c:pt>
                <c:pt idx="162" formatCode="#,##0">
                  <c:v>6.81</c:v>
                </c:pt>
                <c:pt idx="163" formatCode="#,##0">
                  <c:v>2.82</c:v>
                </c:pt>
                <c:pt idx="164" formatCode="#,##0">
                  <c:v>5.55</c:v>
                </c:pt>
                <c:pt idx="165" formatCode="#,##0">
                  <c:v>0</c:v>
                </c:pt>
                <c:pt idx="166" formatCode="#,##0">
                  <c:v>7.0000000000000007E-2</c:v>
                </c:pt>
                <c:pt idx="167" formatCode="#,##0">
                  <c:v>0.81</c:v>
                </c:pt>
                <c:pt idx="168" formatCode="#,##0">
                  <c:v>5.07</c:v>
                </c:pt>
                <c:pt idx="169" formatCode="#,##0">
                  <c:v>8.7100000000000009</c:v>
                </c:pt>
                <c:pt idx="170" formatCode="#,##0">
                  <c:v>1.26</c:v>
                </c:pt>
                <c:pt idx="171" formatCode="#,##0">
                  <c:v>0.87</c:v>
                </c:pt>
                <c:pt idx="172" formatCode="#,##0">
                  <c:v>4.34</c:v>
                </c:pt>
                <c:pt idx="173" formatCode="#,##0">
                  <c:v>1.55</c:v>
                </c:pt>
                <c:pt idx="174" formatCode="#,##0">
                  <c:v>0.71</c:v>
                </c:pt>
                <c:pt idx="175" formatCode="#,##0">
                  <c:v>0</c:v>
                </c:pt>
                <c:pt idx="176" formatCode="#,##0">
                  <c:v>0</c:v>
                </c:pt>
                <c:pt idx="177" formatCode="#,##0">
                  <c:v>0</c:v>
                </c:pt>
                <c:pt idx="178" formatCode="#,##0">
                  <c:v>0</c:v>
                </c:pt>
                <c:pt idx="179" formatCode="#,##0">
                  <c:v>0</c:v>
                </c:pt>
                <c:pt idx="180" formatCode="#,##0">
                  <c:v>0</c:v>
                </c:pt>
                <c:pt idx="181" formatCode="#,##0">
                  <c:v>7.69</c:v>
                </c:pt>
                <c:pt idx="182" formatCode="#,##0">
                  <c:v>2.5499999999999998</c:v>
                </c:pt>
                <c:pt idx="183" formatCode="#,##0">
                  <c:v>1040.75</c:v>
                </c:pt>
                <c:pt idx="184" formatCode="#,##0">
                  <c:v>339.51</c:v>
                </c:pt>
                <c:pt idx="185" formatCode="#,##0">
                  <c:v>0</c:v>
                </c:pt>
                <c:pt idx="186" formatCode="#,##0">
                  <c:v>219.94</c:v>
                </c:pt>
                <c:pt idx="187" formatCode="#,##0">
                  <c:v>1.76</c:v>
                </c:pt>
                <c:pt idx="188" formatCode="#,##0">
                  <c:v>0</c:v>
                </c:pt>
                <c:pt idx="189" formatCode="#,##0">
                  <c:v>0.53</c:v>
                </c:pt>
                <c:pt idx="190" formatCode="#,##0">
                  <c:v>0.69</c:v>
                </c:pt>
                <c:pt idx="191" formatCode="#,##0">
                  <c:v>0</c:v>
                </c:pt>
                <c:pt idx="192" formatCode="#,##0">
                  <c:v>0</c:v>
                </c:pt>
                <c:pt idx="193" formatCode="#,##0">
                  <c:v>0</c:v>
                </c:pt>
                <c:pt idx="194" formatCode="#,##0">
                  <c:v>174.89</c:v>
                </c:pt>
                <c:pt idx="195" formatCode="#,##0">
                  <c:v>0</c:v>
                </c:pt>
                <c:pt idx="196" formatCode="#,##0">
                  <c:v>0.04</c:v>
                </c:pt>
                <c:pt idx="197" formatCode="#,##0">
                  <c:v>798.31</c:v>
                </c:pt>
                <c:pt idx="198" formatCode="#,##0">
                  <c:v>1226.9100000000001</c:v>
                </c:pt>
                <c:pt idx="199" formatCode="#,##0">
                  <c:v>605</c:v>
                </c:pt>
                <c:pt idx="200" formatCode="#,##0">
                  <c:v>0</c:v>
                </c:pt>
                <c:pt idx="201" formatCode="#,##0">
                  <c:v>0</c:v>
                </c:pt>
                <c:pt idx="202" formatCode="#,##0">
                  <c:v>0</c:v>
                </c:pt>
                <c:pt idx="203" formatCode="#,##0">
                  <c:v>0</c:v>
                </c:pt>
                <c:pt idx="204" formatCode="#,##0">
                  <c:v>0.9</c:v>
                </c:pt>
                <c:pt idx="205" formatCode="#,##0">
                  <c:v>29.23</c:v>
                </c:pt>
                <c:pt idx="206" formatCode="#,##0">
                  <c:v>3.29</c:v>
                </c:pt>
                <c:pt idx="207" formatCode="#,##0">
                  <c:v>1.92</c:v>
                </c:pt>
                <c:pt idx="208" formatCode="#,##0">
                  <c:v>2.56</c:v>
                </c:pt>
                <c:pt idx="209" formatCode="#,##0">
                  <c:v>1.24</c:v>
                </c:pt>
                <c:pt idx="210" formatCode="#,##0">
                  <c:v>2.87</c:v>
                </c:pt>
                <c:pt idx="211" formatCode="#,##0">
                  <c:v>43.41</c:v>
                </c:pt>
                <c:pt idx="212" formatCode="#,##0">
                  <c:v>0.76</c:v>
                </c:pt>
                <c:pt idx="213" formatCode="#,##0">
                  <c:v>3.23</c:v>
                </c:pt>
                <c:pt idx="214" formatCode="#,##0">
                  <c:v>1.84</c:v>
                </c:pt>
                <c:pt idx="215" formatCode="#,##0">
                  <c:v>48.64</c:v>
                </c:pt>
                <c:pt idx="216" formatCode="#,##0">
                  <c:v>1.95</c:v>
                </c:pt>
                <c:pt idx="217" formatCode="#,##0">
                  <c:v>5.4</c:v>
                </c:pt>
                <c:pt idx="218" formatCode="#,##0">
                  <c:v>4.66</c:v>
                </c:pt>
                <c:pt idx="219" formatCode="#,##0">
                  <c:v>9.14</c:v>
                </c:pt>
                <c:pt idx="220" formatCode="#,##0">
                  <c:v>8.35</c:v>
                </c:pt>
                <c:pt idx="221" formatCode="#,##0">
                  <c:v>7.41</c:v>
                </c:pt>
                <c:pt idx="222" formatCode="#,##0">
                  <c:v>6.74</c:v>
                </c:pt>
                <c:pt idx="223" formatCode="#,##0">
                  <c:v>6.67</c:v>
                </c:pt>
                <c:pt idx="224" formatCode="#,##0">
                  <c:v>89.85</c:v>
                </c:pt>
                <c:pt idx="225" formatCode="#,##0">
                  <c:v>6.78</c:v>
                </c:pt>
                <c:pt idx="226" formatCode="#,##0">
                  <c:v>6.99</c:v>
                </c:pt>
                <c:pt idx="227" formatCode="#,##0">
                  <c:v>6.88</c:v>
                </c:pt>
                <c:pt idx="228" formatCode="#,##0">
                  <c:v>6.25</c:v>
                </c:pt>
                <c:pt idx="229" formatCode="#,##0">
                  <c:v>1.24</c:v>
                </c:pt>
                <c:pt idx="230" formatCode="#,##0">
                  <c:v>0.41</c:v>
                </c:pt>
                <c:pt idx="231" formatCode="#,##0">
                  <c:v>1.03</c:v>
                </c:pt>
                <c:pt idx="232" formatCode="#,##0">
                  <c:v>216.02</c:v>
                </c:pt>
                <c:pt idx="233" formatCode="#,##0">
                  <c:v>1.47</c:v>
                </c:pt>
                <c:pt idx="234" formatCode="#,##0">
                  <c:v>0.59</c:v>
                </c:pt>
                <c:pt idx="235" formatCode="#,##0">
                  <c:v>0</c:v>
                </c:pt>
                <c:pt idx="236" formatCode="#,##0">
                  <c:v>0</c:v>
                </c:pt>
                <c:pt idx="237" formatCode="#,##0">
                  <c:v>0</c:v>
                </c:pt>
                <c:pt idx="238" formatCode="#,##0">
                  <c:v>0.4</c:v>
                </c:pt>
                <c:pt idx="239" formatCode="#,##0">
                  <c:v>0.56000000000000005</c:v>
                </c:pt>
                <c:pt idx="240" formatCode="#,##0">
                  <c:v>1.03</c:v>
                </c:pt>
                <c:pt idx="241" formatCode="#,##0">
                  <c:v>1443.82</c:v>
                </c:pt>
                <c:pt idx="242" formatCode="#,##0">
                  <c:v>152.06</c:v>
                </c:pt>
                <c:pt idx="243" formatCode="#,##0">
                  <c:v>469.34</c:v>
                </c:pt>
                <c:pt idx="244" formatCode="#,##0">
                  <c:v>0</c:v>
                </c:pt>
                <c:pt idx="245" formatCode="#,##0">
                  <c:v>0</c:v>
                </c:pt>
                <c:pt idx="246" formatCode="#,##0">
                  <c:v>0.05</c:v>
                </c:pt>
                <c:pt idx="247" formatCode="#,##0">
                  <c:v>398.81</c:v>
                </c:pt>
                <c:pt idx="248" formatCode="#,##0">
                  <c:v>0</c:v>
                </c:pt>
                <c:pt idx="249" formatCode="#,##0">
                  <c:v>0</c:v>
                </c:pt>
                <c:pt idx="250" formatCode="#,##0">
                  <c:v>0</c:v>
                </c:pt>
                <c:pt idx="251" formatCode="#,##0">
                  <c:v>1.18</c:v>
                </c:pt>
                <c:pt idx="252" formatCode="#,##0">
                  <c:v>0</c:v>
                </c:pt>
                <c:pt idx="253" formatCode="#,##0">
                  <c:v>6.65</c:v>
                </c:pt>
                <c:pt idx="254" formatCode="#,##0">
                  <c:v>0</c:v>
                </c:pt>
                <c:pt idx="255" formatCode="#,##0">
                  <c:v>0.71</c:v>
                </c:pt>
                <c:pt idx="256" formatCode="#,##0">
                  <c:v>29.98</c:v>
                </c:pt>
                <c:pt idx="257" formatCode="#,##0">
                  <c:v>2264.9899999999998</c:v>
                </c:pt>
                <c:pt idx="258" formatCode="#,##0">
                  <c:v>134.81</c:v>
                </c:pt>
                <c:pt idx="259" formatCode="#,##0">
                  <c:v>589.80999999999995</c:v>
                </c:pt>
                <c:pt idx="260" formatCode="#,##0">
                  <c:v>25.3</c:v>
                </c:pt>
                <c:pt idx="261" formatCode="#,##0">
                  <c:v>122.11</c:v>
                </c:pt>
                <c:pt idx="262" formatCode="#,##0">
                  <c:v>1.57</c:v>
                </c:pt>
                <c:pt idx="263" formatCode="#,##0">
                  <c:v>1.1000000000000001</c:v>
                </c:pt>
                <c:pt idx="264" formatCode="#,##0">
                  <c:v>0.49</c:v>
                </c:pt>
                <c:pt idx="265" formatCode="#,##0">
                  <c:v>2.74</c:v>
                </c:pt>
                <c:pt idx="266" formatCode="#,##0">
                  <c:v>0</c:v>
                </c:pt>
                <c:pt idx="267" formatCode="#,##0">
                  <c:v>0</c:v>
                </c:pt>
                <c:pt idx="268" formatCode="#,##0">
                  <c:v>0</c:v>
                </c:pt>
                <c:pt idx="269" formatCode="#,##0">
                  <c:v>0</c:v>
                </c:pt>
                <c:pt idx="270" formatCode="#,##0">
                  <c:v>2447.19</c:v>
                </c:pt>
                <c:pt idx="271" formatCode="#,##0">
                  <c:v>1119.3900000000001</c:v>
                </c:pt>
                <c:pt idx="272" formatCode="#,##0">
                  <c:v>2777.91</c:v>
                </c:pt>
                <c:pt idx="273" formatCode="#,##0">
                  <c:v>101.42</c:v>
                </c:pt>
                <c:pt idx="274" formatCode="#,##0">
                  <c:v>156.54</c:v>
                </c:pt>
                <c:pt idx="275" formatCode="#,##0">
                  <c:v>11.33</c:v>
                </c:pt>
                <c:pt idx="276" formatCode="#,##0">
                  <c:v>9.4700000000000006</c:v>
                </c:pt>
                <c:pt idx="277" formatCode="#,##0">
                  <c:v>9.94</c:v>
                </c:pt>
                <c:pt idx="278" formatCode="#,##0">
                  <c:v>8.11</c:v>
                </c:pt>
                <c:pt idx="279" formatCode="#,##0">
                  <c:v>8.58</c:v>
                </c:pt>
                <c:pt idx="280" formatCode="#,##0">
                  <c:v>0</c:v>
                </c:pt>
                <c:pt idx="281" formatCode="#,##0">
                  <c:v>336.23</c:v>
                </c:pt>
                <c:pt idx="282" formatCode="#,##0">
                  <c:v>5.27</c:v>
                </c:pt>
                <c:pt idx="283" formatCode="#,##0">
                  <c:v>0.77</c:v>
                </c:pt>
                <c:pt idx="284" formatCode="#,##0">
                  <c:v>0.49</c:v>
                </c:pt>
                <c:pt idx="285" formatCode="#,##0">
                  <c:v>11.34</c:v>
                </c:pt>
                <c:pt idx="286" formatCode="#,##0">
                  <c:v>13.66</c:v>
                </c:pt>
                <c:pt idx="287" formatCode="#,##0">
                  <c:v>6.11</c:v>
                </c:pt>
                <c:pt idx="288" formatCode="#,##0">
                  <c:v>0</c:v>
                </c:pt>
                <c:pt idx="289" formatCode="#,##0">
                  <c:v>0</c:v>
                </c:pt>
                <c:pt idx="290" formatCode="#,##0">
                  <c:v>1.26</c:v>
                </c:pt>
                <c:pt idx="291" formatCode="#,##0">
                  <c:v>0</c:v>
                </c:pt>
                <c:pt idx="292" formatCode="#,##0">
                  <c:v>0</c:v>
                </c:pt>
                <c:pt idx="293" formatCode="#,##0">
                  <c:v>0</c:v>
                </c:pt>
                <c:pt idx="294" formatCode="#,##0">
                  <c:v>0</c:v>
                </c:pt>
                <c:pt idx="295" formatCode="#,##0">
                  <c:v>105.62</c:v>
                </c:pt>
                <c:pt idx="296" formatCode="#,##0">
                  <c:v>0</c:v>
                </c:pt>
                <c:pt idx="297" formatCode="#,##0">
                  <c:v>0</c:v>
                </c:pt>
                <c:pt idx="298" formatCode="#,##0">
                  <c:v>0</c:v>
                </c:pt>
                <c:pt idx="299" formatCode="#,##0">
                  <c:v>2.74</c:v>
                </c:pt>
                <c:pt idx="300" formatCode="#,##0">
                  <c:v>254.23</c:v>
                </c:pt>
                <c:pt idx="301" formatCode="#,##0">
                  <c:v>1812.06</c:v>
                </c:pt>
                <c:pt idx="302" formatCode="#,##0">
                  <c:v>2084.1799999999998</c:v>
                </c:pt>
                <c:pt idx="303" formatCode="#,##0">
                  <c:v>1489.47</c:v>
                </c:pt>
                <c:pt idx="304" formatCode="#,##0">
                  <c:v>2630.47</c:v>
                </c:pt>
                <c:pt idx="305" formatCode="#,##0">
                  <c:v>2732.89</c:v>
                </c:pt>
                <c:pt idx="306" formatCode="#,##0">
                  <c:v>0</c:v>
                </c:pt>
                <c:pt idx="307" formatCode="#,##0">
                  <c:v>795.97</c:v>
                </c:pt>
                <c:pt idx="308" formatCode="#,##0">
                  <c:v>4902.03</c:v>
                </c:pt>
                <c:pt idx="309" formatCode="#,##0">
                  <c:v>2159.6799999999998</c:v>
                </c:pt>
                <c:pt idx="310" formatCode="#,##0">
                  <c:v>0</c:v>
                </c:pt>
                <c:pt idx="311" formatCode="#,##0">
                  <c:v>62.1</c:v>
                </c:pt>
                <c:pt idx="312" formatCode="#,##0">
                  <c:v>0</c:v>
                </c:pt>
                <c:pt idx="313" formatCode="#,##0">
                  <c:v>0</c:v>
                </c:pt>
                <c:pt idx="314" formatCode="#,##0">
                  <c:v>0.4</c:v>
                </c:pt>
                <c:pt idx="315" formatCode="#,##0">
                  <c:v>0.36</c:v>
                </c:pt>
                <c:pt idx="316" formatCode="#,##0">
                  <c:v>20.66</c:v>
                </c:pt>
                <c:pt idx="317" formatCode="#,##0">
                  <c:v>2.71</c:v>
                </c:pt>
                <c:pt idx="318" formatCode="#,##0">
                  <c:v>16.47</c:v>
                </c:pt>
                <c:pt idx="319" formatCode="#,##0">
                  <c:v>400.99</c:v>
                </c:pt>
                <c:pt idx="320" formatCode="#,##0">
                  <c:v>3.62</c:v>
                </c:pt>
                <c:pt idx="321" formatCode="#,##0">
                  <c:v>9.2200000000000006</c:v>
                </c:pt>
                <c:pt idx="322" formatCode="#,##0">
                  <c:v>149.87</c:v>
                </c:pt>
                <c:pt idx="323" formatCode="#,##0">
                  <c:v>1283.17</c:v>
                </c:pt>
                <c:pt idx="324" formatCode="#,##0">
                  <c:v>157.78</c:v>
                </c:pt>
                <c:pt idx="325" formatCode="#,##0">
                  <c:v>11.29</c:v>
                </c:pt>
                <c:pt idx="326" formatCode="#,##0">
                  <c:v>0.91</c:v>
                </c:pt>
                <c:pt idx="327" formatCode="#,##0">
                  <c:v>10.09</c:v>
                </c:pt>
                <c:pt idx="328" formatCode="#,##0">
                  <c:v>10.64</c:v>
                </c:pt>
                <c:pt idx="329" formatCode="#,##0">
                  <c:v>0</c:v>
                </c:pt>
                <c:pt idx="330" formatCode="#,##0">
                  <c:v>0.24</c:v>
                </c:pt>
                <c:pt idx="331" formatCode="#,##0">
                  <c:v>0.25</c:v>
                </c:pt>
                <c:pt idx="332" formatCode="#,##0">
                  <c:v>0</c:v>
                </c:pt>
                <c:pt idx="333" formatCode="#,##0">
                  <c:v>0</c:v>
                </c:pt>
                <c:pt idx="334" formatCode="#,##0">
                  <c:v>0</c:v>
                </c:pt>
                <c:pt idx="335" formatCode="#,##0">
                  <c:v>0</c:v>
                </c:pt>
                <c:pt idx="336" formatCode="#,##0">
                  <c:v>36.65</c:v>
                </c:pt>
                <c:pt idx="337" formatCode="#,##0">
                  <c:v>27.88</c:v>
                </c:pt>
                <c:pt idx="338" formatCode="#,##0">
                  <c:v>0.81</c:v>
                </c:pt>
                <c:pt idx="339" formatCode="#,##0">
                  <c:v>0</c:v>
                </c:pt>
                <c:pt idx="340" formatCode="#,##0">
                  <c:v>0</c:v>
                </c:pt>
                <c:pt idx="341" formatCode="#,##0">
                  <c:v>0</c:v>
                </c:pt>
                <c:pt idx="342" formatCode="#,##0">
                  <c:v>0</c:v>
                </c:pt>
                <c:pt idx="343" formatCode="#,##0">
                  <c:v>0</c:v>
                </c:pt>
                <c:pt idx="344" formatCode="#,##0">
                  <c:v>5.77</c:v>
                </c:pt>
                <c:pt idx="345" formatCode="#,##0">
                  <c:v>0.03</c:v>
                </c:pt>
                <c:pt idx="346" formatCode="#,##0">
                  <c:v>0</c:v>
                </c:pt>
                <c:pt idx="347" formatCode="#,##0">
                  <c:v>0</c:v>
                </c:pt>
                <c:pt idx="348" formatCode="#,##0">
                  <c:v>0</c:v>
                </c:pt>
                <c:pt idx="349" formatCode="#,##0">
                  <c:v>2.27</c:v>
                </c:pt>
                <c:pt idx="350" formatCode="#,##0">
                  <c:v>0.01</c:v>
                </c:pt>
                <c:pt idx="351" formatCode="#,##0">
                  <c:v>0.08</c:v>
                </c:pt>
                <c:pt idx="352" formatCode="#,##0">
                  <c:v>0</c:v>
                </c:pt>
                <c:pt idx="353" formatCode="#,##0">
                  <c:v>0</c:v>
                </c:pt>
                <c:pt idx="354" formatCode="#,##0">
                  <c:v>0</c:v>
                </c:pt>
                <c:pt idx="355" formatCode="#,##0">
                  <c:v>0</c:v>
                </c:pt>
                <c:pt idx="356" formatCode="#,##0">
                  <c:v>0</c:v>
                </c:pt>
                <c:pt idx="357" formatCode="#,##0">
                  <c:v>0</c:v>
                </c:pt>
                <c:pt idx="358" formatCode="#,##0">
                  <c:v>2021</c:v>
                </c:pt>
                <c:pt idx="359" formatCode="#,##0">
                  <c:v>0</c:v>
                </c:pt>
                <c:pt idx="360" formatCode="#,##0">
                  <c:v>0</c:v>
                </c:pt>
                <c:pt idx="361" formatCode="#,##0">
                  <c:v>0</c:v>
                </c:pt>
                <c:pt idx="362" formatCode="#,##0">
                  <c:v>0</c:v>
                </c:pt>
                <c:pt idx="363" formatCode="#,##0">
                  <c:v>0</c:v>
                </c:pt>
                <c:pt idx="364" formatCode="#,##0">
                  <c:v>769</c:v>
                </c:pt>
              </c:numCache>
            </c:numRef>
          </c:val>
          <c:smooth val="0"/>
          <c:extLst>
            <c:ext xmlns:c16="http://schemas.microsoft.com/office/drawing/2014/chart" uri="{C3380CC4-5D6E-409C-BE32-E72D297353CC}">
              <c16:uniqueId val="{00000000-6A00-4E87-9BE9-4CD905D5EE28}"/>
            </c:ext>
          </c:extLst>
        </c:ser>
        <c:dLbls>
          <c:showLegendKey val="0"/>
          <c:showVal val="0"/>
          <c:showCatName val="0"/>
          <c:showSerName val="0"/>
          <c:showPercent val="0"/>
          <c:showBubbleSize val="0"/>
        </c:dLbls>
        <c:smooth val="0"/>
        <c:axId val="220396664"/>
        <c:axId val="220507848"/>
      </c:lineChart>
      <c:dateAx>
        <c:axId val="220396664"/>
        <c:scaling>
          <c:orientation val="minMax"/>
        </c:scaling>
        <c:delete val="0"/>
        <c:axPos val="b"/>
        <c:numFmt formatCode="[$-409]m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20507848"/>
        <c:crosses val="autoZero"/>
        <c:auto val="1"/>
        <c:lblOffset val="100"/>
        <c:baseTimeUnit val="days"/>
        <c:majorUnit val="1"/>
        <c:majorTimeUnit val="months"/>
      </c:dateAx>
      <c:valAx>
        <c:axId val="220507848"/>
        <c:scaling>
          <c:orientation val="minMax"/>
          <c:max val="15000"/>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20396664"/>
        <c:crosses val="autoZero"/>
        <c:crossBetween val="between"/>
        <c:majorUnit val="5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t-PT" sz="900" b="0" i="0" baseline="0">
                <a:effectLst/>
              </a:rPr>
              <a:t>Imbalance Volumes: NU Short</a:t>
            </a:r>
            <a:endParaRPr lang="pt-PT" sz="900">
              <a:effectLst/>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parágrafo_3.4__3.5__3.7!$AD$2</c:f>
              <c:strCache>
                <c:ptCount val="1"/>
                <c:pt idx="0">
                  <c:v>Users short</c:v>
                </c:pt>
              </c:strCache>
            </c:strRef>
          </c:tx>
          <c:spPr>
            <a:ln w="19050" cap="rnd">
              <a:solidFill>
                <a:schemeClr val="accent2">
                  <a:lumMod val="60000"/>
                  <a:lumOff val="40000"/>
                </a:schemeClr>
              </a:solidFill>
              <a:round/>
            </a:ln>
            <a:effectLst/>
          </c:spPr>
          <c:marker>
            <c:symbol val="none"/>
          </c:marker>
          <c:cat>
            <c:numRef>
              <c:f>parágrafo_3.4__3.5__3.7!$B$4:$B$368</c:f>
              <c:numCache>
                <c:formatCode>[$-409]d\-mmm\-yyyy;@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cat>
          <c:val>
            <c:numRef>
              <c:f>parágrafo_3.4__3.5__3.7!$AD$4:$AD$368</c:f>
              <c:numCache>
                <c:formatCode>General</c:formatCode>
                <c:ptCount val="365"/>
                <c:pt idx="0">
                  <c:v>350.22</c:v>
                </c:pt>
                <c:pt idx="1">
                  <c:v>326.76</c:v>
                </c:pt>
                <c:pt idx="2">
                  <c:v>35.090000000000003</c:v>
                </c:pt>
                <c:pt idx="3">
                  <c:v>417.78</c:v>
                </c:pt>
                <c:pt idx="4">
                  <c:v>236.27</c:v>
                </c:pt>
                <c:pt idx="5">
                  <c:v>10815.4</c:v>
                </c:pt>
                <c:pt idx="6">
                  <c:v>12071.13</c:v>
                </c:pt>
                <c:pt idx="7">
                  <c:v>1081.9000000000001</c:v>
                </c:pt>
                <c:pt idx="8">
                  <c:v>166.51</c:v>
                </c:pt>
                <c:pt idx="9">
                  <c:v>4074.97</c:v>
                </c:pt>
                <c:pt idx="10">
                  <c:v>326.42</c:v>
                </c:pt>
                <c:pt idx="11">
                  <c:v>590.46</c:v>
                </c:pt>
                <c:pt idx="12">
                  <c:v>153.85</c:v>
                </c:pt>
                <c:pt idx="13">
                  <c:v>156.30000000000001</c:v>
                </c:pt>
                <c:pt idx="14">
                  <c:v>0</c:v>
                </c:pt>
                <c:pt idx="15">
                  <c:v>0</c:v>
                </c:pt>
                <c:pt idx="16">
                  <c:v>2.3199999999999998</c:v>
                </c:pt>
                <c:pt idx="17">
                  <c:v>691.61</c:v>
                </c:pt>
                <c:pt idx="18">
                  <c:v>416.41</c:v>
                </c:pt>
                <c:pt idx="19">
                  <c:v>480.86</c:v>
                </c:pt>
                <c:pt idx="20">
                  <c:v>0</c:v>
                </c:pt>
                <c:pt idx="21">
                  <c:v>4.7</c:v>
                </c:pt>
                <c:pt idx="22">
                  <c:v>0</c:v>
                </c:pt>
                <c:pt idx="23">
                  <c:v>0</c:v>
                </c:pt>
                <c:pt idx="24">
                  <c:v>0</c:v>
                </c:pt>
                <c:pt idx="25">
                  <c:v>167.7</c:v>
                </c:pt>
                <c:pt idx="26">
                  <c:v>333.22</c:v>
                </c:pt>
                <c:pt idx="27">
                  <c:v>305.44</c:v>
                </c:pt>
                <c:pt idx="28">
                  <c:v>30.76</c:v>
                </c:pt>
                <c:pt idx="29">
                  <c:v>0.01</c:v>
                </c:pt>
                <c:pt idx="30">
                  <c:v>0.01</c:v>
                </c:pt>
                <c:pt idx="31">
                  <c:v>0</c:v>
                </c:pt>
                <c:pt idx="32">
                  <c:v>0.01</c:v>
                </c:pt>
                <c:pt idx="33">
                  <c:v>0.01</c:v>
                </c:pt>
                <c:pt idx="34">
                  <c:v>0.01</c:v>
                </c:pt>
                <c:pt idx="35">
                  <c:v>3.07</c:v>
                </c:pt>
                <c:pt idx="36">
                  <c:v>32.08</c:v>
                </c:pt>
                <c:pt idx="37">
                  <c:v>116.71</c:v>
                </c:pt>
                <c:pt idx="38">
                  <c:v>231.85</c:v>
                </c:pt>
                <c:pt idx="39">
                  <c:v>399.98</c:v>
                </c:pt>
                <c:pt idx="40">
                  <c:v>848.29</c:v>
                </c:pt>
                <c:pt idx="41">
                  <c:v>145.79</c:v>
                </c:pt>
                <c:pt idx="42">
                  <c:v>67.400000000000006</c:v>
                </c:pt>
                <c:pt idx="43">
                  <c:v>32.94</c:v>
                </c:pt>
                <c:pt idx="44">
                  <c:v>2133.36</c:v>
                </c:pt>
                <c:pt idx="45">
                  <c:v>0.06</c:v>
                </c:pt>
                <c:pt idx="46">
                  <c:v>0.06</c:v>
                </c:pt>
                <c:pt idx="47">
                  <c:v>7.0000000000000007E-2</c:v>
                </c:pt>
                <c:pt idx="48">
                  <c:v>17.079999999999998</c:v>
                </c:pt>
                <c:pt idx="49">
                  <c:v>16.36</c:v>
                </c:pt>
                <c:pt idx="50">
                  <c:v>7.0000000000000007E-2</c:v>
                </c:pt>
                <c:pt idx="51">
                  <c:v>70.849999999999994</c:v>
                </c:pt>
                <c:pt idx="52">
                  <c:v>79.42</c:v>
                </c:pt>
                <c:pt idx="53">
                  <c:v>860.68</c:v>
                </c:pt>
                <c:pt idx="54">
                  <c:v>12.66</c:v>
                </c:pt>
                <c:pt idx="55">
                  <c:v>1.58</c:v>
                </c:pt>
                <c:pt idx="56">
                  <c:v>112.86</c:v>
                </c:pt>
                <c:pt idx="57">
                  <c:v>8.68</c:v>
                </c:pt>
                <c:pt idx="58">
                  <c:v>3.33</c:v>
                </c:pt>
                <c:pt idx="59">
                  <c:v>13.01</c:v>
                </c:pt>
                <c:pt idx="60">
                  <c:v>0.4</c:v>
                </c:pt>
                <c:pt idx="61">
                  <c:v>351.73</c:v>
                </c:pt>
                <c:pt idx="62">
                  <c:v>109.51</c:v>
                </c:pt>
                <c:pt idx="63">
                  <c:v>0.73</c:v>
                </c:pt>
                <c:pt idx="64">
                  <c:v>8.9600000000000009</c:v>
                </c:pt>
                <c:pt idx="65">
                  <c:v>0.96</c:v>
                </c:pt>
                <c:pt idx="66">
                  <c:v>1</c:v>
                </c:pt>
                <c:pt idx="67">
                  <c:v>0.95</c:v>
                </c:pt>
                <c:pt idx="68">
                  <c:v>183.95</c:v>
                </c:pt>
                <c:pt idx="69">
                  <c:v>1.27</c:v>
                </c:pt>
                <c:pt idx="70">
                  <c:v>0.94</c:v>
                </c:pt>
                <c:pt idx="71">
                  <c:v>20.89</c:v>
                </c:pt>
                <c:pt idx="72">
                  <c:v>1.83</c:v>
                </c:pt>
                <c:pt idx="73">
                  <c:v>647.69000000000005</c:v>
                </c:pt>
                <c:pt idx="74">
                  <c:v>649.64</c:v>
                </c:pt>
                <c:pt idx="75">
                  <c:v>20.27</c:v>
                </c:pt>
                <c:pt idx="76">
                  <c:v>375.79</c:v>
                </c:pt>
                <c:pt idx="77">
                  <c:v>11.76</c:v>
                </c:pt>
                <c:pt idx="78">
                  <c:v>22.88</c:v>
                </c:pt>
                <c:pt idx="79">
                  <c:v>3.7</c:v>
                </c:pt>
                <c:pt idx="80">
                  <c:v>0</c:v>
                </c:pt>
                <c:pt idx="81">
                  <c:v>0.4</c:v>
                </c:pt>
                <c:pt idx="82">
                  <c:v>0</c:v>
                </c:pt>
                <c:pt idx="83">
                  <c:v>61.67</c:v>
                </c:pt>
                <c:pt idx="84">
                  <c:v>524.82000000000005</c:v>
                </c:pt>
                <c:pt idx="85">
                  <c:v>1261.42</c:v>
                </c:pt>
                <c:pt idx="86">
                  <c:v>0.09</c:v>
                </c:pt>
                <c:pt idx="87">
                  <c:v>0.35</c:v>
                </c:pt>
                <c:pt idx="88">
                  <c:v>6.9</c:v>
                </c:pt>
                <c:pt idx="89">
                  <c:v>0.76</c:v>
                </c:pt>
                <c:pt idx="90">
                  <c:v>0.79</c:v>
                </c:pt>
                <c:pt idx="91">
                  <c:v>27.51</c:v>
                </c:pt>
                <c:pt idx="92">
                  <c:v>237.37</c:v>
                </c:pt>
                <c:pt idx="93">
                  <c:v>1181.68</c:v>
                </c:pt>
                <c:pt idx="94">
                  <c:v>6.24</c:v>
                </c:pt>
                <c:pt idx="95">
                  <c:v>3.21</c:v>
                </c:pt>
                <c:pt idx="96">
                  <c:v>17.36</c:v>
                </c:pt>
                <c:pt idx="97">
                  <c:v>24.23</c:v>
                </c:pt>
                <c:pt idx="98">
                  <c:v>7508.88</c:v>
                </c:pt>
                <c:pt idx="99">
                  <c:v>2878.47</c:v>
                </c:pt>
                <c:pt idx="100">
                  <c:v>82.61</c:v>
                </c:pt>
                <c:pt idx="101">
                  <c:v>5.97</c:v>
                </c:pt>
                <c:pt idx="102">
                  <c:v>0</c:v>
                </c:pt>
                <c:pt idx="103">
                  <c:v>0</c:v>
                </c:pt>
                <c:pt idx="104">
                  <c:v>0</c:v>
                </c:pt>
                <c:pt idx="105">
                  <c:v>0</c:v>
                </c:pt>
                <c:pt idx="106">
                  <c:v>0.65</c:v>
                </c:pt>
                <c:pt idx="107">
                  <c:v>42.38</c:v>
                </c:pt>
                <c:pt idx="108">
                  <c:v>0.82</c:v>
                </c:pt>
                <c:pt idx="109">
                  <c:v>0.13</c:v>
                </c:pt>
                <c:pt idx="110">
                  <c:v>7839.67</c:v>
                </c:pt>
                <c:pt idx="111">
                  <c:v>5.88</c:v>
                </c:pt>
                <c:pt idx="112">
                  <c:v>10.44</c:v>
                </c:pt>
                <c:pt idx="113">
                  <c:v>3.71</c:v>
                </c:pt>
                <c:pt idx="114">
                  <c:v>3.33</c:v>
                </c:pt>
                <c:pt idx="115">
                  <c:v>0</c:v>
                </c:pt>
                <c:pt idx="116">
                  <c:v>15.68</c:v>
                </c:pt>
                <c:pt idx="117">
                  <c:v>208.03</c:v>
                </c:pt>
                <c:pt idx="118">
                  <c:v>2.1</c:v>
                </c:pt>
                <c:pt idx="119">
                  <c:v>0.37</c:v>
                </c:pt>
                <c:pt idx="120">
                  <c:v>0.43</c:v>
                </c:pt>
                <c:pt idx="121">
                  <c:v>3.07</c:v>
                </c:pt>
                <c:pt idx="122">
                  <c:v>0.13</c:v>
                </c:pt>
                <c:pt idx="123">
                  <c:v>1959.1</c:v>
                </c:pt>
                <c:pt idx="124">
                  <c:v>1985.64</c:v>
                </c:pt>
                <c:pt idx="125">
                  <c:v>434.67</c:v>
                </c:pt>
                <c:pt idx="126">
                  <c:v>229.47</c:v>
                </c:pt>
                <c:pt idx="127">
                  <c:v>193.82</c:v>
                </c:pt>
                <c:pt idx="128">
                  <c:v>14.57</c:v>
                </c:pt>
                <c:pt idx="129">
                  <c:v>33.53</c:v>
                </c:pt>
                <c:pt idx="130">
                  <c:v>44.2</c:v>
                </c:pt>
                <c:pt idx="131">
                  <c:v>939.68</c:v>
                </c:pt>
                <c:pt idx="132">
                  <c:v>1045.1300000000001</c:v>
                </c:pt>
                <c:pt idx="133">
                  <c:v>388.09</c:v>
                </c:pt>
                <c:pt idx="134">
                  <c:v>21.19</c:v>
                </c:pt>
                <c:pt idx="135">
                  <c:v>4.76</c:v>
                </c:pt>
                <c:pt idx="136">
                  <c:v>2.2799999999999998</c:v>
                </c:pt>
                <c:pt idx="137">
                  <c:v>3.06</c:v>
                </c:pt>
                <c:pt idx="138">
                  <c:v>442.19</c:v>
                </c:pt>
                <c:pt idx="139">
                  <c:v>480.26</c:v>
                </c:pt>
                <c:pt idx="140">
                  <c:v>239.03</c:v>
                </c:pt>
                <c:pt idx="141">
                  <c:v>162.91999999999999</c:v>
                </c:pt>
                <c:pt idx="142">
                  <c:v>435.58</c:v>
                </c:pt>
                <c:pt idx="143">
                  <c:v>471.38</c:v>
                </c:pt>
                <c:pt idx="144">
                  <c:v>446.98</c:v>
                </c:pt>
                <c:pt idx="145">
                  <c:v>447.56</c:v>
                </c:pt>
                <c:pt idx="146">
                  <c:v>475.77</c:v>
                </c:pt>
                <c:pt idx="147">
                  <c:v>218.88</c:v>
                </c:pt>
                <c:pt idx="148">
                  <c:v>118.97</c:v>
                </c:pt>
                <c:pt idx="149">
                  <c:v>201.81</c:v>
                </c:pt>
                <c:pt idx="150">
                  <c:v>178.77</c:v>
                </c:pt>
                <c:pt idx="151">
                  <c:v>1188.6099999999999</c:v>
                </c:pt>
                <c:pt idx="152">
                  <c:v>726.58</c:v>
                </c:pt>
                <c:pt idx="153">
                  <c:v>406.54</c:v>
                </c:pt>
                <c:pt idx="154">
                  <c:v>206.09</c:v>
                </c:pt>
                <c:pt idx="155">
                  <c:v>142.78</c:v>
                </c:pt>
                <c:pt idx="156">
                  <c:v>422.89</c:v>
                </c:pt>
                <c:pt idx="157">
                  <c:v>441.11</c:v>
                </c:pt>
                <c:pt idx="158">
                  <c:v>405.37</c:v>
                </c:pt>
                <c:pt idx="159">
                  <c:v>422.84</c:v>
                </c:pt>
                <c:pt idx="160">
                  <c:v>414.21</c:v>
                </c:pt>
                <c:pt idx="161">
                  <c:v>168.18</c:v>
                </c:pt>
                <c:pt idx="162">
                  <c:v>119.5</c:v>
                </c:pt>
                <c:pt idx="163">
                  <c:v>1017.61</c:v>
                </c:pt>
                <c:pt idx="164">
                  <c:v>811.79</c:v>
                </c:pt>
                <c:pt idx="165">
                  <c:v>415.39</c:v>
                </c:pt>
                <c:pt idx="166">
                  <c:v>2802.92</c:v>
                </c:pt>
                <c:pt idx="167">
                  <c:v>1049.44</c:v>
                </c:pt>
                <c:pt idx="168">
                  <c:v>824.39</c:v>
                </c:pt>
                <c:pt idx="169">
                  <c:v>125.31</c:v>
                </c:pt>
                <c:pt idx="170">
                  <c:v>660.36</c:v>
                </c:pt>
                <c:pt idx="171">
                  <c:v>451.55</c:v>
                </c:pt>
                <c:pt idx="172">
                  <c:v>451.45</c:v>
                </c:pt>
                <c:pt idx="173">
                  <c:v>646.52</c:v>
                </c:pt>
                <c:pt idx="174">
                  <c:v>538.13</c:v>
                </c:pt>
                <c:pt idx="175">
                  <c:v>211.83</c:v>
                </c:pt>
                <c:pt idx="176">
                  <c:v>146.52000000000001</c:v>
                </c:pt>
                <c:pt idx="177">
                  <c:v>521.6</c:v>
                </c:pt>
                <c:pt idx="178">
                  <c:v>2812.9</c:v>
                </c:pt>
                <c:pt idx="179">
                  <c:v>2667.54</c:v>
                </c:pt>
                <c:pt idx="180">
                  <c:v>443.03</c:v>
                </c:pt>
                <c:pt idx="181">
                  <c:v>399.5</c:v>
                </c:pt>
                <c:pt idx="182">
                  <c:v>3357.86</c:v>
                </c:pt>
                <c:pt idx="183">
                  <c:v>49.12</c:v>
                </c:pt>
                <c:pt idx="184">
                  <c:v>263.76</c:v>
                </c:pt>
                <c:pt idx="185">
                  <c:v>282.29000000000002</c:v>
                </c:pt>
                <c:pt idx="186">
                  <c:v>290.64999999999998</c:v>
                </c:pt>
                <c:pt idx="187">
                  <c:v>251.28</c:v>
                </c:pt>
                <c:pt idx="188">
                  <c:v>253.4</c:v>
                </c:pt>
                <c:pt idx="189">
                  <c:v>106.46</c:v>
                </c:pt>
                <c:pt idx="190">
                  <c:v>577.53</c:v>
                </c:pt>
                <c:pt idx="191">
                  <c:v>202.79</c:v>
                </c:pt>
                <c:pt idx="192">
                  <c:v>253.23</c:v>
                </c:pt>
                <c:pt idx="193">
                  <c:v>270.37</c:v>
                </c:pt>
                <c:pt idx="194">
                  <c:v>242.42</c:v>
                </c:pt>
                <c:pt idx="195">
                  <c:v>145.61000000000001</c:v>
                </c:pt>
                <c:pt idx="196">
                  <c:v>208.56</c:v>
                </c:pt>
                <c:pt idx="197">
                  <c:v>1.73</c:v>
                </c:pt>
                <c:pt idx="198">
                  <c:v>0.99</c:v>
                </c:pt>
                <c:pt idx="199">
                  <c:v>758.55</c:v>
                </c:pt>
                <c:pt idx="200">
                  <c:v>256.45</c:v>
                </c:pt>
                <c:pt idx="201">
                  <c:v>244.18</c:v>
                </c:pt>
                <c:pt idx="202">
                  <c:v>273.48</c:v>
                </c:pt>
                <c:pt idx="203">
                  <c:v>163.13</c:v>
                </c:pt>
                <c:pt idx="204">
                  <c:v>1067.8900000000001</c:v>
                </c:pt>
                <c:pt idx="205">
                  <c:v>102.42</c:v>
                </c:pt>
                <c:pt idx="206">
                  <c:v>200.01</c:v>
                </c:pt>
                <c:pt idx="207">
                  <c:v>293.69</c:v>
                </c:pt>
                <c:pt idx="208">
                  <c:v>271.05</c:v>
                </c:pt>
                <c:pt idx="209">
                  <c:v>236.98</c:v>
                </c:pt>
                <c:pt idx="210">
                  <c:v>142.71</c:v>
                </c:pt>
                <c:pt idx="211">
                  <c:v>19.59</c:v>
                </c:pt>
                <c:pt idx="212">
                  <c:v>113.1</c:v>
                </c:pt>
                <c:pt idx="213">
                  <c:v>171.02</c:v>
                </c:pt>
                <c:pt idx="214">
                  <c:v>178.46</c:v>
                </c:pt>
                <c:pt idx="215">
                  <c:v>2684.29</c:v>
                </c:pt>
                <c:pt idx="216">
                  <c:v>256.14999999999998</c:v>
                </c:pt>
                <c:pt idx="217">
                  <c:v>114.03</c:v>
                </c:pt>
                <c:pt idx="218">
                  <c:v>44.3</c:v>
                </c:pt>
                <c:pt idx="219">
                  <c:v>228.92</c:v>
                </c:pt>
                <c:pt idx="220">
                  <c:v>237.34</c:v>
                </c:pt>
                <c:pt idx="221">
                  <c:v>227.17</c:v>
                </c:pt>
                <c:pt idx="222">
                  <c:v>269.82</c:v>
                </c:pt>
                <c:pt idx="223">
                  <c:v>259.79000000000002</c:v>
                </c:pt>
                <c:pt idx="224">
                  <c:v>95.92</c:v>
                </c:pt>
                <c:pt idx="225">
                  <c:v>54.4</c:v>
                </c:pt>
                <c:pt idx="226">
                  <c:v>249.53</c:v>
                </c:pt>
                <c:pt idx="227">
                  <c:v>234.21</c:v>
                </c:pt>
                <c:pt idx="228">
                  <c:v>257.26</c:v>
                </c:pt>
                <c:pt idx="229">
                  <c:v>620.9</c:v>
                </c:pt>
                <c:pt idx="230">
                  <c:v>232.72</c:v>
                </c:pt>
                <c:pt idx="231">
                  <c:v>95.78</c:v>
                </c:pt>
                <c:pt idx="232">
                  <c:v>50.22</c:v>
                </c:pt>
                <c:pt idx="233">
                  <c:v>632.25</c:v>
                </c:pt>
                <c:pt idx="234">
                  <c:v>228.36</c:v>
                </c:pt>
                <c:pt idx="235">
                  <c:v>257.98</c:v>
                </c:pt>
                <c:pt idx="236">
                  <c:v>264.18</c:v>
                </c:pt>
                <c:pt idx="237">
                  <c:v>223.82</c:v>
                </c:pt>
                <c:pt idx="238">
                  <c:v>138.43</c:v>
                </c:pt>
                <c:pt idx="239">
                  <c:v>53.06</c:v>
                </c:pt>
                <c:pt idx="240">
                  <c:v>6220.51</c:v>
                </c:pt>
                <c:pt idx="241">
                  <c:v>221.59</c:v>
                </c:pt>
                <c:pt idx="242">
                  <c:v>267.95</c:v>
                </c:pt>
                <c:pt idx="243">
                  <c:v>139.35</c:v>
                </c:pt>
                <c:pt idx="244">
                  <c:v>138.74</c:v>
                </c:pt>
                <c:pt idx="245">
                  <c:v>2744.23</c:v>
                </c:pt>
                <c:pt idx="246">
                  <c:v>1013.61</c:v>
                </c:pt>
                <c:pt idx="247">
                  <c:v>149.03</c:v>
                </c:pt>
                <c:pt idx="248">
                  <c:v>1048.8</c:v>
                </c:pt>
                <c:pt idx="249">
                  <c:v>216.29</c:v>
                </c:pt>
                <c:pt idx="250">
                  <c:v>164.07</c:v>
                </c:pt>
                <c:pt idx="251">
                  <c:v>161.93</c:v>
                </c:pt>
                <c:pt idx="252">
                  <c:v>93.08</c:v>
                </c:pt>
                <c:pt idx="253">
                  <c:v>48.22</c:v>
                </c:pt>
                <c:pt idx="254">
                  <c:v>123.39</c:v>
                </c:pt>
                <c:pt idx="255">
                  <c:v>141.25</c:v>
                </c:pt>
                <c:pt idx="256">
                  <c:v>135.59</c:v>
                </c:pt>
                <c:pt idx="257">
                  <c:v>73.03</c:v>
                </c:pt>
                <c:pt idx="258">
                  <c:v>68.47</c:v>
                </c:pt>
                <c:pt idx="259">
                  <c:v>94.44</c:v>
                </c:pt>
                <c:pt idx="260">
                  <c:v>61.53</c:v>
                </c:pt>
                <c:pt idx="261">
                  <c:v>123.8</c:v>
                </c:pt>
                <c:pt idx="262">
                  <c:v>129.53</c:v>
                </c:pt>
                <c:pt idx="263">
                  <c:v>152.53</c:v>
                </c:pt>
                <c:pt idx="264">
                  <c:v>208.49</c:v>
                </c:pt>
                <c:pt idx="265">
                  <c:v>165.99</c:v>
                </c:pt>
                <c:pt idx="266">
                  <c:v>110.58</c:v>
                </c:pt>
                <c:pt idx="267">
                  <c:v>53.59</c:v>
                </c:pt>
                <c:pt idx="268">
                  <c:v>124.77</c:v>
                </c:pt>
                <c:pt idx="269">
                  <c:v>156.81</c:v>
                </c:pt>
                <c:pt idx="270">
                  <c:v>205.28</c:v>
                </c:pt>
                <c:pt idx="271">
                  <c:v>210.16</c:v>
                </c:pt>
                <c:pt idx="272">
                  <c:v>161.99</c:v>
                </c:pt>
                <c:pt idx="273">
                  <c:v>1070.5899999999999</c:v>
                </c:pt>
                <c:pt idx="274">
                  <c:v>1.22</c:v>
                </c:pt>
                <c:pt idx="275">
                  <c:v>62.43</c:v>
                </c:pt>
                <c:pt idx="276">
                  <c:v>87.85</c:v>
                </c:pt>
                <c:pt idx="277">
                  <c:v>197.79</c:v>
                </c:pt>
                <c:pt idx="278">
                  <c:v>117.83</c:v>
                </c:pt>
                <c:pt idx="279">
                  <c:v>120.94</c:v>
                </c:pt>
                <c:pt idx="280">
                  <c:v>48.15</c:v>
                </c:pt>
                <c:pt idx="281">
                  <c:v>15.74</c:v>
                </c:pt>
                <c:pt idx="282">
                  <c:v>62.89</c:v>
                </c:pt>
                <c:pt idx="283">
                  <c:v>77.400000000000006</c:v>
                </c:pt>
                <c:pt idx="284">
                  <c:v>119.26</c:v>
                </c:pt>
                <c:pt idx="285">
                  <c:v>106.59</c:v>
                </c:pt>
                <c:pt idx="286">
                  <c:v>87.28</c:v>
                </c:pt>
                <c:pt idx="287">
                  <c:v>83.04</c:v>
                </c:pt>
                <c:pt idx="288">
                  <c:v>17.48</c:v>
                </c:pt>
                <c:pt idx="289">
                  <c:v>96.45</c:v>
                </c:pt>
                <c:pt idx="290">
                  <c:v>111.74</c:v>
                </c:pt>
                <c:pt idx="291">
                  <c:v>80</c:v>
                </c:pt>
                <c:pt idx="292">
                  <c:v>84.37</c:v>
                </c:pt>
                <c:pt idx="293">
                  <c:v>74.56</c:v>
                </c:pt>
                <c:pt idx="294">
                  <c:v>63.71</c:v>
                </c:pt>
                <c:pt idx="295">
                  <c:v>30.24</c:v>
                </c:pt>
                <c:pt idx="296">
                  <c:v>41.6</c:v>
                </c:pt>
                <c:pt idx="297">
                  <c:v>427.69</c:v>
                </c:pt>
                <c:pt idx="298">
                  <c:v>63.69</c:v>
                </c:pt>
                <c:pt idx="299">
                  <c:v>112.82</c:v>
                </c:pt>
                <c:pt idx="300">
                  <c:v>269.93</c:v>
                </c:pt>
                <c:pt idx="301">
                  <c:v>82.73</c:v>
                </c:pt>
                <c:pt idx="302">
                  <c:v>15.82</c:v>
                </c:pt>
                <c:pt idx="303">
                  <c:v>68.069999999999993</c:v>
                </c:pt>
                <c:pt idx="304">
                  <c:v>2179.19</c:v>
                </c:pt>
                <c:pt idx="305">
                  <c:v>2456.86</c:v>
                </c:pt>
                <c:pt idx="306">
                  <c:v>15.35</c:v>
                </c:pt>
                <c:pt idx="307">
                  <c:v>198.4</c:v>
                </c:pt>
                <c:pt idx="308">
                  <c:v>58.86</c:v>
                </c:pt>
                <c:pt idx="309">
                  <c:v>82.73</c:v>
                </c:pt>
                <c:pt idx="310">
                  <c:v>41.41</c:v>
                </c:pt>
                <c:pt idx="311">
                  <c:v>97.65</c:v>
                </c:pt>
                <c:pt idx="312">
                  <c:v>70.489999999999995</c:v>
                </c:pt>
                <c:pt idx="313">
                  <c:v>49.29</c:v>
                </c:pt>
                <c:pt idx="314">
                  <c:v>42.35</c:v>
                </c:pt>
                <c:pt idx="315">
                  <c:v>58.6</c:v>
                </c:pt>
                <c:pt idx="316">
                  <c:v>28.3</c:v>
                </c:pt>
                <c:pt idx="317">
                  <c:v>0</c:v>
                </c:pt>
                <c:pt idx="318">
                  <c:v>49.28</c:v>
                </c:pt>
                <c:pt idx="319">
                  <c:v>0</c:v>
                </c:pt>
                <c:pt idx="320">
                  <c:v>25.35</c:v>
                </c:pt>
                <c:pt idx="321">
                  <c:v>3.05</c:v>
                </c:pt>
                <c:pt idx="322">
                  <c:v>1.1100000000000001</c:v>
                </c:pt>
                <c:pt idx="323">
                  <c:v>19.760000000000002</c:v>
                </c:pt>
                <c:pt idx="324">
                  <c:v>0.28000000000000003</c:v>
                </c:pt>
                <c:pt idx="325">
                  <c:v>0</c:v>
                </c:pt>
                <c:pt idx="326">
                  <c:v>2.2599999999999998</c:v>
                </c:pt>
                <c:pt idx="327">
                  <c:v>71.86</c:v>
                </c:pt>
                <c:pt idx="328">
                  <c:v>5.39</c:v>
                </c:pt>
                <c:pt idx="329">
                  <c:v>14.41</c:v>
                </c:pt>
                <c:pt idx="330">
                  <c:v>50.11</c:v>
                </c:pt>
                <c:pt idx="331">
                  <c:v>59.55</c:v>
                </c:pt>
                <c:pt idx="332">
                  <c:v>71.569999999999993</c:v>
                </c:pt>
                <c:pt idx="333">
                  <c:v>63.16</c:v>
                </c:pt>
                <c:pt idx="334">
                  <c:v>73.7</c:v>
                </c:pt>
                <c:pt idx="335">
                  <c:v>54.11</c:v>
                </c:pt>
                <c:pt idx="336">
                  <c:v>15.6</c:v>
                </c:pt>
                <c:pt idx="337">
                  <c:v>102.86</c:v>
                </c:pt>
                <c:pt idx="338">
                  <c:v>879.17</c:v>
                </c:pt>
                <c:pt idx="339">
                  <c:v>1189.5899999999999</c:v>
                </c:pt>
                <c:pt idx="340">
                  <c:v>74.790000000000006</c:v>
                </c:pt>
                <c:pt idx="341">
                  <c:v>89.64</c:v>
                </c:pt>
                <c:pt idx="342">
                  <c:v>106.47</c:v>
                </c:pt>
                <c:pt idx="343">
                  <c:v>125.75</c:v>
                </c:pt>
                <c:pt idx="344">
                  <c:v>121.84</c:v>
                </c:pt>
                <c:pt idx="345">
                  <c:v>149.97999999999999</c:v>
                </c:pt>
                <c:pt idx="346">
                  <c:v>166.38</c:v>
                </c:pt>
                <c:pt idx="347">
                  <c:v>662.96</c:v>
                </c:pt>
                <c:pt idx="348">
                  <c:v>853.56</c:v>
                </c:pt>
                <c:pt idx="349">
                  <c:v>1288.01</c:v>
                </c:pt>
                <c:pt idx="350">
                  <c:v>79.11</c:v>
                </c:pt>
                <c:pt idx="351">
                  <c:v>74.010000000000005</c:v>
                </c:pt>
                <c:pt idx="352">
                  <c:v>195.56</c:v>
                </c:pt>
                <c:pt idx="353">
                  <c:v>585.03</c:v>
                </c:pt>
                <c:pt idx="354">
                  <c:v>189.72</c:v>
                </c:pt>
                <c:pt idx="355">
                  <c:v>1204.74</c:v>
                </c:pt>
                <c:pt idx="356">
                  <c:v>1952.43</c:v>
                </c:pt>
                <c:pt idx="357">
                  <c:v>119.86</c:v>
                </c:pt>
                <c:pt idx="358">
                  <c:v>70.36</c:v>
                </c:pt>
                <c:pt idx="359">
                  <c:v>144.93</c:v>
                </c:pt>
                <c:pt idx="360">
                  <c:v>243.07</c:v>
                </c:pt>
                <c:pt idx="361">
                  <c:v>241.29</c:v>
                </c:pt>
                <c:pt idx="362">
                  <c:v>199.48</c:v>
                </c:pt>
                <c:pt idx="363">
                  <c:v>190.99</c:v>
                </c:pt>
                <c:pt idx="364">
                  <c:v>76.61</c:v>
                </c:pt>
              </c:numCache>
            </c:numRef>
          </c:val>
          <c:smooth val="0"/>
          <c:extLst>
            <c:ext xmlns:c16="http://schemas.microsoft.com/office/drawing/2014/chart" uri="{C3380CC4-5D6E-409C-BE32-E72D297353CC}">
              <c16:uniqueId val="{00000000-0514-4EC6-9FEE-6DC28D42F140}"/>
            </c:ext>
          </c:extLst>
        </c:ser>
        <c:dLbls>
          <c:showLegendKey val="0"/>
          <c:showVal val="0"/>
          <c:showCatName val="0"/>
          <c:showSerName val="0"/>
          <c:showPercent val="0"/>
          <c:showBubbleSize val="0"/>
        </c:dLbls>
        <c:smooth val="0"/>
        <c:axId val="220508240"/>
        <c:axId val="220508632"/>
      </c:lineChart>
      <c:dateAx>
        <c:axId val="220508240"/>
        <c:scaling>
          <c:orientation val="minMax"/>
        </c:scaling>
        <c:delete val="0"/>
        <c:axPos val="b"/>
        <c:numFmt formatCode="[$-409]mmm\-yy;@"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20508632"/>
        <c:crosses val="autoZero"/>
        <c:auto val="1"/>
        <c:lblOffset val="100"/>
        <c:baseTimeUnit val="days"/>
        <c:majorUnit val="1"/>
        <c:majorTimeUnit val="months"/>
      </c:dateAx>
      <c:valAx>
        <c:axId val="220508632"/>
        <c:scaling>
          <c:orientation val="minMax"/>
          <c:max val="15000"/>
          <c:min val="0"/>
        </c:scaling>
        <c:delete val="0"/>
        <c:axPos val="l"/>
        <c:majorGridlines>
          <c:spPr>
            <a:ln w="9525" cap="flat" cmpd="sng" algn="ctr">
              <a:solidFill>
                <a:schemeClr val="tx1">
                  <a:lumMod val="15000"/>
                  <a:lumOff val="85000"/>
                </a:schemeClr>
              </a:solidFill>
              <a:prstDash val="sysDash"/>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20508240"/>
        <c:crosses val="autoZero"/>
        <c:crossBetween val="between"/>
        <c:majorUnit val="5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pt-PT" sz="1100">
                <a:solidFill>
                  <a:sysClr val="windowText" lastClr="000000"/>
                </a:solidFill>
              </a:rPr>
              <a:t>Imbalance applicable prices evolution</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s-ES"/>
        </a:p>
      </c:txPr>
    </c:title>
    <c:autoTitleDeleted val="0"/>
    <c:plotArea>
      <c:layout>
        <c:manualLayout>
          <c:layoutTarget val="inner"/>
          <c:xMode val="edge"/>
          <c:yMode val="edge"/>
          <c:x val="8.1289879636979978E-2"/>
          <c:y val="0.15326165077089068"/>
          <c:w val="0.89414075965299966"/>
          <c:h val="0.6664535849816261"/>
        </c:manualLayout>
      </c:layout>
      <c:lineChart>
        <c:grouping val="standard"/>
        <c:varyColors val="0"/>
        <c:ser>
          <c:idx val="0"/>
          <c:order val="0"/>
          <c:tx>
            <c:strRef>
              <c:f>Folha2!$B$12</c:f>
              <c:strCache>
                <c:ptCount val="1"/>
                <c:pt idx="0">
                  <c:v>Marginal Buy Price</c:v>
                </c:pt>
              </c:strCache>
            </c:strRef>
          </c:tx>
          <c:spPr>
            <a:ln w="19050" cap="rnd">
              <a:solidFill>
                <a:srgbClr val="996633"/>
              </a:solidFill>
              <a:round/>
            </a:ln>
            <a:effectLst/>
          </c:spPr>
          <c:marker>
            <c:symbol val="none"/>
          </c:marker>
          <c:cat>
            <c:numRef>
              <c:f>Folha2!$A$13:$A$346</c:f>
              <c:numCache>
                <c:formatCode>m/d/yyyy</c:formatCode>
                <c:ptCount val="334"/>
                <c:pt idx="0">
                  <c:v>42675</c:v>
                </c:pt>
                <c:pt idx="1">
                  <c:v>42676</c:v>
                </c:pt>
                <c:pt idx="2">
                  <c:v>42677</c:v>
                </c:pt>
                <c:pt idx="3">
                  <c:v>42678</c:v>
                </c:pt>
                <c:pt idx="4">
                  <c:v>42679</c:v>
                </c:pt>
                <c:pt idx="5">
                  <c:v>42680</c:v>
                </c:pt>
                <c:pt idx="6">
                  <c:v>42681</c:v>
                </c:pt>
                <c:pt idx="7">
                  <c:v>42682</c:v>
                </c:pt>
                <c:pt idx="8">
                  <c:v>42683</c:v>
                </c:pt>
                <c:pt idx="9">
                  <c:v>42684</c:v>
                </c:pt>
                <c:pt idx="10">
                  <c:v>42685</c:v>
                </c:pt>
                <c:pt idx="11">
                  <c:v>42686</c:v>
                </c:pt>
                <c:pt idx="12">
                  <c:v>42687</c:v>
                </c:pt>
                <c:pt idx="13">
                  <c:v>42688</c:v>
                </c:pt>
                <c:pt idx="14">
                  <c:v>42689</c:v>
                </c:pt>
                <c:pt idx="15">
                  <c:v>42690</c:v>
                </c:pt>
                <c:pt idx="16">
                  <c:v>42691</c:v>
                </c:pt>
                <c:pt idx="17">
                  <c:v>42692</c:v>
                </c:pt>
                <c:pt idx="18">
                  <c:v>42693</c:v>
                </c:pt>
                <c:pt idx="19">
                  <c:v>42694</c:v>
                </c:pt>
                <c:pt idx="20">
                  <c:v>42695</c:v>
                </c:pt>
                <c:pt idx="21">
                  <c:v>42696</c:v>
                </c:pt>
                <c:pt idx="22">
                  <c:v>42697</c:v>
                </c:pt>
                <c:pt idx="23">
                  <c:v>42698</c:v>
                </c:pt>
                <c:pt idx="24">
                  <c:v>42699</c:v>
                </c:pt>
                <c:pt idx="25">
                  <c:v>42700</c:v>
                </c:pt>
                <c:pt idx="26">
                  <c:v>42701</c:v>
                </c:pt>
                <c:pt idx="27">
                  <c:v>42702</c:v>
                </c:pt>
                <c:pt idx="28">
                  <c:v>42703</c:v>
                </c:pt>
                <c:pt idx="29">
                  <c:v>42704</c:v>
                </c:pt>
                <c:pt idx="30">
                  <c:v>42705</c:v>
                </c:pt>
                <c:pt idx="31">
                  <c:v>42706</c:v>
                </c:pt>
                <c:pt idx="32">
                  <c:v>42707</c:v>
                </c:pt>
                <c:pt idx="33">
                  <c:v>42708</c:v>
                </c:pt>
                <c:pt idx="34">
                  <c:v>42709</c:v>
                </c:pt>
                <c:pt idx="35">
                  <c:v>42710</c:v>
                </c:pt>
                <c:pt idx="36">
                  <c:v>42711</c:v>
                </c:pt>
                <c:pt idx="37">
                  <c:v>42712</c:v>
                </c:pt>
                <c:pt idx="38">
                  <c:v>42713</c:v>
                </c:pt>
                <c:pt idx="39">
                  <c:v>42714</c:v>
                </c:pt>
                <c:pt idx="40">
                  <c:v>42715</c:v>
                </c:pt>
                <c:pt idx="41">
                  <c:v>42716</c:v>
                </c:pt>
                <c:pt idx="42">
                  <c:v>42717</c:v>
                </c:pt>
                <c:pt idx="43">
                  <c:v>42718</c:v>
                </c:pt>
                <c:pt idx="44">
                  <c:v>42719</c:v>
                </c:pt>
                <c:pt idx="45">
                  <c:v>42720</c:v>
                </c:pt>
                <c:pt idx="46">
                  <c:v>42721</c:v>
                </c:pt>
                <c:pt idx="47">
                  <c:v>42722</c:v>
                </c:pt>
                <c:pt idx="48">
                  <c:v>42723</c:v>
                </c:pt>
                <c:pt idx="49">
                  <c:v>42724</c:v>
                </c:pt>
                <c:pt idx="50">
                  <c:v>42725</c:v>
                </c:pt>
                <c:pt idx="51">
                  <c:v>42726</c:v>
                </c:pt>
                <c:pt idx="52">
                  <c:v>42727</c:v>
                </c:pt>
                <c:pt idx="53">
                  <c:v>42728</c:v>
                </c:pt>
                <c:pt idx="54">
                  <c:v>42729</c:v>
                </c:pt>
                <c:pt idx="55">
                  <c:v>42730</c:v>
                </c:pt>
                <c:pt idx="56">
                  <c:v>42731</c:v>
                </c:pt>
                <c:pt idx="57">
                  <c:v>42732</c:v>
                </c:pt>
                <c:pt idx="58">
                  <c:v>42733</c:v>
                </c:pt>
                <c:pt idx="59">
                  <c:v>42734</c:v>
                </c:pt>
                <c:pt idx="60">
                  <c:v>42735</c:v>
                </c:pt>
                <c:pt idx="61">
                  <c:v>42736</c:v>
                </c:pt>
                <c:pt idx="62">
                  <c:v>42737</c:v>
                </c:pt>
                <c:pt idx="63">
                  <c:v>42738</c:v>
                </c:pt>
                <c:pt idx="64">
                  <c:v>42739</c:v>
                </c:pt>
                <c:pt idx="65">
                  <c:v>42740</c:v>
                </c:pt>
                <c:pt idx="66">
                  <c:v>42741</c:v>
                </c:pt>
                <c:pt idx="67">
                  <c:v>42742</c:v>
                </c:pt>
                <c:pt idx="68">
                  <c:v>42743</c:v>
                </c:pt>
                <c:pt idx="69">
                  <c:v>42744</c:v>
                </c:pt>
                <c:pt idx="70">
                  <c:v>42745</c:v>
                </c:pt>
                <c:pt idx="71">
                  <c:v>42746</c:v>
                </c:pt>
                <c:pt idx="72">
                  <c:v>42747</c:v>
                </c:pt>
                <c:pt idx="73">
                  <c:v>42748</c:v>
                </c:pt>
                <c:pt idx="74">
                  <c:v>42749</c:v>
                </c:pt>
                <c:pt idx="75">
                  <c:v>42750</c:v>
                </c:pt>
                <c:pt idx="76">
                  <c:v>42751</c:v>
                </c:pt>
                <c:pt idx="77">
                  <c:v>42752</c:v>
                </c:pt>
                <c:pt idx="78">
                  <c:v>42753</c:v>
                </c:pt>
                <c:pt idx="79">
                  <c:v>42754</c:v>
                </c:pt>
                <c:pt idx="80">
                  <c:v>42755</c:v>
                </c:pt>
                <c:pt idx="81">
                  <c:v>42756</c:v>
                </c:pt>
                <c:pt idx="82">
                  <c:v>42757</c:v>
                </c:pt>
                <c:pt idx="83">
                  <c:v>42758</c:v>
                </c:pt>
                <c:pt idx="84">
                  <c:v>42759</c:v>
                </c:pt>
                <c:pt idx="85">
                  <c:v>42760</c:v>
                </c:pt>
                <c:pt idx="86">
                  <c:v>42761</c:v>
                </c:pt>
                <c:pt idx="87">
                  <c:v>42762</c:v>
                </c:pt>
                <c:pt idx="88">
                  <c:v>42763</c:v>
                </c:pt>
                <c:pt idx="89">
                  <c:v>42764</c:v>
                </c:pt>
                <c:pt idx="90">
                  <c:v>42765</c:v>
                </c:pt>
                <c:pt idx="91">
                  <c:v>42766</c:v>
                </c:pt>
                <c:pt idx="92">
                  <c:v>42767</c:v>
                </c:pt>
                <c:pt idx="93">
                  <c:v>42768</c:v>
                </c:pt>
                <c:pt idx="94">
                  <c:v>42769</c:v>
                </c:pt>
                <c:pt idx="95">
                  <c:v>42770</c:v>
                </c:pt>
                <c:pt idx="96">
                  <c:v>42771</c:v>
                </c:pt>
                <c:pt idx="97">
                  <c:v>42772</c:v>
                </c:pt>
                <c:pt idx="98">
                  <c:v>42773</c:v>
                </c:pt>
                <c:pt idx="99">
                  <c:v>42774</c:v>
                </c:pt>
                <c:pt idx="100">
                  <c:v>42775</c:v>
                </c:pt>
                <c:pt idx="101">
                  <c:v>42776</c:v>
                </c:pt>
                <c:pt idx="102">
                  <c:v>42777</c:v>
                </c:pt>
                <c:pt idx="103">
                  <c:v>42778</c:v>
                </c:pt>
                <c:pt idx="104">
                  <c:v>42779</c:v>
                </c:pt>
                <c:pt idx="105">
                  <c:v>42780</c:v>
                </c:pt>
                <c:pt idx="106">
                  <c:v>42781</c:v>
                </c:pt>
                <c:pt idx="107">
                  <c:v>42782</c:v>
                </c:pt>
                <c:pt idx="108">
                  <c:v>42783</c:v>
                </c:pt>
                <c:pt idx="109">
                  <c:v>42784</c:v>
                </c:pt>
                <c:pt idx="110">
                  <c:v>42785</c:v>
                </c:pt>
                <c:pt idx="111">
                  <c:v>42786</c:v>
                </c:pt>
                <c:pt idx="112">
                  <c:v>42787</c:v>
                </c:pt>
                <c:pt idx="113">
                  <c:v>42788</c:v>
                </c:pt>
                <c:pt idx="114">
                  <c:v>42789</c:v>
                </c:pt>
                <c:pt idx="115">
                  <c:v>42790</c:v>
                </c:pt>
                <c:pt idx="116">
                  <c:v>42791</c:v>
                </c:pt>
                <c:pt idx="117">
                  <c:v>42792</c:v>
                </c:pt>
                <c:pt idx="118">
                  <c:v>42793</c:v>
                </c:pt>
                <c:pt idx="119">
                  <c:v>42794</c:v>
                </c:pt>
                <c:pt idx="120">
                  <c:v>42795</c:v>
                </c:pt>
                <c:pt idx="121">
                  <c:v>42796</c:v>
                </c:pt>
                <c:pt idx="122">
                  <c:v>42797</c:v>
                </c:pt>
                <c:pt idx="123">
                  <c:v>42798</c:v>
                </c:pt>
                <c:pt idx="124">
                  <c:v>42799</c:v>
                </c:pt>
                <c:pt idx="125">
                  <c:v>42800</c:v>
                </c:pt>
                <c:pt idx="126">
                  <c:v>42801</c:v>
                </c:pt>
                <c:pt idx="127">
                  <c:v>42802</c:v>
                </c:pt>
                <c:pt idx="128">
                  <c:v>42803</c:v>
                </c:pt>
                <c:pt idx="129">
                  <c:v>42804</c:v>
                </c:pt>
                <c:pt idx="130">
                  <c:v>42805</c:v>
                </c:pt>
                <c:pt idx="131">
                  <c:v>42806</c:v>
                </c:pt>
                <c:pt idx="132">
                  <c:v>42807</c:v>
                </c:pt>
                <c:pt idx="133">
                  <c:v>42808</c:v>
                </c:pt>
                <c:pt idx="134">
                  <c:v>42809</c:v>
                </c:pt>
                <c:pt idx="135">
                  <c:v>42810</c:v>
                </c:pt>
                <c:pt idx="136">
                  <c:v>42811</c:v>
                </c:pt>
                <c:pt idx="137">
                  <c:v>42812</c:v>
                </c:pt>
                <c:pt idx="138">
                  <c:v>42813</c:v>
                </c:pt>
                <c:pt idx="139">
                  <c:v>42814</c:v>
                </c:pt>
                <c:pt idx="140">
                  <c:v>42815</c:v>
                </c:pt>
                <c:pt idx="141">
                  <c:v>42816</c:v>
                </c:pt>
                <c:pt idx="142">
                  <c:v>42817</c:v>
                </c:pt>
                <c:pt idx="143">
                  <c:v>42818</c:v>
                </c:pt>
                <c:pt idx="144">
                  <c:v>42819</c:v>
                </c:pt>
                <c:pt idx="145">
                  <c:v>42820</c:v>
                </c:pt>
                <c:pt idx="146">
                  <c:v>42821</c:v>
                </c:pt>
                <c:pt idx="147">
                  <c:v>42822</c:v>
                </c:pt>
                <c:pt idx="148">
                  <c:v>42823</c:v>
                </c:pt>
                <c:pt idx="149">
                  <c:v>42824</c:v>
                </c:pt>
                <c:pt idx="150">
                  <c:v>42825</c:v>
                </c:pt>
                <c:pt idx="151">
                  <c:v>42826</c:v>
                </c:pt>
                <c:pt idx="152">
                  <c:v>42827</c:v>
                </c:pt>
                <c:pt idx="153">
                  <c:v>42828</c:v>
                </c:pt>
                <c:pt idx="154">
                  <c:v>42829</c:v>
                </c:pt>
                <c:pt idx="155">
                  <c:v>42830</c:v>
                </c:pt>
                <c:pt idx="156">
                  <c:v>42831</c:v>
                </c:pt>
                <c:pt idx="157">
                  <c:v>42832</c:v>
                </c:pt>
                <c:pt idx="158">
                  <c:v>42833</c:v>
                </c:pt>
                <c:pt idx="159">
                  <c:v>42834</c:v>
                </c:pt>
                <c:pt idx="160">
                  <c:v>42835</c:v>
                </c:pt>
                <c:pt idx="161">
                  <c:v>42836</c:v>
                </c:pt>
                <c:pt idx="162">
                  <c:v>42837</c:v>
                </c:pt>
                <c:pt idx="163">
                  <c:v>42838</c:v>
                </c:pt>
                <c:pt idx="164">
                  <c:v>42839</c:v>
                </c:pt>
                <c:pt idx="165">
                  <c:v>42840</c:v>
                </c:pt>
                <c:pt idx="166">
                  <c:v>42841</c:v>
                </c:pt>
                <c:pt idx="167">
                  <c:v>42842</c:v>
                </c:pt>
                <c:pt idx="168">
                  <c:v>42843</c:v>
                </c:pt>
                <c:pt idx="169">
                  <c:v>42844</c:v>
                </c:pt>
                <c:pt idx="170">
                  <c:v>42845</c:v>
                </c:pt>
                <c:pt idx="171">
                  <c:v>42846</c:v>
                </c:pt>
                <c:pt idx="172">
                  <c:v>42847</c:v>
                </c:pt>
                <c:pt idx="173">
                  <c:v>42848</c:v>
                </c:pt>
                <c:pt idx="174">
                  <c:v>42849</c:v>
                </c:pt>
                <c:pt idx="175">
                  <c:v>42850</c:v>
                </c:pt>
                <c:pt idx="176">
                  <c:v>42851</c:v>
                </c:pt>
                <c:pt idx="177">
                  <c:v>42852</c:v>
                </c:pt>
                <c:pt idx="178">
                  <c:v>42853</c:v>
                </c:pt>
                <c:pt idx="179">
                  <c:v>42854</c:v>
                </c:pt>
                <c:pt idx="180">
                  <c:v>42855</c:v>
                </c:pt>
                <c:pt idx="181">
                  <c:v>42856</c:v>
                </c:pt>
                <c:pt idx="182">
                  <c:v>42857</c:v>
                </c:pt>
                <c:pt idx="183">
                  <c:v>42858</c:v>
                </c:pt>
                <c:pt idx="184">
                  <c:v>42859</c:v>
                </c:pt>
                <c:pt idx="185">
                  <c:v>42860</c:v>
                </c:pt>
                <c:pt idx="186">
                  <c:v>42861</c:v>
                </c:pt>
                <c:pt idx="187">
                  <c:v>42862</c:v>
                </c:pt>
                <c:pt idx="188">
                  <c:v>42863</c:v>
                </c:pt>
                <c:pt idx="189">
                  <c:v>42864</c:v>
                </c:pt>
                <c:pt idx="190">
                  <c:v>42865</c:v>
                </c:pt>
                <c:pt idx="191">
                  <c:v>42866</c:v>
                </c:pt>
                <c:pt idx="192">
                  <c:v>42867</c:v>
                </c:pt>
                <c:pt idx="193">
                  <c:v>42868</c:v>
                </c:pt>
                <c:pt idx="194">
                  <c:v>42869</c:v>
                </c:pt>
                <c:pt idx="195">
                  <c:v>42870</c:v>
                </c:pt>
                <c:pt idx="196">
                  <c:v>42871</c:v>
                </c:pt>
                <c:pt idx="197">
                  <c:v>42872</c:v>
                </c:pt>
                <c:pt idx="198">
                  <c:v>42873</c:v>
                </c:pt>
                <c:pt idx="199">
                  <c:v>42874</c:v>
                </c:pt>
                <c:pt idx="200">
                  <c:v>42875</c:v>
                </c:pt>
                <c:pt idx="201">
                  <c:v>42876</c:v>
                </c:pt>
                <c:pt idx="202">
                  <c:v>42877</c:v>
                </c:pt>
                <c:pt idx="203">
                  <c:v>42878</c:v>
                </c:pt>
                <c:pt idx="204">
                  <c:v>42879</c:v>
                </c:pt>
                <c:pt idx="205">
                  <c:v>42880</c:v>
                </c:pt>
                <c:pt idx="206">
                  <c:v>42881</c:v>
                </c:pt>
                <c:pt idx="207">
                  <c:v>42882</c:v>
                </c:pt>
                <c:pt idx="208">
                  <c:v>42883</c:v>
                </c:pt>
                <c:pt idx="209">
                  <c:v>42884</c:v>
                </c:pt>
                <c:pt idx="210">
                  <c:v>42885</c:v>
                </c:pt>
                <c:pt idx="211">
                  <c:v>42886</c:v>
                </c:pt>
                <c:pt idx="212">
                  <c:v>42887</c:v>
                </c:pt>
                <c:pt idx="213">
                  <c:v>42888</c:v>
                </c:pt>
                <c:pt idx="214">
                  <c:v>42889</c:v>
                </c:pt>
                <c:pt idx="215">
                  <c:v>42890</c:v>
                </c:pt>
                <c:pt idx="216">
                  <c:v>42891</c:v>
                </c:pt>
                <c:pt idx="217">
                  <c:v>42892</c:v>
                </c:pt>
                <c:pt idx="218">
                  <c:v>42893</c:v>
                </c:pt>
                <c:pt idx="219">
                  <c:v>42894</c:v>
                </c:pt>
                <c:pt idx="220">
                  <c:v>42895</c:v>
                </c:pt>
                <c:pt idx="221">
                  <c:v>42896</c:v>
                </c:pt>
                <c:pt idx="222">
                  <c:v>42897</c:v>
                </c:pt>
                <c:pt idx="223">
                  <c:v>42898</c:v>
                </c:pt>
                <c:pt idx="224">
                  <c:v>42899</c:v>
                </c:pt>
                <c:pt idx="225">
                  <c:v>42900</c:v>
                </c:pt>
                <c:pt idx="226">
                  <c:v>42901</c:v>
                </c:pt>
                <c:pt idx="227">
                  <c:v>42902</c:v>
                </c:pt>
                <c:pt idx="228">
                  <c:v>42903</c:v>
                </c:pt>
                <c:pt idx="229">
                  <c:v>42904</c:v>
                </c:pt>
                <c:pt idx="230">
                  <c:v>42905</c:v>
                </c:pt>
                <c:pt idx="231">
                  <c:v>42906</c:v>
                </c:pt>
                <c:pt idx="232">
                  <c:v>42907</c:v>
                </c:pt>
                <c:pt idx="233">
                  <c:v>42908</c:v>
                </c:pt>
                <c:pt idx="234">
                  <c:v>42909</c:v>
                </c:pt>
                <c:pt idx="235">
                  <c:v>42910</c:v>
                </c:pt>
                <c:pt idx="236">
                  <c:v>42911</c:v>
                </c:pt>
                <c:pt idx="237">
                  <c:v>42912</c:v>
                </c:pt>
                <c:pt idx="238">
                  <c:v>42913</c:v>
                </c:pt>
                <c:pt idx="239">
                  <c:v>42914</c:v>
                </c:pt>
                <c:pt idx="240">
                  <c:v>42915</c:v>
                </c:pt>
                <c:pt idx="241">
                  <c:v>42916</c:v>
                </c:pt>
                <c:pt idx="242">
                  <c:v>42917</c:v>
                </c:pt>
                <c:pt idx="243">
                  <c:v>42918</c:v>
                </c:pt>
                <c:pt idx="244">
                  <c:v>42919</c:v>
                </c:pt>
                <c:pt idx="245">
                  <c:v>42920</c:v>
                </c:pt>
                <c:pt idx="246">
                  <c:v>42921</c:v>
                </c:pt>
                <c:pt idx="247">
                  <c:v>42922</c:v>
                </c:pt>
                <c:pt idx="248">
                  <c:v>42923</c:v>
                </c:pt>
                <c:pt idx="249">
                  <c:v>42924</c:v>
                </c:pt>
                <c:pt idx="250">
                  <c:v>42925</c:v>
                </c:pt>
                <c:pt idx="251">
                  <c:v>42926</c:v>
                </c:pt>
                <c:pt idx="252">
                  <c:v>42927</c:v>
                </c:pt>
                <c:pt idx="253">
                  <c:v>42928</c:v>
                </c:pt>
                <c:pt idx="254">
                  <c:v>42929</c:v>
                </c:pt>
                <c:pt idx="255">
                  <c:v>42930</c:v>
                </c:pt>
                <c:pt idx="256">
                  <c:v>42931</c:v>
                </c:pt>
                <c:pt idx="257">
                  <c:v>42932</c:v>
                </c:pt>
                <c:pt idx="258">
                  <c:v>42933</c:v>
                </c:pt>
                <c:pt idx="259">
                  <c:v>42934</c:v>
                </c:pt>
                <c:pt idx="260">
                  <c:v>42935</c:v>
                </c:pt>
                <c:pt idx="261">
                  <c:v>42936</c:v>
                </c:pt>
                <c:pt idx="262">
                  <c:v>42937</c:v>
                </c:pt>
                <c:pt idx="263">
                  <c:v>42938</c:v>
                </c:pt>
                <c:pt idx="264">
                  <c:v>42939</c:v>
                </c:pt>
                <c:pt idx="265">
                  <c:v>42940</c:v>
                </c:pt>
                <c:pt idx="266">
                  <c:v>42941</c:v>
                </c:pt>
                <c:pt idx="267">
                  <c:v>42942</c:v>
                </c:pt>
                <c:pt idx="268">
                  <c:v>42943</c:v>
                </c:pt>
                <c:pt idx="269">
                  <c:v>42944</c:v>
                </c:pt>
                <c:pt idx="270">
                  <c:v>42945</c:v>
                </c:pt>
                <c:pt idx="271">
                  <c:v>42946</c:v>
                </c:pt>
                <c:pt idx="272">
                  <c:v>42947</c:v>
                </c:pt>
                <c:pt idx="273">
                  <c:v>42948</c:v>
                </c:pt>
                <c:pt idx="274">
                  <c:v>42949</c:v>
                </c:pt>
                <c:pt idx="275">
                  <c:v>42950</c:v>
                </c:pt>
                <c:pt idx="276">
                  <c:v>42951</c:v>
                </c:pt>
                <c:pt idx="277">
                  <c:v>42952</c:v>
                </c:pt>
                <c:pt idx="278">
                  <c:v>42953</c:v>
                </c:pt>
                <c:pt idx="279">
                  <c:v>42954</c:v>
                </c:pt>
                <c:pt idx="280">
                  <c:v>42955</c:v>
                </c:pt>
                <c:pt idx="281">
                  <c:v>42956</c:v>
                </c:pt>
                <c:pt idx="282">
                  <c:v>42957</c:v>
                </c:pt>
                <c:pt idx="283">
                  <c:v>42958</c:v>
                </c:pt>
                <c:pt idx="284">
                  <c:v>42959</c:v>
                </c:pt>
                <c:pt idx="285">
                  <c:v>42960</c:v>
                </c:pt>
                <c:pt idx="286">
                  <c:v>42961</c:v>
                </c:pt>
                <c:pt idx="287">
                  <c:v>42962</c:v>
                </c:pt>
                <c:pt idx="288">
                  <c:v>42963</c:v>
                </c:pt>
                <c:pt idx="289">
                  <c:v>42964</c:v>
                </c:pt>
                <c:pt idx="290">
                  <c:v>42965</c:v>
                </c:pt>
                <c:pt idx="291">
                  <c:v>42966</c:v>
                </c:pt>
                <c:pt idx="292">
                  <c:v>42967</c:v>
                </c:pt>
                <c:pt idx="293">
                  <c:v>42968</c:v>
                </c:pt>
                <c:pt idx="294">
                  <c:v>42969</c:v>
                </c:pt>
                <c:pt idx="295">
                  <c:v>42970</c:v>
                </c:pt>
                <c:pt idx="296">
                  <c:v>42971</c:v>
                </c:pt>
                <c:pt idx="297">
                  <c:v>42972</c:v>
                </c:pt>
                <c:pt idx="298">
                  <c:v>42973</c:v>
                </c:pt>
                <c:pt idx="299">
                  <c:v>42974</c:v>
                </c:pt>
                <c:pt idx="300">
                  <c:v>42975</c:v>
                </c:pt>
                <c:pt idx="301">
                  <c:v>42976</c:v>
                </c:pt>
                <c:pt idx="302">
                  <c:v>42977</c:v>
                </c:pt>
                <c:pt idx="303">
                  <c:v>42978</c:v>
                </c:pt>
                <c:pt idx="304">
                  <c:v>42979</c:v>
                </c:pt>
                <c:pt idx="305">
                  <c:v>42980</c:v>
                </c:pt>
                <c:pt idx="306">
                  <c:v>42981</c:v>
                </c:pt>
                <c:pt idx="307">
                  <c:v>42982</c:v>
                </c:pt>
                <c:pt idx="308">
                  <c:v>42983</c:v>
                </c:pt>
                <c:pt idx="309">
                  <c:v>42984</c:v>
                </c:pt>
                <c:pt idx="310">
                  <c:v>42985</c:v>
                </c:pt>
                <c:pt idx="311">
                  <c:v>42986</c:v>
                </c:pt>
                <c:pt idx="312">
                  <c:v>42987</c:v>
                </c:pt>
                <c:pt idx="313">
                  <c:v>42988</c:v>
                </c:pt>
                <c:pt idx="314">
                  <c:v>42989</c:v>
                </c:pt>
                <c:pt idx="315">
                  <c:v>42990</c:v>
                </c:pt>
                <c:pt idx="316">
                  <c:v>42991</c:v>
                </c:pt>
                <c:pt idx="317">
                  <c:v>42992</c:v>
                </c:pt>
                <c:pt idx="318">
                  <c:v>42993</c:v>
                </c:pt>
                <c:pt idx="319">
                  <c:v>42994</c:v>
                </c:pt>
                <c:pt idx="320">
                  <c:v>42995</c:v>
                </c:pt>
                <c:pt idx="321">
                  <c:v>42996</c:v>
                </c:pt>
                <c:pt idx="322">
                  <c:v>42997</c:v>
                </c:pt>
                <c:pt idx="323">
                  <c:v>42998</c:v>
                </c:pt>
                <c:pt idx="324">
                  <c:v>42999</c:v>
                </c:pt>
                <c:pt idx="325">
                  <c:v>43000</c:v>
                </c:pt>
                <c:pt idx="326">
                  <c:v>43001</c:v>
                </c:pt>
                <c:pt idx="327">
                  <c:v>43002</c:v>
                </c:pt>
                <c:pt idx="328">
                  <c:v>43003</c:v>
                </c:pt>
                <c:pt idx="329">
                  <c:v>43004</c:v>
                </c:pt>
                <c:pt idx="330">
                  <c:v>43005</c:v>
                </c:pt>
                <c:pt idx="331">
                  <c:v>43006</c:v>
                </c:pt>
                <c:pt idx="332">
                  <c:v>43007</c:v>
                </c:pt>
                <c:pt idx="333">
                  <c:v>43008</c:v>
                </c:pt>
              </c:numCache>
            </c:numRef>
          </c:cat>
          <c:val>
            <c:numRef>
              <c:f>Folha2!$B$13:$B$346</c:f>
              <c:numCache>
                <c:formatCode>General</c:formatCode>
                <c:ptCount val="334"/>
                <c:pt idx="0">
                  <c:v>22.31542</c:v>
                </c:pt>
                <c:pt idx="1">
                  <c:v>24.750985999999997</c:v>
                </c:pt>
                <c:pt idx="2">
                  <c:v>24.884582999999999</c:v>
                </c:pt>
                <c:pt idx="3">
                  <c:v>24.720155999999999</c:v>
                </c:pt>
                <c:pt idx="4">
                  <c:v>22.705933000000002</c:v>
                </c:pt>
                <c:pt idx="5">
                  <c:v>24.021343999999999</c:v>
                </c:pt>
                <c:pt idx="6">
                  <c:v>24.74071</c:v>
                </c:pt>
                <c:pt idx="7">
                  <c:v>24.864028999999999</c:v>
                </c:pt>
                <c:pt idx="8">
                  <c:v>24.853752999999998</c:v>
                </c:pt>
                <c:pt idx="9">
                  <c:v>25.562842</c:v>
                </c:pt>
                <c:pt idx="10">
                  <c:v>25.449797999999998</c:v>
                </c:pt>
                <c:pt idx="11">
                  <c:v>25.162051999999999</c:v>
                </c:pt>
                <c:pt idx="12">
                  <c:v>23.764428000000002</c:v>
                </c:pt>
                <c:pt idx="13">
                  <c:v>25.007901999999998</c:v>
                </c:pt>
                <c:pt idx="14">
                  <c:v>25.162051999999999</c:v>
                </c:pt>
                <c:pt idx="15">
                  <c:v>25.614225000000001</c:v>
                </c:pt>
                <c:pt idx="16">
                  <c:v>25.850588000000002</c:v>
                </c:pt>
                <c:pt idx="17">
                  <c:v>26.220547</c:v>
                </c:pt>
                <c:pt idx="18">
                  <c:v>25.110668999999998</c:v>
                </c:pt>
                <c:pt idx="19">
                  <c:v>23.219764999999999</c:v>
                </c:pt>
                <c:pt idx="20">
                  <c:v>26.158887</c:v>
                </c:pt>
                <c:pt idx="21">
                  <c:v>26.128056999999998</c:v>
                </c:pt>
                <c:pt idx="22">
                  <c:v>26.241099999999999</c:v>
                </c:pt>
                <c:pt idx="23">
                  <c:v>26.169164000000002</c:v>
                </c:pt>
                <c:pt idx="24">
                  <c:v>26.117781000000001</c:v>
                </c:pt>
                <c:pt idx="25">
                  <c:v>24.15494</c:v>
                </c:pt>
                <c:pt idx="26">
                  <c:v>24.843475999999999</c:v>
                </c:pt>
                <c:pt idx="27">
                  <c:v>26.51857</c:v>
                </c:pt>
                <c:pt idx="28">
                  <c:v>26.528847000000003</c:v>
                </c:pt>
                <c:pt idx="29">
                  <c:v>26.456910000000001</c:v>
                </c:pt>
                <c:pt idx="30">
                  <c:v>26.354143999999998</c:v>
                </c:pt>
                <c:pt idx="31">
                  <c:v>26.456910000000001</c:v>
                </c:pt>
                <c:pt idx="32">
                  <c:v>25.593670999999997</c:v>
                </c:pt>
                <c:pt idx="33">
                  <c:v>26.343866999999999</c:v>
                </c:pt>
                <c:pt idx="34">
                  <c:v>26.569953000000002</c:v>
                </c:pt>
                <c:pt idx="35">
                  <c:v>26.652166000000001</c:v>
                </c:pt>
                <c:pt idx="36">
                  <c:v>26.508292999999998</c:v>
                </c:pt>
                <c:pt idx="37">
                  <c:v>25.768374999999999</c:v>
                </c:pt>
                <c:pt idx="38">
                  <c:v>25.665607999999999</c:v>
                </c:pt>
                <c:pt idx="39">
                  <c:v>25.295649000000001</c:v>
                </c:pt>
                <c:pt idx="40">
                  <c:v>25.490905000000001</c:v>
                </c:pt>
                <c:pt idx="41">
                  <c:v>27.001573</c:v>
                </c:pt>
                <c:pt idx="42">
                  <c:v>28.358090000000001</c:v>
                </c:pt>
                <c:pt idx="43">
                  <c:v>29.303541999999997</c:v>
                </c:pt>
                <c:pt idx="44">
                  <c:v>29.560458000000001</c:v>
                </c:pt>
                <c:pt idx="45">
                  <c:v>29.457692000000002</c:v>
                </c:pt>
                <c:pt idx="46">
                  <c:v>27.731214999999999</c:v>
                </c:pt>
                <c:pt idx="47">
                  <c:v>28.54307</c:v>
                </c:pt>
                <c:pt idx="48">
                  <c:v>28.810262999999999</c:v>
                </c:pt>
                <c:pt idx="49">
                  <c:v>28.748603000000003</c:v>
                </c:pt>
                <c:pt idx="50">
                  <c:v>30.197610999999998</c:v>
                </c:pt>
                <c:pt idx="51">
                  <c:v>30.105120999999997</c:v>
                </c:pt>
                <c:pt idx="52">
                  <c:v>29.868758</c:v>
                </c:pt>
                <c:pt idx="53">
                  <c:v>28.789709999999999</c:v>
                </c:pt>
                <c:pt idx="54">
                  <c:v>28.049791000000003</c:v>
                </c:pt>
                <c:pt idx="55">
                  <c:v>21.421352000000002</c:v>
                </c:pt>
                <c:pt idx="56">
                  <c:v>22.860082999999999</c:v>
                </c:pt>
                <c:pt idx="57">
                  <c:v>26.241099999999999</c:v>
                </c:pt>
                <c:pt idx="58">
                  <c:v>27.854534000000001</c:v>
                </c:pt>
                <c:pt idx="59">
                  <c:v>28.193664000000002</c:v>
                </c:pt>
                <c:pt idx="60">
                  <c:v>27.967578</c:v>
                </c:pt>
                <c:pt idx="61">
                  <c:v>33.386449999999996</c:v>
                </c:pt>
                <c:pt idx="62">
                  <c:v>32.338232000000005</c:v>
                </c:pt>
                <c:pt idx="63">
                  <c:v>33.571429999999999</c:v>
                </c:pt>
                <c:pt idx="64">
                  <c:v>33.520046000000001</c:v>
                </c:pt>
                <c:pt idx="65">
                  <c:v>33.787239</c:v>
                </c:pt>
                <c:pt idx="66">
                  <c:v>34.732691000000003</c:v>
                </c:pt>
                <c:pt idx="67">
                  <c:v>37.271023999999997</c:v>
                </c:pt>
                <c:pt idx="68">
                  <c:v>42.727924999999999</c:v>
                </c:pt>
                <c:pt idx="69">
                  <c:v>44.567444999999999</c:v>
                </c:pt>
                <c:pt idx="70">
                  <c:v>45.235427000000001</c:v>
                </c:pt>
                <c:pt idx="71">
                  <c:v>45.728707</c:v>
                </c:pt>
                <c:pt idx="72">
                  <c:v>46.345306000000001</c:v>
                </c:pt>
                <c:pt idx="73">
                  <c:v>46.067836</c:v>
                </c:pt>
                <c:pt idx="74">
                  <c:v>43.878909999999998</c:v>
                </c:pt>
                <c:pt idx="75">
                  <c:v>41.135044000000001</c:v>
                </c:pt>
                <c:pt idx="76">
                  <c:v>44.156379000000001</c:v>
                </c:pt>
                <c:pt idx="77">
                  <c:v>43.550057000000002</c:v>
                </c:pt>
                <c:pt idx="78">
                  <c:v>41.073383999999997</c:v>
                </c:pt>
                <c:pt idx="79">
                  <c:v>41.104213999999999</c:v>
                </c:pt>
                <c:pt idx="80">
                  <c:v>41.607770000000002</c:v>
                </c:pt>
                <c:pt idx="81">
                  <c:v>41.82358</c:v>
                </c:pt>
                <c:pt idx="82">
                  <c:v>41.70026</c:v>
                </c:pt>
                <c:pt idx="83">
                  <c:v>45.410131</c:v>
                </c:pt>
                <c:pt idx="84">
                  <c:v>45.944516</c:v>
                </c:pt>
                <c:pt idx="85">
                  <c:v>46.355581999999998</c:v>
                </c:pt>
                <c:pt idx="86">
                  <c:v>46.509732</c:v>
                </c:pt>
                <c:pt idx="87">
                  <c:v>45.389577000000003</c:v>
                </c:pt>
                <c:pt idx="88">
                  <c:v>42.450454999999998</c:v>
                </c:pt>
                <c:pt idx="89">
                  <c:v>40.343741999999999</c:v>
                </c:pt>
                <c:pt idx="90">
                  <c:v>40.569828000000001</c:v>
                </c:pt>
                <c:pt idx="91">
                  <c:v>40.025165999999999</c:v>
                </c:pt>
                <c:pt idx="92">
                  <c:v>34.967823000000003</c:v>
                </c:pt>
                <c:pt idx="93">
                  <c:v>31.114079</c:v>
                </c:pt>
                <c:pt idx="94">
                  <c:v>29.284836000000002</c:v>
                </c:pt>
                <c:pt idx="95">
                  <c:v>29.654795</c:v>
                </c:pt>
                <c:pt idx="96">
                  <c:v>29.562305000000002</c:v>
                </c:pt>
                <c:pt idx="97">
                  <c:v>31.812891000000004</c:v>
                </c:pt>
                <c:pt idx="98">
                  <c:v>30.415267</c:v>
                </c:pt>
                <c:pt idx="99">
                  <c:v>29.130686000000001</c:v>
                </c:pt>
                <c:pt idx="100">
                  <c:v>28.87377</c:v>
                </c:pt>
                <c:pt idx="101">
                  <c:v>26.972589000000003</c:v>
                </c:pt>
                <c:pt idx="102">
                  <c:v>25.924371000000001</c:v>
                </c:pt>
                <c:pt idx="103">
                  <c:v>25.934648000000003</c:v>
                </c:pt>
                <c:pt idx="104">
                  <c:v>24.999471999999997</c:v>
                </c:pt>
                <c:pt idx="105">
                  <c:v>24.434257000000002</c:v>
                </c:pt>
                <c:pt idx="106">
                  <c:v>23.786828</c:v>
                </c:pt>
                <c:pt idx="107">
                  <c:v>23.601848</c:v>
                </c:pt>
                <c:pt idx="108">
                  <c:v>22.933866000000002</c:v>
                </c:pt>
                <c:pt idx="109">
                  <c:v>23.036632000000001</c:v>
                </c:pt>
                <c:pt idx="110">
                  <c:v>22.995525999999998</c:v>
                </c:pt>
                <c:pt idx="111">
                  <c:v>22.913313000000002</c:v>
                </c:pt>
                <c:pt idx="112">
                  <c:v>22.5228</c:v>
                </c:pt>
                <c:pt idx="113">
                  <c:v>22.111734000000002</c:v>
                </c:pt>
                <c:pt idx="114">
                  <c:v>22.111734000000002</c:v>
                </c:pt>
                <c:pt idx="115">
                  <c:v>22.132287000000002</c:v>
                </c:pt>
                <c:pt idx="116">
                  <c:v>21.998691000000001</c:v>
                </c:pt>
                <c:pt idx="117">
                  <c:v>22.091181000000002</c:v>
                </c:pt>
                <c:pt idx="118">
                  <c:v>22.008967000000002</c:v>
                </c:pt>
                <c:pt idx="119">
                  <c:v>21.721221</c:v>
                </c:pt>
                <c:pt idx="120">
                  <c:v>21.567070999999999</c:v>
                </c:pt>
                <c:pt idx="121">
                  <c:v>21.320432</c:v>
                </c:pt>
                <c:pt idx="122">
                  <c:v>21.084069</c:v>
                </c:pt>
                <c:pt idx="123">
                  <c:v>20.570235999999998</c:v>
                </c:pt>
                <c:pt idx="124">
                  <c:v>20.775769</c:v>
                </c:pt>
                <c:pt idx="125">
                  <c:v>20.755216000000001</c:v>
                </c:pt>
                <c:pt idx="126">
                  <c:v>20.724386000000003</c:v>
                </c:pt>
                <c:pt idx="127">
                  <c:v>20.55996</c:v>
                </c:pt>
                <c:pt idx="128">
                  <c:v>20.272213000000001</c:v>
                </c:pt>
                <c:pt idx="129">
                  <c:v>19.758381</c:v>
                </c:pt>
                <c:pt idx="130">
                  <c:v>19.604230999999999</c:v>
                </c:pt>
                <c:pt idx="131">
                  <c:v>19.532295000000001</c:v>
                </c:pt>
                <c:pt idx="132">
                  <c:v>19.480910999999999</c:v>
                </c:pt>
                <c:pt idx="133">
                  <c:v>19.840593999999999</c:v>
                </c:pt>
                <c:pt idx="134">
                  <c:v>20.128340000000001</c:v>
                </c:pt>
                <c:pt idx="135">
                  <c:v>20.169447000000002</c:v>
                </c:pt>
                <c:pt idx="136">
                  <c:v>20.076957</c:v>
                </c:pt>
                <c:pt idx="137">
                  <c:v>19.809764000000001</c:v>
                </c:pt>
                <c:pt idx="138">
                  <c:v>20.374980000000001</c:v>
                </c:pt>
                <c:pt idx="139">
                  <c:v>20.642173</c:v>
                </c:pt>
                <c:pt idx="140">
                  <c:v>20.446916999999999</c:v>
                </c:pt>
                <c:pt idx="141">
                  <c:v>20.272213000000001</c:v>
                </c:pt>
                <c:pt idx="142">
                  <c:v>20.518853</c:v>
                </c:pt>
                <c:pt idx="143">
                  <c:v>20.847706000000002</c:v>
                </c:pt>
                <c:pt idx="144">
                  <c:v>20.55996</c:v>
                </c:pt>
                <c:pt idx="145">
                  <c:v>22.235054000000002</c:v>
                </c:pt>
                <c:pt idx="146">
                  <c:v>22.235054000000002</c:v>
                </c:pt>
                <c:pt idx="147">
                  <c:v>20.642173</c:v>
                </c:pt>
                <c:pt idx="148">
                  <c:v>20.416087000000001</c:v>
                </c:pt>
                <c:pt idx="149">
                  <c:v>20.231107000000002</c:v>
                </c:pt>
                <c:pt idx="150">
                  <c:v>20.231107000000002</c:v>
                </c:pt>
                <c:pt idx="151">
                  <c:v>20.064218</c:v>
                </c:pt>
                <c:pt idx="152">
                  <c:v>21.184373000000001</c:v>
                </c:pt>
                <c:pt idx="153">
                  <c:v>21.328246</c:v>
                </c:pt>
                <c:pt idx="154">
                  <c:v>21.225480000000001</c:v>
                </c:pt>
                <c:pt idx="155">
                  <c:v>21.153542999999999</c:v>
                </c:pt>
                <c:pt idx="156">
                  <c:v>21.184373000000001</c:v>
                </c:pt>
                <c:pt idx="157">
                  <c:v>21.030222999999999</c:v>
                </c:pt>
                <c:pt idx="158">
                  <c:v>21.07133</c:v>
                </c:pt>
                <c:pt idx="159">
                  <c:v>21.00967</c:v>
                </c:pt>
                <c:pt idx="160">
                  <c:v>21.163820000000001</c:v>
                </c:pt>
                <c:pt idx="161">
                  <c:v>20.701370000000001</c:v>
                </c:pt>
                <c:pt idx="162">
                  <c:v>20.711646999999999</c:v>
                </c:pt>
                <c:pt idx="163">
                  <c:v>20.834966999999999</c:v>
                </c:pt>
                <c:pt idx="164">
                  <c:v>19.642876000000001</c:v>
                </c:pt>
                <c:pt idx="165">
                  <c:v>18.841297000000001</c:v>
                </c:pt>
                <c:pt idx="166">
                  <c:v>19.581215999999998</c:v>
                </c:pt>
                <c:pt idx="167">
                  <c:v>21.019947000000002</c:v>
                </c:pt>
                <c:pt idx="168">
                  <c:v>20.958286999999999</c:v>
                </c:pt>
                <c:pt idx="169">
                  <c:v>20.937733000000001</c:v>
                </c:pt>
                <c:pt idx="170">
                  <c:v>20.814413999999999</c:v>
                </c:pt>
                <c:pt idx="171">
                  <c:v>20.88635</c:v>
                </c:pt>
                <c:pt idx="172">
                  <c:v>20.855519999999999</c:v>
                </c:pt>
                <c:pt idx="173">
                  <c:v>20.937733000000001</c:v>
                </c:pt>
                <c:pt idx="174">
                  <c:v>20.999393000000001</c:v>
                </c:pt>
                <c:pt idx="175">
                  <c:v>20.82469</c:v>
                </c:pt>
                <c:pt idx="176">
                  <c:v>20.773307000000003</c:v>
                </c:pt>
                <c:pt idx="177">
                  <c:v>20.968563</c:v>
                </c:pt>
                <c:pt idx="178">
                  <c:v>21.389906</c:v>
                </c:pt>
                <c:pt idx="179">
                  <c:v>21.204926</c:v>
                </c:pt>
                <c:pt idx="180">
                  <c:v>21.431013</c:v>
                </c:pt>
                <c:pt idx="181">
                  <c:v>21.215202999999999</c:v>
                </c:pt>
                <c:pt idx="182">
                  <c:v>21.112435999999999</c:v>
                </c:pt>
                <c:pt idx="183">
                  <c:v>21.513226</c:v>
                </c:pt>
                <c:pt idx="184">
                  <c:v>21.441288999999998</c:v>
                </c:pt>
                <c:pt idx="185">
                  <c:v>21.472119000000003</c:v>
                </c:pt>
                <c:pt idx="186">
                  <c:v>21.544055999999998</c:v>
                </c:pt>
                <c:pt idx="187">
                  <c:v>21.287140000000001</c:v>
                </c:pt>
                <c:pt idx="188">
                  <c:v>21.122713000000001</c:v>
                </c:pt>
                <c:pt idx="189">
                  <c:v>21.369353</c:v>
                </c:pt>
                <c:pt idx="190">
                  <c:v>21.081606999999998</c:v>
                </c:pt>
                <c:pt idx="191">
                  <c:v>20.999393000000001</c:v>
                </c:pt>
                <c:pt idx="192">
                  <c:v>20.752754000000003</c:v>
                </c:pt>
                <c:pt idx="193">
                  <c:v>20.465008000000001</c:v>
                </c:pt>
                <c:pt idx="194">
                  <c:v>20.999393000000001</c:v>
                </c:pt>
                <c:pt idx="195">
                  <c:v>20.845243999999997</c:v>
                </c:pt>
                <c:pt idx="196">
                  <c:v>21.030222999999999</c:v>
                </c:pt>
                <c:pt idx="197">
                  <c:v>20.927457</c:v>
                </c:pt>
                <c:pt idx="198">
                  <c:v>20.917180000000002</c:v>
                </c:pt>
                <c:pt idx="199">
                  <c:v>20.927457</c:v>
                </c:pt>
                <c:pt idx="200">
                  <c:v>20.567774</c:v>
                </c:pt>
                <c:pt idx="201">
                  <c:v>20.793860000000002</c:v>
                </c:pt>
                <c:pt idx="202">
                  <c:v>20.763029999999997</c:v>
                </c:pt>
                <c:pt idx="203">
                  <c:v>20.793860000000002</c:v>
                </c:pt>
                <c:pt idx="204">
                  <c:v>20.742476999999997</c:v>
                </c:pt>
                <c:pt idx="205">
                  <c:v>20.752754000000003</c:v>
                </c:pt>
                <c:pt idx="206">
                  <c:v>20.773307000000003</c:v>
                </c:pt>
                <c:pt idx="207">
                  <c:v>20.259474999999998</c:v>
                </c:pt>
                <c:pt idx="208">
                  <c:v>20.074495000000002</c:v>
                </c:pt>
                <c:pt idx="209">
                  <c:v>20.906903</c:v>
                </c:pt>
                <c:pt idx="210">
                  <c:v>21.040500000000002</c:v>
                </c:pt>
                <c:pt idx="211">
                  <c:v>21.163820000000001</c:v>
                </c:pt>
                <c:pt idx="212">
                  <c:v>20.793244999999999</c:v>
                </c:pt>
                <c:pt idx="213">
                  <c:v>20.197198999999998</c:v>
                </c:pt>
                <c:pt idx="214">
                  <c:v>19.631982999999998</c:v>
                </c:pt>
                <c:pt idx="215">
                  <c:v>19.82724</c:v>
                </c:pt>
                <c:pt idx="216">
                  <c:v>19.560047000000001</c:v>
                </c:pt>
                <c:pt idx="217">
                  <c:v>19.652537000000002</c:v>
                </c:pt>
                <c:pt idx="218">
                  <c:v>19.518939999999997</c:v>
                </c:pt>
                <c:pt idx="219">
                  <c:v>19.64226</c:v>
                </c:pt>
                <c:pt idx="220">
                  <c:v>19.878623000000001</c:v>
                </c:pt>
                <c:pt idx="221">
                  <c:v>19.76558</c:v>
                </c:pt>
                <c:pt idx="222">
                  <c:v>20.587712</c:v>
                </c:pt>
                <c:pt idx="223">
                  <c:v>20.228029000000003</c:v>
                </c:pt>
                <c:pt idx="224">
                  <c:v>20.197198999999998</c:v>
                </c:pt>
                <c:pt idx="225">
                  <c:v>20.433561999999998</c:v>
                </c:pt>
                <c:pt idx="226">
                  <c:v>20.618542000000001</c:v>
                </c:pt>
                <c:pt idx="227">
                  <c:v>20.392455000000002</c:v>
                </c:pt>
                <c:pt idx="228">
                  <c:v>20.012219000000002</c:v>
                </c:pt>
                <c:pt idx="229">
                  <c:v>20.526052</c:v>
                </c:pt>
                <c:pt idx="230">
                  <c:v>21.132373999999999</c:v>
                </c:pt>
                <c:pt idx="231">
                  <c:v>21.214587000000002</c:v>
                </c:pt>
                <c:pt idx="232">
                  <c:v>21.594822999999998</c:v>
                </c:pt>
                <c:pt idx="233">
                  <c:v>21.574269999999999</c:v>
                </c:pt>
                <c:pt idx="234">
                  <c:v>21.399567000000001</c:v>
                </c:pt>
                <c:pt idx="235">
                  <c:v>20.330796000000003</c:v>
                </c:pt>
                <c:pt idx="236">
                  <c:v>20.228029000000003</c:v>
                </c:pt>
                <c:pt idx="237">
                  <c:v>21.039883999999997</c:v>
                </c:pt>
                <c:pt idx="238">
                  <c:v>20.484945</c:v>
                </c:pt>
                <c:pt idx="239">
                  <c:v>19.529217000000003</c:v>
                </c:pt>
                <c:pt idx="240">
                  <c:v>19.806685999999999</c:v>
                </c:pt>
                <c:pt idx="241">
                  <c:v>19.858069999999998</c:v>
                </c:pt>
                <c:pt idx="242">
                  <c:v>19.489167999999999</c:v>
                </c:pt>
                <c:pt idx="243">
                  <c:v>19.180869000000001</c:v>
                </c:pt>
                <c:pt idx="244">
                  <c:v>19.879681000000001</c:v>
                </c:pt>
                <c:pt idx="245">
                  <c:v>19.807744</c:v>
                </c:pt>
                <c:pt idx="246">
                  <c:v>19.715254000000002</c:v>
                </c:pt>
                <c:pt idx="247">
                  <c:v>19.797467999999999</c:v>
                </c:pt>
                <c:pt idx="248">
                  <c:v>19.663871</c:v>
                </c:pt>
                <c:pt idx="249">
                  <c:v>19.365848</c:v>
                </c:pt>
                <c:pt idx="250">
                  <c:v>19.746084</c:v>
                </c:pt>
                <c:pt idx="251">
                  <c:v>19.982447000000001</c:v>
                </c:pt>
                <c:pt idx="252">
                  <c:v>19.746084</c:v>
                </c:pt>
                <c:pt idx="253">
                  <c:v>19.530275</c:v>
                </c:pt>
                <c:pt idx="254">
                  <c:v>19.519998000000001</c:v>
                </c:pt>
                <c:pt idx="255">
                  <c:v>19.622764</c:v>
                </c:pt>
                <c:pt idx="256">
                  <c:v>19.314464999999998</c:v>
                </c:pt>
                <c:pt idx="257">
                  <c:v>19.499445000000001</c:v>
                </c:pt>
                <c:pt idx="258">
                  <c:v>19.427508</c:v>
                </c:pt>
                <c:pt idx="259">
                  <c:v>19.519998000000001</c:v>
                </c:pt>
                <c:pt idx="260">
                  <c:v>19.180869000000001</c:v>
                </c:pt>
                <c:pt idx="261">
                  <c:v>19.191144999999999</c:v>
                </c:pt>
                <c:pt idx="262">
                  <c:v>19.242528</c:v>
                </c:pt>
                <c:pt idx="263">
                  <c:v>19.191144999999999</c:v>
                </c:pt>
                <c:pt idx="264">
                  <c:v>19.489167999999999</c:v>
                </c:pt>
                <c:pt idx="265">
                  <c:v>19.160315000000001</c:v>
                </c:pt>
                <c:pt idx="266">
                  <c:v>19.098655000000001</c:v>
                </c:pt>
                <c:pt idx="267">
                  <c:v>19.098655000000001</c:v>
                </c:pt>
                <c:pt idx="268">
                  <c:v>19.283635</c:v>
                </c:pt>
                <c:pt idx="269">
                  <c:v>19.335017999999998</c:v>
                </c:pt>
                <c:pt idx="270">
                  <c:v>19.191144999999999</c:v>
                </c:pt>
                <c:pt idx="271">
                  <c:v>19.591935000000003</c:v>
                </c:pt>
                <c:pt idx="272">
                  <c:v>19.735808000000002</c:v>
                </c:pt>
                <c:pt idx="273">
                  <c:v>19.652979000000002</c:v>
                </c:pt>
                <c:pt idx="274">
                  <c:v>19.755745000000001</c:v>
                </c:pt>
                <c:pt idx="275">
                  <c:v>19.724914999999999</c:v>
                </c:pt>
                <c:pt idx="276">
                  <c:v>19.416616000000001</c:v>
                </c:pt>
                <c:pt idx="277">
                  <c:v>18.152588000000002</c:v>
                </c:pt>
                <c:pt idx="278">
                  <c:v>17.988161999999999</c:v>
                </c:pt>
                <c:pt idx="279">
                  <c:v>18.871953000000001</c:v>
                </c:pt>
                <c:pt idx="280">
                  <c:v>19.015826999999998</c:v>
                </c:pt>
                <c:pt idx="281">
                  <c:v>18.347843999999998</c:v>
                </c:pt>
                <c:pt idx="282">
                  <c:v>18.399228000000001</c:v>
                </c:pt>
                <c:pt idx="283">
                  <c:v>18.430056999999998</c:v>
                </c:pt>
                <c:pt idx="284">
                  <c:v>18.203970999999999</c:v>
                </c:pt>
                <c:pt idx="285">
                  <c:v>18.645866999999999</c:v>
                </c:pt>
                <c:pt idx="286">
                  <c:v>18.471164000000002</c:v>
                </c:pt>
                <c:pt idx="287">
                  <c:v>18.491717000000001</c:v>
                </c:pt>
                <c:pt idx="288">
                  <c:v>18.810294000000003</c:v>
                </c:pt>
                <c:pt idx="289">
                  <c:v>18.676697000000001</c:v>
                </c:pt>
                <c:pt idx="290">
                  <c:v>18.748633999999999</c:v>
                </c:pt>
                <c:pt idx="291">
                  <c:v>18.399228000000001</c:v>
                </c:pt>
                <c:pt idx="292">
                  <c:v>18.553377000000001</c:v>
                </c:pt>
                <c:pt idx="293">
                  <c:v>18.984997</c:v>
                </c:pt>
                <c:pt idx="294">
                  <c:v>19.087762999999999</c:v>
                </c:pt>
                <c:pt idx="295">
                  <c:v>19.241913</c:v>
                </c:pt>
                <c:pt idx="296">
                  <c:v>19.426893</c:v>
                </c:pt>
                <c:pt idx="297">
                  <c:v>19.447445999999999</c:v>
                </c:pt>
                <c:pt idx="298">
                  <c:v>19.026102999999999</c:v>
                </c:pt>
                <c:pt idx="299">
                  <c:v>19.581042</c:v>
                </c:pt>
                <c:pt idx="300">
                  <c:v>19.951001999999999</c:v>
                </c:pt>
                <c:pt idx="301">
                  <c:v>20.557323999999998</c:v>
                </c:pt>
                <c:pt idx="302">
                  <c:v>20.598431000000001</c:v>
                </c:pt>
                <c:pt idx="303">
                  <c:v>20.403174</c:v>
                </c:pt>
                <c:pt idx="304">
                  <c:v>19.561104999999998</c:v>
                </c:pt>
                <c:pt idx="305">
                  <c:v>19.355572000000002</c:v>
                </c:pt>
                <c:pt idx="306">
                  <c:v>20.290747</c:v>
                </c:pt>
                <c:pt idx="307">
                  <c:v>19.848851</c:v>
                </c:pt>
                <c:pt idx="308">
                  <c:v>19.848851</c:v>
                </c:pt>
                <c:pt idx="309">
                  <c:v>19.920786999999997</c:v>
                </c:pt>
                <c:pt idx="310">
                  <c:v>19.961894000000001</c:v>
                </c:pt>
                <c:pt idx="311">
                  <c:v>19.992723999999999</c:v>
                </c:pt>
                <c:pt idx="312">
                  <c:v>19.458337999999998</c:v>
                </c:pt>
                <c:pt idx="313">
                  <c:v>19.139762000000001</c:v>
                </c:pt>
                <c:pt idx="314">
                  <c:v>19.550827999999999</c:v>
                </c:pt>
                <c:pt idx="315">
                  <c:v>19.992723999999999</c:v>
                </c:pt>
                <c:pt idx="316">
                  <c:v>19.992723999999999</c:v>
                </c:pt>
                <c:pt idx="317">
                  <c:v>20.218810000000001</c:v>
                </c:pt>
                <c:pt idx="318">
                  <c:v>20.424343</c:v>
                </c:pt>
                <c:pt idx="319">
                  <c:v>20.52711</c:v>
                </c:pt>
                <c:pt idx="320">
                  <c:v>20.393512999999999</c:v>
                </c:pt>
                <c:pt idx="321">
                  <c:v>20.547663</c:v>
                </c:pt>
                <c:pt idx="322">
                  <c:v>20.557939999999999</c:v>
                </c:pt>
                <c:pt idx="323">
                  <c:v>21.112879</c:v>
                </c:pt>
                <c:pt idx="324">
                  <c:v>21.205369000000001</c:v>
                </c:pt>
                <c:pt idx="325">
                  <c:v>21.174538999999999</c:v>
                </c:pt>
                <c:pt idx="326">
                  <c:v>20.414066999999999</c:v>
                </c:pt>
                <c:pt idx="327">
                  <c:v>20.157149999999998</c:v>
                </c:pt>
                <c:pt idx="328">
                  <c:v>21.040942000000001</c:v>
                </c:pt>
                <c:pt idx="329">
                  <c:v>20.804579</c:v>
                </c:pt>
                <c:pt idx="330">
                  <c:v>20.825132999999997</c:v>
                </c:pt>
                <c:pt idx="331">
                  <c:v>21.657540999999998</c:v>
                </c:pt>
                <c:pt idx="332">
                  <c:v>21.739754000000001</c:v>
                </c:pt>
                <c:pt idx="333">
                  <c:v>20.157149999999998</c:v>
                </c:pt>
              </c:numCache>
            </c:numRef>
          </c:val>
          <c:smooth val="0"/>
          <c:extLst>
            <c:ext xmlns:c16="http://schemas.microsoft.com/office/drawing/2014/chart" uri="{C3380CC4-5D6E-409C-BE32-E72D297353CC}">
              <c16:uniqueId val="{00000000-7E98-418C-99F2-96C7E55D52C7}"/>
            </c:ext>
          </c:extLst>
        </c:ser>
        <c:ser>
          <c:idx val="1"/>
          <c:order val="1"/>
          <c:tx>
            <c:strRef>
              <c:f>Folha2!$C$12</c:f>
              <c:strCache>
                <c:ptCount val="1"/>
                <c:pt idx="0">
                  <c:v>Marginal Sell Price</c:v>
                </c:pt>
              </c:strCache>
            </c:strRef>
          </c:tx>
          <c:spPr>
            <a:ln w="19050" cap="rnd">
              <a:solidFill>
                <a:srgbClr val="FFCC66"/>
              </a:solidFill>
              <a:round/>
            </a:ln>
            <a:effectLst/>
          </c:spPr>
          <c:marker>
            <c:symbol val="none"/>
          </c:marker>
          <c:cat>
            <c:numRef>
              <c:f>Folha2!$A$13:$A$346</c:f>
              <c:numCache>
                <c:formatCode>m/d/yyyy</c:formatCode>
                <c:ptCount val="334"/>
                <c:pt idx="0">
                  <c:v>42675</c:v>
                </c:pt>
                <c:pt idx="1">
                  <c:v>42676</c:v>
                </c:pt>
                <c:pt idx="2">
                  <c:v>42677</c:v>
                </c:pt>
                <c:pt idx="3">
                  <c:v>42678</c:v>
                </c:pt>
                <c:pt idx="4">
                  <c:v>42679</c:v>
                </c:pt>
                <c:pt idx="5">
                  <c:v>42680</c:v>
                </c:pt>
                <c:pt idx="6">
                  <c:v>42681</c:v>
                </c:pt>
                <c:pt idx="7">
                  <c:v>42682</c:v>
                </c:pt>
                <c:pt idx="8">
                  <c:v>42683</c:v>
                </c:pt>
                <c:pt idx="9">
                  <c:v>42684</c:v>
                </c:pt>
                <c:pt idx="10">
                  <c:v>42685</c:v>
                </c:pt>
                <c:pt idx="11">
                  <c:v>42686</c:v>
                </c:pt>
                <c:pt idx="12">
                  <c:v>42687</c:v>
                </c:pt>
                <c:pt idx="13">
                  <c:v>42688</c:v>
                </c:pt>
                <c:pt idx="14">
                  <c:v>42689</c:v>
                </c:pt>
                <c:pt idx="15">
                  <c:v>42690</c:v>
                </c:pt>
                <c:pt idx="16">
                  <c:v>42691</c:v>
                </c:pt>
                <c:pt idx="17">
                  <c:v>42692</c:v>
                </c:pt>
                <c:pt idx="18">
                  <c:v>42693</c:v>
                </c:pt>
                <c:pt idx="19">
                  <c:v>42694</c:v>
                </c:pt>
                <c:pt idx="20">
                  <c:v>42695</c:v>
                </c:pt>
                <c:pt idx="21">
                  <c:v>42696</c:v>
                </c:pt>
                <c:pt idx="22">
                  <c:v>42697</c:v>
                </c:pt>
                <c:pt idx="23">
                  <c:v>42698</c:v>
                </c:pt>
                <c:pt idx="24">
                  <c:v>42699</c:v>
                </c:pt>
                <c:pt idx="25">
                  <c:v>42700</c:v>
                </c:pt>
                <c:pt idx="26">
                  <c:v>42701</c:v>
                </c:pt>
                <c:pt idx="27">
                  <c:v>42702</c:v>
                </c:pt>
                <c:pt idx="28">
                  <c:v>42703</c:v>
                </c:pt>
                <c:pt idx="29">
                  <c:v>42704</c:v>
                </c:pt>
                <c:pt idx="30">
                  <c:v>42705</c:v>
                </c:pt>
                <c:pt idx="31">
                  <c:v>42706</c:v>
                </c:pt>
                <c:pt idx="32">
                  <c:v>42707</c:v>
                </c:pt>
                <c:pt idx="33">
                  <c:v>42708</c:v>
                </c:pt>
                <c:pt idx="34">
                  <c:v>42709</c:v>
                </c:pt>
                <c:pt idx="35">
                  <c:v>42710</c:v>
                </c:pt>
                <c:pt idx="36">
                  <c:v>42711</c:v>
                </c:pt>
                <c:pt idx="37">
                  <c:v>42712</c:v>
                </c:pt>
                <c:pt idx="38">
                  <c:v>42713</c:v>
                </c:pt>
                <c:pt idx="39">
                  <c:v>42714</c:v>
                </c:pt>
                <c:pt idx="40">
                  <c:v>42715</c:v>
                </c:pt>
                <c:pt idx="41">
                  <c:v>42716</c:v>
                </c:pt>
                <c:pt idx="42">
                  <c:v>42717</c:v>
                </c:pt>
                <c:pt idx="43">
                  <c:v>42718</c:v>
                </c:pt>
                <c:pt idx="44">
                  <c:v>42719</c:v>
                </c:pt>
                <c:pt idx="45">
                  <c:v>42720</c:v>
                </c:pt>
                <c:pt idx="46">
                  <c:v>42721</c:v>
                </c:pt>
                <c:pt idx="47">
                  <c:v>42722</c:v>
                </c:pt>
                <c:pt idx="48">
                  <c:v>42723</c:v>
                </c:pt>
                <c:pt idx="49">
                  <c:v>42724</c:v>
                </c:pt>
                <c:pt idx="50">
                  <c:v>42725</c:v>
                </c:pt>
                <c:pt idx="51">
                  <c:v>42726</c:v>
                </c:pt>
                <c:pt idx="52">
                  <c:v>42727</c:v>
                </c:pt>
                <c:pt idx="53">
                  <c:v>42728</c:v>
                </c:pt>
                <c:pt idx="54">
                  <c:v>42729</c:v>
                </c:pt>
                <c:pt idx="55">
                  <c:v>42730</c:v>
                </c:pt>
                <c:pt idx="56">
                  <c:v>42731</c:v>
                </c:pt>
                <c:pt idx="57">
                  <c:v>42732</c:v>
                </c:pt>
                <c:pt idx="58">
                  <c:v>42733</c:v>
                </c:pt>
                <c:pt idx="59">
                  <c:v>42734</c:v>
                </c:pt>
                <c:pt idx="60">
                  <c:v>42735</c:v>
                </c:pt>
                <c:pt idx="61">
                  <c:v>42736</c:v>
                </c:pt>
                <c:pt idx="62">
                  <c:v>42737</c:v>
                </c:pt>
                <c:pt idx="63">
                  <c:v>42738</c:v>
                </c:pt>
                <c:pt idx="64">
                  <c:v>42739</c:v>
                </c:pt>
                <c:pt idx="65">
                  <c:v>42740</c:v>
                </c:pt>
                <c:pt idx="66">
                  <c:v>42741</c:v>
                </c:pt>
                <c:pt idx="67">
                  <c:v>42742</c:v>
                </c:pt>
                <c:pt idx="68">
                  <c:v>42743</c:v>
                </c:pt>
                <c:pt idx="69">
                  <c:v>42744</c:v>
                </c:pt>
                <c:pt idx="70">
                  <c:v>42745</c:v>
                </c:pt>
                <c:pt idx="71">
                  <c:v>42746</c:v>
                </c:pt>
                <c:pt idx="72">
                  <c:v>42747</c:v>
                </c:pt>
                <c:pt idx="73">
                  <c:v>42748</c:v>
                </c:pt>
                <c:pt idx="74">
                  <c:v>42749</c:v>
                </c:pt>
                <c:pt idx="75">
                  <c:v>42750</c:v>
                </c:pt>
                <c:pt idx="76">
                  <c:v>42751</c:v>
                </c:pt>
                <c:pt idx="77">
                  <c:v>42752</c:v>
                </c:pt>
                <c:pt idx="78">
                  <c:v>42753</c:v>
                </c:pt>
                <c:pt idx="79">
                  <c:v>42754</c:v>
                </c:pt>
                <c:pt idx="80">
                  <c:v>42755</c:v>
                </c:pt>
                <c:pt idx="81">
                  <c:v>42756</c:v>
                </c:pt>
                <c:pt idx="82">
                  <c:v>42757</c:v>
                </c:pt>
                <c:pt idx="83">
                  <c:v>42758</c:v>
                </c:pt>
                <c:pt idx="84">
                  <c:v>42759</c:v>
                </c:pt>
                <c:pt idx="85">
                  <c:v>42760</c:v>
                </c:pt>
                <c:pt idx="86">
                  <c:v>42761</c:v>
                </c:pt>
                <c:pt idx="87">
                  <c:v>42762</c:v>
                </c:pt>
                <c:pt idx="88">
                  <c:v>42763</c:v>
                </c:pt>
                <c:pt idx="89">
                  <c:v>42764</c:v>
                </c:pt>
                <c:pt idx="90">
                  <c:v>42765</c:v>
                </c:pt>
                <c:pt idx="91">
                  <c:v>42766</c:v>
                </c:pt>
                <c:pt idx="92">
                  <c:v>42767</c:v>
                </c:pt>
                <c:pt idx="93">
                  <c:v>42768</c:v>
                </c:pt>
                <c:pt idx="94">
                  <c:v>42769</c:v>
                </c:pt>
                <c:pt idx="95">
                  <c:v>42770</c:v>
                </c:pt>
                <c:pt idx="96">
                  <c:v>42771</c:v>
                </c:pt>
                <c:pt idx="97">
                  <c:v>42772</c:v>
                </c:pt>
                <c:pt idx="98">
                  <c:v>42773</c:v>
                </c:pt>
                <c:pt idx="99">
                  <c:v>42774</c:v>
                </c:pt>
                <c:pt idx="100">
                  <c:v>42775</c:v>
                </c:pt>
                <c:pt idx="101">
                  <c:v>42776</c:v>
                </c:pt>
                <c:pt idx="102">
                  <c:v>42777</c:v>
                </c:pt>
                <c:pt idx="103">
                  <c:v>42778</c:v>
                </c:pt>
                <c:pt idx="104">
                  <c:v>42779</c:v>
                </c:pt>
                <c:pt idx="105">
                  <c:v>42780</c:v>
                </c:pt>
                <c:pt idx="106">
                  <c:v>42781</c:v>
                </c:pt>
                <c:pt idx="107">
                  <c:v>42782</c:v>
                </c:pt>
                <c:pt idx="108">
                  <c:v>42783</c:v>
                </c:pt>
                <c:pt idx="109">
                  <c:v>42784</c:v>
                </c:pt>
                <c:pt idx="110">
                  <c:v>42785</c:v>
                </c:pt>
                <c:pt idx="111">
                  <c:v>42786</c:v>
                </c:pt>
                <c:pt idx="112">
                  <c:v>42787</c:v>
                </c:pt>
                <c:pt idx="113">
                  <c:v>42788</c:v>
                </c:pt>
                <c:pt idx="114">
                  <c:v>42789</c:v>
                </c:pt>
                <c:pt idx="115">
                  <c:v>42790</c:v>
                </c:pt>
                <c:pt idx="116">
                  <c:v>42791</c:v>
                </c:pt>
                <c:pt idx="117">
                  <c:v>42792</c:v>
                </c:pt>
                <c:pt idx="118">
                  <c:v>42793</c:v>
                </c:pt>
                <c:pt idx="119">
                  <c:v>42794</c:v>
                </c:pt>
                <c:pt idx="120">
                  <c:v>42795</c:v>
                </c:pt>
                <c:pt idx="121">
                  <c:v>42796</c:v>
                </c:pt>
                <c:pt idx="122">
                  <c:v>42797</c:v>
                </c:pt>
                <c:pt idx="123">
                  <c:v>42798</c:v>
                </c:pt>
                <c:pt idx="124">
                  <c:v>42799</c:v>
                </c:pt>
                <c:pt idx="125">
                  <c:v>42800</c:v>
                </c:pt>
                <c:pt idx="126">
                  <c:v>42801</c:v>
                </c:pt>
                <c:pt idx="127">
                  <c:v>42802</c:v>
                </c:pt>
                <c:pt idx="128">
                  <c:v>42803</c:v>
                </c:pt>
                <c:pt idx="129">
                  <c:v>42804</c:v>
                </c:pt>
                <c:pt idx="130">
                  <c:v>42805</c:v>
                </c:pt>
                <c:pt idx="131">
                  <c:v>42806</c:v>
                </c:pt>
                <c:pt idx="132">
                  <c:v>42807</c:v>
                </c:pt>
                <c:pt idx="133">
                  <c:v>42808</c:v>
                </c:pt>
                <c:pt idx="134">
                  <c:v>42809</c:v>
                </c:pt>
                <c:pt idx="135">
                  <c:v>42810</c:v>
                </c:pt>
                <c:pt idx="136">
                  <c:v>42811</c:v>
                </c:pt>
                <c:pt idx="137">
                  <c:v>42812</c:v>
                </c:pt>
                <c:pt idx="138">
                  <c:v>42813</c:v>
                </c:pt>
                <c:pt idx="139">
                  <c:v>42814</c:v>
                </c:pt>
                <c:pt idx="140">
                  <c:v>42815</c:v>
                </c:pt>
                <c:pt idx="141">
                  <c:v>42816</c:v>
                </c:pt>
                <c:pt idx="142">
                  <c:v>42817</c:v>
                </c:pt>
                <c:pt idx="143">
                  <c:v>42818</c:v>
                </c:pt>
                <c:pt idx="144">
                  <c:v>42819</c:v>
                </c:pt>
                <c:pt idx="145">
                  <c:v>42820</c:v>
                </c:pt>
                <c:pt idx="146">
                  <c:v>42821</c:v>
                </c:pt>
                <c:pt idx="147">
                  <c:v>42822</c:v>
                </c:pt>
                <c:pt idx="148">
                  <c:v>42823</c:v>
                </c:pt>
                <c:pt idx="149">
                  <c:v>42824</c:v>
                </c:pt>
                <c:pt idx="150">
                  <c:v>42825</c:v>
                </c:pt>
                <c:pt idx="151">
                  <c:v>42826</c:v>
                </c:pt>
                <c:pt idx="152">
                  <c:v>42827</c:v>
                </c:pt>
                <c:pt idx="153">
                  <c:v>42828</c:v>
                </c:pt>
                <c:pt idx="154">
                  <c:v>42829</c:v>
                </c:pt>
                <c:pt idx="155">
                  <c:v>42830</c:v>
                </c:pt>
                <c:pt idx="156">
                  <c:v>42831</c:v>
                </c:pt>
                <c:pt idx="157">
                  <c:v>42832</c:v>
                </c:pt>
                <c:pt idx="158">
                  <c:v>42833</c:v>
                </c:pt>
                <c:pt idx="159">
                  <c:v>42834</c:v>
                </c:pt>
                <c:pt idx="160">
                  <c:v>42835</c:v>
                </c:pt>
                <c:pt idx="161">
                  <c:v>42836</c:v>
                </c:pt>
                <c:pt idx="162">
                  <c:v>42837</c:v>
                </c:pt>
                <c:pt idx="163">
                  <c:v>42838</c:v>
                </c:pt>
                <c:pt idx="164">
                  <c:v>42839</c:v>
                </c:pt>
                <c:pt idx="165">
                  <c:v>42840</c:v>
                </c:pt>
                <c:pt idx="166">
                  <c:v>42841</c:v>
                </c:pt>
                <c:pt idx="167">
                  <c:v>42842</c:v>
                </c:pt>
                <c:pt idx="168">
                  <c:v>42843</c:v>
                </c:pt>
                <c:pt idx="169">
                  <c:v>42844</c:v>
                </c:pt>
                <c:pt idx="170">
                  <c:v>42845</c:v>
                </c:pt>
                <c:pt idx="171">
                  <c:v>42846</c:v>
                </c:pt>
                <c:pt idx="172">
                  <c:v>42847</c:v>
                </c:pt>
                <c:pt idx="173">
                  <c:v>42848</c:v>
                </c:pt>
                <c:pt idx="174">
                  <c:v>42849</c:v>
                </c:pt>
                <c:pt idx="175">
                  <c:v>42850</c:v>
                </c:pt>
                <c:pt idx="176">
                  <c:v>42851</c:v>
                </c:pt>
                <c:pt idx="177">
                  <c:v>42852</c:v>
                </c:pt>
                <c:pt idx="178">
                  <c:v>42853</c:v>
                </c:pt>
                <c:pt idx="179">
                  <c:v>42854</c:v>
                </c:pt>
                <c:pt idx="180">
                  <c:v>42855</c:v>
                </c:pt>
                <c:pt idx="181">
                  <c:v>42856</c:v>
                </c:pt>
                <c:pt idx="182">
                  <c:v>42857</c:v>
                </c:pt>
                <c:pt idx="183">
                  <c:v>42858</c:v>
                </c:pt>
                <c:pt idx="184">
                  <c:v>42859</c:v>
                </c:pt>
                <c:pt idx="185">
                  <c:v>42860</c:v>
                </c:pt>
                <c:pt idx="186">
                  <c:v>42861</c:v>
                </c:pt>
                <c:pt idx="187">
                  <c:v>42862</c:v>
                </c:pt>
                <c:pt idx="188">
                  <c:v>42863</c:v>
                </c:pt>
                <c:pt idx="189">
                  <c:v>42864</c:v>
                </c:pt>
                <c:pt idx="190">
                  <c:v>42865</c:v>
                </c:pt>
                <c:pt idx="191">
                  <c:v>42866</c:v>
                </c:pt>
                <c:pt idx="192">
                  <c:v>42867</c:v>
                </c:pt>
                <c:pt idx="193">
                  <c:v>42868</c:v>
                </c:pt>
                <c:pt idx="194">
                  <c:v>42869</c:v>
                </c:pt>
                <c:pt idx="195">
                  <c:v>42870</c:v>
                </c:pt>
                <c:pt idx="196">
                  <c:v>42871</c:v>
                </c:pt>
                <c:pt idx="197">
                  <c:v>42872</c:v>
                </c:pt>
                <c:pt idx="198">
                  <c:v>42873</c:v>
                </c:pt>
                <c:pt idx="199">
                  <c:v>42874</c:v>
                </c:pt>
                <c:pt idx="200">
                  <c:v>42875</c:v>
                </c:pt>
                <c:pt idx="201">
                  <c:v>42876</c:v>
                </c:pt>
                <c:pt idx="202">
                  <c:v>42877</c:v>
                </c:pt>
                <c:pt idx="203">
                  <c:v>42878</c:v>
                </c:pt>
                <c:pt idx="204">
                  <c:v>42879</c:v>
                </c:pt>
                <c:pt idx="205">
                  <c:v>42880</c:v>
                </c:pt>
                <c:pt idx="206">
                  <c:v>42881</c:v>
                </c:pt>
                <c:pt idx="207">
                  <c:v>42882</c:v>
                </c:pt>
                <c:pt idx="208">
                  <c:v>42883</c:v>
                </c:pt>
                <c:pt idx="209">
                  <c:v>42884</c:v>
                </c:pt>
                <c:pt idx="210">
                  <c:v>42885</c:v>
                </c:pt>
                <c:pt idx="211">
                  <c:v>42886</c:v>
                </c:pt>
                <c:pt idx="212">
                  <c:v>42887</c:v>
                </c:pt>
                <c:pt idx="213">
                  <c:v>42888</c:v>
                </c:pt>
                <c:pt idx="214">
                  <c:v>42889</c:v>
                </c:pt>
                <c:pt idx="215">
                  <c:v>42890</c:v>
                </c:pt>
                <c:pt idx="216">
                  <c:v>42891</c:v>
                </c:pt>
                <c:pt idx="217">
                  <c:v>42892</c:v>
                </c:pt>
                <c:pt idx="218">
                  <c:v>42893</c:v>
                </c:pt>
                <c:pt idx="219">
                  <c:v>42894</c:v>
                </c:pt>
                <c:pt idx="220">
                  <c:v>42895</c:v>
                </c:pt>
                <c:pt idx="221">
                  <c:v>42896</c:v>
                </c:pt>
                <c:pt idx="222">
                  <c:v>42897</c:v>
                </c:pt>
                <c:pt idx="223">
                  <c:v>42898</c:v>
                </c:pt>
                <c:pt idx="224">
                  <c:v>42899</c:v>
                </c:pt>
                <c:pt idx="225">
                  <c:v>42900</c:v>
                </c:pt>
                <c:pt idx="226">
                  <c:v>42901</c:v>
                </c:pt>
                <c:pt idx="227">
                  <c:v>42902</c:v>
                </c:pt>
                <c:pt idx="228">
                  <c:v>42903</c:v>
                </c:pt>
                <c:pt idx="229">
                  <c:v>42904</c:v>
                </c:pt>
                <c:pt idx="230">
                  <c:v>42905</c:v>
                </c:pt>
                <c:pt idx="231">
                  <c:v>42906</c:v>
                </c:pt>
                <c:pt idx="232">
                  <c:v>42907</c:v>
                </c:pt>
                <c:pt idx="233">
                  <c:v>42908</c:v>
                </c:pt>
                <c:pt idx="234">
                  <c:v>42909</c:v>
                </c:pt>
                <c:pt idx="235">
                  <c:v>42910</c:v>
                </c:pt>
                <c:pt idx="236">
                  <c:v>42911</c:v>
                </c:pt>
                <c:pt idx="237">
                  <c:v>42912</c:v>
                </c:pt>
                <c:pt idx="238">
                  <c:v>42913</c:v>
                </c:pt>
                <c:pt idx="239">
                  <c:v>42914</c:v>
                </c:pt>
                <c:pt idx="240">
                  <c:v>42915</c:v>
                </c:pt>
                <c:pt idx="241">
                  <c:v>42916</c:v>
                </c:pt>
                <c:pt idx="242">
                  <c:v>42917</c:v>
                </c:pt>
                <c:pt idx="243">
                  <c:v>42918</c:v>
                </c:pt>
                <c:pt idx="244">
                  <c:v>42919</c:v>
                </c:pt>
                <c:pt idx="245">
                  <c:v>42920</c:v>
                </c:pt>
                <c:pt idx="246">
                  <c:v>42921</c:v>
                </c:pt>
                <c:pt idx="247">
                  <c:v>42922</c:v>
                </c:pt>
                <c:pt idx="248">
                  <c:v>42923</c:v>
                </c:pt>
                <c:pt idx="249">
                  <c:v>42924</c:v>
                </c:pt>
                <c:pt idx="250">
                  <c:v>42925</c:v>
                </c:pt>
                <c:pt idx="251">
                  <c:v>42926</c:v>
                </c:pt>
                <c:pt idx="252">
                  <c:v>42927</c:v>
                </c:pt>
                <c:pt idx="253">
                  <c:v>42928</c:v>
                </c:pt>
                <c:pt idx="254">
                  <c:v>42929</c:v>
                </c:pt>
                <c:pt idx="255">
                  <c:v>42930</c:v>
                </c:pt>
                <c:pt idx="256">
                  <c:v>42931</c:v>
                </c:pt>
                <c:pt idx="257">
                  <c:v>42932</c:v>
                </c:pt>
                <c:pt idx="258">
                  <c:v>42933</c:v>
                </c:pt>
                <c:pt idx="259">
                  <c:v>42934</c:v>
                </c:pt>
                <c:pt idx="260">
                  <c:v>42935</c:v>
                </c:pt>
                <c:pt idx="261">
                  <c:v>42936</c:v>
                </c:pt>
                <c:pt idx="262">
                  <c:v>42937</c:v>
                </c:pt>
                <c:pt idx="263">
                  <c:v>42938</c:v>
                </c:pt>
                <c:pt idx="264">
                  <c:v>42939</c:v>
                </c:pt>
                <c:pt idx="265">
                  <c:v>42940</c:v>
                </c:pt>
                <c:pt idx="266">
                  <c:v>42941</c:v>
                </c:pt>
                <c:pt idx="267">
                  <c:v>42942</c:v>
                </c:pt>
                <c:pt idx="268">
                  <c:v>42943</c:v>
                </c:pt>
                <c:pt idx="269">
                  <c:v>42944</c:v>
                </c:pt>
                <c:pt idx="270">
                  <c:v>42945</c:v>
                </c:pt>
                <c:pt idx="271">
                  <c:v>42946</c:v>
                </c:pt>
                <c:pt idx="272">
                  <c:v>42947</c:v>
                </c:pt>
                <c:pt idx="273">
                  <c:v>42948</c:v>
                </c:pt>
                <c:pt idx="274">
                  <c:v>42949</c:v>
                </c:pt>
                <c:pt idx="275">
                  <c:v>42950</c:v>
                </c:pt>
                <c:pt idx="276">
                  <c:v>42951</c:v>
                </c:pt>
                <c:pt idx="277">
                  <c:v>42952</c:v>
                </c:pt>
                <c:pt idx="278">
                  <c:v>42953</c:v>
                </c:pt>
                <c:pt idx="279">
                  <c:v>42954</c:v>
                </c:pt>
                <c:pt idx="280">
                  <c:v>42955</c:v>
                </c:pt>
                <c:pt idx="281">
                  <c:v>42956</c:v>
                </c:pt>
                <c:pt idx="282">
                  <c:v>42957</c:v>
                </c:pt>
                <c:pt idx="283">
                  <c:v>42958</c:v>
                </c:pt>
                <c:pt idx="284">
                  <c:v>42959</c:v>
                </c:pt>
                <c:pt idx="285">
                  <c:v>42960</c:v>
                </c:pt>
                <c:pt idx="286">
                  <c:v>42961</c:v>
                </c:pt>
                <c:pt idx="287">
                  <c:v>42962</c:v>
                </c:pt>
                <c:pt idx="288">
                  <c:v>42963</c:v>
                </c:pt>
                <c:pt idx="289">
                  <c:v>42964</c:v>
                </c:pt>
                <c:pt idx="290">
                  <c:v>42965</c:v>
                </c:pt>
                <c:pt idx="291">
                  <c:v>42966</c:v>
                </c:pt>
                <c:pt idx="292">
                  <c:v>42967</c:v>
                </c:pt>
                <c:pt idx="293">
                  <c:v>42968</c:v>
                </c:pt>
                <c:pt idx="294">
                  <c:v>42969</c:v>
                </c:pt>
                <c:pt idx="295">
                  <c:v>42970</c:v>
                </c:pt>
                <c:pt idx="296">
                  <c:v>42971</c:v>
                </c:pt>
                <c:pt idx="297">
                  <c:v>42972</c:v>
                </c:pt>
                <c:pt idx="298">
                  <c:v>42973</c:v>
                </c:pt>
                <c:pt idx="299">
                  <c:v>42974</c:v>
                </c:pt>
                <c:pt idx="300">
                  <c:v>42975</c:v>
                </c:pt>
                <c:pt idx="301">
                  <c:v>42976</c:v>
                </c:pt>
                <c:pt idx="302">
                  <c:v>42977</c:v>
                </c:pt>
                <c:pt idx="303">
                  <c:v>42978</c:v>
                </c:pt>
                <c:pt idx="304">
                  <c:v>42979</c:v>
                </c:pt>
                <c:pt idx="305">
                  <c:v>42980</c:v>
                </c:pt>
                <c:pt idx="306">
                  <c:v>42981</c:v>
                </c:pt>
                <c:pt idx="307">
                  <c:v>42982</c:v>
                </c:pt>
                <c:pt idx="308">
                  <c:v>42983</c:v>
                </c:pt>
                <c:pt idx="309">
                  <c:v>42984</c:v>
                </c:pt>
                <c:pt idx="310">
                  <c:v>42985</c:v>
                </c:pt>
                <c:pt idx="311">
                  <c:v>42986</c:v>
                </c:pt>
                <c:pt idx="312">
                  <c:v>42987</c:v>
                </c:pt>
                <c:pt idx="313">
                  <c:v>42988</c:v>
                </c:pt>
                <c:pt idx="314">
                  <c:v>42989</c:v>
                </c:pt>
                <c:pt idx="315">
                  <c:v>42990</c:v>
                </c:pt>
                <c:pt idx="316">
                  <c:v>42991</c:v>
                </c:pt>
                <c:pt idx="317">
                  <c:v>42992</c:v>
                </c:pt>
                <c:pt idx="318">
                  <c:v>42993</c:v>
                </c:pt>
                <c:pt idx="319">
                  <c:v>42994</c:v>
                </c:pt>
                <c:pt idx="320">
                  <c:v>42995</c:v>
                </c:pt>
                <c:pt idx="321">
                  <c:v>42996</c:v>
                </c:pt>
                <c:pt idx="322">
                  <c:v>42997</c:v>
                </c:pt>
                <c:pt idx="323">
                  <c:v>42998</c:v>
                </c:pt>
                <c:pt idx="324">
                  <c:v>42999</c:v>
                </c:pt>
                <c:pt idx="325">
                  <c:v>43000</c:v>
                </c:pt>
                <c:pt idx="326">
                  <c:v>43001</c:v>
                </c:pt>
                <c:pt idx="327">
                  <c:v>43002</c:v>
                </c:pt>
                <c:pt idx="328">
                  <c:v>43003</c:v>
                </c:pt>
                <c:pt idx="329">
                  <c:v>43004</c:v>
                </c:pt>
                <c:pt idx="330">
                  <c:v>43005</c:v>
                </c:pt>
                <c:pt idx="331">
                  <c:v>43006</c:v>
                </c:pt>
                <c:pt idx="332">
                  <c:v>43007</c:v>
                </c:pt>
                <c:pt idx="333">
                  <c:v>43008</c:v>
                </c:pt>
              </c:numCache>
            </c:numRef>
          </c:cat>
          <c:val>
            <c:numRef>
              <c:f>Folha2!$C$13:$C$346</c:f>
              <c:numCache>
                <c:formatCode>General</c:formatCode>
                <c:ptCount val="334"/>
                <c:pt idx="0">
                  <c:v>17.669141</c:v>
                </c:pt>
                <c:pt idx="1">
                  <c:v>19.985899</c:v>
                </c:pt>
                <c:pt idx="2">
                  <c:v>20.112978000000002</c:v>
                </c:pt>
                <c:pt idx="3">
                  <c:v>19.956572999999999</c:v>
                </c:pt>
                <c:pt idx="4">
                  <c:v>18.040603999999998</c:v>
                </c:pt>
                <c:pt idx="5">
                  <c:v>19.291848999999999</c:v>
                </c:pt>
                <c:pt idx="6">
                  <c:v>19.976122999999998</c:v>
                </c:pt>
                <c:pt idx="7">
                  <c:v>20.093427000000002</c:v>
                </c:pt>
                <c:pt idx="8">
                  <c:v>20.083652000000001</c:v>
                </c:pt>
                <c:pt idx="9">
                  <c:v>20.758150999999998</c:v>
                </c:pt>
                <c:pt idx="10">
                  <c:v>20.650622000000002</c:v>
                </c:pt>
                <c:pt idx="11">
                  <c:v>20.376912999999998</c:v>
                </c:pt>
                <c:pt idx="12">
                  <c:v>19.047464999999999</c:v>
                </c:pt>
                <c:pt idx="13">
                  <c:v>20.230281999999999</c:v>
                </c:pt>
                <c:pt idx="14">
                  <c:v>20.376912999999998</c:v>
                </c:pt>
                <c:pt idx="15">
                  <c:v>20.807028000000003</c:v>
                </c:pt>
                <c:pt idx="16">
                  <c:v>21.031860999999999</c:v>
                </c:pt>
                <c:pt idx="17">
                  <c:v>21.383774000000003</c:v>
                </c:pt>
                <c:pt idx="18">
                  <c:v>20.328036000000001</c:v>
                </c:pt>
                <c:pt idx="19">
                  <c:v>18.529370999999998</c:v>
                </c:pt>
                <c:pt idx="20">
                  <c:v>21.325121999999997</c:v>
                </c:pt>
                <c:pt idx="21">
                  <c:v>21.295794999999998</c:v>
                </c:pt>
                <c:pt idx="22">
                  <c:v>21.403324000000001</c:v>
                </c:pt>
                <c:pt idx="23">
                  <c:v>21.334896999999998</c:v>
                </c:pt>
                <c:pt idx="24">
                  <c:v>21.286020000000001</c:v>
                </c:pt>
                <c:pt idx="25">
                  <c:v>19.418927999999998</c:v>
                </c:pt>
                <c:pt idx="26">
                  <c:v>20.073877</c:v>
                </c:pt>
                <c:pt idx="27">
                  <c:v>21.667259000000001</c:v>
                </c:pt>
                <c:pt idx="28">
                  <c:v>21.677034000000003</c:v>
                </c:pt>
                <c:pt idx="29">
                  <c:v>21.608606999999999</c:v>
                </c:pt>
                <c:pt idx="30">
                  <c:v>21.510853000000001</c:v>
                </c:pt>
                <c:pt idx="31">
                  <c:v>21.608606999999999</c:v>
                </c:pt>
                <c:pt idx="32">
                  <c:v>20.787476999999999</c:v>
                </c:pt>
                <c:pt idx="33">
                  <c:v>21.501078</c:v>
                </c:pt>
                <c:pt idx="34">
                  <c:v>21.716135999999999</c:v>
                </c:pt>
                <c:pt idx="35">
                  <c:v>21.794338</c:v>
                </c:pt>
                <c:pt idx="36">
                  <c:v>21.657483000000003</c:v>
                </c:pt>
                <c:pt idx="37">
                  <c:v>20.953658000000001</c:v>
                </c:pt>
                <c:pt idx="38">
                  <c:v>20.855905</c:v>
                </c:pt>
                <c:pt idx="39">
                  <c:v>20.503992</c:v>
                </c:pt>
                <c:pt idx="40">
                  <c:v>20.689723999999998</c:v>
                </c:pt>
                <c:pt idx="41">
                  <c:v>22.1267</c:v>
                </c:pt>
                <c:pt idx="42">
                  <c:v>23.417045999999999</c:v>
                </c:pt>
                <c:pt idx="43">
                  <c:v>24.316378999999998</c:v>
                </c:pt>
                <c:pt idx="44">
                  <c:v>24.560762</c:v>
                </c:pt>
                <c:pt idx="45">
                  <c:v>24.463009</c:v>
                </c:pt>
                <c:pt idx="46">
                  <c:v>22.82075</c:v>
                </c:pt>
                <c:pt idx="47">
                  <c:v>23.593003000000003</c:v>
                </c:pt>
                <c:pt idx="48">
                  <c:v>23.847162000000001</c:v>
                </c:pt>
                <c:pt idx="49">
                  <c:v>23.788509999999999</c:v>
                </c:pt>
                <c:pt idx="50">
                  <c:v>25.166833999999998</c:v>
                </c:pt>
                <c:pt idx="51">
                  <c:v>25.078856000000002</c:v>
                </c:pt>
                <c:pt idx="52">
                  <c:v>24.854022999999998</c:v>
                </c:pt>
                <c:pt idx="53">
                  <c:v>23.827610999999997</c:v>
                </c:pt>
                <c:pt idx="54">
                  <c:v>23.123785999999999</c:v>
                </c:pt>
                <c:pt idx="55">
                  <c:v>16.818684999999999</c:v>
                </c:pt>
                <c:pt idx="56">
                  <c:v>18.187234</c:v>
                </c:pt>
                <c:pt idx="57">
                  <c:v>21.403324000000001</c:v>
                </c:pt>
                <c:pt idx="58">
                  <c:v>22.938054000000001</c:v>
                </c:pt>
                <c:pt idx="59">
                  <c:v>23.260641</c:v>
                </c:pt>
                <c:pt idx="60">
                  <c:v>23.045583000000001</c:v>
                </c:pt>
                <c:pt idx="61">
                  <c:v>26.689443000000001</c:v>
                </c:pt>
                <c:pt idx="62">
                  <c:v>25.692356999999998</c:v>
                </c:pt>
                <c:pt idx="63">
                  <c:v>26.865399</c:v>
                </c:pt>
                <c:pt idx="64">
                  <c:v>26.816521999999999</c:v>
                </c:pt>
                <c:pt idx="65">
                  <c:v>27.070681</c:v>
                </c:pt>
                <c:pt idx="66">
                  <c:v>27.970012999999998</c:v>
                </c:pt>
                <c:pt idx="67">
                  <c:v>30.384525</c:v>
                </c:pt>
                <c:pt idx="68">
                  <c:v>35.575236000000004</c:v>
                </c:pt>
                <c:pt idx="69">
                  <c:v>37.325023000000002</c:v>
                </c:pt>
                <c:pt idx="70">
                  <c:v>37.960421000000004</c:v>
                </c:pt>
                <c:pt idx="71">
                  <c:v>38.429638000000004</c:v>
                </c:pt>
                <c:pt idx="72">
                  <c:v>39.016159000000002</c:v>
                </c:pt>
                <c:pt idx="73">
                  <c:v>38.752223999999998</c:v>
                </c:pt>
                <c:pt idx="74">
                  <c:v>36.670075000000004</c:v>
                </c:pt>
                <c:pt idx="75">
                  <c:v>34.060055999999996</c:v>
                </c:pt>
                <c:pt idx="76">
                  <c:v>36.934008999999996</c:v>
                </c:pt>
                <c:pt idx="77">
                  <c:v>36.357264000000001</c:v>
                </c:pt>
                <c:pt idx="78">
                  <c:v>34.001404000000001</c:v>
                </c:pt>
                <c:pt idx="79">
                  <c:v>34.030730000000005</c:v>
                </c:pt>
                <c:pt idx="80">
                  <c:v>34.509723000000001</c:v>
                </c:pt>
                <c:pt idx="81">
                  <c:v>34.715004999999998</c:v>
                </c:pt>
                <c:pt idx="82">
                  <c:v>34.597701000000001</c:v>
                </c:pt>
                <c:pt idx="83">
                  <c:v>38.126602000000005</c:v>
                </c:pt>
                <c:pt idx="84">
                  <c:v>38.634920000000001</c:v>
                </c:pt>
                <c:pt idx="85">
                  <c:v>39.025933999999999</c:v>
                </c:pt>
                <c:pt idx="86">
                  <c:v>39.172564999999999</c:v>
                </c:pt>
                <c:pt idx="87">
                  <c:v>38.107051000000006</c:v>
                </c:pt>
                <c:pt idx="88">
                  <c:v>35.311301</c:v>
                </c:pt>
                <c:pt idx="89">
                  <c:v>33.307354999999994</c:v>
                </c:pt>
                <c:pt idx="90">
                  <c:v>33.522412000000003</c:v>
                </c:pt>
                <c:pt idx="91">
                  <c:v>33.004318999999995</c:v>
                </c:pt>
                <c:pt idx="92">
                  <c:v>28.797946</c:v>
                </c:pt>
                <c:pt idx="93">
                  <c:v>25.132189999999998</c:v>
                </c:pt>
                <c:pt idx="94">
                  <c:v>23.392178000000001</c:v>
                </c:pt>
                <c:pt idx="95">
                  <c:v>23.744090999999997</c:v>
                </c:pt>
                <c:pt idx="96">
                  <c:v>23.656112</c:v>
                </c:pt>
                <c:pt idx="97">
                  <c:v>25.796914000000001</c:v>
                </c:pt>
                <c:pt idx="98">
                  <c:v>24.467466000000002</c:v>
                </c:pt>
                <c:pt idx="99">
                  <c:v>23.245548000000003</c:v>
                </c:pt>
                <c:pt idx="100">
                  <c:v>23.001163999999999</c:v>
                </c:pt>
                <c:pt idx="101">
                  <c:v>21.192723999999998</c:v>
                </c:pt>
                <c:pt idx="102">
                  <c:v>20.195637999999999</c:v>
                </c:pt>
                <c:pt idx="103">
                  <c:v>20.205414000000001</c:v>
                </c:pt>
                <c:pt idx="104">
                  <c:v>19.315856999999998</c:v>
                </c:pt>
                <c:pt idx="105">
                  <c:v>18.778212999999997</c:v>
                </c:pt>
                <c:pt idx="106">
                  <c:v>18.162365999999999</c:v>
                </c:pt>
                <c:pt idx="107">
                  <c:v>17.986408999999998</c:v>
                </c:pt>
                <c:pt idx="108">
                  <c:v>17.351011999999997</c:v>
                </c:pt>
                <c:pt idx="109">
                  <c:v>17.448765000000002</c:v>
                </c:pt>
                <c:pt idx="110">
                  <c:v>17.409663999999999</c:v>
                </c:pt>
                <c:pt idx="111">
                  <c:v>17.331461000000001</c:v>
                </c:pt>
                <c:pt idx="112">
                  <c:v>16.959997999999999</c:v>
                </c:pt>
                <c:pt idx="113">
                  <c:v>16.568983999999997</c:v>
                </c:pt>
                <c:pt idx="114">
                  <c:v>16.568983999999997</c:v>
                </c:pt>
                <c:pt idx="115">
                  <c:v>16.588533999999999</c:v>
                </c:pt>
                <c:pt idx="116">
                  <c:v>16.461455000000001</c:v>
                </c:pt>
                <c:pt idx="117">
                  <c:v>16.549433000000001</c:v>
                </c:pt>
                <c:pt idx="118">
                  <c:v>16.471229999999998</c:v>
                </c:pt>
                <c:pt idx="119">
                  <c:v>16.197520000000001</c:v>
                </c:pt>
                <c:pt idx="120">
                  <c:v>16.050890000000003</c:v>
                </c:pt>
                <c:pt idx="121">
                  <c:v>15.816282000000001</c:v>
                </c:pt>
                <c:pt idx="122">
                  <c:v>15.591449000000001</c:v>
                </c:pt>
                <c:pt idx="123">
                  <c:v>15.102681</c:v>
                </c:pt>
                <c:pt idx="124">
                  <c:v>15.298188000000001</c:v>
                </c:pt>
                <c:pt idx="125">
                  <c:v>15.278637</c:v>
                </c:pt>
                <c:pt idx="126">
                  <c:v>15.249311000000001</c:v>
                </c:pt>
                <c:pt idx="127">
                  <c:v>15.092905999999999</c:v>
                </c:pt>
                <c:pt idx="128">
                  <c:v>14.819196</c:v>
                </c:pt>
                <c:pt idx="129">
                  <c:v>14.330427999999999</c:v>
                </c:pt>
                <c:pt idx="130">
                  <c:v>14.183797999999999</c:v>
                </c:pt>
                <c:pt idx="131">
                  <c:v>14.115371</c:v>
                </c:pt>
                <c:pt idx="132">
                  <c:v>14.066494</c:v>
                </c:pt>
                <c:pt idx="133">
                  <c:v>14.408631</c:v>
                </c:pt>
                <c:pt idx="134">
                  <c:v>14.682340999999999</c:v>
                </c:pt>
                <c:pt idx="135">
                  <c:v>14.721442</c:v>
                </c:pt>
                <c:pt idx="136">
                  <c:v>14.633464</c:v>
                </c:pt>
                <c:pt idx="137">
                  <c:v>14.379305</c:v>
                </c:pt>
                <c:pt idx="138">
                  <c:v>14.916949000000001</c:v>
                </c:pt>
                <c:pt idx="139">
                  <c:v>15.171109</c:v>
                </c:pt>
                <c:pt idx="140">
                  <c:v>14.985377</c:v>
                </c:pt>
                <c:pt idx="141">
                  <c:v>14.819196</c:v>
                </c:pt>
                <c:pt idx="142">
                  <c:v>15.053804000000001</c:v>
                </c:pt>
                <c:pt idx="143">
                  <c:v>15.366616</c:v>
                </c:pt>
                <c:pt idx="144">
                  <c:v>15.092905999999999</c:v>
                </c:pt>
                <c:pt idx="145">
                  <c:v>16.686288000000001</c:v>
                </c:pt>
                <c:pt idx="146">
                  <c:v>16.686288000000001</c:v>
                </c:pt>
                <c:pt idx="147">
                  <c:v>15.171109</c:v>
                </c:pt>
                <c:pt idx="148">
                  <c:v>14.956051</c:v>
                </c:pt>
                <c:pt idx="149">
                  <c:v>14.780094999999999</c:v>
                </c:pt>
                <c:pt idx="150">
                  <c:v>14.780094999999999</c:v>
                </c:pt>
                <c:pt idx="151">
                  <c:v>15.829889</c:v>
                </c:pt>
                <c:pt idx="152">
                  <c:v>16.895402000000001</c:v>
                </c:pt>
                <c:pt idx="153">
                  <c:v>17.032256999999998</c:v>
                </c:pt>
                <c:pt idx="154">
                  <c:v>16.934504</c:v>
                </c:pt>
                <c:pt idx="155">
                  <c:v>16.866076</c:v>
                </c:pt>
                <c:pt idx="156">
                  <c:v>16.895402000000001</c:v>
                </c:pt>
                <c:pt idx="157">
                  <c:v>16.748771999999999</c:v>
                </c:pt>
                <c:pt idx="158">
                  <c:v>16.787872999999998</c:v>
                </c:pt>
                <c:pt idx="159">
                  <c:v>16.729220999999999</c:v>
                </c:pt>
                <c:pt idx="160">
                  <c:v>16.875851000000001</c:v>
                </c:pt>
                <c:pt idx="161">
                  <c:v>16.435960999999999</c:v>
                </c:pt>
                <c:pt idx="162">
                  <c:v>16.445736</c:v>
                </c:pt>
                <c:pt idx="163">
                  <c:v>16.563040000000001</c:v>
                </c:pt>
                <c:pt idx="164">
                  <c:v>15.4291</c:v>
                </c:pt>
                <c:pt idx="165">
                  <c:v>14.666622</c:v>
                </c:pt>
                <c:pt idx="166">
                  <c:v>15.370448</c:v>
                </c:pt>
                <c:pt idx="167">
                  <c:v>16.738996999999998</c:v>
                </c:pt>
                <c:pt idx="168">
                  <c:v>16.680343999999998</c:v>
                </c:pt>
                <c:pt idx="169">
                  <c:v>16.660793999999999</c:v>
                </c:pt>
                <c:pt idx="170">
                  <c:v>16.543490000000002</c:v>
                </c:pt>
                <c:pt idx="171">
                  <c:v>16.611917000000002</c:v>
                </c:pt>
                <c:pt idx="172">
                  <c:v>16.582591000000001</c:v>
                </c:pt>
                <c:pt idx="173">
                  <c:v>16.660793999999999</c:v>
                </c:pt>
                <c:pt idx="174">
                  <c:v>16.719445999999998</c:v>
                </c:pt>
                <c:pt idx="175">
                  <c:v>16.553265</c:v>
                </c:pt>
                <c:pt idx="176">
                  <c:v>16.504387999999999</c:v>
                </c:pt>
                <c:pt idx="177">
                  <c:v>16.69012</c:v>
                </c:pt>
                <c:pt idx="178">
                  <c:v>17.090909</c:v>
                </c:pt>
                <c:pt idx="179">
                  <c:v>16.914953000000001</c:v>
                </c:pt>
                <c:pt idx="180">
                  <c:v>17.130011</c:v>
                </c:pt>
                <c:pt idx="181">
                  <c:v>16.924728000000002</c:v>
                </c:pt>
                <c:pt idx="182">
                  <c:v>16.826975000000001</c:v>
                </c:pt>
                <c:pt idx="183">
                  <c:v>17.208213000000001</c:v>
                </c:pt>
                <c:pt idx="184">
                  <c:v>17.139786000000001</c:v>
                </c:pt>
                <c:pt idx="185">
                  <c:v>17.169112000000002</c:v>
                </c:pt>
                <c:pt idx="186">
                  <c:v>17.237538999999998</c:v>
                </c:pt>
                <c:pt idx="187">
                  <c:v>16.993155999999999</c:v>
                </c:pt>
                <c:pt idx="188">
                  <c:v>16.836750000000002</c:v>
                </c:pt>
                <c:pt idx="189">
                  <c:v>17.071358</c:v>
                </c:pt>
                <c:pt idx="190">
                  <c:v>16.797649</c:v>
                </c:pt>
                <c:pt idx="191">
                  <c:v>16.719445999999998</c:v>
                </c:pt>
                <c:pt idx="192">
                  <c:v>16.484836999999999</c:v>
                </c:pt>
                <c:pt idx="193">
                  <c:v>16.211128000000002</c:v>
                </c:pt>
                <c:pt idx="194">
                  <c:v>16.719445999999998</c:v>
                </c:pt>
                <c:pt idx="195">
                  <c:v>16.572816</c:v>
                </c:pt>
                <c:pt idx="196">
                  <c:v>16.748771999999999</c:v>
                </c:pt>
                <c:pt idx="197">
                  <c:v>16.651018000000001</c:v>
                </c:pt>
                <c:pt idx="198">
                  <c:v>16.641242999999999</c:v>
                </c:pt>
                <c:pt idx="199">
                  <c:v>16.651018000000001</c:v>
                </c:pt>
                <c:pt idx="200">
                  <c:v>16.308881</c:v>
                </c:pt>
                <c:pt idx="201">
                  <c:v>16.523939000000002</c:v>
                </c:pt>
                <c:pt idx="202">
                  <c:v>16.494613000000001</c:v>
                </c:pt>
                <c:pt idx="203">
                  <c:v>16.523939000000002</c:v>
                </c:pt>
                <c:pt idx="204">
                  <c:v>16.475061999999998</c:v>
                </c:pt>
                <c:pt idx="205">
                  <c:v>16.484836999999999</c:v>
                </c:pt>
                <c:pt idx="206">
                  <c:v>16.504387999999999</c:v>
                </c:pt>
                <c:pt idx="207">
                  <c:v>16.015620999999999</c:v>
                </c:pt>
                <c:pt idx="208">
                  <c:v>15.839663999999999</c:v>
                </c:pt>
                <c:pt idx="209">
                  <c:v>16.631468000000002</c:v>
                </c:pt>
                <c:pt idx="210">
                  <c:v>16.758547</c:v>
                </c:pt>
                <c:pt idx="211">
                  <c:v>16.875851000000001</c:v>
                </c:pt>
                <c:pt idx="212">
                  <c:v>16.825488999999997</c:v>
                </c:pt>
                <c:pt idx="213">
                  <c:v>16.258519</c:v>
                </c:pt>
                <c:pt idx="214">
                  <c:v>15.720873999999998</c:v>
                </c:pt>
                <c:pt idx="215">
                  <c:v>15.906606</c:v>
                </c:pt>
                <c:pt idx="216">
                  <c:v>15.652447</c:v>
                </c:pt>
                <c:pt idx="217">
                  <c:v>15.740424999999998</c:v>
                </c:pt>
                <c:pt idx="218">
                  <c:v>15.613345000000001</c:v>
                </c:pt>
                <c:pt idx="219">
                  <c:v>15.730649999999999</c:v>
                </c:pt>
                <c:pt idx="220">
                  <c:v>15.955482999999999</c:v>
                </c:pt>
                <c:pt idx="221">
                  <c:v>15.847954000000001</c:v>
                </c:pt>
                <c:pt idx="222">
                  <c:v>16.629982000000002</c:v>
                </c:pt>
                <c:pt idx="223">
                  <c:v>16.287844999999997</c:v>
                </c:pt>
                <c:pt idx="224">
                  <c:v>16.258519</c:v>
                </c:pt>
                <c:pt idx="225">
                  <c:v>16.483352</c:v>
                </c:pt>
                <c:pt idx="226">
                  <c:v>16.659308000000003</c:v>
                </c:pt>
                <c:pt idx="227">
                  <c:v>16.44425</c:v>
                </c:pt>
                <c:pt idx="228">
                  <c:v>16.082562000000003</c:v>
                </c:pt>
                <c:pt idx="229">
                  <c:v>16.57133</c:v>
                </c:pt>
                <c:pt idx="230">
                  <c:v>17.148074999999999</c:v>
                </c:pt>
                <c:pt idx="231">
                  <c:v>17.226278000000001</c:v>
                </c:pt>
                <c:pt idx="232">
                  <c:v>17.587966000000002</c:v>
                </c:pt>
                <c:pt idx="233">
                  <c:v>17.568415000000002</c:v>
                </c:pt>
                <c:pt idx="234">
                  <c:v>17.402234</c:v>
                </c:pt>
                <c:pt idx="235">
                  <c:v>16.385598000000002</c:v>
                </c:pt>
                <c:pt idx="236">
                  <c:v>16.287844999999997</c:v>
                </c:pt>
                <c:pt idx="237">
                  <c:v>17.060096999999999</c:v>
                </c:pt>
                <c:pt idx="238">
                  <c:v>16.532228</c:v>
                </c:pt>
                <c:pt idx="239">
                  <c:v>15.623120999999999</c:v>
                </c:pt>
                <c:pt idx="240">
                  <c:v>15.887055</c:v>
                </c:pt>
                <c:pt idx="241">
                  <c:v>15.935931999999999</c:v>
                </c:pt>
                <c:pt idx="242">
                  <c:v>15.603570000000001</c:v>
                </c:pt>
                <c:pt idx="243">
                  <c:v>15.310310000000001</c:v>
                </c:pt>
                <c:pt idx="244">
                  <c:v>15.975033</c:v>
                </c:pt>
                <c:pt idx="245">
                  <c:v>15.906606</c:v>
                </c:pt>
                <c:pt idx="246">
                  <c:v>15.818628</c:v>
                </c:pt>
                <c:pt idx="247">
                  <c:v>15.896831000000001</c:v>
                </c:pt>
                <c:pt idx="248">
                  <c:v>15.769750999999999</c:v>
                </c:pt>
                <c:pt idx="249">
                  <c:v>15.486266000000001</c:v>
                </c:pt>
                <c:pt idx="250">
                  <c:v>15.847954000000001</c:v>
                </c:pt>
                <c:pt idx="251">
                  <c:v>16.072787000000002</c:v>
                </c:pt>
                <c:pt idx="252">
                  <c:v>15.847954000000001</c:v>
                </c:pt>
                <c:pt idx="253">
                  <c:v>15.642671</c:v>
                </c:pt>
                <c:pt idx="254">
                  <c:v>15.632896000000001</c:v>
                </c:pt>
                <c:pt idx="255">
                  <c:v>15.730649999999999</c:v>
                </c:pt>
                <c:pt idx="256">
                  <c:v>15.437389</c:v>
                </c:pt>
                <c:pt idx="257">
                  <c:v>15.613345000000001</c:v>
                </c:pt>
                <c:pt idx="258">
                  <c:v>15.544917999999999</c:v>
                </c:pt>
                <c:pt idx="259">
                  <c:v>15.632896000000001</c:v>
                </c:pt>
                <c:pt idx="260">
                  <c:v>15.310310000000001</c:v>
                </c:pt>
                <c:pt idx="261">
                  <c:v>15.320085000000001</c:v>
                </c:pt>
                <c:pt idx="262">
                  <c:v>15.368962</c:v>
                </c:pt>
                <c:pt idx="263">
                  <c:v>15.320085000000001</c:v>
                </c:pt>
                <c:pt idx="264">
                  <c:v>15.603570000000001</c:v>
                </c:pt>
                <c:pt idx="265">
                  <c:v>15.290759</c:v>
                </c:pt>
                <c:pt idx="266">
                  <c:v>15.232106999999999</c:v>
                </c:pt>
                <c:pt idx="267">
                  <c:v>15.232106999999999</c:v>
                </c:pt>
                <c:pt idx="268">
                  <c:v>15.408063</c:v>
                </c:pt>
                <c:pt idx="269">
                  <c:v>15.456940000000001</c:v>
                </c:pt>
                <c:pt idx="270">
                  <c:v>15.320085000000001</c:v>
                </c:pt>
                <c:pt idx="271">
                  <c:v>15.701324</c:v>
                </c:pt>
                <c:pt idx="272">
                  <c:v>15.838178000000001</c:v>
                </c:pt>
                <c:pt idx="273">
                  <c:v>16.061526000000001</c:v>
                </c:pt>
                <c:pt idx="274">
                  <c:v>16.159278999999998</c:v>
                </c:pt>
                <c:pt idx="275">
                  <c:v>16.129953</c:v>
                </c:pt>
                <c:pt idx="276">
                  <c:v>15.836692999999999</c:v>
                </c:pt>
                <c:pt idx="277">
                  <c:v>14.634325</c:v>
                </c:pt>
                <c:pt idx="278">
                  <c:v>14.477919</c:v>
                </c:pt>
                <c:pt idx="279">
                  <c:v>15.318599000000001</c:v>
                </c:pt>
                <c:pt idx="280">
                  <c:v>15.455454</c:v>
                </c:pt>
                <c:pt idx="281">
                  <c:v>14.820055999999999</c:v>
                </c:pt>
                <c:pt idx="282">
                  <c:v>14.868933</c:v>
                </c:pt>
                <c:pt idx="283">
                  <c:v>14.898259000000001</c:v>
                </c:pt>
                <c:pt idx="284">
                  <c:v>14.683201</c:v>
                </c:pt>
                <c:pt idx="285">
                  <c:v>15.103541</c:v>
                </c:pt>
                <c:pt idx="286">
                  <c:v>14.93736</c:v>
                </c:pt>
                <c:pt idx="287">
                  <c:v>14.956911</c:v>
                </c:pt>
                <c:pt idx="288">
                  <c:v>15.259946999999999</c:v>
                </c:pt>
                <c:pt idx="289">
                  <c:v>15.132866999999999</c:v>
                </c:pt>
                <c:pt idx="290">
                  <c:v>15.201295</c:v>
                </c:pt>
                <c:pt idx="291">
                  <c:v>14.868933</c:v>
                </c:pt>
                <c:pt idx="292">
                  <c:v>15.015562999999998</c:v>
                </c:pt>
                <c:pt idx="293">
                  <c:v>15.426128</c:v>
                </c:pt>
                <c:pt idx="294">
                  <c:v>15.523880999999999</c:v>
                </c:pt>
                <c:pt idx="295">
                  <c:v>15.670512</c:v>
                </c:pt>
                <c:pt idx="296">
                  <c:v>15.846468</c:v>
                </c:pt>
                <c:pt idx="297">
                  <c:v>15.866018999999998</c:v>
                </c:pt>
                <c:pt idx="298">
                  <c:v>15.465229000000001</c:v>
                </c:pt>
                <c:pt idx="299">
                  <c:v>15.993098000000002</c:v>
                </c:pt>
                <c:pt idx="300">
                  <c:v>16.345011</c:v>
                </c:pt>
                <c:pt idx="301">
                  <c:v>16.921755999999998</c:v>
                </c:pt>
                <c:pt idx="302">
                  <c:v>16.960857999999998</c:v>
                </c:pt>
                <c:pt idx="303">
                  <c:v>16.775126</c:v>
                </c:pt>
                <c:pt idx="304">
                  <c:v>15.671998</c:v>
                </c:pt>
                <c:pt idx="305">
                  <c:v>15.476490999999999</c:v>
                </c:pt>
                <c:pt idx="306">
                  <c:v>16.366047000000002</c:v>
                </c:pt>
                <c:pt idx="307">
                  <c:v>15.945707000000001</c:v>
                </c:pt>
                <c:pt idx="308">
                  <c:v>15.945707000000001</c:v>
                </c:pt>
                <c:pt idx="309">
                  <c:v>16.014135</c:v>
                </c:pt>
                <c:pt idx="310">
                  <c:v>16.053235999999998</c:v>
                </c:pt>
                <c:pt idx="311">
                  <c:v>16.082562000000003</c:v>
                </c:pt>
                <c:pt idx="312">
                  <c:v>15.574243999999998</c:v>
                </c:pt>
                <c:pt idx="313">
                  <c:v>15.271208</c:v>
                </c:pt>
                <c:pt idx="314">
                  <c:v>15.662222</c:v>
                </c:pt>
                <c:pt idx="315">
                  <c:v>16.082562000000003</c:v>
                </c:pt>
                <c:pt idx="316">
                  <c:v>16.082562000000003</c:v>
                </c:pt>
                <c:pt idx="317">
                  <c:v>16.297619999999998</c:v>
                </c:pt>
                <c:pt idx="318">
                  <c:v>16.493127000000001</c:v>
                </c:pt>
                <c:pt idx="319">
                  <c:v>16.590879999999999</c:v>
                </c:pt>
                <c:pt idx="320">
                  <c:v>16.463801</c:v>
                </c:pt>
                <c:pt idx="321">
                  <c:v>16.610430999999998</c:v>
                </c:pt>
                <c:pt idx="322">
                  <c:v>16.620206</c:v>
                </c:pt>
                <c:pt idx="323">
                  <c:v>17.148074999999999</c:v>
                </c:pt>
                <c:pt idx="324">
                  <c:v>17.236053999999999</c:v>
                </c:pt>
                <c:pt idx="325">
                  <c:v>17.206727000000001</c:v>
                </c:pt>
                <c:pt idx="326">
                  <c:v>16.483352</c:v>
                </c:pt>
                <c:pt idx="327">
                  <c:v>16.238968</c:v>
                </c:pt>
                <c:pt idx="328">
                  <c:v>17.079647999999999</c:v>
                </c:pt>
                <c:pt idx="329">
                  <c:v>16.854814999999999</c:v>
                </c:pt>
                <c:pt idx="330">
                  <c:v>16.874365999999998</c:v>
                </c:pt>
                <c:pt idx="331">
                  <c:v>17.666169</c:v>
                </c:pt>
                <c:pt idx="332">
                  <c:v>17.744372000000002</c:v>
                </c:pt>
                <c:pt idx="333">
                  <c:v>16.238968</c:v>
                </c:pt>
              </c:numCache>
            </c:numRef>
          </c:val>
          <c:smooth val="0"/>
          <c:extLst>
            <c:ext xmlns:c16="http://schemas.microsoft.com/office/drawing/2014/chart" uri="{C3380CC4-5D6E-409C-BE32-E72D297353CC}">
              <c16:uniqueId val="{00000001-7E98-418C-99F2-96C7E55D52C7}"/>
            </c:ext>
          </c:extLst>
        </c:ser>
        <c:dLbls>
          <c:showLegendKey val="0"/>
          <c:showVal val="0"/>
          <c:showCatName val="0"/>
          <c:showSerName val="0"/>
          <c:showPercent val="0"/>
          <c:showBubbleSize val="0"/>
        </c:dLbls>
        <c:smooth val="0"/>
        <c:axId val="220509416"/>
        <c:axId val="220509808"/>
      </c:lineChart>
      <c:dateAx>
        <c:axId val="220509416"/>
        <c:scaling>
          <c:orientation val="minMax"/>
        </c:scaling>
        <c:delete val="0"/>
        <c:axPos val="b"/>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ES"/>
          </a:p>
        </c:txPr>
        <c:crossAx val="220509808"/>
        <c:crosses val="autoZero"/>
        <c:auto val="1"/>
        <c:lblOffset val="100"/>
        <c:baseTimeUnit val="days"/>
      </c:dateAx>
      <c:valAx>
        <c:axId val="220509808"/>
        <c:scaling>
          <c:orientation val="minMax"/>
        </c:scaling>
        <c:delete val="0"/>
        <c:axPos val="l"/>
        <c:majorGridlines>
          <c:spPr>
            <a:ln w="9525" cap="flat" cmpd="sng" algn="ctr">
              <a:solidFill>
                <a:srgbClr val="D9D9D9"/>
              </a:solidFill>
              <a:prstDash val="sysDash"/>
              <a:round/>
            </a:ln>
            <a:effectLst/>
          </c:spPr>
        </c:majorGridlines>
        <c:title>
          <c:tx>
            <c:rich>
              <a:bodyPr rot="-54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r>
                  <a:rPr lang="en-US" sz="700">
                    <a:solidFill>
                      <a:sysClr val="windowText" lastClr="000000"/>
                    </a:solidFill>
                  </a:rPr>
                  <a:t>€/MWh</a:t>
                </a:r>
              </a:p>
            </c:rich>
          </c:tx>
          <c:overlay val="0"/>
          <c:spPr>
            <a:noFill/>
            <a:ln>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ES"/>
          </a:p>
        </c:txPr>
        <c:crossAx val="220509416"/>
        <c:crosses val="autoZero"/>
        <c:crossBetween val="between"/>
        <c:majorUnit val="10"/>
      </c:valAx>
      <c:spPr>
        <a:noFill/>
        <a:ln w="25400" cap="flat" cmpd="sng" algn="ctr">
          <a:noFill/>
          <a:prstDash val="solid"/>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noFill/>
    <a:ln w="9525" cap="flat" cmpd="sng" algn="ctr">
      <a:noFill/>
      <a:round/>
    </a:ln>
    <a:effectLst/>
  </c:spPr>
  <c:txPr>
    <a:bodyPr/>
    <a:lstStyle/>
    <a:p>
      <a:pPr>
        <a:defRPr>
          <a:solidFill>
            <a:schemeClr val="bg2"/>
          </a:solidFill>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NUs Long: Imbalance Cashout</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parágrafo_3.4__3.5__3.7!$CZ$3</c:f>
              <c:strCache>
                <c:ptCount val="1"/>
                <c:pt idx="0">
                  <c:v>NU are short</c:v>
                </c:pt>
              </c:strCache>
            </c:strRef>
          </c:tx>
          <c:spPr>
            <a:ln w="12700" cap="rnd">
              <a:solidFill>
                <a:schemeClr val="accent1"/>
              </a:solidFill>
              <a:round/>
            </a:ln>
            <a:effectLst/>
          </c:spPr>
          <c:marker>
            <c:symbol val="none"/>
          </c:marker>
          <c:cat>
            <c:numRef>
              <c:f>parágrafo_3.4__3.5__3.7!$CY$6:$CY$370</c:f>
              <c:numCache>
                <c:formatCode>m/d/yyyy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cat>
          <c:val>
            <c:numRef>
              <c:f>parágrafo_3.4__3.5__3.7!$DF$6:$DF$370</c:f>
              <c:numCache>
                <c:formatCode>General</c:formatCode>
                <c:ptCount val="36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64622.427196901001</c:v>
                </c:pt>
                <c:pt idx="32">
                  <c:v>6920.7770634170001</c:v>
                </c:pt>
                <c:pt idx="33">
                  <c:v>3894.0937835579998</c:v>
                </c:pt>
                <c:pt idx="34">
                  <c:v>0</c:v>
                </c:pt>
                <c:pt idx="35">
                  <c:v>201.02645037199997</c:v>
                </c:pt>
                <c:pt idx="36">
                  <c:v>258.45290105300001</c:v>
                </c:pt>
                <c:pt idx="37">
                  <c:v>199.48156427799998</c:v>
                </c:pt>
                <c:pt idx="38">
                  <c:v>200.69314887600001</c:v>
                </c:pt>
                <c:pt idx="39">
                  <c:v>200.555348872</c:v>
                </c:pt>
                <c:pt idx="40">
                  <c:v>207.29089588599999</c:v>
                </c:pt>
                <c:pt idx="41">
                  <c:v>206.010605072</c:v>
                </c:pt>
                <c:pt idx="42">
                  <c:v>0</c:v>
                </c:pt>
                <c:pt idx="43">
                  <c:v>11.104672095</c:v>
                </c:pt>
                <c:pt idx="44">
                  <c:v>0</c:v>
                </c:pt>
                <c:pt idx="45">
                  <c:v>0</c:v>
                </c:pt>
                <c:pt idx="46">
                  <c:v>0</c:v>
                </c:pt>
                <c:pt idx="47">
                  <c:v>480.80937432099995</c:v>
                </c:pt>
                <c:pt idx="48">
                  <c:v>0</c:v>
                </c:pt>
                <c:pt idx="49">
                  <c:v>11.6886207</c:v>
                </c:pt>
                <c:pt idx="50">
                  <c:v>0</c:v>
                </c:pt>
                <c:pt idx="51">
                  <c:v>911.39306403599994</c:v>
                </c:pt>
                <c:pt idx="52">
                  <c:v>0</c:v>
                </c:pt>
                <c:pt idx="53">
                  <c:v>542.89531326000008</c:v>
                </c:pt>
                <c:pt idx="54">
                  <c:v>0</c:v>
                </c:pt>
                <c:pt idx="55">
                  <c:v>753.16324566000003</c:v>
                </c:pt>
                <c:pt idx="56">
                  <c:v>0</c:v>
                </c:pt>
                <c:pt idx="57">
                  <c:v>195.057862809</c:v>
                </c:pt>
                <c:pt idx="58">
                  <c:v>0</c:v>
                </c:pt>
                <c:pt idx="59">
                  <c:v>0</c:v>
                </c:pt>
                <c:pt idx="60">
                  <c:v>776.63494418699997</c:v>
                </c:pt>
                <c:pt idx="61">
                  <c:v>2539.5497943270002</c:v>
                </c:pt>
                <c:pt idx="62">
                  <c:v>4.6242418979999993</c:v>
                </c:pt>
                <c:pt idx="63">
                  <c:v>114.476635839</c:v>
                </c:pt>
                <c:pt idx="64">
                  <c:v>96.131319738000002</c:v>
                </c:pt>
                <c:pt idx="65">
                  <c:v>19439.351153352</c:v>
                </c:pt>
                <c:pt idx="66">
                  <c:v>8638.3602210040008</c:v>
                </c:pt>
                <c:pt idx="67">
                  <c:v>7775.7294364560003</c:v>
                </c:pt>
                <c:pt idx="68">
                  <c:v>106.172185086</c:v>
                </c:pt>
                <c:pt idx="69">
                  <c:v>49708.422806909999</c:v>
                </c:pt>
                <c:pt idx="70">
                  <c:v>187.83707071199998</c:v>
                </c:pt>
                <c:pt idx="71">
                  <c:v>188.00752198800001</c:v>
                </c:pt>
                <c:pt idx="72">
                  <c:v>16503.663855700001</c:v>
                </c:pt>
                <c:pt idx="73">
                  <c:v>0</c:v>
                </c:pt>
                <c:pt idx="74">
                  <c:v>0</c:v>
                </c:pt>
                <c:pt idx="75">
                  <c:v>0</c:v>
                </c:pt>
                <c:pt idx="76">
                  <c:v>0</c:v>
                </c:pt>
                <c:pt idx="77">
                  <c:v>38.019369500000003</c:v>
                </c:pt>
                <c:pt idx="78">
                  <c:v>42.915672456999999</c:v>
                </c:pt>
                <c:pt idx="79">
                  <c:v>3861.0939994200003</c:v>
                </c:pt>
                <c:pt idx="80">
                  <c:v>6033.1943291799998</c:v>
                </c:pt>
                <c:pt idx="81">
                  <c:v>0</c:v>
                </c:pt>
                <c:pt idx="82">
                  <c:v>5224.9539378959998</c:v>
                </c:pt>
                <c:pt idx="83">
                  <c:v>37213.555827554999</c:v>
                </c:pt>
                <c:pt idx="84">
                  <c:v>9843.4005525989996</c:v>
                </c:pt>
                <c:pt idx="85">
                  <c:v>65.463438166000003</c:v>
                </c:pt>
                <c:pt idx="86">
                  <c:v>24641.122668240001</c:v>
                </c:pt>
                <c:pt idx="87">
                  <c:v>0</c:v>
                </c:pt>
                <c:pt idx="88">
                  <c:v>34594.963100863999</c:v>
                </c:pt>
                <c:pt idx="89">
                  <c:v>20691.845062050001</c:v>
                </c:pt>
                <c:pt idx="90">
                  <c:v>10318.745996574</c:v>
                </c:pt>
                <c:pt idx="91">
                  <c:v>20012.922550698</c:v>
                </c:pt>
                <c:pt idx="92">
                  <c:v>7313.2543447589997</c:v>
                </c:pt>
                <c:pt idx="93">
                  <c:v>1892.3191701209998</c:v>
                </c:pt>
                <c:pt idx="94">
                  <c:v>0</c:v>
                </c:pt>
                <c:pt idx="95">
                  <c:v>15582.410521149999</c:v>
                </c:pt>
                <c:pt idx="96">
                  <c:v>2710.7767832969998</c:v>
                </c:pt>
                <c:pt idx="97">
                  <c:v>5.4541525349999995</c:v>
                </c:pt>
                <c:pt idx="98">
                  <c:v>23.274546149999999</c:v>
                </c:pt>
                <c:pt idx="99">
                  <c:v>237.89160313200003</c:v>
                </c:pt>
                <c:pt idx="100">
                  <c:v>0</c:v>
                </c:pt>
                <c:pt idx="101">
                  <c:v>978.278009591</c:v>
                </c:pt>
                <c:pt idx="102">
                  <c:v>6360.0282297240001</c:v>
                </c:pt>
                <c:pt idx="103">
                  <c:v>1726.1919226370001</c:v>
                </c:pt>
                <c:pt idx="104">
                  <c:v>15807.148426272001</c:v>
                </c:pt>
                <c:pt idx="105">
                  <c:v>18142.629616475002</c:v>
                </c:pt>
                <c:pt idx="106">
                  <c:v>7.6635125999999998</c:v>
                </c:pt>
                <c:pt idx="107">
                  <c:v>16.029359906</c:v>
                </c:pt>
                <c:pt idx="108">
                  <c:v>28.613166767999999</c:v>
                </c:pt>
                <c:pt idx="109">
                  <c:v>344.43422251999999</c:v>
                </c:pt>
                <c:pt idx="110">
                  <c:v>10.889833600000001</c:v>
                </c:pt>
                <c:pt idx="111">
                  <c:v>0</c:v>
                </c:pt>
                <c:pt idx="112">
                  <c:v>0</c:v>
                </c:pt>
                <c:pt idx="113">
                  <c:v>0</c:v>
                </c:pt>
                <c:pt idx="114">
                  <c:v>1030.37141905</c:v>
                </c:pt>
                <c:pt idx="115">
                  <c:v>0</c:v>
                </c:pt>
                <c:pt idx="116">
                  <c:v>13800.819092287999</c:v>
                </c:pt>
                <c:pt idx="117">
                  <c:v>6074.9597253299999</c:v>
                </c:pt>
                <c:pt idx="118">
                  <c:v>34074.715291384004</c:v>
                </c:pt>
                <c:pt idx="119">
                  <c:v>6116.9413609290004</c:v>
                </c:pt>
                <c:pt idx="120">
                  <c:v>2657.7603922249996</c:v>
                </c:pt>
                <c:pt idx="121">
                  <c:v>25525.204826044002</c:v>
                </c:pt>
                <c:pt idx="122">
                  <c:v>1588.9269296169998</c:v>
                </c:pt>
                <c:pt idx="123">
                  <c:v>63219.785278448006</c:v>
                </c:pt>
                <c:pt idx="124">
                  <c:v>62570.004982839993</c:v>
                </c:pt>
                <c:pt idx="125">
                  <c:v>52.632400499999996</c:v>
                </c:pt>
                <c:pt idx="126">
                  <c:v>6393.4289190239997</c:v>
                </c:pt>
                <c:pt idx="127">
                  <c:v>92.164212352000007</c:v>
                </c:pt>
                <c:pt idx="128">
                  <c:v>62.944470160000002</c:v>
                </c:pt>
                <c:pt idx="129">
                  <c:v>37.997974698</c:v>
                </c:pt>
                <c:pt idx="130">
                  <c:v>29.312636028</c:v>
                </c:pt>
                <c:pt idx="131">
                  <c:v>24.174223363999999</c:v>
                </c:pt>
                <c:pt idx="132">
                  <c:v>302.94998958000002</c:v>
                </c:pt>
                <c:pt idx="133">
                  <c:v>0</c:v>
                </c:pt>
                <c:pt idx="134">
                  <c:v>0</c:v>
                </c:pt>
                <c:pt idx="135">
                  <c:v>367.42623185399998</c:v>
                </c:pt>
                <c:pt idx="136">
                  <c:v>23225.551075854997</c:v>
                </c:pt>
                <c:pt idx="137">
                  <c:v>403.25901229799996</c:v>
                </c:pt>
                <c:pt idx="138">
                  <c:v>0</c:v>
                </c:pt>
                <c:pt idx="139">
                  <c:v>0</c:v>
                </c:pt>
                <c:pt idx="140">
                  <c:v>236.98912623000001</c:v>
                </c:pt>
                <c:pt idx="141">
                  <c:v>97.528937727999988</c:v>
                </c:pt>
                <c:pt idx="142">
                  <c:v>0</c:v>
                </c:pt>
                <c:pt idx="143">
                  <c:v>50.472954047999998</c:v>
                </c:pt>
                <c:pt idx="144">
                  <c:v>367.69889292799996</c:v>
                </c:pt>
                <c:pt idx="145">
                  <c:v>381.93165018399998</c:v>
                </c:pt>
                <c:pt idx="146">
                  <c:v>71.23116499599999</c:v>
                </c:pt>
                <c:pt idx="147">
                  <c:v>94.653366250000005</c:v>
                </c:pt>
                <c:pt idx="148">
                  <c:v>95.192338615999986</c:v>
                </c:pt>
                <c:pt idx="149">
                  <c:v>11436.007931460001</c:v>
                </c:pt>
                <c:pt idx="150">
                  <c:v>0</c:v>
                </c:pt>
                <c:pt idx="151">
                  <c:v>0</c:v>
                </c:pt>
                <c:pt idx="152">
                  <c:v>0</c:v>
                </c:pt>
                <c:pt idx="153">
                  <c:v>28.532351670000001</c:v>
                </c:pt>
                <c:pt idx="154">
                  <c:v>0</c:v>
                </c:pt>
                <c:pt idx="155">
                  <c:v>26.894214504000001</c:v>
                </c:pt>
                <c:pt idx="156">
                  <c:v>38.135477951999995</c:v>
                </c:pt>
                <c:pt idx="157">
                  <c:v>38.687502006999999</c:v>
                </c:pt>
                <c:pt idx="158">
                  <c:v>43.950542272</c:v>
                </c:pt>
                <c:pt idx="159">
                  <c:v>1494.530735796</c:v>
                </c:pt>
                <c:pt idx="160">
                  <c:v>9026.8655710519997</c:v>
                </c:pt>
                <c:pt idx="161">
                  <c:v>7271.5509854679995</c:v>
                </c:pt>
                <c:pt idx="162">
                  <c:v>96.125676510000005</c:v>
                </c:pt>
                <c:pt idx="163">
                  <c:v>39.625313597999998</c:v>
                </c:pt>
                <c:pt idx="164">
                  <c:v>79.996719311999996</c:v>
                </c:pt>
                <c:pt idx="165">
                  <c:v>0</c:v>
                </c:pt>
                <c:pt idx="166">
                  <c:v>1.001058056</c:v>
                </c:pt>
                <c:pt idx="167">
                  <c:v>11.823838912000001</c:v>
                </c:pt>
                <c:pt idx="168">
                  <c:v>72.874317739999995</c:v>
                </c:pt>
                <c:pt idx="169">
                  <c:v>129.92662579</c:v>
                </c:pt>
                <c:pt idx="170">
                  <c:v>19.054912904000002</c:v>
                </c:pt>
                <c:pt idx="171">
                  <c:v>13.097219497999999</c:v>
                </c:pt>
                <c:pt idx="172">
                  <c:v>64.374587423999998</c:v>
                </c:pt>
                <c:pt idx="173">
                  <c:v>23.333396199999999</c:v>
                </c:pt>
                <c:pt idx="174">
                  <c:v>10.91029736</c:v>
                </c:pt>
                <c:pt idx="175">
                  <c:v>0</c:v>
                </c:pt>
                <c:pt idx="176">
                  <c:v>0</c:v>
                </c:pt>
                <c:pt idx="177">
                  <c:v>0</c:v>
                </c:pt>
                <c:pt idx="178">
                  <c:v>0</c:v>
                </c:pt>
                <c:pt idx="179">
                  <c:v>0</c:v>
                </c:pt>
                <c:pt idx="180">
                  <c:v>0</c:v>
                </c:pt>
                <c:pt idx="181">
                  <c:v>113.614590265</c:v>
                </c:pt>
                <c:pt idx="182">
                  <c:v>40.318727283000001</c:v>
                </c:pt>
                <c:pt idx="183">
                  <c:v>17583.872736098001</c:v>
                </c:pt>
                <c:pt idx="184">
                  <c:v>5782.5534450419991</c:v>
                </c:pt>
                <c:pt idx="185">
                  <c:v>0</c:v>
                </c:pt>
                <c:pt idx="186">
                  <c:v>3709.4910232880002</c:v>
                </c:pt>
                <c:pt idx="187">
                  <c:v>29.786593726</c:v>
                </c:pt>
                <c:pt idx="188">
                  <c:v>0</c:v>
                </c:pt>
                <c:pt idx="189">
                  <c:v>8.9647241819999994</c:v>
                </c:pt>
                <c:pt idx="190">
                  <c:v>11.593350152999999</c:v>
                </c:pt>
                <c:pt idx="191">
                  <c:v>0</c:v>
                </c:pt>
                <c:pt idx="192">
                  <c:v>0</c:v>
                </c:pt>
                <c:pt idx="193">
                  <c:v>0</c:v>
                </c:pt>
                <c:pt idx="194">
                  <c:v>2896.6603764800002</c:v>
                </c:pt>
                <c:pt idx="195">
                  <c:v>0</c:v>
                </c:pt>
                <c:pt idx="196">
                  <c:v>0.58666488000000006</c:v>
                </c:pt>
                <c:pt idx="197">
                  <c:v>12270.428454224</c:v>
                </c:pt>
                <c:pt idx="198">
                  <c:v>20537.192592279</c:v>
                </c:pt>
                <c:pt idx="199">
                  <c:v>0</c:v>
                </c:pt>
                <c:pt idx="200">
                  <c:v>0</c:v>
                </c:pt>
                <c:pt idx="201">
                  <c:v>0</c:v>
                </c:pt>
                <c:pt idx="202">
                  <c:v>0</c:v>
                </c:pt>
                <c:pt idx="203">
                  <c:v>0</c:v>
                </c:pt>
                <c:pt idx="204">
                  <c:v>14.961393012</c:v>
                </c:pt>
                <c:pt idx="205">
                  <c:v>488.64252879599997</c:v>
                </c:pt>
                <c:pt idx="206">
                  <c:v>54.460241850000003</c:v>
                </c:pt>
                <c:pt idx="207">
                  <c:v>31.605903019999996</c:v>
                </c:pt>
                <c:pt idx="208">
                  <c:v>42.76008744</c:v>
                </c:pt>
                <c:pt idx="209">
                  <c:v>21.175636251</c:v>
                </c:pt>
                <c:pt idx="210">
                  <c:v>48.579745015999997</c:v>
                </c:pt>
                <c:pt idx="211">
                  <c:v>743.54525746600007</c:v>
                </c:pt>
                <c:pt idx="212">
                  <c:v>12.913567464</c:v>
                </c:pt>
                <c:pt idx="213">
                  <c:v>54.418437150000003</c:v>
                </c:pt>
                <c:pt idx="214">
                  <c:v>31.594279067999999</c:v>
                </c:pt>
                <c:pt idx="215">
                  <c:v>833.64491146800003</c:v>
                </c:pt>
                <c:pt idx="216">
                  <c:v>33.428261063999997</c:v>
                </c:pt>
                <c:pt idx="217">
                  <c:v>93.048235521999999</c:v>
                </c:pt>
                <c:pt idx="218">
                  <c:v>79.137127491999991</c:v>
                </c:pt>
                <c:pt idx="219">
                  <c:v>153.88789500000001</c:v>
                </c:pt>
                <c:pt idx="220">
                  <c:v>142.52876794199997</c:v>
                </c:pt>
                <c:pt idx="221">
                  <c:v>124.50417438800001</c:v>
                </c:pt>
                <c:pt idx="222">
                  <c:v>112.705785486</c:v>
                </c:pt>
                <c:pt idx="223">
                  <c:v>110.01980213799999</c:v>
                </c:pt>
                <c:pt idx="224">
                  <c:v>1456.5050062880002</c:v>
                </c:pt>
                <c:pt idx="225">
                  <c:v>113.30768554199999</c:v>
                </c:pt>
                <c:pt idx="226">
                  <c:v>115.91027510400001</c:v>
                </c:pt>
                <c:pt idx="227">
                  <c:v>115.248300132</c:v>
                </c:pt>
                <c:pt idx="228">
                  <c:v>104.052211482</c:v>
                </c:pt>
                <c:pt idx="229">
                  <c:v>20.685065048999999</c:v>
                </c:pt>
                <c:pt idx="230">
                  <c:v>6.8935214519999999</c:v>
                </c:pt>
                <c:pt idx="231">
                  <c:v>16.814456311000001</c:v>
                </c:pt>
                <c:pt idx="232">
                  <c:v>3569.4186830850003</c:v>
                </c:pt>
                <c:pt idx="233">
                  <c:v>24.181102658000004</c:v>
                </c:pt>
                <c:pt idx="234">
                  <c:v>9.6830282540000017</c:v>
                </c:pt>
                <c:pt idx="235">
                  <c:v>0</c:v>
                </c:pt>
                <c:pt idx="236">
                  <c:v>0</c:v>
                </c:pt>
                <c:pt idx="237">
                  <c:v>0</c:v>
                </c:pt>
                <c:pt idx="238">
                  <c:v>6.4703108839999999</c:v>
                </c:pt>
                <c:pt idx="239">
                  <c:v>8.8226928479999991</c:v>
                </c:pt>
                <c:pt idx="240">
                  <c:v>17.196937911999999</c:v>
                </c:pt>
                <c:pt idx="241">
                  <c:v>24196.308570992998</c:v>
                </c:pt>
                <c:pt idx="242">
                  <c:v>2566.1250272090001</c:v>
                </c:pt>
                <c:pt idx="243">
                  <c:v>7896.7908798149992</c:v>
                </c:pt>
                <c:pt idx="244">
                  <c:v>0</c:v>
                </c:pt>
                <c:pt idx="245">
                  <c:v>0</c:v>
                </c:pt>
                <c:pt idx="246">
                  <c:v>0.74761048200000002</c:v>
                </c:pt>
                <c:pt idx="247">
                  <c:v>6242.3993454109996</c:v>
                </c:pt>
                <c:pt idx="248">
                  <c:v>0</c:v>
                </c:pt>
                <c:pt idx="249">
                  <c:v>0</c:v>
                </c:pt>
                <c:pt idx="250">
                  <c:v>0</c:v>
                </c:pt>
                <c:pt idx="251">
                  <c:v>18.82746994</c:v>
                </c:pt>
                <c:pt idx="252">
                  <c:v>0</c:v>
                </c:pt>
                <c:pt idx="253">
                  <c:v>110.53949035400001</c:v>
                </c:pt>
                <c:pt idx="254">
                  <c:v>0</c:v>
                </c:pt>
                <c:pt idx="255">
                  <c:v>11.511031451999999</c:v>
                </c:pt>
                <c:pt idx="256">
                  <c:v>494.13792625600001</c:v>
                </c:pt>
                <c:pt idx="257">
                  <c:v>37733.199345536006</c:v>
                </c:pt>
                <c:pt idx="258">
                  <c:v>2216.7671212499999</c:v>
                </c:pt>
                <c:pt idx="259">
                  <c:v>9485.671975782001</c:v>
                </c:pt>
                <c:pt idx="260">
                  <c:v>419.25464899999997</c:v>
                </c:pt>
                <c:pt idx="261">
                  <c:v>2093.865697875</c:v>
                </c:pt>
                <c:pt idx="262">
                  <c:v>27.010803904000003</c:v>
                </c:pt>
                <c:pt idx="263">
                  <c:v>19.293998702</c:v>
                </c:pt>
                <c:pt idx="264">
                  <c:v>8.5733865199999997</c:v>
                </c:pt>
                <c:pt idx="265">
                  <c:v>47.612512224</c:v>
                </c:pt>
                <c:pt idx="266">
                  <c:v>0</c:v>
                </c:pt>
                <c:pt idx="267">
                  <c:v>0</c:v>
                </c:pt>
                <c:pt idx="268">
                  <c:v>0</c:v>
                </c:pt>
                <c:pt idx="269">
                  <c:v>0</c:v>
                </c:pt>
                <c:pt idx="270">
                  <c:v>38232.667364385001</c:v>
                </c:pt>
                <c:pt idx="271">
                  <c:v>17783.778722340001</c:v>
                </c:pt>
                <c:pt idx="272">
                  <c:v>44268.568926187996</c:v>
                </c:pt>
                <c:pt idx="273">
                  <c:v>1582.5140694000002</c:v>
                </c:pt>
                <c:pt idx="274">
                  <c:v>2396.7065480199999</c:v>
                </c:pt>
                <c:pt idx="275">
                  <c:v>180.99712388999998</c:v>
                </c:pt>
                <c:pt idx="276">
                  <c:v>150.667372032</c:v>
                </c:pt>
                <c:pt idx="277">
                  <c:v>157.28461820400003</c:v>
                </c:pt>
                <c:pt idx="278">
                  <c:v>128.859712086</c:v>
                </c:pt>
                <c:pt idx="279">
                  <c:v>135.33600308199999</c:v>
                </c:pt>
                <c:pt idx="280">
                  <c:v>0</c:v>
                </c:pt>
                <c:pt idx="281">
                  <c:v>5328.6209652360003</c:v>
                </c:pt>
                <c:pt idx="282">
                  <c:v>84.62322355500001</c:v>
                </c:pt>
                <c:pt idx="283">
                  <c:v>12.155380718</c:v>
                </c:pt>
                <c:pt idx="284">
                  <c:v>7.6179807770000005</c:v>
                </c:pt>
                <c:pt idx="285">
                  <c:v>177.230141952</c:v>
                </c:pt>
                <c:pt idx="286">
                  <c:v>214.88067899999999</c:v>
                </c:pt>
                <c:pt idx="287">
                  <c:v>94.291572011999989</c:v>
                </c:pt>
                <c:pt idx="288">
                  <c:v>0</c:v>
                </c:pt>
                <c:pt idx="289">
                  <c:v>0</c:v>
                </c:pt>
                <c:pt idx="290">
                  <c:v>19.728714752000002</c:v>
                </c:pt>
                <c:pt idx="291">
                  <c:v>0</c:v>
                </c:pt>
                <c:pt idx="292">
                  <c:v>0</c:v>
                </c:pt>
                <c:pt idx="293">
                  <c:v>0</c:v>
                </c:pt>
                <c:pt idx="294">
                  <c:v>0</c:v>
                </c:pt>
                <c:pt idx="295">
                  <c:v>1647.9710455500001</c:v>
                </c:pt>
                <c:pt idx="296">
                  <c:v>0</c:v>
                </c:pt>
                <c:pt idx="297">
                  <c:v>0</c:v>
                </c:pt>
                <c:pt idx="298">
                  <c:v>0</c:v>
                </c:pt>
                <c:pt idx="299">
                  <c:v>42.187276494000002</c:v>
                </c:pt>
                <c:pt idx="300">
                  <c:v>3929.5869423200002</c:v>
                </c:pt>
                <c:pt idx="301">
                  <c:v>27760.928545185001</c:v>
                </c:pt>
                <c:pt idx="302">
                  <c:v>32724.369752995997</c:v>
                </c:pt>
                <c:pt idx="303">
                  <c:v>23590.443471126004</c:v>
                </c:pt>
                <c:pt idx="304">
                  <c:v>42249.281989589996</c:v>
                </c:pt>
                <c:pt idx="305">
                  <c:v>44161.451189914995</c:v>
                </c:pt>
                <c:pt idx="306">
                  <c:v>0</c:v>
                </c:pt>
                <c:pt idx="307">
                  <c:v>12605.516690516999</c:v>
                </c:pt>
                <c:pt idx="308">
                  <c:v>71737.870911100006</c:v>
                </c:pt>
                <c:pt idx="309">
                  <c:v>14267.381101902001</c:v>
                </c:pt>
                <c:pt idx="310">
                  <c:v>0</c:v>
                </c:pt>
                <c:pt idx="311">
                  <c:v>959.70641612999998</c:v>
                </c:pt>
                <c:pt idx="312">
                  <c:v>0</c:v>
                </c:pt>
                <c:pt idx="313">
                  <c:v>0</c:v>
                </c:pt>
                <c:pt idx="314">
                  <c:v>5.9444053410000004</c:v>
                </c:pt>
                <c:pt idx="315">
                  <c:v>5.2419027570000001</c:v>
                </c:pt>
                <c:pt idx="316">
                  <c:v>312.02405351900001</c:v>
                </c:pt>
                <c:pt idx="317">
                  <c:v>40.450370880000001</c:v>
                </c:pt>
                <c:pt idx="318">
                  <c:v>246.38519490299998</c:v>
                </c:pt>
                <c:pt idx="319">
                  <c:v>6119.0861475299998</c:v>
                </c:pt>
                <c:pt idx="320">
                  <c:v>54.720447071999999</c:v>
                </c:pt>
                <c:pt idx="321">
                  <c:v>140.110336015</c:v>
                </c:pt>
                <c:pt idx="322">
                  <c:v>2228.466464442</c:v>
                </c:pt>
                <c:pt idx="323">
                  <c:v>19267.550005835998</c:v>
                </c:pt>
                <c:pt idx="324">
                  <c:v>2433.9190497120003</c:v>
                </c:pt>
                <c:pt idx="325">
                  <c:v>175.186997085</c:v>
                </c:pt>
                <c:pt idx="326">
                  <c:v>14.26016592</c:v>
                </c:pt>
                <c:pt idx="327">
                  <c:v>159.84332271599999</c:v>
                </c:pt>
                <c:pt idx="328">
                  <c:v>168.87790623599997</c:v>
                </c:pt>
                <c:pt idx="329">
                  <c:v>0</c:v>
                </c:pt>
                <c:pt idx="330">
                  <c:v>3.854336618</c:v>
                </c:pt>
                <c:pt idx="331">
                  <c:v>4.0045276950000002</c:v>
                </c:pt>
                <c:pt idx="332">
                  <c:v>0</c:v>
                </c:pt>
                <c:pt idx="333">
                  <c:v>0</c:v>
                </c:pt>
                <c:pt idx="334">
                  <c:v>0</c:v>
                </c:pt>
                <c:pt idx="335">
                  <c:v>0</c:v>
                </c:pt>
                <c:pt idx="336">
                  <c:v>567.15148918600005</c:v>
                </c:pt>
                <c:pt idx="337">
                  <c:v>456.23629221900006</c:v>
                </c:pt>
                <c:pt idx="338">
                  <c:v>12.931968377</c:v>
                </c:pt>
                <c:pt idx="339">
                  <c:v>0</c:v>
                </c:pt>
                <c:pt idx="340">
                  <c:v>0</c:v>
                </c:pt>
                <c:pt idx="341">
                  <c:v>0</c:v>
                </c:pt>
                <c:pt idx="342">
                  <c:v>0</c:v>
                </c:pt>
                <c:pt idx="343">
                  <c:v>0</c:v>
                </c:pt>
                <c:pt idx="344">
                  <c:v>88.114870159999995</c:v>
                </c:pt>
                <c:pt idx="345">
                  <c:v>0.501191104</c:v>
                </c:pt>
                <c:pt idx="346">
                  <c:v>0</c:v>
                </c:pt>
                <c:pt idx="347">
                  <c:v>0</c:v>
                </c:pt>
                <c:pt idx="348">
                  <c:v>0</c:v>
                </c:pt>
                <c:pt idx="349">
                  <c:v>37.373425781999998</c:v>
                </c:pt>
                <c:pt idx="350">
                  <c:v>0.13272703999999999</c:v>
                </c:pt>
                <c:pt idx="351">
                  <c:v>1.284176478</c:v>
                </c:pt>
                <c:pt idx="352">
                  <c:v>0</c:v>
                </c:pt>
                <c:pt idx="353">
                  <c:v>0</c:v>
                </c:pt>
                <c:pt idx="354">
                  <c:v>0</c:v>
                </c:pt>
                <c:pt idx="355">
                  <c:v>0</c:v>
                </c:pt>
                <c:pt idx="356">
                  <c:v>0</c:v>
                </c:pt>
                <c:pt idx="357">
                  <c:v>0</c:v>
                </c:pt>
                <c:pt idx="358">
                  <c:v>32818.905611096001</c:v>
                </c:pt>
                <c:pt idx="359">
                  <c:v>0</c:v>
                </c:pt>
                <c:pt idx="360">
                  <c:v>0</c:v>
                </c:pt>
                <c:pt idx="361">
                  <c:v>0</c:v>
                </c:pt>
                <c:pt idx="362">
                  <c:v>0</c:v>
                </c:pt>
                <c:pt idx="363">
                  <c:v>0</c:v>
                </c:pt>
                <c:pt idx="364">
                  <c:v>12487.750153031999</c:v>
                </c:pt>
              </c:numCache>
            </c:numRef>
          </c:val>
          <c:smooth val="0"/>
          <c:extLst>
            <c:ext xmlns:c16="http://schemas.microsoft.com/office/drawing/2014/chart" uri="{C3380CC4-5D6E-409C-BE32-E72D297353CC}">
              <c16:uniqueId val="{00000000-8BE5-42D8-92B9-494B624F2BAF}"/>
            </c:ext>
          </c:extLst>
        </c:ser>
        <c:dLbls>
          <c:showLegendKey val="0"/>
          <c:showVal val="0"/>
          <c:showCatName val="0"/>
          <c:showSerName val="0"/>
          <c:showPercent val="0"/>
          <c:showBubbleSize val="0"/>
        </c:dLbls>
        <c:smooth val="0"/>
        <c:axId val="220510592"/>
        <c:axId val="220510984"/>
      </c:lineChart>
      <c:dateAx>
        <c:axId val="220510592"/>
        <c:scaling>
          <c:orientation val="minMax"/>
          <c:max val="43008"/>
        </c:scaling>
        <c:delete val="0"/>
        <c:axPos val="b"/>
        <c:numFmt formatCode="[$]m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20510984"/>
        <c:crosses val="autoZero"/>
        <c:auto val="1"/>
        <c:lblOffset val="100"/>
        <c:baseTimeUnit val="days"/>
      </c:dateAx>
      <c:valAx>
        <c:axId val="220510984"/>
        <c:scaling>
          <c:orientation val="minMax"/>
        </c:scaling>
        <c:delete val="0"/>
        <c:axPos val="l"/>
        <c:majorGridlines>
          <c:spPr>
            <a:ln w="6350" cap="flat" cmpd="sng" algn="ctr">
              <a:solidFill>
                <a:schemeClr val="tx1">
                  <a:lumMod val="15000"/>
                  <a:lumOff val="85000"/>
                </a:schemeClr>
              </a:solidFill>
              <a:prstDash val="dash"/>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layout>
            <c:manualLayout>
              <c:xMode val="edge"/>
              <c:yMode val="edge"/>
              <c:x val="5.4375415785626394E-2"/>
              <c:y val="5.745771361913095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20510592"/>
        <c:crosses val="autoZero"/>
        <c:crossBetween val="between"/>
        <c:majorUnit val="2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NUs</a:t>
            </a:r>
          </a:p>
          <a:p>
            <a:pPr>
              <a:defRPr sz="900"/>
            </a:pPr>
            <a:r>
              <a:rPr lang="en-US" sz="900"/>
              <a:t>Short: Imbalance Cashout</a:t>
            </a:r>
          </a:p>
        </c:rich>
      </c:tx>
      <c:layout>
        <c:manualLayout>
          <c:xMode val="edge"/>
          <c:yMode val="edge"/>
          <c:x val="0.38166058047091933"/>
          <c:y val="4.2402826855123678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8.6150312368729165E-2"/>
          <c:y val="0.25420494699646645"/>
          <c:w val="0.88887806447576556"/>
          <c:h val="0.60806822292089824"/>
        </c:manualLayout>
      </c:layout>
      <c:lineChart>
        <c:grouping val="standard"/>
        <c:varyColors val="0"/>
        <c:ser>
          <c:idx val="0"/>
          <c:order val="0"/>
          <c:tx>
            <c:strRef>
              <c:f>parágrafo_3.4__3.5__3.7!$CZ$3</c:f>
              <c:strCache>
                <c:ptCount val="1"/>
                <c:pt idx="0">
                  <c:v>NU are short</c:v>
                </c:pt>
              </c:strCache>
            </c:strRef>
          </c:tx>
          <c:spPr>
            <a:ln w="19050" cap="rnd">
              <a:solidFill>
                <a:schemeClr val="accent2">
                  <a:lumMod val="75000"/>
                </a:schemeClr>
              </a:solidFill>
              <a:round/>
            </a:ln>
            <a:effectLst/>
          </c:spPr>
          <c:marker>
            <c:symbol val="none"/>
          </c:marker>
          <c:cat>
            <c:numRef>
              <c:f>parágrafo_3.4__3.5__3.7!$CY$6:$CY$370</c:f>
              <c:numCache>
                <c:formatCode>m/d/yyyy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cat>
          <c:val>
            <c:numRef>
              <c:f>parágrafo_3.4__3.5__3.7!$DC$6:$DC$370</c:f>
              <c:numCache>
                <c:formatCode>General</c:formatCode>
                <c:ptCount val="36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0.222758874</c:v>
                </c:pt>
                <c:pt idx="33">
                  <c:v>0.24884582999999999</c:v>
                </c:pt>
                <c:pt idx="34">
                  <c:v>0.27192171599999998</c:v>
                </c:pt>
                <c:pt idx="35">
                  <c:v>69.775332109000004</c:v>
                </c:pt>
                <c:pt idx="36">
                  <c:v>770.53265148800006</c:v>
                </c:pt>
                <c:pt idx="37">
                  <c:v>2887.53774552</c:v>
                </c:pt>
                <c:pt idx="38">
                  <c:v>5764.6008035049999</c:v>
                </c:pt>
                <c:pt idx="39">
                  <c:v>9941.0041249400001</c:v>
                </c:pt>
                <c:pt idx="40">
                  <c:v>21684.703240179999</c:v>
                </c:pt>
                <c:pt idx="41">
                  <c:v>3710.2497010259999</c:v>
                </c:pt>
                <c:pt idx="42">
                  <c:v>1695.821656592</c:v>
                </c:pt>
                <c:pt idx="43">
                  <c:v>782.68143617999999</c:v>
                </c:pt>
                <c:pt idx="44">
                  <c:v>53350.782787013995</c:v>
                </c:pt>
                <c:pt idx="45">
                  <c:v>1.5852092760000001</c:v>
                </c:pt>
                <c:pt idx="46">
                  <c:v>1.6136961750000001</c:v>
                </c:pt>
                <c:pt idx="47">
                  <c:v>1.7578399840000001</c:v>
                </c:pt>
                <c:pt idx="48">
                  <c:v>447.84694275999999</c:v>
                </c:pt>
                <c:pt idx="49">
                  <c:v>410.71010216399998</c:v>
                </c:pt>
                <c:pt idx="50">
                  <c:v>1.62538355</c:v>
                </c:pt>
                <c:pt idx="51">
                  <c:v>1853.4617794979999</c:v>
                </c:pt>
                <c:pt idx="52">
                  <c:v>2075.116414997</c:v>
                </c:pt>
                <c:pt idx="53">
                  <c:v>22585.137465799999</c:v>
                </c:pt>
                <c:pt idx="54">
                  <c:v>331.27544707600003</c:v>
                </c:pt>
                <c:pt idx="55">
                  <c:v>41.370565104000001</c:v>
                </c:pt>
                <c:pt idx="56">
                  <c:v>2726.1265284000001</c:v>
                </c:pt>
                <c:pt idx="57">
                  <c:v>215.64137167999999</c:v>
                </c:pt>
                <c:pt idx="58">
                  <c:v>88.359875240000008</c:v>
                </c:pt>
                <c:pt idx="59">
                  <c:v>345.24641485800004</c:v>
                </c:pt>
                <c:pt idx="60">
                  <c:v>10.50339327</c:v>
                </c:pt>
                <c:pt idx="61">
                  <c:v>9269.4903608320001</c:v>
                </c:pt>
                <c:pt idx="62">
                  <c:v>2897.3755848300002</c:v>
                </c:pt>
                <c:pt idx="63">
                  <c:v>18.555411475</c:v>
                </c:pt>
                <c:pt idx="64">
                  <c:v>235.96201671899999</c:v>
                </c:pt>
                <c:pt idx="65">
                  <c:v>25.507154880000002</c:v>
                </c:pt>
                <c:pt idx="66">
                  <c:v>26.625513834000003</c:v>
                </c:pt>
                <c:pt idx="67">
                  <c:v>25.209386642999998</c:v>
                </c:pt>
                <c:pt idx="68">
                  <c:v>4740.1183496249996</c:v>
                </c:pt>
                <c:pt idx="69">
                  <c:v>32.620987767999999</c:v>
                </c:pt>
                <c:pt idx="70">
                  <c:v>23.651431814999999</c:v>
                </c:pt>
                <c:pt idx="71">
                  <c:v>532.55598726000005</c:v>
                </c:pt>
                <c:pt idx="72">
                  <c:v>49.520884882000004</c:v>
                </c:pt>
                <c:pt idx="73">
                  <c:v>18367.194595919998</c:v>
                </c:pt>
                <c:pt idx="74">
                  <c:v>19036.665114253999</c:v>
                </c:pt>
                <c:pt idx="75">
                  <c:v>599.04268137000008</c:v>
                </c:pt>
                <c:pt idx="76">
                  <c:v>11070.023907448</c:v>
                </c:pt>
                <c:pt idx="77">
                  <c:v>326.06362596999998</c:v>
                </c:pt>
                <c:pt idx="78">
                  <c:v>652.92272624999998</c:v>
                </c:pt>
                <c:pt idx="79">
                  <c:v>106.45392178499999</c:v>
                </c:pt>
                <c:pt idx="80">
                  <c:v>0</c:v>
                </c:pt>
                <c:pt idx="81">
                  <c:v>12.018649178</c:v>
                </c:pt>
                <c:pt idx="82">
                  <c:v>0</c:v>
                </c:pt>
                <c:pt idx="83">
                  <c:v>1842.0660433759999</c:v>
                </c:pt>
                <c:pt idx="84">
                  <c:v>15109.53076104</c:v>
                </c:pt>
                <c:pt idx="85">
                  <c:v>35382.679562384001</c:v>
                </c:pt>
                <c:pt idx="86">
                  <c:v>1.949343032</c:v>
                </c:pt>
                <c:pt idx="87">
                  <c:v>8.0010290499999996</c:v>
                </c:pt>
                <c:pt idx="88">
                  <c:v>180.9848667</c:v>
                </c:pt>
                <c:pt idx="89">
                  <c:v>21.197300374000001</c:v>
                </c:pt>
                <c:pt idx="90">
                  <c:v>22.188413568000001</c:v>
                </c:pt>
                <c:pt idx="91">
                  <c:v>629.43831046799994</c:v>
                </c:pt>
                <c:pt idx="92">
                  <c:v>7924.8080906999994</c:v>
                </c:pt>
                <c:pt idx="93">
                  <c:v>38213.280298600002</c:v>
                </c:pt>
                <c:pt idx="94">
                  <c:v>209.4857232</c:v>
                </c:pt>
                <c:pt idx="95">
                  <c:v>107.73342784399999</c:v>
                </c:pt>
                <c:pt idx="96">
                  <c:v>586.41132008399995</c:v>
                </c:pt>
                <c:pt idx="97">
                  <c:v>841.71203369400007</c:v>
                </c:pt>
                <c:pt idx="98">
                  <c:v>279863.79577721597</c:v>
                </c:pt>
                <c:pt idx="99">
                  <c:v>122990.87936305</c:v>
                </c:pt>
                <c:pt idx="100">
                  <c:v>3681.7611988949998</c:v>
                </c:pt>
                <c:pt idx="101">
                  <c:v>270.23644089800001</c:v>
                </c:pt>
                <c:pt idx="102">
                  <c:v>0</c:v>
                </c:pt>
                <c:pt idx="103">
                  <c:v>0</c:v>
                </c:pt>
                <c:pt idx="104">
                  <c:v>0</c:v>
                </c:pt>
                <c:pt idx="105">
                  <c:v>0</c:v>
                </c:pt>
                <c:pt idx="106">
                  <c:v>26.696643556000001</c:v>
                </c:pt>
                <c:pt idx="107">
                  <c:v>1871.214872883</c:v>
                </c:pt>
                <c:pt idx="108">
                  <c:v>35.493296454999999</c:v>
                </c:pt>
                <c:pt idx="109">
                  <c:v>5.462760072</c:v>
                </c:pt>
                <c:pt idx="110">
                  <c:v>322243.39116095199</c:v>
                </c:pt>
                <c:pt idx="111">
                  <c:v>244.77851091000002</c:v>
                </c:pt>
                <c:pt idx="112">
                  <c:v>436.63817519999998</c:v>
                </c:pt>
                <c:pt idx="113">
                  <c:v>154.58286382</c:v>
                </c:pt>
                <c:pt idx="114">
                  <c:v>151.26114636099999</c:v>
                </c:pt>
                <c:pt idx="115">
                  <c:v>0</c:v>
                </c:pt>
                <c:pt idx="116">
                  <c:v>726.67010343200002</c:v>
                </c:pt>
                <c:pt idx="117">
                  <c:v>9675.1869993</c:v>
                </c:pt>
                <c:pt idx="118">
                  <c:v>95.318111700000003</c:v>
                </c:pt>
                <c:pt idx="119">
                  <c:v>15.876470169999999</c:v>
                </c:pt>
                <c:pt idx="120">
                  <c:v>17.146090350000001</c:v>
                </c:pt>
                <c:pt idx="121">
                  <c:v>124.63051161600001</c:v>
                </c:pt>
                <c:pt idx="122">
                  <c:v>5.2833219119999999</c:v>
                </c:pt>
                <c:pt idx="123">
                  <c:v>68505.531974946003</c:v>
                </c:pt>
                <c:pt idx="124">
                  <c:v>61781.453167797001</c:v>
                </c:pt>
                <c:pt idx="125">
                  <c:v>12729.268948956</c:v>
                </c:pt>
                <c:pt idx="126">
                  <c:v>6805.0044278300002</c:v>
                </c:pt>
                <c:pt idx="127">
                  <c:v>5729.6181435750004</c:v>
                </c:pt>
                <c:pt idx="128">
                  <c:v>463.38657030600007</c:v>
                </c:pt>
                <c:pt idx="129">
                  <c:v>1019.945563578</c:v>
                </c:pt>
                <c:pt idx="130">
                  <c:v>1287.488929142</c:v>
                </c:pt>
                <c:pt idx="131">
                  <c:v>27132.133067369999</c:v>
                </c:pt>
                <c:pt idx="132">
                  <c:v>28189.754051214</c:v>
                </c:pt>
                <c:pt idx="133">
                  <c:v>10060.963217019</c:v>
                </c:pt>
                <c:pt idx="134">
                  <c:v>549.52925647200004</c:v>
                </c:pt>
                <c:pt idx="135">
                  <c:v>119.09748460799999</c:v>
                </c:pt>
                <c:pt idx="136">
                  <c:v>55.71010596</c:v>
                </c:pt>
                <c:pt idx="137">
                  <c:v>72.763906852000005</c:v>
                </c:pt>
                <c:pt idx="138">
                  <c:v>10436.406759728001</c:v>
                </c:pt>
                <c:pt idx="139">
                  <c:v>11014.264352892</c:v>
                </c:pt>
                <c:pt idx="140">
                  <c:v>5506.4922202240004</c:v>
                </c:pt>
                <c:pt idx="141">
                  <c:v>3746.4770869719996</c:v>
                </c:pt>
                <c:pt idx="142">
                  <c:v>9980.6496164790005</c:v>
                </c:pt>
                <c:pt idx="143">
                  <c:v>10616.752418399999</c:v>
                </c:pt>
                <c:pt idx="144">
                  <c:v>9883.4365281179998</c:v>
                </c:pt>
                <c:pt idx="145">
                  <c:v>9896.2834455720003</c:v>
                </c:pt>
                <c:pt idx="146">
                  <c:v>10529.856053703001</c:v>
                </c:pt>
                <c:pt idx="147">
                  <c:v>4815.095484771</c:v>
                </c:pt>
                <c:pt idx="148">
                  <c:v>2633.4013222860003</c:v>
                </c:pt>
                <c:pt idx="149">
                  <c:v>4455.3852346450003</c:v>
                </c:pt>
                <c:pt idx="150">
                  <c:v>3896.7653261789997</c:v>
                </c:pt>
                <c:pt idx="151">
                  <c:v>25634.900962522999</c:v>
                </c:pt>
                <c:pt idx="152">
                  <c:v>15490.978162128</c:v>
                </c:pt>
                <c:pt idx="153">
                  <c:v>8571.559579398001</c:v>
                </c:pt>
                <c:pt idx="154">
                  <c:v>4239.2170860599999</c:v>
                </c:pt>
                <c:pt idx="155">
                  <c:v>2966.36429782</c:v>
                </c:pt>
                <c:pt idx="156">
                  <c:v>8777.2355598880004</c:v>
                </c:pt>
                <c:pt idx="157">
                  <c:v>9141.6510109160008</c:v>
                </c:pt>
                <c:pt idx="158">
                  <c:v>8334.3293053199995</c:v>
                </c:pt>
                <c:pt idx="159">
                  <c:v>8571.963361559001</c:v>
                </c:pt>
                <c:pt idx="160">
                  <c:v>8184.1585107719993</c:v>
                </c:pt>
                <c:pt idx="161">
                  <c:v>3297.000361118</c:v>
                </c:pt>
                <c:pt idx="162">
                  <c:v>2334.0701879100002</c:v>
                </c:pt>
                <c:pt idx="163">
                  <c:v>19823.872438155002</c:v>
                </c:pt>
                <c:pt idx="164">
                  <c:v>16106.336281477999</c:v>
                </c:pt>
                <c:pt idx="165">
                  <c:v>8361.1312809400006</c:v>
                </c:pt>
                <c:pt idx="166">
                  <c:v>56533.306046345999</c:v>
                </c:pt>
                <c:pt idx="167">
                  <c:v>21069.481446252001</c:v>
                </c:pt>
                <c:pt idx="168">
                  <c:v>16330.97134396</c:v>
                </c:pt>
                <c:pt idx="169">
                  <c:v>2553.12761886</c:v>
                </c:pt>
                <c:pt idx="170">
                  <c:v>13631.347930972001</c:v>
                </c:pt>
                <c:pt idx="171">
                  <c:v>9232.8053713499994</c:v>
                </c:pt>
                <c:pt idx="172">
                  <c:v>9151.9108310629999</c:v>
                </c:pt>
                <c:pt idx="173">
                  <c:v>13265.766766148001</c:v>
                </c:pt>
                <c:pt idx="174">
                  <c:v>11218.713486662</c:v>
                </c:pt>
                <c:pt idx="175">
                  <c:v>4355.19576684</c:v>
                </c:pt>
                <c:pt idx="176">
                  <c:v>3257.9023471340001</c:v>
                </c:pt>
                <c:pt idx="177">
                  <c:v>11597.870871562</c:v>
                </c:pt>
                <c:pt idx="178">
                  <c:v>58064.389073872997</c:v>
                </c:pt>
                <c:pt idx="179">
                  <c:v>54460.708299892998</c:v>
                </c:pt>
                <c:pt idx="180">
                  <c:v>8963.0075653170006</c:v>
                </c:pt>
                <c:pt idx="181">
                  <c:v>8082.3272465000009</c:v>
                </c:pt>
                <c:pt idx="182">
                  <c:v>67279.215412292004</c:v>
                </c:pt>
                <c:pt idx="183">
                  <c:v>3760.713448079</c:v>
                </c:pt>
                <c:pt idx="184">
                  <c:v>3869.3277328279996</c:v>
                </c:pt>
                <c:pt idx="185">
                  <c:v>6260.6463553200001</c:v>
                </c:pt>
                <c:pt idx="186">
                  <c:v>5449.194983886</c:v>
                </c:pt>
                <c:pt idx="187">
                  <c:v>2441.1388539089999</c:v>
                </c:pt>
                <c:pt idx="188">
                  <c:v>966.27565618100004</c:v>
                </c:pt>
                <c:pt idx="189">
                  <c:v>4784.6879744299995</c:v>
                </c:pt>
                <c:pt idx="190">
                  <c:v>16235.789753590001</c:v>
                </c:pt>
                <c:pt idx="191">
                  <c:v>4830.0704918600004</c:v>
                </c:pt>
                <c:pt idx="192">
                  <c:v>5578.2118615700001</c:v>
                </c:pt>
                <c:pt idx="193">
                  <c:v>5404.2279167690003</c:v>
                </c:pt>
                <c:pt idx="194">
                  <c:v>2073.954285114</c:v>
                </c:pt>
                <c:pt idx="195">
                  <c:v>1169.43862266</c:v>
                </c:pt>
                <c:pt idx="196">
                  <c:v>8119.5815769620003</c:v>
                </c:pt>
                <c:pt idx="197">
                  <c:v>4585.5291628799996</c:v>
                </c:pt>
                <c:pt idx="198">
                  <c:v>5428.3382529090004</c:v>
                </c:pt>
                <c:pt idx="199">
                  <c:v>0</c:v>
                </c:pt>
                <c:pt idx="200">
                  <c:v>4899.4713974659999</c:v>
                </c:pt>
                <c:pt idx="201">
                  <c:v>2022.9528966600001</c:v>
                </c:pt>
                <c:pt idx="202">
                  <c:v>1079.1977045000001</c:v>
                </c:pt>
                <c:pt idx="203">
                  <c:v>5328.4393713599993</c:v>
                </c:pt>
                <c:pt idx="204">
                  <c:v>26801.994196373002</c:v>
                </c:pt>
                <c:pt idx="205">
                  <c:v>5393.4210999410006</c:v>
                </c:pt>
                <c:pt idx="206">
                  <c:v>8223.0036909200007</c:v>
                </c:pt>
                <c:pt idx="207">
                  <c:v>4674.8250072800001</c:v>
                </c:pt>
                <c:pt idx="208">
                  <c:v>2932.9148439359997</c:v>
                </c:pt>
                <c:pt idx="209">
                  <c:v>1153.8143094520001</c:v>
                </c:pt>
                <c:pt idx="210">
                  <c:v>4803.8487557439994</c:v>
                </c:pt>
                <c:pt idx="211">
                  <c:v>4786.0166851859994</c:v>
                </c:pt>
                <c:pt idx="212">
                  <c:v>2399.397028894</c:v>
                </c:pt>
                <c:pt idx="213">
                  <c:v>3610.7121420279996</c:v>
                </c:pt>
                <c:pt idx="214">
                  <c:v>3839.3148516380002</c:v>
                </c:pt>
                <c:pt idx="215">
                  <c:v>57554.701973676994</c:v>
                </c:pt>
                <c:pt idx="216">
                  <c:v>5500.1476982070008</c:v>
                </c:pt>
                <c:pt idx="217">
                  <c:v>2456.6687056799997</c:v>
                </c:pt>
                <c:pt idx="218">
                  <c:v>943.02030200000002</c:v>
                </c:pt>
                <c:pt idx="219">
                  <c:v>4835.4537053860004</c:v>
                </c:pt>
                <c:pt idx="220">
                  <c:v>5071.6953942549999</c:v>
                </c:pt>
                <c:pt idx="221">
                  <c:v>4789.1929886179996</c:v>
                </c:pt>
                <c:pt idx="222">
                  <c:v>5666.05621926</c:v>
                </c:pt>
                <c:pt idx="223">
                  <c:v>5391.4202199220008</c:v>
                </c:pt>
                <c:pt idx="224">
                  <c:v>1963.044497376</c:v>
                </c:pt>
                <c:pt idx="225">
                  <c:v>1142.3669792000001</c:v>
                </c:pt>
                <c:pt idx="226">
                  <c:v>5201.4095090999999</c:v>
                </c:pt>
                <c:pt idx="227">
                  <c:v>4925.4254381609999</c:v>
                </c:pt>
                <c:pt idx="228">
                  <c:v>5383.7975878200004</c:v>
                </c:pt>
                <c:pt idx="229">
                  <c:v>12987.477062</c:v>
                </c:pt>
                <c:pt idx="230">
                  <c:v>4870.300575411</c:v>
                </c:pt>
                <c:pt idx="231">
                  <c:v>1969.9402581720001</c:v>
                </c:pt>
                <c:pt idx="232">
                  <c:v>1044.1844737599999</c:v>
                </c:pt>
                <c:pt idx="233">
                  <c:v>13127.321902349999</c:v>
                </c:pt>
                <c:pt idx="234">
                  <c:v>4748.4858696000001</c:v>
                </c:pt>
                <c:pt idx="235">
                  <c:v>5351.1857014139996</c:v>
                </c:pt>
                <c:pt idx="236">
                  <c:v>5482.5455627360006</c:v>
                </c:pt>
                <c:pt idx="237">
                  <c:v>4649.3984795120004</c:v>
                </c:pt>
                <c:pt idx="238">
                  <c:v>2804.4988647749997</c:v>
                </c:pt>
                <c:pt idx="239">
                  <c:v>1065.0724067200001</c:v>
                </c:pt>
                <c:pt idx="240">
                  <c:v>130051.578273627</c:v>
                </c:pt>
                <c:pt idx="241">
                  <c:v>4662.2591924999997</c:v>
                </c:pt>
                <c:pt idx="242">
                  <c:v>5670.8455690000001</c:v>
                </c:pt>
                <c:pt idx="243">
                  <c:v>2897.6218637299999</c:v>
                </c:pt>
                <c:pt idx="244">
                  <c:v>2802.1189948619999</c:v>
                </c:pt>
                <c:pt idx="245">
                  <c:v>53874.598180157998</c:v>
                </c:pt>
                <c:pt idx="246">
                  <c:v>20097.108563639998</c:v>
                </c:pt>
                <c:pt idx="247">
                  <c:v>2915.0729245040002</c:v>
                </c:pt>
                <c:pt idx="248">
                  <c:v>20611.502195452002</c:v>
                </c:pt>
                <c:pt idx="249">
                  <c:v>4221.6929757799999</c:v>
                </c:pt>
                <c:pt idx="250">
                  <c:v>3222.6859559400004</c:v>
                </c:pt>
                <c:pt idx="251">
                  <c:v>3219.0050582590002</c:v>
                </c:pt>
                <c:pt idx="252">
                  <c:v>1839.8394831400001</c:v>
                </c:pt>
                <c:pt idx="253">
                  <c:v>992.69829721600001</c:v>
                </c:pt>
                <c:pt idx="254">
                  <c:v>2495.9162702810004</c:v>
                </c:pt>
                <c:pt idx="255">
                  <c:v>2852.8543587499998</c:v>
                </c:pt>
                <c:pt idx="256">
                  <c:v>2770.6684058279998</c:v>
                </c:pt>
                <c:pt idx="257">
                  <c:v>1505.7102666339999</c:v>
                </c:pt>
                <c:pt idx="258">
                  <c:v>1396.251001395</c:v>
                </c:pt>
                <c:pt idx="259">
                  <c:v>1889.9539623600001</c:v>
                </c:pt>
                <c:pt idx="260">
                  <c:v>1263.0500837679999</c:v>
                </c:pt>
                <c:pt idx="261">
                  <c:v>2616.145636452</c:v>
                </c:pt>
                <c:pt idx="262">
                  <c:v>2748.010312458</c:v>
                </c:pt>
                <c:pt idx="263">
                  <c:v>3293.7503780749998</c:v>
                </c:pt>
                <c:pt idx="264">
                  <c:v>4497.99797803</c:v>
                </c:pt>
                <c:pt idx="265">
                  <c:v>3552.178325031</c:v>
                </c:pt>
                <c:pt idx="266">
                  <c:v>2248.1184292920002</c:v>
                </c:pt>
                <c:pt idx="267">
                  <c:v>1084.02007411</c:v>
                </c:pt>
                <c:pt idx="268">
                  <c:v>2625.209446332</c:v>
                </c:pt>
                <c:pt idx="269">
                  <c:v>3212.28519534</c:v>
                </c:pt>
                <c:pt idx="270">
                  <c:v>4009.0162534110004</c:v>
                </c:pt>
                <c:pt idx="271">
                  <c:v>4162.6127431320001</c:v>
                </c:pt>
                <c:pt idx="272">
                  <c:v>3216.7491850899996</c:v>
                </c:pt>
                <c:pt idx="273">
                  <c:v>20864.830412448002</c:v>
                </c:pt>
                <c:pt idx="274">
                  <c:v>23.304755834999998</c:v>
                </c:pt>
                <c:pt idx="275">
                  <c:v>1241.08848483</c:v>
                </c:pt>
                <c:pt idx="276">
                  <c:v>1740.1697336319999</c:v>
                </c:pt>
                <c:pt idx="277">
                  <c:v>3899.4012276440003</c:v>
                </c:pt>
                <c:pt idx="278">
                  <c:v>2332.7752493759999</c:v>
                </c:pt>
                <c:pt idx="279">
                  <c:v>2378.1878864820001</c:v>
                </c:pt>
                <c:pt idx="280">
                  <c:v>932.36875196000005</c:v>
                </c:pt>
                <c:pt idx="281">
                  <c:v>310.84285432799999</c:v>
                </c:pt>
                <c:pt idx="282">
                  <c:v>1256.656126936</c:v>
                </c:pt>
                <c:pt idx="283">
                  <c:v>1528.3469016000001</c:v>
                </c:pt>
                <c:pt idx="284">
                  <c:v>2329.1805964999999</c:v>
                </c:pt>
                <c:pt idx="285">
                  <c:v>2080.63658682</c:v>
                </c:pt>
                <c:pt idx="286">
                  <c:v>1712.694464684</c:v>
                </c:pt>
                <c:pt idx="287">
                  <c:v>1603.853859135</c:v>
                </c:pt>
                <c:pt idx="288">
                  <c:v>340.75280137499999</c:v>
                </c:pt>
                <c:pt idx="289">
                  <c:v>1873.7831466</c:v>
                </c:pt>
                <c:pt idx="290">
                  <c:v>2181.1840965179999</c:v>
                </c:pt>
                <c:pt idx="291">
                  <c:v>1534.5078817379999</c:v>
                </c:pt>
                <c:pt idx="292">
                  <c:v>1619.099330215</c:v>
                </c:pt>
                <c:pt idx="293">
                  <c:v>1434.7806152639998</c:v>
                </c:pt>
                <c:pt idx="294">
                  <c:v>1222.5718922250001</c:v>
                </c:pt>
                <c:pt idx="295">
                  <c:v>589.274483648</c:v>
                </c:pt>
                <c:pt idx="296">
                  <c:v>797.01162305499997</c:v>
                </c:pt>
                <c:pt idx="297">
                  <c:v>8168.3037569499993</c:v>
                </c:pt>
                <c:pt idx="298">
                  <c:v>1216.4506329149999</c:v>
                </c:pt>
                <c:pt idx="299">
                  <c:v>2175.61826797</c:v>
                </c:pt>
                <c:pt idx="300">
                  <c:v>5219.1207437579997</c:v>
                </c:pt>
                <c:pt idx="301">
                  <c:v>1587.6642347049999</c:v>
                </c:pt>
                <c:pt idx="302">
                  <c:v>309.86604396000001</c:v>
                </c:pt>
                <c:pt idx="303">
                  <c:v>1343.31777152</c:v>
                </c:pt>
                <c:pt idx="304">
                  <c:v>42827.575307010004</c:v>
                </c:pt>
                <c:pt idx="305">
                  <c:v>48537.178683680002</c:v>
                </c:pt>
                <c:pt idx="306">
                  <c:v>302.678820675</c:v>
                </c:pt>
                <c:pt idx="307">
                  <c:v>3852.2371977840003</c:v>
                </c:pt>
                <c:pt idx="308">
                  <c:v>1068.4794822680001</c:v>
                </c:pt>
                <c:pt idx="309">
                  <c:v>1488.1246659359999</c:v>
                </c:pt>
                <c:pt idx="310">
                  <c:v>781.50644568300004</c:v>
                </c:pt>
                <c:pt idx="311">
                  <c:v>1856.9335382039999</c:v>
                </c:pt>
                <c:pt idx="312">
                  <c:v>1293.4129149359999</c:v>
                </c:pt>
                <c:pt idx="313">
                  <c:v>906.82435120800005</c:v>
                </c:pt>
                <c:pt idx="314">
                  <c:v>780.56820412100001</c:v>
                </c:pt>
                <c:pt idx="315">
                  <c:v>1066.734496629</c:v>
                </c:pt>
                <c:pt idx="316">
                  <c:v>527.752619568</c:v>
                </c:pt>
                <c:pt idx="317">
                  <c:v>0</c:v>
                </c:pt>
                <c:pt idx="318">
                  <c:v>911.2718137600001</c:v>
                </c:pt>
                <c:pt idx="319">
                  <c:v>0</c:v>
                </c:pt>
                <c:pt idx="320">
                  <c:v>473.45426894999997</c:v>
                </c:pt>
                <c:pt idx="321">
                  <c:v>57.220830968000001</c:v>
                </c:pt>
                <c:pt idx="322">
                  <c:v>20.33114694</c:v>
                </c:pt>
                <c:pt idx="323">
                  <c:v>366.54051601200001</c:v>
                </c:pt>
                <c:pt idx="324">
                  <c:v>5.3537691540000001</c:v>
                </c:pt>
                <c:pt idx="325">
                  <c:v>0</c:v>
                </c:pt>
                <c:pt idx="326">
                  <c:v>43.486723380000001</c:v>
                </c:pt>
                <c:pt idx="327">
                  <c:v>1395.919396515</c:v>
                </c:pt>
                <c:pt idx="328">
                  <c:v>104.860628832</c:v>
                </c:pt>
                <c:pt idx="329">
                  <c:v>274.24224864199999</c:v>
                </c:pt>
                <c:pt idx="330">
                  <c:v>981.10810941</c:v>
                </c:pt>
                <c:pt idx="331">
                  <c:v>1188.002365092</c:v>
                </c:pt>
                <c:pt idx="332">
                  <c:v>1471.2876786799998</c:v>
                </c:pt>
                <c:pt idx="333">
                  <c:v>1300.9969019600001</c:v>
                </c:pt>
                <c:pt idx="334">
                  <c:v>1503.693520626</c:v>
                </c:pt>
                <c:pt idx="335">
                  <c:v>1058.3927082349999</c:v>
                </c:pt>
                <c:pt idx="336">
                  <c:v>301.86950091200003</c:v>
                </c:pt>
                <c:pt idx="337">
                  <c:v>2087.045364179</c:v>
                </c:pt>
                <c:pt idx="338">
                  <c:v>17450.434938266</c:v>
                </c:pt>
                <c:pt idx="339">
                  <c:v>23612.054207642999</c:v>
                </c:pt>
                <c:pt idx="340">
                  <c:v>1489.9155013039999</c:v>
                </c:pt>
                <c:pt idx="341">
                  <c:v>1789.3043305840001</c:v>
                </c:pt>
                <c:pt idx="342">
                  <c:v>2128.7052951760002</c:v>
                </c:pt>
                <c:pt idx="343">
                  <c:v>2446.8276284859999</c:v>
                </c:pt>
                <c:pt idx="344">
                  <c:v>2331.9311827940001</c:v>
                </c:pt>
                <c:pt idx="345">
                  <c:v>2932.1745309559997</c:v>
                </c:pt>
                <c:pt idx="346">
                  <c:v>3326.4094118439998</c:v>
                </c:pt>
                <c:pt idx="347">
                  <c:v>13254.276339419999</c:v>
                </c:pt>
                <c:pt idx="348">
                  <c:v>17257.987682409999</c:v>
                </c:pt>
                <c:pt idx="349">
                  <c:v>26306.696754401</c:v>
                </c:pt>
                <c:pt idx="350">
                  <c:v>1623.83809077</c:v>
                </c:pt>
                <c:pt idx="351">
                  <c:v>1509.3646841559998</c:v>
                </c:pt>
                <c:pt idx="352">
                  <c:v>4018.2804286170003</c:v>
                </c:pt>
                <c:pt idx="353">
                  <c:v>12027.052754079999</c:v>
                </c:pt>
                <c:pt idx="354">
                  <c:v>4005.4298394850002</c:v>
                </c:pt>
                <c:pt idx="355">
                  <c:v>25546.998659798002</c:v>
                </c:pt>
                <c:pt idx="356">
                  <c:v>41341.784005230998</c:v>
                </c:pt>
                <c:pt idx="357">
                  <c:v>2446.7280002850002</c:v>
                </c:pt>
                <c:pt idx="358">
                  <c:v>1418.1966025499999</c:v>
                </c:pt>
                <c:pt idx="359">
                  <c:v>3049.4426831179999</c:v>
                </c:pt>
                <c:pt idx="360">
                  <c:v>5057.0522358460003</c:v>
                </c:pt>
                <c:pt idx="361">
                  <c:v>5024.854691304</c:v>
                </c:pt>
                <c:pt idx="362">
                  <c:v>4320.2246211390002</c:v>
                </c:pt>
                <c:pt idx="363">
                  <c:v>4152.1408357219998</c:v>
                </c:pt>
                <c:pt idx="364">
                  <c:v>1544.1586328999999</c:v>
                </c:pt>
              </c:numCache>
            </c:numRef>
          </c:val>
          <c:smooth val="0"/>
          <c:extLst>
            <c:ext xmlns:c16="http://schemas.microsoft.com/office/drawing/2014/chart" uri="{C3380CC4-5D6E-409C-BE32-E72D297353CC}">
              <c16:uniqueId val="{00000000-0611-45C4-B9D2-F6C9ABD7A3D3}"/>
            </c:ext>
          </c:extLst>
        </c:ser>
        <c:dLbls>
          <c:showLegendKey val="0"/>
          <c:showVal val="0"/>
          <c:showCatName val="0"/>
          <c:showSerName val="0"/>
          <c:showPercent val="0"/>
          <c:showBubbleSize val="0"/>
        </c:dLbls>
        <c:smooth val="0"/>
        <c:axId val="220943128"/>
        <c:axId val="220943520"/>
      </c:lineChart>
      <c:dateAx>
        <c:axId val="220943128"/>
        <c:scaling>
          <c:orientation val="minMax"/>
          <c:max val="43008"/>
        </c:scaling>
        <c:delete val="0"/>
        <c:axPos val="b"/>
        <c:numFmt formatCode="[$]m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20943520"/>
        <c:crosses val="autoZero"/>
        <c:auto val="1"/>
        <c:lblOffset val="100"/>
        <c:baseTimeUnit val="days"/>
      </c:dateAx>
      <c:valAx>
        <c:axId val="220943520"/>
        <c:scaling>
          <c:orientation val="minMax"/>
          <c:max val="400000"/>
        </c:scaling>
        <c:delete val="0"/>
        <c:axPos val="l"/>
        <c:majorGridlines>
          <c:spPr>
            <a:ln w="9525" cap="flat" cmpd="sng" algn="ctr">
              <a:solidFill>
                <a:schemeClr val="tx1">
                  <a:lumMod val="15000"/>
                  <a:lumOff val="85000"/>
                </a:schemeClr>
              </a:solidFill>
              <a:prstDash val="sysDash"/>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layout>
            <c:manualLayout>
              <c:xMode val="edge"/>
              <c:yMode val="edge"/>
              <c:x val="5.4375415785626394E-2"/>
              <c:y val="5.745771361913095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20943128"/>
        <c:crosses val="autoZero"/>
        <c:crossBetween val="between"/>
        <c:majorUnit val="10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a:t>Opening Linepack [OLP]</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13084123561477892"/>
          <c:y val="0.12071698494667134"/>
          <c:w val="0.93112245451370279"/>
          <c:h val="0.70731975902629773"/>
        </c:manualLayout>
      </c:layout>
      <c:barChart>
        <c:barDir val="col"/>
        <c:grouping val="clustered"/>
        <c:varyColors val="0"/>
        <c:ser>
          <c:idx val="2"/>
          <c:order val="2"/>
          <c:tx>
            <c:strRef>
              <c:f>parágrafo_3.7!$F$1</c:f>
              <c:strCache>
                <c:ptCount val="1"/>
                <c:pt idx="0">
                  <c:v>Daily variation</c:v>
                </c:pt>
              </c:strCache>
            </c:strRef>
          </c:tx>
          <c:spPr>
            <a:solidFill>
              <a:srgbClr val="92D050"/>
            </a:solidFill>
            <a:ln>
              <a:noFill/>
            </a:ln>
            <a:effectLst/>
          </c:spPr>
          <c:invertIfNegative val="0"/>
          <c:val>
            <c:numRef>
              <c:f>parágrafo_3.7!$F$4:$F$368</c:f>
              <c:numCache>
                <c:formatCode>#,##0</c:formatCode>
                <c:ptCount val="365"/>
                <c:pt idx="0">
                  <c:v>19992395</c:v>
                </c:pt>
                <c:pt idx="1">
                  <c:v>6327905</c:v>
                </c:pt>
                <c:pt idx="2">
                  <c:v>7153310</c:v>
                </c:pt>
                <c:pt idx="3">
                  <c:v>-10957457</c:v>
                </c:pt>
                <c:pt idx="4">
                  <c:v>10524267</c:v>
                </c:pt>
                <c:pt idx="5">
                  <c:v>-6076980</c:v>
                </c:pt>
                <c:pt idx="6">
                  <c:v>-11038422</c:v>
                </c:pt>
                <c:pt idx="7">
                  <c:v>-1312300</c:v>
                </c:pt>
                <c:pt idx="8">
                  <c:v>45945162</c:v>
                </c:pt>
                <c:pt idx="9">
                  <c:v>-26706488</c:v>
                </c:pt>
                <c:pt idx="10">
                  <c:v>-1518245</c:v>
                </c:pt>
                <c:pt idx="11">
                  <c:v>25457118</c:v>
                </c:pt>
                <c:pt idx="12">
                  <c:v>-15410020</c:v>
                </c:pt>
                <c:pt idx="13">
                  <c:v>-26990055</c:v>
                </c:pt>
                <c:pt idx="14">
                  <c:v>22342535</c:v>
                </c:pt>
                <c:pt idx="15">
                  <c:v>19946083</c:v>
                </c:pt>
                <c:pt idx="16">
                  <c:v>-15549966</c:v>
                </c:pt>
                <c:pt idx="17">
                  <c:v>-38319755</c:v>
                </c:pt>
                <c:pt idx="18">
                  <c:v>53300828</c:v>
                </c:pt>
                <c:pt idx="19">
                  <c:v>-21459689</c:v>
                </c:pt>
                <c:pt idx="20">
                  <c:v>-10649166</c:v>
                </c:pt>
                <c:pt idx="21">
                  <c:v>9884884</c:v>
                </c:pt>
                <c:pt idx="22">
                  <c:v>29017015</c:v>
                </c:pt>
                <c:pt idx="23">
                  <c:v>-33237432</c:v>
                </c:pt>
                <c:pt idx="24">
                  <c:v>3253622</c:v>
                </c:pt>
                <c:pt idx="25">
                  <c:v>4161797</c:v>
                </c:pt>
                <c:pt idx="26">
                  <c:v>33244383</c:v>
                </c:pt>
                <c:pt idx="27">
                  <c:v>-31983790</c:v>
                </c:pt>
                <c:pt idx="28">
                  <c:v>3303664</c:v>
                </c:pt>
                <c:pt idx="29">
                  <c:v>17572480</c:v>
                </c:pt>
                <c:pt idx="30">
                  <c:v>-11257945</c:v>
                </c:pt>
                <c:pt idx="31">
                  <c:v>8994421</c:v>
                </c:pt>
                <c:pt idx="32">
                  <c:v>-37487407</c:v>
                </c:pt>
                <c:pt idx="33">
                  <c:v>3310098</c:v>
                </c:pt>
                <c:pt idx="34">
                  <c:v>-2690849</c:v>
                </c:pt>
                <c:pt idx="35">
                  <c:v>20466648</c:v>
                </c:pt>
                <c:pt idx="36">
                  <c:v>9501805</c:v>
                </c:pt>
                <c:pt idx="37">
                  <c:v>-13009141</c:v>
                </c:pt>
                <c:pt idx="38">
                  <c:v>-1633062</c:v>
                </c:pt>
                <c:pt idx="39">
                  <c:v>8112335</c:v>
                </c:pt>
                <c:pt idx="40">
                  <c:v>-37303430</c:v>
                </c:pt>
                <c:pt idx="41">
                  <c:v>7375928</c:v>
                </c:pt>
                <c:pt idx="42">
                  <c:v>7920156</c:v>
                </c:pt>
                <c:pt idx="43">
                  <c:v>34850538</c:v>
                </c:pt>
                <c:pt idx="44">
                  <c:v>-7820859</c:v>
                </c:pt>
                <c:pt idx="45">
                  <c:v>-13827427</c:v>
                </c:pt>
                <c:pt idx="46">
                  <c:v>-3272392</c:v>
                </c:pt>
                <c:pt idx="47">
                  <c:v>8428366</c:v>
                </c:pt>
                <c:pt idx="48">
                  <c:v>-18000123</c:v>
                </c:pt>
                <c:pt idx="49">
                  <c:v>12458606</c:v>
                </c:pt>
                <c:pt idx="50">
                  <c:v>36599934</c:v>
                </c:pt>
                <c:pt idx="51">
                  <c:v>-31293018</c:v>
                </c:pt>
                <c:pt idx="52">
                  <c:v>-8347907</c:v>
                </c:pt>
                <c:pt idx="53">
                  <c:v>-6923432</c:v>
                </c:pt>
                <c:pt idx="54">
                  <c:v>-2436049</c:v>
                </c:pt>
                <c:pt idx="55">
                  <c:v>6511856</c:v>
                </c:pt>
                <c:pt idx="56">
                  <c:v>-8753504</c:v>
                </c:pt>
                <c:pt idx="57">
                  <c:v>50283230</c:v>
                </c:pt>
                <c:pt idx="58">
                  <c:v>-45608428</c:v>
                </c:pt>
                <c:pt idx="59">
                  <c:v>22119428</c:v>
                </c:pt>
                <c:pt idx="60">
                  <c:v>-16203914</c:v>
                </c:pt>
                <c:pt idx="61">
                  <c:v>-2533327</c:v>
                </c:pt>
                <c:pt idx="62">
                  <c:v>-2820404</c:v>
                </c:pt>
                <c:pt idx="63">
                  <c:v>22260566</c:v>
                </c:pt>
                <c:pt idx="64">
                  <c:v>30377064</c:v>
                </c:pt>
                <c:pt idx="65">
                  <c:v>-33835605</c:v>
                </c:pt>
                <c:pt idx="66">
                  <c:v>-8810399</c:v>
                </c:pt>
                <c:pt idx="67">
                  <c:v>17357074</c:v>
                </c:pt>
                <c:pt idx="68">
                  <c:v>25069160</c:v>
                </c:pt>
                <c:pt idx="69">
                  <c:v>-25796474</c:v>
                </c:pt>
                <c:pt idx="70">
                  <c:v>-13805873</c:v>
                </c:pt>
                <c:pt idx="71">
                  <c:v>-1275675</c:v>
                </c:pt>
                <c:pt idx="72">
                  <c:v>-3821698</c:v>
                </c:pt>
                <c:pt idx="73">
                  <c:v>7299021</c:v>
                </c:pt>
                <c:pt idx="74">
                  <c:v>623660</c:v>
                </c:pt>
                <c:pt idx="75">
                  <c:v>-10414587</c:v>
                </c:pt>
                <c:pt idx="76">
                  <c:v>-11327922</c:v>
                </c:pt>
                <c:pt idx="77">
                  <c:v>21133784</c:v>
                </c:pt>
                <c:pt idx="78">
                  <c:v>13763552</c:v>
                </c:pt>
                <c:pt idx="79">
                  <c:v>-18637147</c:v>
                </c:pt>
                <c:pt idx="80">
                  <c:v>-627346</c:v>
                </c:pt>
                <c:pt idx="81">
                  <c:v>13119712</c:v>
                </c:pt>
                <c:pt idx="82">
                  <c:v>-1561720</c:v>
                </c:pt>
                <c:pt idx="83">
                  <c:v>-6333715</c:v>
                </c:pt>
                <c:pt idx="84">
                  <c:v>5539785</c:v>
                </c:pt>
                <c:pt idx="85">
                  <c:v>31171689</c:v>
                </c:pt>
                <c:pt idx="86">
                  <c:v>-8409300</c:v>
                </c:pt>
                <c:pt idx="87">
                  <c:v>-19054361</c:v>
                </c:pt>
                <c:pt idx="88">
                  <c:v>-3537958</c:v>
                </c:pt>
                <c:pt idx="89">
                  <c:v>-4227248</c:v>
                </c:pt>
                <c:pt idx="90">
                  <c:v>1009757</c:v>
                </c:pt>
                <c:pt idx="91">
                  <c:v>-14442687</c:v>
                </c:pt>
                <c:pt idx="92">
                  <c:v>8610819</c:v>
                </c:pt>
                <c:pt idx="93">
                  <c:v>-1206784</c:v>
                </c:pt>
                <c:pt idx="94">
                  <c:v>22101374</c:v>
                </c:pt>
                <c:pt idx="95">
                  <c:v>-8239791</c:v>
                </c:pt>
                <c:pt idx="96">
                  <c:v>9510373</c:v>
                </c:pt>
                <c:pt idx="97">
                  <c:v>-2769931</c:v>
                </c:pt>
                <c:pt idx="98">
                  <c:v>-22914529</c:v>
                </c:pt>
                <c:pt idx="99">
                  <c:v>-3143447</c:v>
                </c:pt>
                <c:pt idx="100">
                  <c:v>13167736</c:v>
                </c:pt>
                <c:pt idx="101">
                  <c:v>20192950</c:v>
                </c:pt>
                <c:pt idx="102">
                  <c:v>-11854692</c:v>
                </c:pt>
                <c:pt idx="103">
                  <c:v>3493691</c:v>
                </c:pt>
                <c:pt idx="104">
                  <c:v>-13523600</c:v>
                </c:pt>
                <c:pt idx="105">
                  <c:v>21699834</c:v>
                </c:pt>
                <c:pt idx="106">
                  <c:v>2665107</c:v>
                </c:pt>
                <c:pt idx="107">
                  <c:v>-14225794</c:v>
                </c:pt>
                <c:pt idx="108">
                  <c:v>-2856363</c:v>
                </c:pt>
                <c:pt idx="109">
                  <c:v>9582212</c:v>
                </c:pt>
                <c:pt idx="110">
                  <c:v>-2026870</c:v>
                </c:pt>
                <c:pt idx="111">
                  <c:v>-9844377</c:v>
                </c:pt>
                <c:pt idx="112">
                  <c:v>-5937387</c:v>
                </c:pt>
                <c:pt idx="113">
                  <c:v>17395348</c:v>
                </c:pt>
                <c:pt idx="114">
                  <c:v>-17284148</c:v>
                </c:pt>
                <c:pt idx="115">
                  <c:v>13754948</c:v>
                </c:pt>
                <c:pt idx="116">
                  <c:v>-1462042</c:v>
                </c:pt>
                <c:pt idx="117">
                  <c:v>-1792406</c:v>
                </c:pt>
                <c:pt idx="118">
                  <c:v>-32706765</c:v>
                </c:pt>
                <c:pt idx="119">
                  <c:v>-1180802</c:v>
                </c:pt>
                <c:pt idx="120">
                  <c:v>42148096</c:v>
                </c:pt>
                <c:pt idx="121">
                  <c:v>-3109125</c:v>
                </c:pt>
                <c:pt idx="122">
                  <c:v>-11613213</c:v>
                </c:pt>
                <c:pt idx="123">
                  <c:v>3568064</c:v>
                </c:pt>
                <c:pt idx="124">
                  <c:v>556699</c:v>
                </c:pt>
                <c:pt idx="125">
                  <c:v>-15721971</c:v>
                </c:pt>
                <c:pt idx="126">
                  <c:v>9341910</c:v>
                </c:pt>
                <c:pt idx="127">
                  <c:v>-3896163</c:v>
                </c:pt>
                <c:pt idx="128">
                  <c:v>19936265</c:v>
                </c:pt>
                <c:pt idx="129">
                  <c:v>18532153</c:v>
                </c:pt>
                <c:pt idx="130">
                  <c:v>-13489136</c:v>
                </c:pt>
                <c:pt idx="131">
                  <c:v>-11536896</c:v>
                </c:pt>
                <c:pt idx="132">
                  <c:v>-9173978</c:v>
                </c:pt>
                <c:pt idx="133">
                  <c:v>1586494</c:v>
                </c:pt>
                <c:pt idx="134">
                  <c:v>18960842</c:v>
                </c:pt>
                <c:pt idx="135">
                  <c:v>1055339</c:v>
                </c:pt>
                <c:pt idx="136">
                  <c:v>-29424384</c:v>
                </c:pt>
                <c:pt idx="137">
                  <c:v>-694654</c:v>
                </c:pt>
                <c:pt idx="138">
                  <c:v>28628007</c:v>
                </c:pt>
                <c:pt idx="139">
                  <c:v>-22448668</c:v>
                </c:pt>
                <c:pt idx="140">
                  <c:v>-1861725</c:v>
                </c:pt>
                <c:pt idx="141">
                  <c:v>-2545025</c:v>
                </c:pt>
                <c:pt idx="142">
                  <c:v>23166691</c:v>
                </c:pt>
                <c:pt idx="143">
                  <c:v>-16986033</c:v>
                </c:pt>
                <c:pt idx="144">
                  <c:v>17878198</c:v>
                </c:pt>
                <c:pt idx="145">
                  <c:v>-3464856</c:v>
                </c:pt>
                <c:pt idx="146">
                  <c:v>-9655119</c:v>
                </c:pt>
                <c:pt idx="147">
                  <c:v>-2976885</c:v>
                </c:pt>
                <c:pt idx="148">
                  <c:v>14602738</c:v>
                </c:pt>
                <c:pt idx="149">
                  <c:v>-19660155</c:v>
                </c:pt>
                <c:pt idx="150">
                  <c:v>-10309453</c:v>
                </c:pt>
                <c:pt idx="151">
                  <c:v>9251076</c:v>
                </c:pt>
                <c:pt idx="152">
                  <c:v>13441814</c:v>
                </c:pt>
                <c:pt idx="153">
                  <c:v>-10485524</c:v>
                </c:pt>
                <c:pt idx="154">
                  <c:v>4591744</c:v>
                </c:pt>
                <c:pt idx="155">
                  <c:v>16908209</c:v>
                </c:pt>
                <c:pt idx="156">
                  <c:v>-26236055</c:v>
                </c:pt>
                <c:pt idx="157">
                  <c:v>13351053</c:v>
                </c:pt>
                <c:pt idx="158">
                  <c:v>5989463</c:v>
                </c:pt>
                <c:pt idx="159">
                  <c:v>-7953144</c:v>
                </c:pt>
                <c:pt idx="160">
                  <c:v>-7240033</c:v>
                </c:pt>
                <c:pt idx="161">
                  <c:v>13067257</c:v>
                </c:pt>
                <c:pt idx="162">
                  <c:v>31433595</c:v>
                </c:pt>
                <c:pt idx="163">
                  <c:v>-10467858</c:v>
                </c:pt>
                <c:pt idx="164">
                  <c:v>-14183791</c:v>
                </c:pt>
                <c:pt idx="165">
                  <c:v>-23926141</c:v>
                </c:pt>
                <c:pt idx="166">
                  <c:v>5020698</c:v>
                </c:pt>
                <c:pt idx="167">
                  <c:v>-12972684</c:v>
                </c:pt>
                <c:pt idx="168">
                  <c:v>-4947437</c:v>
                </c:pt>
                <c:pt idx="169">
                  <c:v>23119089</c:v>
                </c:pt>
                <c:pt idx="170">
                  <c:v>-4013797</c:v>
                </c:pt>
                <c:pt idx="171">
                  <c:v>28625172</c:v>
                </c:pt>
                <c:pt idx="172">
                  <c:v>-19136582</c:v>
                </c:pt>
                <c:pt idx="173">
                  <c:v>-22562525</c:v>
                </c:pt>
                <c:pt idx="174">
                  <c:v>-600209</c:v>
                </c:pt>
                <c:pt idx="175">
                  <c:v>21092199</c:v>
                </c:pt>
                <c:pt idx="176">
                  <c:v>24807436</c:v>
                </c:pt>
                <c:pt idx="177">
                  <c:v>-31388725</c:v>
                </c:pt>
                <c:pt idx="178">
                  <c:v>11280282</c:v>
                </c:pt>
                <c:pt idx="179">
                  <c:v>-3365780</c:v>
                </c:pt>
                <c:pt idx="180">
                  <c:v>7417388</c:v>
                </c:pt>
                <c:pt idx="181">
                  <c:v>2987059</c:v>
                </c:pt>
                <c:pt idx="182">
                  <c:v>-18286873</c:v>
                </c:pt>
                <c:pt idx="183">
                  <c:v>12708625</c:v>
                </c:pt>
                <c:pt idx="184">
                  <c:v>-3768238</c:v>
                </c:pt>
                <c:pt idx="185">
                  <c:v>6251291</c:v>
                </c:pt>
                <c:pt idx="186">
                  <c:v>-9186024</c:v>
                </c:pt>
                <c:pt idx="187">
                  <c:v>-8388186</c:v>
                </c:pt>
                <c:pt idx="188">
                  <c:v>-13370435</c:v>
                </c:pt>
                <c:pt idx="189">
                  <c:v>5169482</c:v>
                </c:pt>
                <c:pt idx="190">
                  <c:v>31268745</c:v>
                </c:pt>
                <c:pt idx="191">
                  <c:v>-5364823</c:v>
                </c:pt>
                <c:pt idx="192">
                  <c:v>-15200433</c:v>
                </c:pt>
                <c:pt idx="193">
                  <c:v>5532139</c:v>
                </c:pt>
                <c:pt idx="194">
                  <c:v>-6243011</c:v>
                </c:pt>
                <c:pt idx="195">
                  <c:v>-7547086</c:v>
                </c:pt>
                <c:pt idx="196">
                  <c:v>30990111</c:v>
                </c:pt>
                <c:pt idx="197">
                  <c:v>-2145615</c:v>
                </c:pt>
                <c:pt idx="198">
                  <c:v>-30717504</c:v>
                </c:pt>
                <c:pt idx="199">
                  <c:v>4893716</c:v>
                </c:pt>
                <c:pt idx="200">
                  <c:v>13612473</c:v>
                </c:pt>
                <c:pt idx="201">
                  <c:v>9085724</c:v>
                </c:pt>
                <c:pt idx="202">
                  <c:v>-28736818</c:v>
                </c:pt>
                <c:pt idx="203">
                  <c:v>22113348</c:v>
                </c:pt>
                <c:pt idx="204">
                  <c:v>9831083</c:v>
                </c:pt>
                <c:pt idx="205">
                  <c:v>-19838804</c:v>
                </c:pt>
                <c:pt idx="206">
                  <c:v>-8693595</c:v>
                </c:pt>
                <c:pt idx="207">
                  <c:v>13577024</c:v>
                </c:pt>
                <c:pt idx="208">
                  <c:v>-12190205</c:v>
                </c:pt>
                <c:pt idx="209">
                  <c:v>-13675760</c:v>
                </c:pt>
                <c:pt idx="210">
                  <c:v>4811613</c:v>
                </c:pt>
                <c:pt idx="211">
                  <c:v>4506279</c:v>
                </c:pt>
                <c:pt idx="212">
                  <c:v>18559800</c:v>
                </c:pt>
                <c:pt idx="213">
                  <c:v>-14719426</c:v>
                </c:pt>
                <c:pt idx="214">
                  <c:v>25605667</c:v>
                </c:pt>
                <c:pt idx="215">
                  <c:v>-16312136</c:v>
                </c:pt>
                <c:pt idx="216">
                  <c:v>-1118861</c:v>
                </c:pt>
                <c:pt idx="217">
                  <c:v>-20780565</c:v>
                </c:pt>
                <c:pt idx="218">
                  <c:v>29364711</c:v>
                </c:pt>
                <c:pt idx="219">
                  <c:v>-14177207</c:v>
                </c:pt>
                <c:pt idx="220">
                  <c:v>10217814</c:v>
                </c:pt>
                <c:pt idx="221">
                  <c:v>-9210330</c:v>
                </c:pt>
                <c:pt idx="222">
                  <c:v>13718937</c:v>
                </c:pt>
                <c:pt idx="223">
                  <c:v>-18739070</c:v>
                </c:pt>
                <c:pt idx="224">
                  <c:v>-10503166</c:v>
                </c:pt>
                <c:pt idx="225">
                  <c:v>6689900</c:v>
                </c:pt>
                <c:pt idx="226">
                  <c:v>4567028</c:v>
                </c:pt>
                <c:pt idx="227">
                  <c:v>-3862418</c:v>
                </c:pt>
                <c:pt idx="228">
                  <c:v>-10026362</c:v>
                </c:pt>
                <c:pt idx="229">
                  <c:v>37141991</c:v>
                </c:pt>
                <c:pt idx="230">
                  <c:v>-27799503</c:v>
                </c:pt>
                <c:pt idx="231">
                  <c:v>23418880</c:v>
                </c:pt>
                <c:pt idx="232">
                  <c:v>10034861</c:v>
                </c:pt>
                <c:pt idx="233">
                  <c:v>-22949328</c:v>
                </c:pt>
                <c:pt idx="234">
                  <c:v>-4924085</c:v>
                </c:pt>
                <c:pt idx="235">
                  <c:v>-9168280</c:v>
                </c:pt>
                <c:pt idx="236">
                  <c:v>-2245522</c:v>
                </c:pt>
                <c:pt idx="237">
                  <c:v>-7554756</c:v>
                </c:pt>
                <c:pt idx="238">
                  <c:v>20826065</c:v>
                </c:pt>
                <c:pt idx="239">
                  <c:v>21610317</c:v>
                </c:pt>
                <c:pt idx="240">
                  <c:v>-36112808</c:v>
                </c:pt>
                <c:pt idx="241">
                  <c:v>20178668</c:v>
                </c:pt>
                <c:pt idx="242">
                  <c:v>3849298</c:v>
                </c:pt>
                <c:pt idx="243">
                  <c:v>-18812048</c:v>
                </c:pt>
                <c:pt idx="244">
                  <c:v>-15073834</c:v>
                </c:pt>
                <c:pt idx="245">
                  <c:v>21841994</c:v>
                </c:pt>
                <c:pt idx="246">
                  <c:v>33060639</c:v>
                </c:pt>
                <c:pt idx="247">
                  <c:v>-28493199</c:v>
                </c:pt>
                <c:pt idx="248">
                  <c:v>-10829145</c:v>
                </c:pt>
                <c:pt idx="249">
                  <c:v>11712662</c:v>
                </c:pt>
                <c:pt idx="250">
                  <c:v>-9704773</c:v>
                </c:pt>
                <c:pt idx="251">
                  <c:v>3206969</c:v>
                </c:pt>
                <c:pt idx="252">
                  <c:v>13730540</c:v>
                </c:pt>
                <c:pt idx="253">
                  <c:v>15554065</c:v>
                </c:pt>
                <c:pt idx="254">
                  <c:v>-29700077</c:v>
                </c:pt>
                <c:pt idx="255">
                  <c:v>-8547187</c:v>
                </c:pt>
                <c:pt idx="256">
                  <c:v>96921</c:v>
                </c:pt>
                <c:pt idx="257">
                  <c:v>11412811</c:v>
                </c:pt>
                <c:pt idx="258">
                  <c:v>-9183441</c:v>
                </c:pt>
                <c:pt idx="259">
                  <c:v>-15278662</c:v>
                </c:pt>
                <c:pt idx="260">
                  <c:v>36521653</c:v>
                </c:pt>
                <c:pt idx="261">
                  <c:v>-16003038</c:v>
                </c:pt>
                <c:pt idx="262">
                  <c:v>7022632</c:v>
                </c:pt>
                <c:pt idx="263">
                  <c:v>11902218</c:v>
                </c:pt>
                <c:pt idx="264">
                  <c:v>-9805474</c:v>
                </c:pt>
                <c:pt idx="265">
                  <c:v>-10018076</c:v>
                </c:pt>
                <c:pt idx="266">
                  <c:v>20483707</c:v>
                </c:pt>
                <c:pt idx="267">
                  <c:v>16399802</c:v>
                </c:pt>
                <c:pt idx="268">
                  <c:v>-46929626</c:v>
                </c:pt>
                <c:pt idx="269">
                  <c:v>31889449</c:v>
                </c:pt>
                <c:pt idx="270">
                  <c:v>25676213</c:v>
                </c:pt>
                <c:pt idx="271">
                  <c:v>-12800853</c:v>
                </c:pt>
                <c:pt idx="272">
                  <c:v>-28535159</c:v>
                </c:pt>
                <c:pt idx="273">
                  <c:v>-2235695</c:v>
                </c:pt>
                <c:pt idx="274">
                  <c:v>47556213</c:v>
                </c:pt>
                <c:pt idx="275">
                  <c:v>-60311113</c:v>
                </c:pt>
                <c:pt idx="276">
                  <c:v>14665349</c:v>
                </c:pt>
                <c:pt idx="277">
                  <c:v>3652371</c:v>
                </c:pt>
                <c:pt idx="278">
                  <c:v>-4480363</c:v>
                </c:pt>
                <c:pt idx="279">
                  <c:v>172118</c:v>
                </c:pt>
                <c:pt idx="280">
                  <c:v>839457</c:v>
                </c:pt>
                <c:pt idx="281">
                  <c:v>23644932</c:v>
                </c:pt>
                <c:pt idx="282">
                  <c:v>-40982649</c:v>
                </c:pt>
                <c:pt idx="283">
                  <c:v>23095376</c:v>
                </c:pt>
                <c:pt idx="284">
                  <c:v>-7297623</c:v>
                </c:pt>
                <c:pt idx="285">
                  <c:v>10525058</c:v>
                </c:pt>
                <c:pt idx="286">
                  <c:v>11502855</c:v>
                </c:pt>
                <c:pt idx="287">
                  <c:v>-21089813</c:v>
                </c:pt>
                <c:pt idx="288">
                  <c:v>18827071</c:v>
                </c:pt>
                <c:pt idx="289">
                  <c:v>-12978088</c:v>
                </c:pt>
                <c:pt idx="290">
                  <c:v>6973786</c:v>
                </c:pt>
                <c:pt idx="291">
                  <c:v>5565368</c:v>
                </c:pt>
                <c:pt idx="292">
                  <c:v>-17703266</c:v>
                </c:pt>
                <c:pt idx="293">
                  <c:v>-2237298</c:v>
                </c:pt>
                <c:pt idx="294">
                  <c:v>20383266</c:v>
                </c:pt>
                <c:pt idx="295">
                  <c:v>-1670157</c:v>
                </c:pt>
                <c:pt idx="296">
                  <c:v>-12053553</c:v>
                </c:pt>
                <c:pt idx="297">
                  <c:v>-12567917</c:v>
                </c:pt>
                <c:pt idx="298">
                  <c:v>18208259</c:v>
                </c:pt>
                <c:pt idx="299">
                  <c:v>-6760200</c:v>
                </c:pt>
                <c:pt idx="300">
                  <c:v>-4123269</c:v>
                </c:pt>
                <c:pt idx="301">
                  <c:v>11623247</c:v>
                </c:pt>
                <c:pt idx="302">
                  <c:v>23549612</c:v>
                </c:pt>
                <c:pt idx="303">
                  <c:v>-30933879</c:v>
                </c:pt>
                <c:pt idx="304">
                  <c:v>-9081575</c:v>
                </c:pt>
                <c:pt idx="305">
                  <c:v>3066706</c:v>
                </c:pt>
                <c:pt idx="306">
                  <c:v>18395931</c:v>
                </c:pt>
                <c:pt idx="307">
                  <c:v>-22646222</c:v>
                </c:pt>
                <c:pt idx="308">
                  <c:v>15703768</c:v>
                </c:pt>
                <c:pt idx="309">
                  <c:v>30412752</c:v>
                </c:pt>
                <c:pt idx="310">
                  <c:v>-53527688</c:v>
                </c:pt>
                <c:pt idx="311">
                  <c:v>19849344</c:v>
                </c:pt>
                <c:pt idx="312">
                  <c:v>19343882</c:v>
                </c:pt>
                <c:pt idx="313">
                  <c:v>4020997</c:v>
                </c:pt>
                <c:pt idx="314">
                  <c:v>-30501625</c:v>
                </c:pt>
                <c:pt idx="315">
                  <c:v>19453104</c:v>
                </c:pt>
                <c:pt idx="316">
                  <c:v>-2194484</c:v>
                </c:pt>
                <c:pt idx="317">
                  <c:v>-1930567</c:v>
                </c:pt>
                <c:pt idx="318">
                  <c:v>-6869227</c:v>
                </c:pt>
                <c:pt idx="319">
                  <c:v>-27489546</c:v>
                </c:pt>
                <c:pt idx="320">
                  <c:v>19499735</c:v>
                </c:pt>
                <c:pt idx="321">
                  <c:v>-11249869</c:v>
                </c:pt>
                <c:pt idx="322">
                  <c:v>10469999</c:v>
                </c:pt>
                <c:pt idx="323">
                  <c:v>29752610</c:v>
                </c:pt>
                <c:pt idx="324">
                  <c:v>-7156850</c:v>
                </c:pt>
                <c:pt idx="325">
                  <c:v>-7350574</c:v>
                </c:pt>
                <c:pt idx="326">
                  <c:v>-6336059</c:v>
                </c:pt>
                <c:pt idx="327">
                  <c:v>-2393517</c:v>
                </c:pt>
                <c:pt idx="328">
                  <c:v>-10456759</c:v>
                </c:pt>
                <c:pt idx="329">
                  <c:v>5785089</c:v>
                </c:pt>
                <c:pt idx="330">
                  <c:v>21535340</c:v>
                </c:pt>
                <c:pt idx="331">
                  <c:v>-722898</c:v>
                </c:pt>
                <c:pt idx="332">
                  <c:v>-4379571</c:v>
                </c:pt>
                <c:pt idx="333">
                  <c:v>-19068279</c:v>
                </c:pt>
                <c:pt idx="334">
                  <c:v>5736263</c:v>
                </c:pt>
                <c:pt idx="335">
                  <c:v>4977867</c:v>
                </c:pt>
                <c:pt idx="336">
                  <c:v>-13820924</c:v>
                </c:pt>
                <c:pt idx="337">
                  <c:v>26350136</c:v>
                </c:pt>
                <c:pt idx="338">
                  <c:v>-10198596</c:v>
                </c:pt>
                <c:pt idx="339">
                  <c:v>-3251687</c:v>
                </c:pt>
                <c:pt idx="340">
                  <c:v>1844854</c:v>
                </c:pt>
                <c:pt idx="341">
                  <c:v>-7161054</c:v>
                </c:pt>
                <c:pt idx="342">
                  <c:v>-5028807</c:v>
                </c:pt>
                <c:pt idx="343">
                  <c:v>4193833</c:v>
                </c:pt>
                <c:pt idx="344">
                  <c:v>24659657</c:v>
                </c:pt>
                <c:pt idx="345">
                  <c:v>-23967701</c:v>
                </c:pt>
                <c:pt idx="346">
                  <c:v>1701040</c:v>
                </c:pt>
                <c:pt idx="347">
                  <c:v>19168212</c:v>
                </c:pt>
                <c:pt idx="348">
                  <c:v>-15254129</c:v>
                </c:pt>
                <c:pt idx="349">
                  <c:v>-18531874</c:v>
                </c:pt>
                <c:pt idx="350">
                  <c:v>-13474063</c:v>
                </c:pt>
                <c:pt idx="351">
                  <c:v>-14462</c:v>
                </c:pt>
                <c:pt idx="352">
                  <c:v>14056233</c:v>
                </c:pt>
                <c:pt idx="353">
                  <c:v>8660906</c:v>
                </c:pt>
                <c:pt idx="354">
                  <c:v>3226238</c:v>
                </c:pt>
                <c:pt idx="355">
                  <c:v>1758920</c:v>
                </c:pt>
                <c:pt idx="356">
                  <c:v>-10942973</c:v>
                </c:pt>
                <c:pt idx="357">
                  <c:v>11129420</c:v>
                </c:pt>
                <c:pt idx="358">
                  <c:v>21612628</c:v>
                </c:pt>
                <c:pt idx="359">
                  <c:v>-28916183</c:v>
                </c:pt>
                <c:pt idx="360">
                  <c:v>8998238</c:v>
                </c:pt>
                <c:pt idx="361">
                  <c:v>-12602285</c:v>
                </c:pt>
                <c:pt idx="362">
                  <c:v>-14554267</c:v>
                </c:pt>
                <c:pt idx="363">
                  <c:v>4739277</c:v>
                </c:pt>
                <c:pt idx="364">
                  <c:v>10629331</c:v>
                </c:pt>
              </c:numCache>
            </c:numRef>
          </c:val>
          <c:extLst>
            <c:ext xmlns:c16="http://schemas.microsoft.com/office/drawing/2014/chart" uri="{C3380CC4-5D6E-409C-BE32-E72D297353CC}">
              <c16:uniqueId val="{00000000-231D-4648-9B9A-A6E939FF7F90}"/>
            </c:ext>
          </c:extLst>
        </c:ser>
        <c:dLbls>
          <c:showLegendKey val="0"/>
          <c:showVal val="0"/>
          <c:showCatName val="0"/>
          <c:showSerName val="0"/>
          <c:showPercent val="0"/>
          <c:showBubbleSize val="0"/>
        </c:dLbls>
        <c:gapWidth val="0"/>
        <c:overlap val="-100"/>
        <c:axId val="220944696"/>
        <c:axId val="220945088"/>
      </c:barChart>
      <c:lineChart>
        <c:grouping val="standard"/>
        <c:varyColors val="0"/>
        <c:ser>
          <c:idx val="0"/>
          <c:order val="0"/>
          <c:tx>
            <c:strRef>
              <c:f>parágrafo_3.7!$G$1</c:f>
              <c:strCache>
                <c:ptCount val="1"/>
                <c:pt idx="0">
                  <c:v>Opening Linepack</c:v>
                </c:pt>
              </c:strCache>
            </c:strRef>
          </c:tx>
          <c:spPr>
            <a:ln w="15875" cap="rnd">
              <a:solidFill>
                <a:schemeClr val="accent1">
                  <a:lumMod val="75000"/>
                </a:schemeClr>
              </a:solidFill>
              <a:round/>
            </a:ln>
            <a:effectLst/>
          </c:spPr>
          <c:marker>
            <c:symbol val="none"/>
          </c:marker>
          <c:cat>
            <c:numRef>
              <c:f>parágrafo_3.7!$A$4:$A$368</c:f>
              <c:numCache>
                <c:formatCode>[$]mmm/yy;@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cat>
          <c:val>
            <c:numRef>
              <c:f>parágrafo_3.7!$G$4:$G$368</c:f>
              <c:numCache>
                <c:formatCode>#,##0</c:formatCode>
                <c:ptCount val="365"/>
                <c:pt idx="0">
                  <c:v>-45585383</c:v>
                </c:pt>
                <c:pt idx="1">
                  <c:v>-25592988</c:v>
                </c:pt>
                <c:pt idx="2">
                  <c:v>-19265083</c:v>
                </c:pt>
                <c:pt idx="3">
                  <c:v>-12111773</c:v>
                </c:pt>
                <c:pt idx="4">
                  <c:v>-23069230</c:v>
                </c:pt>
                <c:pt idx="5">
                  <c:v>-12544963</c:v>
                </c:pt>
                <c:pt idx="6">
                  <c:v>-18621943</c:v>
                </c:pt>
                <c:pt idx="7">
                  <c:v>-29660365</c:v>
                </c:pt>
                <c:pt idx="8">
                  <c:v>-30972665</c:v>
                </c:pt>
                <c:pt idx="9">
                  <c:v>14972497</c:v>
                </c:pt>
                <c:pt idx="10">
                  <c:v>-11733991</c:v>
                </c:pt>
                <c:pt idx="11">
                  <c:v>-13252236</c:v>
                </c:pt>
                <c:pt idx="12">
                  <c:v>12204882</c:v>
                </c:pt>
                <c:pt idx="13">
                  <c:v>-3205138</c:v>
                </c:pt>
                <c:pt idx="14">
                  <c:v>-30195193</c:v>
                </c:pt>
                <c:pt idx="15">
                  <c:v>-7852658</c:v>
                </c:pt>
                <c:pt idx="16">
                  <c:v>12093425</c:v>
                </c:pt>
                <c:pt idx="17">
                  <c:v>-3456541</c:v>
                </c:pt>
                <c:pt idx="18">
                  <c:v>-41776296</c:v>
                </c:pt>
                <c:pt idx="19">
                  <c:v>11524532</c:v>
                </c:pt>
                <c:pt idx="20">
                  <c:v>-9935157</c:v>
                </c:pt>
                <c:pt idx="21">
                  <c:v>-20584323</c:v>
                </c:pt>
                <c:pt idx="22">
                  <c:v>-10699439</c:v>
                </c:pt>
                <c:pt idx="23">
                  <c:v>18317576</c:v>
                </c:pt>
                <c:pt idx="24">
                  <c:v>-14919856</c:v>
                </c:pt>
                <c:pt idx="25">
                  <c:v>-11666234</c:v>
                </c:pt>
                <c:pt idx="26">
                  <c:v>-7504437</c:v>
                </c:pt>
                <c:pt idx="27">
                  <c:v>25739946</c:v>
                </c:pt>
                <c:pt idx="28">
                  <c:v>-6243844</c:v>
                </c:pt>
                <c:pt idx="29">
                  <c:v>-2940180</c:v>
                </c:pt>
                <c:pt idx="30">
                  <c:v>14632300</c:v>
                </c:pt>
                <c:pt idx="31">
                  <c:v>3374355</c:v>
                </c:pt>
                <c:pt idx="32">
                  <c:v>12368776</c:v>
                </c:pt>
                <c:pt idx="33">
                  <c:v>-25118631</c:v>
                </c:pt>
                <c:pt idx="34">
                  <c:v>-21808533</c:v>
                </c:pt>
                <c:pt idx="35">
                  <c:v>-24499382</c:v>
                </c:pt>
                <c:pt idx="36">
                  <c:v>-4032734</c:v>
                </c:pt>
                <c:pt idx="37">
                  <c:v>5469071</c:v>
                </c:pt>
                <c:pt idx="38">
                  <c:v>-7540070</c:v>
                </c:pt>
                <c:pt idx="39">
                  <c:v>-9173132</c:v>
                </c:pt>
                <c:pt idx="40">
                  <c:v>-1060797</c:v>
                </c:pt>
                <c:pt idx="41">
                  <c:v>-38364227</c:v>
                </c:pt>
                <c:pt idx="42">
                  <c:v>-30988299</c:v>
                </c:pt>
                <c:pt idx="43">
                  <c:v>-23068143</c:v>
                </c:pt>
                <c:pt idx="44">
                  <c:v>11782395</c:v>
                </c:pt>
                <c:pt idx="45">
                  <c:v>3961536</c:v>
                </c:pt>
                <c:pt idx="46">
                  <c:v>-9865891</c:v>
                </c:pt>
                <c:pt idx="47">
                  <c:v>-13138283</c:v>
                </c:pt>
                <c:pt idx="48">
                  <c:v>-4709917</c:v>
                </c:pt>
                <c:pt idx="49">
                  <c:v>-22710040</c:v>
                </c:pt>
                <c:pt idx="50">
                  <c:v>-10251434</c:v>
                </c:pt>
                <c:pt idx="51">
                  <c:v>26348500</c:v>
                </c:pt>
                <c:pt idx="52">
                  <c:v>-4944518</c:v>
                </c:pt>
                <c:pt idx="53">
                  <c:v>-13292425</c:v>
                </c:pt>
                <c:pt idx="54">
                  <c:v>-20215857</c:v>
                </c:pt>
                <c:pt idx="55">
                  <c:v>-22651906</c:v>
                </c:pt>
                <c:pt idx="56">
                  <c:v>-16140050</c:v>
                </c:pt>
                <c:pt idx="57">
                  <c:v>-24893554</c:v>
                </c:pt>
                <c:pt idx="58">
                  <c:v>25389676</c:v>
                </c:pt>
                <c:pt idx="59">
                  <c:v>-20218752</c:v>
                </c:pt>
                <c:pt idx="60">
                  <c:v>1900676</c:v>
                </c:pt>
                <c:pt idx="61">
                  <c:v>-14303238</c:v>
                </c:pt>
                <c:pt idx="62">
                  <c:v>-16836565</c:v>
                </c:pt>
                <c:pt idx="63">
                  <c:v>-19656969</c:v>
                </c:pt>
                <c:pt idx="64">
                  <c:v>2603597</c:v>
                </c:pt>
                <c:pt idx="65">
                  <c:v>32980661</c:v>
                </c:pt>
                <c:pt idx="66">
                  <c:v>-854944</c:v>
                </c:pt>
                <c:pt idx="67">
                  <c:v>-9665343</c:v>
                </c:pt>
                <c:pt idx="68">
                  <c:v>7691731</c:v>
                </c:pt>
                <c:pt idx="69">
                  <c:v>32760891</c:v>
                </c:pt>
                <c:pt idx="70">
                  <c:v>6964417</c:v>
                </c:pt>
                <c:pt idx="71">
                  <c:v>-6841456</c:v>
                </c:pt>
                <c:pt idx="72">
                  <c:v>-8117131</c:v>
                </c:pt>
                <c:pt idx="73">
                  <c:v>-11938829</c:v>
                </c:pt>
                <c:pt idx="74">
                  <c:v>-4639808</c:v>
                </c:pt>
                <c:pt idx="75">
                  <c:v>-4016148</c:v>
                </c:pt>
                <c:pt idx="76">
                  <c:v>-14430735</c:v>
                </c:pt>
                <c:pt idx="77">
                  <c:v>-25758657</c:v>
                </c:pt>
                <c:pt idx="78">
                  <c:v>-4624873</c:v>
                </c:pt>
                <c:pt idx="79">
                  <c:v>9138679</c:v>
                </c:pt>
                <c:pt idx="80">
                  <c:v>-9498468</c:v>
                </c:pt>
                <c:pt idx="81">
                  <c:v>-10125814</c:v>
                </c:pt>
                <c:pt idx="82">
                  <c:v>2993898</c:v>
                </c:pt>
                <c:pt idx="83">
                  <c:v>1432178</c:v>
                </c:pt>
                <c:pt idx="84">
                  <c:v>-4901537</c:v>
                </c:pt>
                <c:pt idx="85">
                  <c:v>638248</c:v>
                </c:pt>
                <c:pt idx="86">
                  <c:v>31809937</c:v>
                </c:pt>
                <c:pt idx="87">
                  <c:v>23400637</c:v>
                </c:pt>
                <c:pt idx="88">
                  <c:v>4346276</c:v>
                </c:pt>
                <c:pt idx="89">
                  <c:v>808318</c:v>
                </c:pt>
                <c:pt idx="90">
                  <c:v>-3418930</c:v>
                </c:pt>
                <c:pt idx="91">
                  <c:v>-2409173</c:v>
                </c:pt>
                <c:pt idx="92">
                  <c:v>-16851860</c:v>
                </c:pt>
                <c:pt idx="93">
                  <c:v>-8241041</c:v>
                </c:pt>
                <c:pt idx="94">
                  <c:v>-9447825</c:v>
                </c:pt>
                <c:pt idx="95">
                  <c:v>12653549</c:v>
                </c:pt>
                <c:pt idx="96">
                  <c:v>4413758</c:v>
                </c:pt>
                <c:pt idx="97">
                  <c:v>13924131</c:v>
                </c:pt>
                <c:pt idx="98">
                  <c:v>11154200</c:v>
                </c:pt>
                <c:pt idx="99">
                  <c:v>-11760329</c:v>
                </c:pt>
                <c:pt idx="100">
                  <c:v>-14903776</c:v>
                </c:pt>
                <c:pt idx="101">
                  <c:v>-1736040</c:v>
                </c:pt>
                <c:pt idx="102">
                  <c:v>18456910</c:v>
                </c:pt>
                <c:pt idx="103">
                  <c:v>6602218</c:v>
                </c:pt>
                <c:pt idx="104">
                  <c:v>10095909</c:v>
                </c:pt>
                <c:pt idx="105">
                  <c:v>-3427691</c:v>
                </c:pt>
                <c:pt idx="106">
                  <c:v>18272143</c:v>
                </c:pt>
                <c:pt idx="107">
                  <c:v>20937250</c:v>
                </c:pt>
                <c:pt idx="108">
                  <c:v>6711456</c:v>
                </c:pt>
                <c:pt idx="109">
                  <c:v>3855093</c:v>
                </c:pt>
                <c:pt idx="110">
                  <c:v>13437305</c:v>
                </c:pt>
                <c:pt idx="111">
                  <c:v>11410435</c:v>
                </c:pt>
                <c:pt idx="112">
                  <c:v>1566058</c:v>
                </c:pt>
                <c:pt idx="113">
                  <c:v>-4371329</c:v>
                </c:pt>
                <c:pt idx="114">
                  <c:v>13024019</c:v>
                </c:pt>
                <c:pt idx="115">
                  <c:v>-4260129</c:v>
                </c:pt>
                <c:pt idx="116">
                  <c:v>9494819</c:v>
                </c:pt>
                <c:pt idx="117">
                  <c:v>8032777</c:v>
                </c:pt>
                <c:pt idx="118">
                  <c:v>6240371</c:v>
                </c:pt>
                <c:pt idx="119">
                  <c:v>-26466394</c:v>
                </c:pt>
                <c:pt idx="120">
                  <c:v>-27647196</c:v>
                </c:pt>
                <c:pt idx="121">
                  <c:v>14500900</c:v>
                </c:pt>
                <c:pt idx="122">
                  <c:v>11391775</c:v>
                </c:pt>
                <c:pt idx="123">
                  <c:v>-221438</c:v>
                </c:pt>
                <c:pt idx="124">
                  <c:v>3346626</c:v>
                </c:pt>
                <c:pt idx="125">
                  <c:v>3903325</c:v>
                </c:pt>
                <c:pt idx="126">
                  <c:v>-11818646</c:v>
                </c:pt>
                <c:pt idx="127">
                  <c:v>-2476736</c:v>
                </c:pt>
                <c:pt idx="128">
                  <c:v>-6372899</c:v>
                </c:pt>
                <c:pt idx="129">
                  <c:v>13563366</c:v>
                </c:pt>
                <c:pt idx="130">
                  <c:v>32095519</c:v>
                </c:pt>
                <c:pt idx="131">
                  <c:v>18606383</c:v>
                </c:pt>
                <c:pt idx="132">
                  <c:v>7069487</c:v>
                </c:pt>
                <c:pt idx="133">
                  <c:v>-2104491</c:v>
                </c:pt>
                <c:pt idx="134">
                  <c:v>-517997</c:v>
                </c:pt>
                <c:pt idx="135">
                  <c:v>18442845</c:v>
                </c:pt>
                <c:pt idx="136">
                  <c:v>19498184</c:v>
                </c:pt>
                <c:pt idx="137">
                  <c:v>-9926200</c:v>
                </c:pt>
                <c:pt idx="138">
                  <c:v>-10620854</c:v>
                </c:pt>
                <c:pt idx="139">
                  <c:v>18007153</c:v>
                </c:pt>
                <c:pt idx="140">
                  <c:v>-4441515</c:v>
                </c:pt>
                <c:pt idx="141">
                  <c:v>-6303240</c:v>
                </c:pt>
                <c:pt idx="142">
                  <c:v>-8848265</c:v>
                </c:pt>
                <c:pt idx="143">
                  <c:v>14318426</c:v>
                </c:pt>
                <c:pt idx="144">
                  <c:v>-2667607</c:v>
                </c:pt>
                <c:pt idx="145">
                  <c:v>15210591</c:v>
                </c:pt>
                <c:pt idx="146">
                  <c:v>11745735</c:v>
                </c:pt>
                <c:pt idx="147">
                  <c:v>2090616</c:v>
                </c:pt>
                <c:pt idx="148">
                  <c:v>-886269</c:v>
                </c:pt>
                <c:pt idx="149">
                  <c:v>13716469</c:v>
                </c:pt>
                <c:pt idx="150">
                  <c:v>-5943686</c:v>
                </c:pt>
                <c:pt idx="151">
                  <c:v>-16253139</c:v>
                </c:pt>
                <c:pt idx="152">
                  <c:v>-7002063</c:v>
                </c:pt>
                <c:pt idx="153">
                  <c:v>6439751</c:v>
                </c:pt>
                <c:pt idx="154">
                  <c:v>-4045773</c:v>
                </c:pt>
                <c:pt idx="155">
                  <c:v>545971</c:v>
                </c:pt>
                <c:pt idx="156">
                  <c:v>17454180</c:v>
                </c:pt>
                <c:pt idx="157">
                  <c:v>-8781875</c:v>
                </c:pt>
                <c:pt idx="158">
                  <c:v>4569178</c:v>
                </c:pt>
                <c:pt idx="159">
                  <c:v>10558641</c:v>
                </c:pt>
                <c:pt idx="160">
                  <c:v>2605497</c:v>
                </c:pt>
                <c:pt idx="161">
                  <c:v>-4634536</c:v>
                </c:pt>
                <c:pt idx="162">
                  <c:v>8432721</c:v>
                </c:pt>
                <c:pt idx="163">
                  <c:v>39866316</c:v>
                </c:pt>
                <c:pt idx="164">
                  <c:v>29398458</c:v>
                </c:pt>
                <c:pt idx="165">
                  <c:v>15214667</c:v>
                </c:pt>
                <c:pt idx="166">
                  <c:v>-8711474</c:v>
                </c:pt>
                <c:pt idx="167">
                  <c:v>-3690776</c:v>
                </c:pt>
                <c:pt idx="168">
                  <c:v>-16663460</c:v>
                </c:pt>
                <c:pt idx="169">
                  <c:v>-21610897</c:v>
                </c:pt>
                <c:pt idx="170">
                  <c:v>1508192</c:v>
                </c:pt>
                <c:pt idx="171">
                  <c:v>-2505605</c:v>
                </c:pt>
                <c:pt idx="172">
                  <c:v>26119567</c:v>
                </c:pt>
                <c:pt idx="173">
                  <c:v>6982985</c:v>
                </c:pt>
                <c:pt idx="174">
                  <c:v>-15579540</c:v>
                </c:pt>
                <c:pt idx="175">
                  <c:v>-16179749</c:v>
                </c:pt>
                <c:pt idx="176">
                  <c:v>4912450</c:v>
                </c:pt>
                <c:pt idx="177">
                  <c:v>29719886</c:v>
                </c:pt>
                <c:pt idx="178">
                  <c:v>-1668839</c:v>
                </c:pt>
                <c:pt idx="179">
                  <c:v>9611443</c:v>
                </c:pt>
                <c:pt idx="180">
                  <c:v>6245663</c:v>
                </c:pt>
                <c:pt idx="181">
                  <c:v>13663051</c:v>
                </c:pt>
                <c:pt idx="182">
                  <c:v>16650110</c:v>
                </c:pt>
                <c:pt idx="183">
                  <c:v>-1636763</c:v>
                </c:pt>
                <c:pt idx="184">
                  <c:v>11071862</c:v>
                </c:pt>
                <c:pt idx="185">
                  <c:v>7303624</c:v>
                </c:pt>
                <c:pt idx="186">
                  <c:v>13554915</c:v>
                </c:pt>
                <c:pt idx="187">
                  <c:v>4368891</c:v>
                </c:pt>
                <c:pt idx="188">
                  <c:v>-4019295</c:v>
                </c:pt>
                <c:pt idx="189">
                  <c:v>-17389730</c:v>
                </c:pt>
                <c:pt idx="190">
                  <c:v>-12220248</c:v>
                </c:pt>
                <c:pt idx="191">
                  <c:v>19048497</c:v>
                </c:pt>
                <c:pt idx="192">
                  <c:v>13683674</c:v>
                </c:pt>
                <c:pt idx="193">
                  <c:v>-1516759</c:v>
                </c:pt>
                <c:pt idx="194">
                  <c:v>4015380</c:v>
                </c:pt>
                <c:pt idx="195">
                  <c:v>-2227631</c:v>
                </c:pt>
                <c:pt idx="196">
                  <c:v>-9774717</c:v>
                </c:pt>
                <c:pt idx="197">
                  <c:v>21215394</c:v>
                </c:pt>
                <c:pt idx="198">
                  <c:v>19069779</c:v>
                </c:pt>
                <c:pt idx="199">
                  <c:v>-11647725</c:v>
                </c:pt>
                <c:pt idx="200">
                  <c:v>-6754009</c:v>
                </c:pt>
                <c:pt idx="201">
                  <c:v>6858464</c:v>
                </c:pt>
                <c:pt idx="202">
                  <c:v>15944188</c:v>
                </c:pt>
                <c:pt idx="203">
                  <c:v>-12792630</c:v>
                </c:pt>
                <c:pt idx="204">
                  <c:v>9320718</c:v>
                </c:pt>
                <c:pt idx="205">
                  <c:v>19151801</c:v>
                </c:pt>
                <c:pt idx="206">
                  <c:v>-687003</c:v>
                </c:pt>
                <c:pt idx="207">
                  <c:v>-9380598</c:v>
                </c:pt>
                <c:pt idx="208">
                  <c:v>4196426</c:v>
                </c:pt>
                <c:pt idx="209">
                  <c:v>-7993779</c:v>
                </c:pt>
                <c:pt idx="210">
                  <c:v>-21669539</c:v>
                </c:pt>
                <c:pt idx="211">
                  <c:v>-16857926</c:v>
                </c:pt>
                <c:pt idx="212">
                  <c:v>-12351647</c:v>
                </c:pt>
                <c:pt idx="213">
                  <c:v>6208153</c:v>
                </c:pt>
                <c:pt idx="214">
                  <c:v>-8511273</c:v>
                </c:pt>
                <c:pt idx="215">
                  <c:v>17094394</c:v>
                </c:pt>
                <c:pt idx="216">
                  <c:v>782258</c:v>
                </c:pt>
                <c:pt idx="217">
                  <c:v>-336603</c:v>
                </c:pt>
                <c:pt idx="218">
                  <c:v>-21117168</c:v>
                </c:pt>
                <c:pt idx="219">
                  <c:v>8247543</c:v>
                </c:pt>
                <c:pt idx="220">
                  <c:v>-5929664</c:v>
                </c:pt>
                <c:pt idx="221">
                  <c:v>4288150</c:v>
                </c:pt>
                <c:pt idx="222">
                  <c:v>-4922180</c:v>
                </c:pt>
                <c:pt idx="223">
                  <c:v>8796757</c:v>
                </c:pt>
                <c:pt idx="224">
                  <c:v>-9942313</c:v>
                </c:pt>
                <c:pt idx="225">
                  <c:v>-20445479</c:v>
                </c:pt>
                <c:pt idx="226">
                  <c:v>-13755579</c:v>
                </c:pt>
                <c:pt idx="227">
                  <c:v>-9188551</c:v>
                </c:pt>
                <c:pt idx="228">
                  <c:v>-13050969</c:v>
                </c:pt>
                <c:pt idx="229">
                  <c:v>-23077331</c:v>
                </c:pt>
                <c:pt idx="230">
                  <c:v>14064660</c:v>
                </c:pt>
                <c:pt idx="231">
                  <c:v>-13734843</c:v>
                </c:pt>
                <c:pt idx="232">
                  <c:v>9684037</c:v>
                </c:pt>
                <c:pt idx="233">
                  <c:v>19718898</c:v>
                </c:pt>
                <c:pt idx="234">
                  <c:v>-3230430</c:v>
                </c:pt>
                <c:pt idx="235">
                  <c:v>-8154515</c:v>
                </c:pt>
                <c:pt idx="236">
                  <c:v>-17322795</c:v>
                </c:pt>
                <c:pt idx="237">
                  <c:v>-19568317</c:v>
                </c:pt>
                <c:pt idx="238">
                  <c:v>-27123073</c:v>
                </c:pt>
                <c:pt idx="239">
                  <c:v>-6297008</c:v>
                </c:pt>
                <c:pt idx="240">
                  <c:v>15313309</c:v>
                </c:pt>
                <c:pt idx="241">
                  <c:v>-20799499</c:v>
                </c:pt>
                <c:pt idx="242">
                  <c:v>-620831</c:v>
                </c:pt>
                <c:pt idx="243">
                  <c:v>3228467</c:v>
                </c:pt>
                <c:pt idx="244">
                  <c:v>-15583581</c:v>
                </c:pt>
                <c:pt idx="245">
                  <c:v>-30657415</c:v>
                </c:pt>
                <c:pt idx="246">
                  <c:v>-8815421</c:v>
                </c:pt>
                <c:pt idx="247">
                  <c:v>24245218</c:v>
                </c:pt>
                <c:pt idx="248">
                  <c:v>-4247981</c:v>
                </c:pt>
                <c:pt idx="249">
                  <c:v>-15077126</c:v>
                </c:pt>
                <c:pt idx="250">
                  <c:v>-3364464</c:v>
                </c:pt>
                <c:pt idx="251">
                  <c:v>-13069237</c:v>
                </c:pt>
                <c:pt idx="252">
                  <c:v>-9862268</c:v>
                </c:pt>
                <c:pt idx="253">
                  <c:v>3868272</c:v>
                </c:pt>
                <c:pt idx="254">
                  <c:v>19422337</c:v>
                </c:pt>
                <c:pt idx="255">
                  <c:v>-10277740</c:v>
                </c:pt>
                <c:pt idx="256">
                  <c:v>-18824927</c:v>
                </c:pt>
                <c:pt idx="257">
                  <c:v>-18728006</c:v>
                </c:pt>
                <c:pt idx="258">
                  <c:v>-7315195</c:v>
                </c:pt>
                <c:pt idx="259">
                  <c:v>-16498636</c:v>
                </c:pt>
                <c:pt idx="260">
                  <c:v>-31777298</c:v>
                </c:pt>
                <c:pt idx="261">
                  <c:v>4744355</c:v>
                </c:pt>
                <c:pt idx="262">
                  <c:v>-11258683</c:v>
                </c:pt>
                <c:pt idx="263">
                  <c:v>-4236051</c:v>
                </c:pt>
                <c:pt idx="264">
                  <c:v>7666167</c:v>
                </c:pt>
                <c:pt idx="265">
                  <c:v>-2139307</c:v>
                </c:pt>
                <c:pt idx="266">
                  <c:v>-12157383</c:v>
                </c:pt>
                <c:pt idx="267">
                  <c:v>8326324</c:v>
                </c:pt>
                <c:pt idx="268">
                  <c:v>24726126</c:v>
                </c:pt>
                <c:pt idx="269">
                  <c:v>-22203500</c:v>
                </c:pt>
                <c:pt idx="270">
                  <c:v>9685949</c:v>
                </c:pt>
                <c:pt idx="271">
                  <c:v>35362162</c:v>
                </c:pt>
                <c:pt idx="272">
                  <c:v>22561309</c:v>
                </c:pt>
                <c:pt idx="273">
                  <c:v>-5973850</c:v>
                </c:pt>
                <c:pt idx="274">
                  <c:v>-8209545</c:v>
                </c:pt>
                <c:pt idx="275">
                  <c:v>39346668</c:v>
                </c:pt>
                <c:pt idx="276">
                  <c:v>-20964445</c:v>
                </c:pt>
                <c:pt idx="277">
                  <c:v>-6299096</c:v>
                </c:pt>
                <c:pt idx="278">
                  <c:v>-2646725</c:v>
                </c:pt>
                <c:pt idx="279">
                  <c:v>-7127088</c:v>
                </c:pt>
                <c:pt idx="280">
                  <c:v>-6954970</c:v>
                </c:pt>
                <c:pt idx="281">
                  <c:v>-6115513</c:v>
                </c:pt>
                <c:pt idx="282">
                  <c:v>17529419</c:v>
                </c:pt>
                <c:pt idx="283">
                  <c:v>-23453230</c:v>
                </c:pt>
                <c:pt idx="284">
                  <c:v>-357854</c:v>
                </c:pt>
                <c:pt idx="285">
                  <c:v>-7655477</c:v>
                </c:pt>
                <c:pt idx="286">
                  <c:v>2869581</c:v>
                </c:pt>
                <c:pt idx="287">
                  <c:v>14372436</c:v>
                </c:pt>
                <c:pt idx="288">
                  <c:v>-6717377</c:v>
                </c:pt>
                <c:pt idx="289">
                  <c:v>12109694</c:v>
                </c:pt>
                <c:pt idx="290">
                  <c:v>-868394</c:v>
                </c:pt>
                <c:pt idx="291">
                  <c:v>6105392</c:v>
                </c:pt>
                <c:pt idx="292">
                  <c:v>11670760</c:v>
                </c:pt>
                <c:pt idx="293">
                  <c:v>-6032506</c:v>
                </c:pt>
                <c:pt idx="294">
                  <c:v>-8269804</c:v>
                </c:pt>
                <c:pt idx="295">
                  <c:v>12113462</c:v>
                </c:pt>
                <c:pt idx="296">
                  <c:v>10443305</c:v>
                </c:pt>
                <c:pt idx="297">
                  <c:v>-1610248</c:v>
                </c:pt>
                <c:pt idx="298">
                  <c:v>-14178165</c:v>
                </c:pt>
                <c:pt idx="299">
                  <c:v>4030094</c:v>
                </c:pt>
                <c:pt idx="300">
                  <c:v>-2730106</c:v>
                </c:pt>
                <c:pt idx="301">
                  <c:v>-6853375</c:v>
                </c:pt>
                <c:pt idx="302">
                  <c:v>4769872</c:v>
                </c:pt>
                <c:pt idx="303">
                  <c:v>28319484</c:v>
                </c:pt>
                <c:pt idx="304">
                  <c:v>-2614395</c:v>
                </c:pt>
                <c:pt idx="305">
                  <c:v>-11695970</c:v>
                </c:pt>
                <c:pt idx="306">
                  <c:v>-8629264</c:v>
                </c:pt>
                <c:pt idx="307">
                  <c:v>9766667</c:v>
                </c:pt>
                <c:pt idx="308">
                  <c:v>-12879555</c:v>
                </c:pt>
                <c:pt idx="309">
                  <c:v>2824213</c:v>
                </c:pt>
                <c:pt idx="310">
                  <c:v>33236965</c:v>
                </c:pt>
                <c:pt idx="311">
                  <c:v>-20290723</c:v>
                </c:pt>
                <c:pt idx="312">
                  <c:v>-441379</c:v>
                </c:pt>
                <c:pt idx="313">
                  <c:v>18902503</c:v>
                </c:pt>
                <c:pt idx="314">
                  <c:v>22923500</c:v>
                </c:pt>
                <c:pt idx="315">
                  <c:v>-7578125</c:v>
                </c:pt>
                <c:pt idx="316">
                  <c:v>11874979</c:v>
                </c:pt>
                <c:pt idx="317">
                  <c:v>9680495</c:v>
                </c:pt>
                <c:pt idx="318">
                  <c:v>7749928</c:v>
                </c:pt>
                <c:pt idx="319">
                  <c:v>880701</c:v>
                </c:pt>
                <c:pt idx="320">
                  <c:v>-26608845</c:v>
                </c:pt>
                <c:pt idx="321">
                  <c:v>-7109110</c:v>
                </c:pt>
                <c:pt idx="322">
                  <c:v>-18358979</c:v>
                </c:pt>
                <c:pt idx="323">
                  <c:v>-7888980</c:v>
                </c:pt>
                <c:pt idx="324">
                  <c:v>21863630</c:v>
                </c:pt>
                <c:pt idx="325">
                  <c:v>14706780</c:v>
                </c:pt>
                <c:pt idx="326">
                  <c:v>7356206</c:v>
                </c:pt>
                <c:pt idx="327">
                  <c:v>1020147</c:v>
                </c:pt>
                <c:pt idx="328">
                  <c:v>-1373370</c:v>
                </c:pt>
                <c:pt idx="329">
                  <c:v>-11830129</c:v>
                </c:pt>
                <c:pt idx="330">
                  <c:v>-6045040</c:v>
                </c:pt>
                <c:pt idx="331">
                  <c:v>15490300</c:v>
                </c:pt>
                <c:pt idx="332">
                  <c:v>14767402</c:v>
                </c:pt>
                <c:pt idx="333">
                  <c:v>10387831</c:v>
                </c:pt>
                <c:pt idx="334">
                  <c:v>-8680448</c:v>
                </c:pt>
                <c:pt idx="335">
                  <c:v>-2944185</c:v>
                </c:pt>
                <c:pt idx="336">
                  <c:v>2033682</c:v>
                </c:pt>
                <c:pt idx="337">
                  <c:v>-11787242</c:v>
                </c:pt>
                <c:pt idx="338">
                  <c:v>14562894</c:v>
                </c:pt>
                <c:pt idx="339">
                  <c:v>4364298</c:v>
                </c:pt>
                <c:pt idx="340">
                  <c:v>1112611</c:v>
                </c:pt>
                <c:pt idx="341">
                  <c:v>2957465</c:v>
                </c:pt>
                <c:pt idx="342">
                  <c:v>-4203589</c:v>
                </c:pt>
                <c:pt idx="343">
                  <c:v>-9232396</c:v>
                </c:pt>
                <c:pt idx="344">
                  <c:v>-5038563</c:v>
                </c:pt>
                <c:pt idx="345">
                  <c:v>19621094</c:v>
                </c:pt>
                <c:pt idx="346">
                  <c:v>-4346607</c:v>
                </c:pt>
                <c:pt idx="347">
                  <c:v>-2645567</c:v>
                </c:pt>
                <c:pt idx="348">
                  <c:v>16522645</c:v>
                </c:pt>
                <c:pt idx="349">
                  <c:v>1268516</c:v>
                </c:pt>
                <c:pt idx="350">
                  <c:v>-17263358</c:v>
                </c:pt>
                <c:pt idx="351">
                  <c:v>-30737421</c:v>
                </c:pt>
                <c:pt idx="352">
                  <c:v>-30751883</c:v>
                </c:pt>
                <c:pt idx="353">
                  <c:v>-16695650</c:v>
                </c:pt>
                <c:pt idx="354">
                  <c:v>-8034744</c:v>
                </c:pt>
                <c:pt idx="355">
                  <c:v>-4808506</c:v>
                </c:pt>
                <c:pt idx="356">
                  <c:v>-3049586</c:v>
                </c:pt>
                <c:pt idx="357">
                  <c:v>-13992559</c:v>
                </c:pt>
                <c:pt idx="358">
                  <c:v>-2863139</c:v>
                </c:pt>
                <c:pt idx="359">
                  <c:v>18749489</c:v>
                </c:pt>
                <c:pt idx="360">
                  <c:v>-10166694</c:v>
                </c:pt>
                <c:pt idx="361">
                  <c:v>-1168456</c:v>
                </c:pt>
                <c:pt idx="362">
                  <c:v>-13770741</c:v>
                </c:pt>
                <c:pt idx="363">
                  <c:v>-28325008</c:v>
                </c:pt>
                <c:pt idx="364">
                  <c:v>-23585731</c:v>
                </c:pt>
              </c:numCache>
            </c:numRef>
          </c:val>
          <c:smooth val="0"/>
          <c:extLst>
            <c:ext xmlns:c16="http://schemas.microsoft.com/office/drawing/2014/chart" uri="{C3380CC4-5D6E-409C-BE32-E72D297353CC}">
              <c16:uniqueId val="{00000001-231D-4648-9B9A-A6E939FF7F90}"/>
            </c:ext>
          </c:extLst>
        </c:ser>
        <c:ser>
          <c:idx val="1"/>
          <c:order val="1"/>
          <c:tx>
            <c:strRef>
              <c:f>parágrafo_3.7!$H$1</c:f>
              <c:strCache>
                <c:ptCount val="1"/>
                <c:pt idx="0">
                  <c:v>Average Opening Linepack</c:v>
                </c:pt>
              </c:strCache>
            </c:strRef>
          </c:tx>
          <c:spPr>
            <a:ln w="25400" cap="rnd">
              <a:solidFill>
                <a:schemeClr val="accent2"/>
              </a:solidFill>
              <a:prstDash val="dash"/>
              <a:round/>
            </a:ln>
            <a:effectLst/>
          </c:spPr>
          <c:marker>
            <c:symbol val="none"/>
          </c:marker>
          <c:cat>
            <c:numRef>
              <c:f>parágrafo_3.7!$A$4:$A$368</c:f>
              <c:numCache>
                <c:formatCode>[$]mmm/yy;@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cat>
          <c:val>
            <c:numRef>
              <c:f>parágrafo_3.7!$H$4:$H$368</c:f>
              <c:numCache>
                <c:formatCode>#,##0</c:formatCode>
                <c:ptCount val="365"/>
                <c:pt idx="0">
                  <c:v>-1575947.7452054794</c:v>
                </c:pt>
                <c:pt idx="1">
                  <c:v>-1575947.7452054794</c:v>
                </c:pt>
                <c:pt idx="2">
                  <c:v>-1575947.7452054794</c:v>
                </c:pt>
                <c:pt idx="3">
                  <c:v>-1575947.7452054794</c:v>
                </c:pt>
                <c:pt idx="4">
                  <c:v>-1575947.7452054794</c:v>
                </c:pt>
                <c:pt idx="5">
                  <c:v>-1575947.7452054794</c:v>
                </c:pt>
                <c:pt idx="6">
                  <c:v>-1575947.7452054794</c:v>
                </c:pt>
                <c:pt idx="7">
                  <c:v>-1575947.7452054794</c:v>
                </c:pt>
                <c:pt idx="8">
                  <c:v>-1575947.7452054794</c:v>
                </c:pt>
                <c:pt idx="9">
                  <c:v>-1575947.7452054794</c:v>
                </c:pt>
                <c:pt idx="10">
                  <c:v>-1575947.7452054794</c:v>
                </c:pt>
                <c:pt idx="11">
                  <c:v>-1575947.7452054794</c:v>
                </c:pt>
                <c:pt idx="12">
                  <c:v>-1575947.7452054794</c:v>
                </c:pt>
                <c:pt idx="13">
                  <c:v>-1575947.7452054794</c:v>
                </c:pt>
                <c:pt idx="14">
                  <c:v>-1575947.7452054794</c:v>
                </c:pt>
                <c:pt idx="15">
                  <c:v>-1575947.7452054794</c:v>
                </c:pt>
                <c:pt idx="16">
                  <c:v>-1575947.7452054794</c:v>
                </c:pt>
                <c:pt idx="17">
                  <c:v>-1575947.7452054794</c:v>
                </c:pt>
                <c:pt idx="18">
                  <c:v>-1575947.7452054794</c:v>
                </c:pt>
                <c:pt idx="19">
                  <c:v>-1575947.7452054794</c:v>
                </c:pt>
                <c:pt idx="20">
                  <c:v>-1575947.7452054794</c:v>
                </c:pt>
                <c:pt idx="21">
                  <c:v>-1575947.7452054794</c:v>
                </c:pt>
                <c:pt idx="22">
                  <c:v>-1575947.7452054794</c:v>
                </c:pt>
                <c:pt idx="23">
                  <c:v>-1575947.7452054794</c:v>
                </c:pt>
                <c:pt idx="24">
                  <c:v>-1575947.7452054794</c:v>
                </c:pt>
                <c:pt idx="25">
                  <c:v>-1575947.7452054794</c:v>
                </c:pt>
                <c:pt idx="26">
                  <c:v>-1575947.7452054794</c:v>
                </c:pt>
                <c:pt idx="27">
                  <c:v>-1575947.7452054794</c:v>
                </c:pt>
                <c:pt idx="28">
                  <c:v>-1575947.7452054794</c:v>
                </c:pt>
                <c:pt idx="29">
                  <c:v>-1575947.7452054794</c:v>
                </c:pt>
                <c:pt idx="30">
                  <c:v>-1575947.7452054794</c:v>
                </c:pt>
                <c:pt idx="31">
                  <c:v>-1575947.7452054794</c:v>
                </c:pt>
                <c:pt idx="32">
                  <c:v>-1575947.7452054794</c:v>
                </c:pt>
                <c:pt idx="33">
                  <c:v>-1575947.7452054794</c:v>
                </c:pt>
                <c:pt idx="34">
                  <c:v>-1575947.7452054794</c:v>
                </c:pt>
                <c:pt idx="35">
                  <c:v>-1575947.7452054794</c:v>
                </c:pt>
                <c:pt idx="36">
                  <c:v>-1575947.7452054794</c:v>
                </c:pt>
                <c:pt idx="37">
                  <c:v>-1575947.7452054794</c:v>
                </c:pt>
                <c:pt idx="38">
                  <c:v>-1575947.7452054794</c:v>
                </c:pt>
                <c:pt idx="39">
                  <c:v>-1575947.7452054794</c:v>
                </c:pt>
                <c:pt idx="40">
                  <c:v>-1575947.7452054794</c:v>
                </c:pt>
                <c:pt idx="41">
                  <c:v>-1575947.7452054794</c:v>
                </c:pt>
                <c:pt idx="42">
                  <c:v>-1575947.7452054794</c:v>
                </c:pt>
                <c:pt idx="43">
                  <c:v>-1575947.7452054794</c:v>
                </c:pt>
                <c:pt idx="44">
                  <c:v>-1575947.7452054794</c:v>
                </c:pt>
                <c:pt idx="45">
                  <c:v>-1575947.7452054794</c:v>
                </c:pt>
                <c:pt idx="46">
                  <c:v>-1575947.7452054794</c:v>
                </c:pt>
                <c:pt idx="47">
                  <c:v>-1575947.7452054794</c:v>
                </c:pt>
                <c:pt idx="48">
                  <c:v>-1575947.7452054794</c:v>
                </c:pt>
                <c:pt idx="49">
                  <c:v>-1575947.7452054794</c:v>
                </c:pt>
                <c:pt idx="50">
                  <c:v>-1575947.7452054794</c:v>
                </c:pt>
                <c:pt idx="51">
                  <c:v>-1575947.7452054794</c:v>
                </c:pt>
                <c:pt idx="52">
                  <c:v>-1575947.7452054794</c:v>
                </c:pt>
                <c:pt idx="53">
                  <c:v>-1575947.7452054794</c:v>
                </c:pt>
                <c:pt idx="54">
                  <c:v>-1575947.7452054794</c:v>
                </c:pt>
                <c:pt idx="55">
                  <c:v>-1575947.7452054794</c:v>
                </c:pt>
                <c:pt idx="56">
                  <c:v>-1575947.7452054794</c:v>
                </c:pt>
                <c:pt idx="57">
                  <c:v>-1575947.7452054794</c:v>
                </c:pt>
                <c:pt idx="58">
                  <c:v>-1575947.7452054794</c:v>
                </c:pt>
                <c:pt idx="59">
                  <c:v>-1575947.7452054794</c:v>
                </c:pt>
                <c:pt idx="60">
                  <c:v>-1575947.7452054794</c:v>
                </c:pt>
                <c:pt idx="61">
                  <c:v>-1575947.7452054794</c:v>
                </c:pt>
                <c:pt idx="62">
                  <c:v>-1575947.7452054794</c:v>
                </c:pt>
                <c:pt idx="63">
                  <c:v>-1575947.7452054794</c:v>
                </c:pt>
                <c:pt idx="64">
                  <c:v>-1575947.7452054794</c:v>
                </c:pt>
                <c:pt idx="65">
                  <c:v>-1575947.7452054794</c:v>
                </c:pt>
                <c:pt idx="66">
                  <c:v>-1575947.7452054794</c:v>
                </c:pt>
                <c:pt idx="67">
                  <c:v>-1575947.7452054794</c:v>
                </c:pt>
                <c:pt idx="68">
                  <c:v>-1575947.7452054794</c:v>
                </c:pt>
                <c:pt idx="69">
                  <c:v>-1575947.7452054794</c:v>
                </c:pt>
                <c:pt idx="70">
                  <c:v>-1575947.7452054794</c:v>
                </c:pt>
                <c:pt idx="71">
                  <c:v>-1575947.7452054794</c:v>
                </c:pt>
                <c:pt idx="72">
                  <c:v>-1575947.7452054794</c:v>
                </c:pt>
                <c:pt idx="73">
                  <c:v>-1575947.7452054794</c:v>
                </c:pt>
                <c:pt idx="74">
                  <c:v>-1575947.7452054794</c:v>
                </c:pt>
                <c:pt idx="75">
                  <c:v>-1575947.7452054794</c:v>
                </c:pt>
                <c:pt idx="76">
                  <c:v>-1575947.7452054794</c:v>
                </c:pt>
                <c:pt idx="77">
                  <c:v>-1575947.7452054794</c:v>
                </c:pt>
                <c:pt idx="78">
                  <c:v>-1575947.7452054794</c:v>
                </c:pt>
                <c:pt idx="79">
                  <c:v>-1575947.7452054794</c:v>
                </c:pt>
                <c:pt idx="80">
                  <c:v>-1575947.7452054794</c:v>
                </c:pt>
                <c:pt idx="81">
                  <c:v>-1575947.7452054794</c:v>
                </c:pt>
                <c:pt idx="82">
                  <c:v>-1575947.7452054794</c:v>
                </c:pt>
                <c:pt idx="83">
                  <c:v>-1575947.7452054794</c:v>
                </c:pt>
                <c:pt idx="84">
                  <c:v>-1575947.7452054794</c:v>
                </c:pt>
                <c:pt idx="85">
                  <c:v>-1575947.7452054794</c:v>
                </c:pt>
                <c:pt idx="86">
                  <c:v>-1575947.7452054794</c:v>
                </c:pt>
                <c:pt idx="87">
                  <c:v>-1575947.7452054794</c:v>
                </c:pt>
                <c:pt idx="88">
                  <c:v>-1575947.7452054794</c:v>
                </c:pt>
                <c:pt idx="89">
                  <c:v>-1575947.7452054794</c:v>
                </c:pt>
                <c:pt idx="90">
                  <c:v>-1575947.7452054794</c:v>
                </c:pt>
                <c:pt idx="91">
                  <c:v>-1575947.7452054794</c:v>
                </c:pt>
                <c:pt idx="92">
                  <c:v>-1575947.7452054794</c:v>
                </c:pt>
                <c:pt idx="93">
                  <c:v>-1575947.7452054794</c:v>
                </c:pt>
                <c:pt idx="94">
                  <c:v>-1575947.7452054794</c:v>
                </c:pt>
                <c:pt idx="95">
                  <c:v>-1575947.7452054794</c:v>
                </c:pt>
                <c:pt idx="96">
                  <c:v>-1575947.7452054794</c:v>
                </c:pt>
                <c:pt idx="97">
                  <c:v>-1575947.7452054794</c:v>
                </c:pt>
                <c:pt idx="98">
                  <c:v>-1575947.7452054794</c:v>
                </c:pt>
                <c:pt idx="99">
                  <c:v>-1575947.7452054794</c:v>
                </c:pt>
                <c:pt idx="100">
                  <c:v>-1575947.7452054794</c:v>
                </c:pt>
                <c:pt idx="101">
                  <c:v>-1575947.7452054794</c:v>
                </c:pt>
                <c:pt idx="102">
                  <c:v>-1575947.7452054794</c:v>
                </c:pt>
                <c:pt idx="103">
                  <c:v>-1575947.7452054794</c:v>
                </c:pt>
                <c:pt idx="104">
                  <c:v>-1575947.7452054794</c:v>
                </c:pt>
                <c:pt idx="105">
                  <c:v>-1575947.7452054794</c:v>
                </c:pt>
                <c:pt idx="106">
                  <c:v>-1575947.7452054794</c:v>
                </c:pt>
                <c:pt idx="107">
                  <c:v>-1575947.7452054794</c:v>
                </c:pt>
                <c:pt idx="108">
                  <c:v>-1575947.7452054794</c:v>
                </c:pt>
                <c:pt idx="109">
                  <c:v>-1575947.7452054794</c:v>
                </c:pt>
                <c:pt idx="110">
                  <c:v>-1575947.7452054794</c:v>
                </c:pt>
                <c:pt idx="111">
                  <c:v>-1575947.7452054794</c:v>
                </c:pt>
                <c:pt idx="112">
                  <c:v>-1575947.7452054794</c:v>
                </c:pt>
                <c:pt idx="113">
                  <c:v>-1575947.7452054794</c:v>
                </c:pt>
                <c:pt idx="114">
                  <c:v>-1575947.7452054794</c:v>
                </c:pt>
                <c:pt idx="115">
                  <c:v>-1575947.7452054794</c:v>
                </c:pt>
                <c:pt idx="116">
                  <c:v>-1575947.7452054794</c:v>
                </c:pt>
                <c:pt idx="117">
                  <c:v>-1575947.7452054794</c:v>
                </c:pt>
                <c:pt idx="118">
                  <c:v>-1575947.7452054794</c:v>
                </c:pt>
                <c:pt idx="119">
                  <c:v>-1575947.7452054794</c:v>
                </c:pt>
                <c:pt idx="120">
                  <c:v>-1575947.7452054794</c:v>
                </c:pt>
                <c:pt idx="121">
                  <c:v>-1575947.7452054794</c:v>
                </c:pt>
                <c:pt idx="122">
                  <c:v>-1575947.7452054794</c:v>
                </c:pt>
                <c:pt idx="123">
                  <c:v>-1575947.7452054794</c:v>
                </c:pt>
                <c:pt idx="124">
                  <c:v>-1575947.7452054794</c:v>
                </c:pt>
                <c:pt idx="125">
                  <c:v>-1575947.7452054794</c:v>
                </c:pt>
                <c:pt idx="126">
                  <c:v>-1575947.7452054794</c:v>
                </c:pt>
                <c:pt idx="127">
                  <c:v>-1575947.7452054794</c:v>
                </c:pt>
                <c:pt idx="128">
                  <c:v>-1575947.7452054794</c:v>
                </c:pt>
                <c:pt idx="129">
                  <c:v>-1575947.7452054794</c:v>
                </c:pt>
                <c:pt idx="130">
                  <c:v>-1575947.7452054794</c:v>
                </c:pt>
                <c:pt idx="131">
                  <c:v>-1575947.7452054794</c:v>
                </c:pt>
                <c:pt idx="132">
                  <c:v>-1575947.7452054794</c:v>
                </c:pt>
                <c:pt idx="133">
                  <c:v>-1575947.7452054794</c:v>
                </c:pt>
                <c:pt idx="134">
                  <c:v>-1575947.7452054794</c:v>
                </c:pt>
                <c:pt idx="135">
                  <c:v>-1575947.7452054794</c:v>
                </c:pt>
                <c:pt idx="136">
                  <c:v>-1575947.7452054794</c:v>
                </c:pt>
                <c:pt idx="137">
                  <c:v>-1575947.7452054794</c:v>
                </c:pt>
                <c:pt idx="138">
                  <c:v>-1575947.7452054794</c:v>
                </c:pt>
                <c:pt idx="139">
                  <c:v>-1575947.7452054794</c:v>
                </c:pt>
                <c:pt idx="140">
                  <c:v>-1575947.7452054794</c:v>
                </c:pt>
                <c:pt idx="141">
                  <c:v>-1575947.7452054794</c:v>
                </c:pt>
                <c:pt idx="142">
                  <c:v>-1575947.7452054794</c:v>
                </c:pt>
                <c:pt idx="143">
                  <c:v>-1575947.7452054794</c:v>
                </c:pt>
                <c:pt idx="144">
                  <c:v>-1575947.7452054794</c:v>
                </c:pt>
                <c:pt idx="145">
                  <c:v>-1575947.7452054794</c:v>
                </c:pt>
                <c:pt idx="146">
                  <c:v>-1575947.7452054794</c:v>
                </c:pt>
                <c:pt idx="147">
                  <c:v>-1575947.7452054794</c:v>
                </c:pt>
                <c:pt idx="148">
                  <c:v>-1575947.7452054794</c:v>
                </c:pt>
                <c:pt idx="149">
                  <c:v>-1575947.7452054794</c:v>
                </c:pt>
                <c:pt idx="150">
                  <c:v>-1575947.7452054794</c:v>
                </c:pt>
                <c:pt idx="151">
                  <c:v>-1575947.7452054794</c:v>
                </c:pt>
                <c:pt idx="152">
                  <c:v>-1575947.7452054794</c:v>
                </c:pt>
                <c:pt idx="153">
                  <c:v>-1575947.7452054794</c:v>
                </c:pt>
                <c:pt idx="154">
                  <c:v>-1575947.7452054794</c:v>
                </c:pt>
                <c:pt idx="155">
                  <c:v>-1575947.7452054794</c:v>
                </c:pt>
                <c:pt idx="156">
                  <c:v>-1575947.7452054794</c:v>
                </c:pt>
                <c:pt idx="157">
                  <c:v>-1575947.7452054794</c:v>
                </c:pt>
                <c:pt idx="158">
                  <c:v>-1575947.7452054794</c:v>
                </c:pt>
                <c:pt idx="159">
                  <c:v>-1575947.7452054794</c:v>
                </c:pt>
                <c:pt idx="160">
                  <c:v>-1575947.7452054794</c:v>
                </c:pt>
                <c:pt idx="161">
                  <c:v>-1575947.7452054794</c:v>
                </c:pt>
                <c:pt idx="162">
                  <c:v>-1575947.7452054794</c:v>
                </c:pt>
                <c:pt idx="163">
                  <c:v>-1575947.7452054794</c:v>
                </c:pt>
                <c:pt idx="164">
                  <c:v>-1575947.7452054794</c:v>
                </c:pt>
                <c:pt idx="165">
                  <c:v>-1575947.7452054794</c:v>
                </c:pt>
                <c:pt idx="166">
                  <c:v>-1575947.7452054794</c:v>
                </c:pt>
                <c:pt idx="167">
                  <c:v>-1575947.7452054794</c:v>
                </c:pt>
                <c:pt idx="168">
                  <c:v>-1575947.7452054794</c:v>
                </c:pt>
                <c:pt idx="169">
                  <c:v>-1575947.7452054794</c:v>
                </c:pt>
                <c:pt idx="170">
                  <c:v>-1575947.7452054794</c:v>
                </c:pt>
                <c:pt idx="171">
                  <c:v>-1575947.7452054794</c:v>
                </c:pt>
                <c:pt idx="172">
                  <c:v>-1575947.7452054794</c:v>
                </c:pt>
                <c:pt idx="173">
                  <c:v>-1575947.7452054794</c:v>
                </c:pt>
                <c:pt idx="174">
                  <c:v>-1575947.7452054794</c:v>
                </c:pt>
                <c:pt idx="175">
                  <c:v>-1575947.7452054794</c:v>
                </c:pt>
                <c:pt idx="176">
                  <c:v>-1575947.7452054794</c:v>
                </c:pt>
                <c:pt idx="177">
                  <c:v>-1575947.7452054794</c:v>
                </c:pt>
                <c:pt idx="178">
                  <c:v>-1575947.7452054794</c:v>
                </c:pt>
                <c:pt idx="179">
                  <c:v>-1575947.7452054794</c:v>
                </c:pt>
                <c:pt idx="180">
                  <c:v>-1575947.7452054794</c:v>
                </c:pt>
                <c:pt idx="181">
                  <c:v>-1575947.7452054794</c:v>
                </c:pt>
                <c:pt idx="182">
                  <c:v>-1575947.7452054794</c:v>
                </c:pt>
                <c:pt idx="183">
                  <c:v>-1575947.7452054794</c:v>
                </c:pt>
                <c:pt idx="184">
                  <c:v>-1575947.7452054794</c:v>
                </c:pt>
                <c:pt idx="185">
                  <c:v>-1575947.7452054794</c:v>
                </c:pt>
                <c:pt idx="186">
                  <c:v>-1575947.7452054794</c:v>
                </c:pt>
                <c:pt idx="187">
                  <c:v>-1575947.7452054794</c:v>
                </c:pt>
                <c:pt idx="188">
                  <c:v>-1575947.7452054794</c:v>
                </c:pt>
                <c:pt idx="189">
                  <c:v>-1575947.7452054794</c:v>
                </c:pt>
                <c:pt idx="190">
                  <c:v>-1575947.7452054794</c:v>
                </c:pt>
                <c:pt idx="191">
                  <c:v>-1575947.7452054794</c:v>
                </c:pt>
                <c:pt idx="192">
                  <c:v>-1575947.7452054794</c:v>
                </c:pt>
                <c:pt idx="193">
                  <c:v>-1575947.7452054794</c:v>
                </c:pt>
                <c:pt idx="194">
                  <c:v>-1575947.7452054794</c:v>
                </c:pt>
                <c:pt idx="195">
                  <c:v>-1575947.7452054794</c:v>
                </c:pt>
                <c:pt idx="196">
                  <c:v>-1575947.7452054794</c:v>
                </c:pt>
                <c:pt idx="197">
                  <c:v>-1575947.7452054794</c:v>
                </c:pt>
                <c:pt idx="198">
                  <c:v>-1575947.7452054794</c:v>
                </c:pt>
                <c:pt idx="199">
                  <c:v>-1575947.7452054794</c:v>
                </c:pt>
                <c:pt idx="200">
                  <c:v>-1575947.7452054794</c:v>
                </c:pt>
                <c:pt idx="201">
                  <c:v>-1575947.7452054794</c:v>
                </c:pt>
                <c:pt idx="202">
                  <c:v>-1575947.7452054794</c:v>
                </c:pt>
                <c:pt idx="203">
                  <c:v>-1575947.7452054794</c:v>
                </c:pt>
                <c:pt idx="204">
                  <c:v>-1575947.7452054794</c:v>
                </c:pt>
                <c:pt idx="205">
                  <c:v>-1575947.7452054794</c:v>
                </c:pt>
                <c:pt idx="206">
                  <c:v>-1575947.7452054794</c:v>
                </c:pt>
                <c:pt idx="207">
                  <c:v>-1575947.7452054794</c:v>
                </c:pt>
                <c:pt idx="208">
                  <c:v>-1575947.7452054794</c:v>
                </c:pt>
                <c:pt idx="209">
                  <c:v>-1575947.7452054794</c:v>
                </c:pt>
                <c:pt idx="210">
                  <c:v>-1575947.7452054794</c:v>
                </c:pt>
                <c:pt idx="211">
                  <c:v>-1575947.7452054794</c:v>
                </c:pt>
                <c:pt idx="212">
                  <c:v>-1575947.7452054794</c:v>
                </c:pt>
                <c:pt idx="213">
                  <c:v>-1575947.7452054794</c:v>
                </c:pt>
                <c:pt idx="214">
                  <c:v>-1575947.7452054794</c:v>
                </c:pt>
                <c:pt idx="215">
                  <c:v>-1575947.7452054794</c:v>
                </c:pt>
                <c:pt idx="216">
                  <c:v>-1575947.7452054794</c:v>
                </c:pt>
                <c:pt idx="217">
                  <c:v>-1575947.7452054794</c:v>
                </c:pt>
                <c:pt idx="218">
                  <c:v>-1575947.7452054794</c:v>
                </c:pt>
                <c:pt idx="219">
                  <c:v>-1575947.7452054794</c:v>
                </c:pt>
                <c:pt idx="220">
                  <c:v>-1575947.7452054794</c:v>
                </c:pt>
                <c:pt idx="221">
                  <c:v>-1575947.7452054794</c:v>
                </c:pt>
                <c:pt idx="222">
                  <c:v>-1575947.7452054794</c:v>
                </c:pt>
                <c:pt idx="223">
                  <c:v>-1575947.7452054794</c:v>
                </c:pt>
                <c:pt idx="224">
                  <c:v>-1575947.7452054794</c:v>
                </c:pt>
                <c:pt idx="225">
                  <c:v>-1575947.7452054794</c:v>
                </c:pt>
                <c:pt idx="226">
                  <c:v>-1575947.7452054794</c:v>
                </c:pt>
                <c:pt idx="227">
                  <c:v>-1575947.7452054794</c:v>
                </c:pt>
                <c:pt idx="228">
                  <c:v>-1575947.7452054794</c:v>
                </c:pt>
                <c:pt idx="229">
                  <c:v>-1575947.7452054794</c:v>
                </c:pt>
                <c:pt idx="230">
                  <c:v>-1575947.7452054794</c:v>
                </c:pt>
                <c:pt idx="231">
                  <c:v>-1575947.7452054794</c:v>
                </c:pt>
                <c:pt idx="232">
                  <c:v>-1575947.7452054794</c:v>
                </c:pt>
                <c:pt idx="233">
                  <c:v>-1575947.7452054794</c:v>
                </c:pt>
                <c:pt idx="234">
                  <c:v>-1575947.7452054794</c:v>
                </c:pt>
                <c:pt idx="235">
                  <c:v>-1575947.7452054794</c:v>
                </c:pt>
                <c:pt idx="236">
                  <c:v>-1575947.7452054794</c:v>
                </c:pt>
                <c:pt idx="237">
                  <c:v>-1575947.7452054794</c:v>
                </c:pt>
                <c:pt idx="238">
                  <c:v>-1575947.7452054794</c:v>
                </c:pt>
                <c:pt idx="239">
                  <c:v>-1575947.7452054794</c:v>
                </c:pt>
                <c:pt idx="240">
                  <c:v>-1575947.7452054794</c:v>
                </c:pt>
                <c:pt idx="241">
                  <c:v>-1575947.7452054794</c:v>
                </c:pt>
                <c:pt idx="242">
                  <c:v>-1575947.7452054794</c:v>
                </c:pt>
                <c:pt idx="243">
                  <c:v>-1575947.7452054794</c:v>
                </c:pt>
                <c:pt idx="244">
                  <c:v>-1575947.7452054794</c:v>
                </c:pt>
                <c:pt idx="245">
                  <c:v>-1575947.7452054794</c:v>
                </c:pt>
                <c:pt idx="246">
                  <c:v>-1575947.7452054794</c:v>
                </c:pt>
                <c:pt idx="247">
                  <c:v>-1575947.7452054794</c:v>
                </c:pt>
                <c:pt idx="248">
                  <c:v>-1575947.7452054794</c:v>
                </c:pt>
                <c:pt idx="249">
                  <c:v>-1575947.7452054794</c:v>
                </c:pt>
                <c:pt idx="250">
                  <c:v>-1575947.7452054794</c:v>
                </c:pt>
                <c:pt idx="251">
                  <c:v>-1575947.7452054794</c:v>
                </c:pt>
                <c:pt idx="252">
                  <c:v>-1575947.7452054794</c:v>
                </c:pt>
                <c:pt idx="253">
                  <c:v>-1575947.7452054794</c:v>
                </c:pt>
                <c:pt idx="254">
                  <c:v>-1575947.7452054794</c:v>
                </c:pt>
                <c:pt idx="255">
                  <c:v>-1575947.7452054794</c:v>
                </c:pt>
                <c:pt idx="256">
                  <c:v>-1575947.7452054794</c:v>
                </c:pt>
                <c:pt idx="257">
                  <c:v>-1575947.7452054794</c:v>
                </c:pt>
                <c:pt idx="258">
                  <c:v>-1575947.7452054794</c:v>
                </c:pt>
                <c:pt idx="259">
                  <c:v>-1575947.7452054794</c:v>
                </c:pt>
                <c:pt idx="260">
                  <c:v>-1575947.7452054794</c:v>
                </c:pt>
                <c:pt idx="261">
                  <c:v>-1575947.7452054794</c:v>
                </c:pt>
                <c:pt idx="262">
                  <c:v>-1575947.7452054794</c:v>
                </c:pt>
                <c:pt idx="263">
                  <c:v>-1575947.7452054794</c:v>
                </c:pt>
                <c:pt idx="264">
                  <c:v>-1575947.7452054794</c:v>
                </c:pt>
                <c:pt idx="265">
                  <c:v>-1575947.7452054794</c:v>
                </c:pt>
                <c:pt idx="266">
                  <c:v>-1575947.7452054794</c:v>
                </c:pt>
                <c:pt idx="267">
                  <c:v>-1575947.7452054794</c:v>
                </c:pt>
                <c:pt idx="268">
                  <c:v>-1575947.7452054794</c:v>
                </c:pt>
                <c:pt idx="269">
                  <c:v>-1575947.7452054794</c:v>
                </c:pt>
                <c:pt idx="270">
                  <c:v>-1575947.7452054794</c:v>
                </c:pt>
                <c:pt idx="271">
                  <c:v>-1575947.7452054794</c:v>
                </c:pt>
                <c:pt idx="272">
                  <c:v>-1575947.7452054794</c:v>
                </c:pt>
                <c:pt idx="273">
                  <c:v>-1575947.7452054794</c:v>
                </c:pt>
                <c:pt idx="274">
                  <c:v>-1575947.7452054794</c:v>
                </c:pt>
                <c:pt idx="275">
                  <c:v>-1575947.7452054794</c:v>
                </c:pt>
                <c:pt idx="276">
                  <c:v>-1575947.7452054794</c:v>
                </c:pt>
                <c:pt idx="277">
                  <c:v>-1575947.7452054794</c:v>
                </c:pt>
                <c:pt idx="278">
                  <c:v>-1575947.7452054794</c:v>
                </c:pt>
                <c:pt idx="279">
                  <c:v>-1575947.7452054794</c:v>
                </c:pt>
                <c:pt idx="280">
                  <c:v>-1575947.7452054794</c:v>
                </c:pt>
                <c:pt idx="281">
                  <c:v>-1575947.7452054794</c:v>
                </c:pt>
                <c:pt idx="282">
                  <c:v>-1575947.7452054794</c:v>
                </c:pt>
                <c:pt idx="283">
                  <c:v>-1575947.7452054794</c:v>
                </c:pt>
                <c:pt idx="284">
                  <c:v>-1575947.7452054794</c:v>
                </c:pt>
                <c:pt idx="285">
                  <c:v>-1575947.7452054794</c:v>
                </c:pt>
                <c:pt idx="286">
                  <c:v>-1575947.7452054794</c:v>
                </c:pt>
                <c:pt idx="287">
                  <c:v>-1575947.7452054794</c:v>
                </c:pt>
                <c:pt idx="288">
                  <c:v>-1575947.7452054794</c:v>
                </c:pt>
                <c:pt idx="289">
                  <c:v>-1575947.7452054794</c:v>
                </c:pt>
                <c:pt idx="290">
                  <c:v>-1575947.7452054794</c:v>
                </c:pt>
                <c:pt idx="291">
                  <c:v>-1575947.7452054794</c:v>
                </c:pt>
                <c:pt idx="292">
                  <c:v>-1575947.7452054794</c:v>
                </c:pt>
                <c:pt idx="293">
                  <c:v>-1575947.7452054794</c:v>
                </c:pt>
                <c:pt idx="294">
                  <c:v>-1575947.7452054794</c:v>
                </c:pt>
                <c:pt idx="295">
                  <c:v>-1575947.7452054794</c:v>
                </c:pt>
                <c:pt idx="296">
                  <c:v>-1575947.7452054794</c:v>
                </c:pt>
                <c:pt idx="297">
                  <c:v>-1575947.7452054794</c:v>
                </c:pt>
                <c:pt idx="298">
                  <c:v>-1575947.7452054794</c:v>
                </c:pt>
                <c:pt idx="299">
                  <c:v>-1575947.7452054794</c:v>
                </c:pt>
                <c:pt idx="300">
                  <c:v>-1575947.7452054794</c:v>
                </c:pt>
                <c:pt idx="301">
                  <c:v>-1575947.7452054794</c:v>
                </c:pt>
                <c:pt idx="302">
                  <c:v>-1575947.7452054794</c:v>
                </c:pt>
                <c:pt idx="303">
                  <c:v>-1575947.7452054794</c:v>
                </c:pt>
                <c:pt idx="304">
                  <c:v>-1575947.7452054794</c:v>
                </c:pt>
                <c:pt idx="305">
                  <c:v>-1575947.7452054794</c:v>
                </c:pt>
                <c:pt idx="306">
                  <c:v>-1575947.7452054794</c:v>
                </c:pt>
                <c:pt idx="307">
                  <c:v>-1575947.7452054794</c:v>
                </c:pt>
                <c:pt idx="308">
                  <c:v>-1575947.7452054794</c:v>
                </c:pt>
                <c:pt idx="309">
                  <c:v>-1575947.7452054794</c:v>
                </c:pt>
                <c:pt idx="310">
                  <c:v>-1575947.7452054794</c:v>
                </c:pt>
                <c:pt idx="311">
                  <c:v>-1575947.7452054794</c:v>
                </c:pt>
                <c:pt idx="312">
                  <c:v>-1575947.7452054794</c:v>
                </c:pt>
                <c:pt idx="313">
                  <c:v>-1575947.7452054794</c:v>
                </c:pt>
                <c:pt idx="314">
                  <c:v>-1575947.7452054794</c:v>
                </c:pt>
                <c:pt idx="315">
                  <c:v>-1575947.7452054794</c:v>
                </c:pt>
                <c:pt idx="316">
                  <c:v>-1575947.7452054794</c:v>
                </c:pt>
                <c:pt idx="317">
                  <c:v>-1575947.7452054794</c:v>
                </c:pt>
                <c:pt idx="318">
                  <c:v>-1575947.7452054794</c:v>
                </c:pt>
                <c:pt idx="319">
                  <c:v>-1575947.7452054794</c:v>
                </c:pt>
                <c:pt idx="320">
                  <c:v>-1575947.7452054794</c:v>
                </c:pt>
                <c:pt idx="321">
                  <c:v>-1575947.7452054794</c:v>
                </c:pt>
                <c:pt idx="322">
                  <c:v>-1575947.7452054794</c:v>
                </c:pt>
                <c:pt idx="323">
                  <c:v>-1575947.7452054794</c:v>
                </c:pt>
                <c:pt idx="324">
                  <c:v>-1575947.7452054794</c:v>
                </c:pt>
                <c:pt idx="325">
                  <c:v>-1575947.7452054794</c:v>
                </c:pt>
                <c:pt idx="326">
                  <c:v>-1575947.7452054794</c:v>
                </c:pt>
                <c:pt idx="327">
                  <c:v>-1575947.7452054794</c:v>
                </c:pt>
                <c:pt idx="328">
                  <c:v>-1575947.7452054794</c:v>
                </c:pt>
                <c:pt idx="329">
                  <c:v>-1575947.7452054794</c:v>
                </c:pt>
                <c:pt idx="330">
                  <c:v>-1575947.7452054794</c:v>
                </c:pt>
                <c:pt idx="331">
                  <c:v>-1575947.7452054794</c:v>
                </c:pt>
                <c:pt idx="332">
                  <c:v>-1575947.7452054794</c:v>
                </c:pt>
                <c:pt idx="333">
                  <c:v>-1575947.7452054794</c:v>
                </c:pt>
                <c:pt idx="334">
                  <c:v>-1575947.7452054794</c:v>
                </c:pt>
                <c:pt idx="335">
                  <c:v>-1575947.7452054794</c:v>
                </c:pt>
                <c:pt idx="336">
                  <c:v>-1575947.7452054794</c:v>
                </c:pt>
                <c:pt idx="337">
                  <c:v>-1575947.7452054794</c:v>
                </c:pt>
                <c:pt idx="338">
                  <c:v>-1575947.7452054794</c:v>
                </c:pt>
                <c:pt idx="339">
                  <c:v>-1575947.7452054794</c:v>
                </c:pt>
                <c:pt idx="340">
                  <c:v>-1575947.7452054794</c:v>
                </c:pt>
                <c:pt idx="341">
                  <c:v>-1575947.7452054794</c:v>
                </c:pt>
                <c:pt idx="342">
                  <c:v>-1575947.7452054794</c:v>
                </c:pt>
                <c:pt idx="343">
                  <c:v>-1575947.7452054794</c:v>
                </c:pt>
                <c:pt idx="344">
                  <c:v>-1575947.7452054794</c:v>
                </c:pt>
                <c:pt idx="345">
                  <c:v>-1575947.7452054794</c:v>
                </c:pt>
                <c:pt idx="346">
                  <c:v>-1575947.7452054794</c:v>
                </c:pt>
                <c:pt idx="347">
                  <c:v>-1575947.7452054794</c:v>
                </c:pt>
                <c:pt idx="348">
                  <c:v>-1575947.7452054794</c:v>
                </c:pt>
                <c:pt idx="349">
                  <c:v>-1575947.7452054794</c:v>
                </c:pt>
                <c:pt idx="350">
                  <c:v>-1575947.7452054794</c:v>
                </c:pt>
                <c:pt idx="351">
                  <c:v>-1575947.7452054794</c:v>
                </c:pt>
                <c:pt idx="352">
                  <c:v>-1575947.7452054794</c:v>
                </c:pt>
                <c:pt idx="353">
                  <c:v>-1575947.7452054794</c:v>
                </c:pt>
                <c:pt idx="354">
                  <c:v>-1575947.7452054794</c:v>
                </c:pt>
                <c:pt idx="355">
                  <c:v>-1575947.7452054794</c:v>
                </c:pt>
                <c:pt idx="356">
                  <c:v>-1575947.7452054794</c:v>
                </c:pt>
                <c:pt idx="357">
                  <c:v>-1575947.7452054794</c:v>
                </c:pt>
                <c:pt idx="358">
                  <c:v>-1575947.7452054794</c:v>
                </c:pt>
                <c:pt idx="359">
                  <c:v>-1575947.7452054794</c:v>
                </c:pt>
                <c:pt idx="360">
                  <c:v>-1575947.7452054794</c:v>
                </c:pt>
                <c:pt idx="361">
                  <c:v>-1575947.7452054794</c:v>
                </c:pt>
                <c:pt idx="362">
                  <c:v>-1575947.7452054794</c:v>
                </c:pt>
                <c:pt idx="363">
                  <c:v>-1575947.7452054794</c:v>
                </c:pt>
                <c:pt idx="364">
                  <c:v>-1575947.7452054794</c:v>
                </c:pt>
              </c:numCache>
            </c:numRef>
          </c:val>
          <c:smooth val="0"/>
          <c:extLst>
            <c:ext xmlns:c16="http://schemas.microsoft.com/office/drawing/2014/chart" uri="{C3380CC4-5D6E-409C-BE32-E72D297353CC}">
              <c16:uniqueId val="{00000002-231D-4648-9B9A-A6E939FF7F90}"/>
            </c:ext>
          </c:extLst>
        </c:ser>
        <c:dLbls>
          <c:showLegendKey val="0"/>
          <c:showVal val="0"/>
          <c:showCatName val="0"/>
          <c:showSerName val="0"/>
          <c:showPercent val="0"/>
          <c:showBubbleSize val="0"/>
        </c:dLbls>
        <c:marker val="1"/>
        <c:smooth val="0"/>
        <c:axId val="220944696"/>
        <c:axId val="220945088"/>
      </c:lineChart>
      <c:dateAx>
        <c:axId val="220944696"/>
        <c:scaling>
          <c:orientation val="minMax"/>
        </c:scaling>
        <c:delete val="0"/>
        <c:axPos val="b"/>
        <c:numFmt formatCode="[$]mmm/yy;@" sourceLinked="0"/>
        <c:majorTickMark val="none"/>
        <c:minorTickMark val="none"/>
        <c:tickLblPos val="low"/>
        <c:spPr>
          <a:noFill/>
          <a:ln w="25400"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220945088"/>
        <c:crosses val="autoZero"/>
        <c:auto val="1"/>
        <c:lblOffset val="100"/>
        <c:baseTimeUnit val="days"/>
        <c:majorUnit val="1"/>
        <c:majorTimeUnit val="months"/>
      </c:dateAx>
      <c:valAx>
        <c:axId val="220945088"/>
        <c:scaling>
          <c:orientation val="minMax"/>
          <c:max val="80000000"/>
        </c:scaling>
        <c:delete val="0"/>
        <c:axPos val="l"/>
        <c:majorGridlines>
          <c:spPr>
            <a:ln w="9525" cap="flat" cmpd="sng" algn="ctr">
              <a:solidFill>
                <a:schemeClr val="tx1">
                  <a:lumMod val="15000"/>
                  <a:lumOff val="85000"/>
                </a:schemeClr>
              </a:solidFill>
              <a:prstDash val="sysDash"/>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0944696"/>
        <c:crosses val="autoZero"/>
        <c:crossBetween val="between"/>
        <c:majorUnit val="80000000"/>
        <c:dispUnits>
          <c:builtInUnit val="millions"/>
        </c:dispUnits>
      </c:valAx>
      <c:spPr>
        <a:noFill/>
        <a:ln>
          <a:noFill/>
        </a:ln>
        <a:effectLst/>
      </c:spPr>
    </c:plotArea>
    <c:legend>
      <c:legendPos val="b"/>
      <c:layout>
        <c:manualLayout>
          <c:xMode val="edge"/>
          <c:yMode val="edge"/>
          <c:x val="0.12977340795363546"/>
          <c:y val="0.94200741153294354"/>
          <c:w val="0.67314807871238325"/>
          <c:h val="5.443418197796794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rgbClr val="000000"/>
                </a:solidFill>
                <a:latin typeface="+mn-lt"/>
                <a:ea typeface="+mn-ea"/>
                <a:cs typeface="+mn-cs"/>
              </a:defRPr>
            </a:pPr>
            <a:r>
              <a:rPr lang="pt-PT" sz="1000" b="1">
                <a:solidFill>
                  <a:srgbClr val="000000"/>
                </a:solidFill>
              </a:rPr>
              <a:t>Daily Global Imbalance</a:t>
            </a:r>
          </a:p>
        </c:rich>
      </c:tx>
      <c:layout>
        <c:manualLayout>
          <c:xMode val="edge"/>
          <c:yMode val="edge"/>
          <c:x val="0.41340980525582444"/>
          <c:y val="1.4919806042521447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rgbClr val="000000"/>
              </a:solidFill>
              <a:latin typeface="+mn-lt"/>
              <a:ea typeface="+mn-ea"/>
              <a:cs typeface="+mn-cs"/>
            </a:defRPr>
          </a:pPr>
          <a:endParaRPr lang="es-ES"/>
        </a:p>
      </c:txPr>
    </c:title>
    <c:autoTitleDeleted val="0"/>
    <c:plotArea>
      <c:layout>
        <c:manualLayout>
          <c:layoutTarget val="inner"/>
          <c:xMode val="edge"/>
          <c:yMode val="edge"/>
          <c:x val="9.0397184087215143E-2"/>
          <c:y val="0.17207922843407789"/>
          <c:w val="0.89310018913640465"/>
          <c:h val="0.61196871739727887"/>
        </c:manualLayout>
      </c:layout>
      <c:barChart>
        <c:barDir val="col"/>
        <c:grouping val="clustered"/>
        <c:varyColors val="0"/>
        <c:ser>
          <c:idx val="1"/>
          <c:order val="1"/>
          <c:tx>
            <c:strRef>
              <c:f>parágrafo_3.7!$V$2</c:f>
              <c:strCache>
                <c:ptCount val="1"/>
                <c:pt idx="0">
                  <c:v>Users long</c:v>
                </c:pt>
              </c:strCache>
            </c:strRef>
          </c:tx>
          <c:spPr>
            <a:solidFill>
              <a:srgbClr val="196FD7"/>
            </a:solidFill>
            <a:ln>
              <a:solidFill>
                <a:srgbClr val="196FD7"/>
              </a:solidFill>
            </a:ln>
            <a:effectLst/>
          </c:spPr>
          <c:invertIfNegative val="0"/>
          <c:val>
            <c:numRef>
              <c:f>parágrafo_3.7!$V$4:$V$368</c:f>
              <c:numCache>
                <c:formatCode>General</c:formatCode>
                <c:ptCount val="365"/>
                <c:pt idx="0">
                  <c:v>1151.18</c:v>
                </c:pt>
                <c:pt idx="1">
                  <c:v>2069.2399999999998</c:v>
                </c:pt>
                <c:pt idx="2">
                  <c:v>10.97</c:v>
                </c:pt>
                <c:pt idx="3">
                  <c:v>1.36</c:v>
                </c:pt>
                <c:pt idx="4">
                  <c:v>2947.53</c:v>
                </c:pt>
                <c:pt idx="5">
                  <c:v>882.51</c:v>
                </c:pt>
                <c:pt idx="6">
                  <c:v>22.94</c:v>
                </c:pt>
                <c:pt idx="7">
                  <c:v>1501.37</c:v>
                </c:pt>
                <c:pt idx="8">
                  <c:v>1973.76</c:v>
                </c:pt>
                <c:pt idx="9">
                  <c:v>8.14</c:v>
                </c:pt>
                <c:pt idx="10">
                  <c:v>7.07</c:v>
                </c:pt>
                <c:pt idx="11">
                  <c:v>11.9</c:v>
                </c:pt>
                <c:pt idx="12">
                  <c:v>6.84</c:v>
                </c:pt>
                <c:pt idx="13">
                  <c:v>6.08</c:v>
                </c:pt>
                <c:pt idx="14">
                  <c:v>139.47999999999999</c:v>
                </c:pt>
                <c:pt idx="15">
                  <c:v>6.32</c:v>
                </c:pt>
                <c:pt idx="16">
                  <c:v>14.77</c:v>
                </c:pt>
                <c:pt idx="17">
                  <c:v>181.22</c:v>
                </c:pt>
                <c:pt idx="18">
                  <c:v>0</c:v>
                </c:pt>
                <c:pt idx="19">
                  <c:v>184.15</c:v>
                </c:pt>
                <c:pt idx="20">
                  <c:v>228.27</c:v>
                </c:pt>
                <c:pt idx="21">
                  <c:v>301.61</c:v>
                </c:pt>
                <c:pt idx="22">
                  <c:v>620.95000000000005</c:v>
                </c:pt>
                <c:pt idx="23">
                  <c:v>169.22</c:v>
                </c:pt>
                <c:pt idx="24">
                  <c:v>273.27</c:v>
                </c:pt>
                <c:pt idx="25">
                  <c:v>103.66</c:v>
                </c:pt>
                <c:pt idx="26">
                  <c:v>1249.05</c:v>
                </c:pt>
                <c:pt idx="27">
                  <c:v>735.24</c:v>
                </c:pt>
                <c:pt idx="28">
                  <c:v>1213.72</c:v>
                </c:pt>
                <c:pt idx="29">
                  <c:v>1066.71</c:v>
                </c:pt>
                <c:pt idx="30">
                  <c:v>871.05</c:v>
                </c:pt>
                <c:pt idx="31">
                  <c:v>3657.36</c:v>
                </c:pt>
                <c:pt idx="32">
                  <c:v>346.28</c:v>
                </c:pt>
                <c:pt idx="33">
                  <c:v>193.61</c:v>
                </c:pt>
                <c:pt idx="34">
                  <c:v>0</c:v>
                </c:pt>
                <c:pt idx="35">
                  <c:v>11.14</c:v>
                </c:pt>
                <c:pt idx="36">
                  <c:v>13.4</c:v>
                </c:pt>
                <c:pt idx="37">
                  <c:v>9.99</c:v>
                </c:pt>
                <c:pt idx="38">
                  <c:v>9.99</c:v>
                </c:pt>
                <c:pt idx="39">
                  <c:v>9.99</c:v>
                </c:pt>
                <c:pt idx="40">
                  <c:v>9.99</c:v>
                </c:pt>
                <c:pt idx="41">
                  <c:v>9.98</c:v>
                </c:pt>
                <c:pt idx="42">
                  <c:v>0</c:v>
                </c:pt>
                <c:pt idx="43">
                  <c:v>0.57999999999999996</c:v>
                </c:pt>
                <c:pt idx="44">
                  <c:v>0</c:v>
                </c:pt>
                <c:pt idx="45">
                  <c:v>0</c:v>
                </c:pt>
                <c:pt idx="46">
                  <c:v>0</c:v>
                </c:pt>
                <c:pt idx="47">
                  <c:v>22.86</c:v>
                </c:pt>
                <c:pt idx="48">
                  <c:v>0</c:v>
                </c:pt>
                <c:pt idx="49">
                  <c:v>0.57999999999999996</c:v>
                </c:pt>
                <c:pt idx="50">
                  <c:v>0</c:v>
                </c:pt>
                <c:pt idx="51">
                  <c:v>42.74</c:v>
                </c:pt>
                <c:pt idx="52">
                  <c:v>0</c:v>
                </c:pt>
                <c:pt idx="53">
                  <c:v>25.37</c:v>
                </c:pt>
                <c:pt idx="54">
                  <c:v>0</c:v>
                </c:pt>
                <c:pt idx="55">
                  <c:v>35.380000000000003</c:v>
                </c:pt>
                <c:pt idx="56">
                  <c:v>0</c:v>
                </c:pt>
                <c:pt idx="57">
                  <c:v>9.7200000000000006</c:v>
                </c:pt>
                <c:pt idx="58">
                  <c:v>0</c:v>
                </c:pt>
                <c:pt idx="59">
                  <c:v>0</c:v>
                </c:pt>
                <c:pt idx="60">
                  <c:v>35.94</c:v>
                </c:pt>
                <c:pt idx="61">
                  <c:v>118.06</c:v>
                </c:pt>
                <c:pt idx="62">
                  <c:v>0.21</c:v>
                </c:pt>
                <c:pt idx="63">
                  <c:v>5.51</c:v>
                </c:pt>
                <c:pt idx="64">
                  <c:v>4.47</c:v>
                </c:pt>
                <c:pt idx="65">
                  <c:v>895.16</c:v>
                </c:pt>
                <c:pt idx="66">
                  <c:v>396.36</c:v>
                </c:pt>
                <c:pt idx="67">
                  <c:v>359.03</c:v>
                </c:pt>
                <c:pt idx="68">
                  <c:v>5.07</c:v>
                </c:pt>
                <c:pt idx="69">
                  <c:v>2383.42</c:v>
                </c:pt>
                <c:pt idx="70">
                  <c:v>9.16</c:v>
                </c:pt>
                <c:pt idx="71">
                  <c:v>9.09</c:v>
                </c:pt>
                <c:pt idx="72">
                  <c:v>745.87</c:v>
                </c:pt>
                <c:pt idx="73">
                  <c:v>0</c:v>
                </c:pt>
                <c:pt idx="74">
                  <c:v>0</c:v>
                </c:pt>
                <c:pt idx="75">
                  <c:v>0</c:v>
                </c:pt>
                <c:pt idx="76">
                  <c:v>0</c:v>
                </c:pt>
                <c:pt idx="77">
                  <c:v>1.67</c:v>
                </c:pt>
                <c:pt idx="78">
                  <c:v>1.82</c:v>
                </c:pt>
                <c:pt idx="79">
                  <c:v>161.91</c:v>
                </c:pt>
                <c:pt idx="80">
                  <c:v>253.62</c:v>
                </c:pt>
                <c:pt idx="81">
                  <c:v>0</c:v>
                </c:pt>
                <c:pt idx="82">
                  <c:v>208.34</c:v>
                </c:pt>
                <c:pt idx="83">
                  <c:v>1497.29</c:v>
                </c:pt>
                <c:pt idx="84">
                  <c:v>413.11</c:v>
                </c:pt>
                <c:pt idx="85">
                  <c:v>2.83</c:v>
                </c:pt>
                <c:pt idx="86">
                  <c:v>1465.1</c:v>
                </c:pt>
                <c:pt idx="87">
                  <c:v>0</c:v>
                </c:pt>
                <c:pt idx="88">
                  <c:v>1616.34</c:v>
                </c:pt>
                <c:pt idx="89">
                  <c:v>902.08</c:v>
                </c:pt>
                <c:pt idx="90">
                  <c:v>443.61</c:v>
                </c:pt>
                <c:pt idx="91">
                  <c:v>868.41</c:v>
                </c:pt>
                <c:pt idx="92" formatCode="#,##0">
                  <c:v>274.01</c:v>
                </c:pt>
                <c:pt idx="93" formatCode="#,##0">
                  <c:v>73.650000000000006</c:v>
                </c:pt>
                <c:pt idx="94" formatCode="#,##0">
                  <c:v>0</c:v>
                </c:pt>
                <c:pt idx="95" formatCode="#,##0">
                  <c:v>581.08000000000004</c:v>
                </c:pt>
                <c:pt idx="96" formatCode="#,##0">
                  <c:v>100.14</c:v>
                </c:pt>
                <c:pt idx="97" formatCode="#,##0">
                  <c:v>0.2</c:v>
                </c:pt>
                <c:pt idx="98" formatCode="#,##0">
                  <c:v>0.77</c:v>
                </c:pt>
                <c:pt idx="99" formatCode="#,##0">
                  <c:v>6.69</c:v>
                </c:pt>
                <c:pt idx="100" formatCode="#,##0">
                  <c:v>0</c:v>
                </c:pt>
                <c:pt idx="101" formatCode="#,##0">
                  <c:v>25.77</c:v>
                </c:pt>
                <c:pt idx="102" formatCode="#,##0">
                  <c:v>165.5</c:v>
                </c:pt>
                <c:pt idx="103" formatCode="#,##0">
                  <c:v>44.24</c:v>
                </c:pt>
                <c:pt idx="104" formatCode="#,##0">
                  <c:v>407.9</c:v>
                </c:pt>
                <c:pt idx="105" formatCode="#,##0">
                  <c:v>494.75</c:v>
                </c:pt>
                <c:pt idx="106" formatCode="#,##0">
                  <c:v>0.23</c:v>
                </c:pt>
                <c:pt idx="107" formatCode="#,##0">
                  <c:v>0.43</c:v>
                </c:pt>
                <c:pt idx="108" formatCode="#,##0">
                  <c:v>0.79</c:v>
                </c:pt>
                <c:pt idx="109" formatCode="#,##0">
                  <c:v>10.130000000000001</c:v>
                </c:pt>
                <c:pt idx="110" formatCode="#,##0">
                  <c:v>0.32</c:v>
                </c:pt>
                <c:pt idx="111" formatCode="#,##0">
                  <c:v>0</c:v>
                </c:pt>
                <c:pt idx="112" formatCode="#,##0">
                  <c:v>0</c:v>
                </c:pt>
                <c:pt idx="113" formatCode="#,##0">
                  <c:v>0</c:v>
                </c:pt>
                <c:pt idx="114" formatCode="#,##0">
                  <c:v>27.03</c:v>
                </c:pt>
                <c:pt idx="115" formatCode="#,##0">
                  <c:v>0</c:v>
                </c:pt>
                <c:pt idx="116" formatCode="#,##0">
                  <c:v>353.63</c:v>
                </c:pt>
                <c:pt idx="117" formatCode="#,##0">
                  <c:v>155.08000000000001</c:v>
                </c:pt>
                <c:pt idx="118" formatCode="#,##0">
                  <c:v>894.18</c:v>
                </c:pt>
                <c:pt idx="119" formatCode="#,##0">
                  <c:v>173.23</c:v>
                </c:pt>
                <c:pt idx="120" formatCode="#,##0">
                  <c:v>79.8</c:v>
                </c:pt>
                <c:pt idx="121" formatCode="#,##0">
                  <c:v>761.44</c:v>
                </c:pt>
                <c:pt idx="122" formatCode="#,##0">
                  <c:v>48.14</c:v>
                </c:pt>
                <c:pt idx="123" formatCode="#,##0">
                  <c:v>2195.29</c:v>
                </c:pt>
                <c:pt idx="124" formatCode="#,##0">
                  <c:v>2489.64</c:v>
                </c:pt>
                <c:pt idx="125" formatCode="#,##0">
                  <c:v>2.25</c:v>
                </c:pt>
                <c:pt idx="126" formatCode="#,##0">
                  <c:v>269.26</c:v>
                </c:pt>
                <c:pt idx="127" formatCode="#,##0">
                  <c:v>3.9</c:v>
                </c:pt>
                <c:pt idx="128" formatCode="#,##0">
                  <c:v>2.44</c:v>
                </c:pt>
                <c:pt idx="129" formatCode="#,##0">
                  <c:v>1.55</c:v>
                </c:pt>
                <c:pt idx="130" formatCode="#,##0">
                  <c:v>1.26</c:v>
                </c:pt>
                <c:pt idx="131" formatCode="#,##0">
                  <c:v>1.05</c:v>
                </c:pt>
                <c:pt idx="132" formatCode="#,##0">
                  <c:v>14.3</c:v>
                </c:pt>
                <c:pt idx="133" formatCode="#,##0">
                  <c:v>0</c:v>
                </c:pt>
                <c:pt idx="134" formatCode="#,##0">
                  <c:v>0</c:v>
                </c:pt>
                <c:pt idx="135" formatCode="#,##0">
                  <c:v>19.02</c:v>
                </c:pt>
                <c:pt idx="136" formatCode="#,##0">
                  <c:v>1236.8399999999999</c:v>
                </c:pt>
                <c:pt idx="137" formatCode="#,##0">
                  <c:v>22.2</c:v>
                </c:pt>
                <c:pt idx="138" formatCode="#,##0">
                  <c:v>0</c:v>
                </c:pt>
                <c:pt idx="139" formatCode="#,##0">
                  <c:v>0</c:v>
                </c:pt>
                <c:pt idx="140" formatCode="#,##0">
                  <c:v>13.58</c:v>
                </c:pt>
                <c:pt idx="141" formatCode="#,##0">
                  <c:v>5.6</c:v>
                </c:pt>
                <c:pt idx="142" formatCode="#,##0">
                  <c:v>0</c:v>
                </c:pt>
                <c:pt idx="143" formatCode="#,##0">
                  <c:v>2.98</c:v>
                </c:pt>
                <c:pt idx="144" formatCode="#,##0">
                  <c:v>22.19</c:v>
                </c:pt>
                <c:pt idx="145" formatCode="#,##0">
                  <c:v>23.05</c:v>
                </c:pt>
                <c:pt idx="146" formatCode="#,##0">
                  <c:v>4.29</c:v>
                </c:pt>
                <c:pt idx="147" formatCode="#,##0">
                  <c:v>5.75</c:v>
                </c:pt>
                <c:pt idx="148" formatCode="#,##0">
                  <c:v>5.75</c:v>
                </c:pt>
                <c:pt idx="149" formatCode="#,##0">
                  <c:v>694.3</c:v>
                </c:pt>
                <c:pt idx="150" formatCode="#,##0">
                  <c:v>0</c:v>
                </c:pt>
                <c:pt idx="151" formatCode="#,##0">
                  <c:v>0</c:v>
                </c:pt>
                <c:pt idx="152" formatCode="#,##0">
                  <c:v>0</c:v>
                </c:pt>
                <c:pt idx="153" formatCode="#,##0">
                  <c:v>1.83</c:v>
                </c:pt>
                <c:pt idx="154" formatCode="#,##0">
                  <c:v>0</c:v>
                </c:pt>
                <c:pt idx="155" formatCode="#,##0">
                  <c:v>1.76</c:v>
                </c:pt>
                <c:pt idx="156" formatCode="#,##0">
                  <c:v>2.5</c:v>
                </c:pt>
                <c:pt idx="157" formatCode="#,##0">
                  <c:v>2.54</c:v>
                </c:pt>
                <c:pt idx="158" formatCode="#,##0">
                  <c:v>2.91</c:v>
                </c:pt>
                <c:pt idx="159" formatCode="#,##0">
                  <c:v>100.85</c:v>
                </c:pt>
                <c:pt idx="160" formatCode="#,##0">
                  <c:v>629.91</c:v>
                </c:pt>
                <c:pt idx="161" formatCode="#,##0">
                  <c:v>512.66999999999996</c:v>
                </c:pt>
                <c:pt idx="162" formatCode="#,##0">
                  <c:v>6.81</c:v>
                </c:pt>
                <c:pt idx="163" formatCode="#,##0">
                  <c:v>2.82</c:v>
                </c:pt>
                <c:pt idx="164" formatCode="#,##0">
                  <c:v>5.55</c:v>
                </c:pt>
                <c:pt idx="165" formatCode="#,##0">
                  <c:v>0</c:v>
                </c:pt>
                <c:pt idx="166" formatCode="#,##0">
                  <c:v>7.0000000000000007E-2</c:v>
                </c:pt>
                <c:pt idx="167" formatCode="#,##0">
                  <c:v>0.81</c:v>
                </c:pt>
                <c:pt idx="168" formatCode="#,##0">
                  <c:v>5.07</c:v>
                </c:pt>
                <c:pt idx="169" formatCode="#,##0">
                  <c:v>8.7100000000000009</c:v>
                </c:pt>
                <c:pt idx="170" formatCode="#,##0">
                  <c:v>1.26</c:v>
                </c:pt>
                <c:pt idx="171" formatCode="#,##0">
                  <c:v>0.87</c:v>
                </c:pt>
                <c:pt idx="172" formatCode="#,##0">
                  <c:v>4.34</c:v>
                </c:pt>
                <c:pt idx="173" formatCode="#,##0">
                  <c:v>1.55</c:v>
                </c:pt>
                <c:pt idx="174" formatCode="#,##0">
                  <c:v>0.71</c:v>
                </c:pt>
                <c:pt idx="175" formatCode="#,##0">
                  <c:v>0</c:v>
                </c:pt>
                <c:pt idx="176" formatCode="#,##0">
                  <c:v>0</c:v>
                </c:pt>
                <c:pt idx="177" formatCode="#,##0">
                  <c:v>0</c:v>
                </c:pt>
                <c:pt idx="178" formatCode="#,##0">
                  <c:v>0</c:v>
                </c:pt>
                <c:pt idx="179" formatCode="#,##0">
                  <c:v>0</c:v>
                </c:pt>
                <c:pt idx="180" formatCode="#,##0">
                  <c:v>0</c:v>
                </c:pt>
                <c:pt idx="181" formatCode="#,##0">
                  <c:v>7.69</c:v>
                </c:pt>
                <c:pt idx="182" formatCode="#,##0">
                  <c:v>2.5499999999999998</c:v>
                </c:pt>
                <c:pt idx="183" formatCode="#,##0">
                  <c:v>1040.75</c:v>
                </c:pt>
                <c:pt idx="184" formatCode="#,##0">
                  <c:v>339.51</c:v>
                </c:pt>
                <c:pt idx="185" formatCode="#,##0">
                  <c:v>0</c:v>
                </c:pt>
                <c:pt idx="186" formatCode="#,##0">
                  <c:v>219.94</c:v>
                </c:pt>
                <c:pt idx="187" formatCode="#,##0">
                  <c:v>1.76</c:v>
                </c:pt>
                <c:pt idx="188" formatCode="#,##0">
                  <c:v>0</c:v>
                </c:pt>
                <c:pt idx="189" formatCode="#,##0">
                  <c:v>0.53</c:v>
                </c:pt>
                <c:pt idx="190" formatCode="#,##0">
                  <c:v>0.69</c:v>
                </c:pt>
                <c:pt idx="191" formatCode="#,##0">
                  <c:v>0</c:v>
                </c:pt>
                <c:pt idx="192" formatCode="#,##0">
                  <c:v>0</c:v>
                </c:pt>
                <c:pt idx="193" formatCode="#,##0">
                  <c:v>0</c:v>
                </c:pt>
                <c:pt idx="194" formatCode="#,##0">
                  <c:v>174.89</c:v>
                </c:pt>
                <c:pt idx="195" formatCode="#,##0">
                  <c:v>0</c:v>
                </c:pt>
                <c:pt idx="196" formatCode="#,##0">
                  <c:v>0.04</c:v>
                </c:pt>
                <c:pt idx="197" formatCode="#,##0">
                  <c:v>798.31</c:v>
                </c:pt>
                <c:pt idx="198" formatCode="#,##0">
                  <c:v>1226.9100000000001</c:v>
                </c:pt>
                <c:pt idx="199" formatCode="#,##0">
                  <c:v>605</c:v>
                </c:pt>
                <c:pt idx="200" formatCode="#,##0">
                  <c:v>0</c:v>
                </c:pt>
                <c:pt idx="201" formatCode="#,##0">
                  <c:v>0</c:v>
                </c:pt>
                <c:pt idx="202" formatCode="#,##0">
                  <c:v>0</c:v>
                </c:pt>
                <c:pt idx="203" formatCode="#,##0">
                  <c:v>0</c:v>
                </c:pt>
                <c:pt idx="204" formatCode="#,##0">
                  <c:v>0.9</c:v>
                </c:pt>
                <c:pt idx="205" formatCode="#,##0">
                  <c:v>29.23</c:v>
                </c:pt>
                <c:pt idx="206" formatCode="#,##0">
                  <c:v>3.29</c:v>
                </c:pt>
                <c:pt idx="207" formatCode="#,##0">
                  <c:v>1.92</c:v>
                </c:pt>
                <c:pt idx="208" formatCode="#,##0">
                  <c:v>2.56</c:v>
                </c:pt>
                <c:pt idx="209" formatCode="#,##0">
                  <c:v>1.24</c:v>
                </c:pt>
                <c:pt idx="210" formatCode="#,##0">
                  <c:v>2.87</c:v>
                </c:pt>
                <c:pt idx="211" formatCode="#,##0">
                  <c:v>43.41</c:v>
                </c:pt>
                <c:pt idx="212" formatCode="#,##0">
                  <c:v>0.76</c:v>
                </c:pt>
                <c:pt idx="213" formatCode="#,##0">
                  <c:v>3.23</c:v>
                </c:pt>
                <c:pt idx="214" formatCode="#,##0">
                  <c:v>1.84</c:v>
                </c:pt>
                <c:pt idx="215" formatCode="#,##0">
                  <c:v>48.64</c:v>
                </c:pt>
                <c:pt idx="216" formatCode="#,##0">
                  <c:v>1.95</c:v>
                </c:pt>
                <c:pt idx="217" formatCode="#,##0">
                  <c:v>5.4</c:v>
                </c:pt>
                <c:pt idx="218" formatCode="#,##0">
                  <c:v>4.66</c:v>
                </c:pt>
                <c:pt idx="219" formatCode="#,##0">
                  <c:v>9.14</c:v>
                </c:pt>
                <c:pt idx="220" formatCode="#,##0">
                  <c:v>8.35</c:v>
                </c:pt>
                <c:pt idx="221" formatCode="#,##0">
                  <c:v>7.41</c:v>
                </c:pt>
                <c:pt idx="222" formatCode="#,##0">
                  <c:v>6.74</c:v>
                </c:pt>
                <c:pt idx="223" formatCode="#,##0">
                  <c:v>6.67</c:v>
                </c:pt>
                <c:pt idx="224" formatCode="#,##0">
                  <c:v>89.85</c:v>
                </c:pt>
                <c:pt idx="225" formatCode="#,##0">
                  <c:v>6.78</c:v>
                </c:pt>
                <c:pt idx="226" formatCode="#,##0">
                  <c:v>6.99</c:v>
                </c:pt>
                <c:pt idx="227" formatCode="#,##0">
                  <c:v>6.88</c:v>
                </c:pt>
                <c:pt idx="228" formatCode="#,##0">
                  <c:v>6.25</c:v>
                </c:pt>
                <c:pt idx="229" formatCode="#,##0">
                  <c:v>1.24</c:v>
                </c:pt>
                <c:pt idx="230" formatCode="#,##0">
                  <c:v>0.41</c:v>
                </c:pt>
                <c:pt idx="231" formatCode="#,##0">
                  <c:v>1.03</c:v>
                </c:pt>
                <c:pt idx="232" formatCode="#,##0">
                  <c:v>216.02</c:v>
                </c:pt>
                <c:pt idx="233" formatCode="#,##0">
                  <c:v>1.47</c:v>
                </c:pt>
                <c:pt idx="234" formatCode="#,##0">
                  <c:v>0.59</c:v>
                </c:pt>
                <c:pt idx="235" formatCode="#,##0">
                  <c:v>0</c:v>
                </c:pt>
                <c:pt idx="236" formatCode="#,##0">
                  <c:v>0</c:v>
                </c:pt>
                <c:pt idx="237" formatCode="#,##0">
                  <c:v>0</c:v>
                </c:pt>
                <c:pt idx="238" formatCode="#,##0">
                  <c:v>0.4</c:v>
                </c:pt>
                <c:pt idx="239" formatCode="#,##0">
                  <c:v>0.56000000000000005</c:v>
                </c:pt>
                <c:pt idx="240" formatCode="#,##0">
                  <c:v>1.03</c:v>
                </c:pt>
                <c:pt idx="241" formatCode="#,##0">
                  <c:v>1443.82</c:v>
                </c:pt>
                <c:pt idx="242" formatCode="#,##0">
                  <c:v>152.06</c:v>
                </c:pt>
                <c:pt idx="243" formatCode="#,##0">
                  <c:v>469.34</c:v>
                </c:pt>
                <c:pt idx="244" formatCode="#,##0">
                  <c:v>0</c:v>
                </c:pt>
                <c:pt idx="245" formatCode="#,##0">
                  <c:v>0</c:v>
                </c:pt>
                <c:pt idx="246" formatCode="#,##0">
                  <c:v>0.05</c:v>
                </c:pt>
                <c:pt idx="247" formatCode="#,##0">
                  <c:v>398.81</c:v>
                </c:pt>
                <c:pt idx="248" formatCode="#,##0">
                  <c:v>0</c:v>
                </c:pt>
                <c:pt idx="249" formatCode="#,##0">
                  <c:v>0</c:v>
                </c:pt>
                <c:pt idx="250" formatCode="#,##0">
                  <c:v>0</c:v>
                </c:pt>
                <c:pt idx="251" formatCode="#,##0">
                  <c:v>1.18</c:v>
                </c:pt>
                <c:pt idx="252" formatCode="#,##0">
                  <c:v>0</c:v>
                </c:pt>
                <c:pt idx="253" formatCode="#,##0">
                  <c:v>6.65</c:v>
                </c:pt>
                <c:pt idx="254" formatCode="#,##0">
                  <c:v>0</c:v>
                </c:pt>
                <c:pt idx="255" formatCode="#,##0">
                  <c:v>0.71</c:v>
                </c:pt>
                <c:pt idx="256" formatCode="#,##0">
                  <c:v>29.98</c:v>
                </c:pt>
                <c:pt idx="257" formatCode="#,##0">
                  <c:v>2264.9899999999998</c:v>
                </c:pt>
                <c:pt idx="258" formatCode="#,##0">
                  <c:v>134.81</c:v>
                </c:pt>
                <c:pt idx="259" formatCode="#,##0">
                  <c:v>589.80999999999995</c:v>
                </c:pt>
                <c:pt idx="260" formatCode="#,##0">
                  <c:v>25.3</c:v>
                </c:pt>
                <c:pt idx="261" formatCode="#,##0">
                  <c:v>122.11</c:v>
                </c:pt>
                <c:pt idx="262" formatCode="#,##0">
                  <c:v>1.57</c:v>
                </c:pt>
                <c:pt idx="263" formatCode="#,##0">
                  <c:v>1.1000000000000001</c:v>
                </c:pt>
                <c:pt idx="264" formatCode="#,##0">
                  <c:v>0.49</c:v>
                </c:pt>
                <c:pt idx="265" formatCode="#,##0">
                  <c:v>2.74</c:v>
                </c:pt>
                <c:pt idx="266" formatCode="#,##0">
                  <c:v>0</c:v>
                </c:pt>
                <c:pt idx="267" formatCode="#,##0">
                  <c:v>0</c:v>
                </c:pt>
                <c:pt idx="268" formatCode="#,##0">
                  <c:v>0</c:v>
                </c:pt>
                <c:pt idx="269" formatCode="#,##0">
                  <c:v>0</c:v>
                </c:pt>
                <c:pt idx="270" formatCode="#,##0">
                  <c:v>2447.19</c:v>
                </c:pt>
                <c:pt idx="271" formatCode="#,##0">
                  <c:v>1119.3900000000001</c:v>
                </c:pt>
                <c:pt idx="272" formatCode="#,##0">
                  <c:v>2777.91</c:v>
                </c:pt>
                <c:pt idx="273" formatCode="#,##0">
                  <c:v>101.42</c:v>
                </c:pt>
                <c:pt idx="274" formatCode="#,##0">
                  <c:v>156.54</c:v>
                </c:pt>
                <c:pt idx="275" formatCode="#,##0">
                  <c:v>11.33</c:v>
                </c:pt>
                <c:pt idx="276" formatCode="#,##0">
                  <c:v>9.4700000000000006</c:v>
                </c:pt>
                <c:pt idx="277" formatCode="#,##0">
                  <c:v>9.94</c:v>
                </c:pt>
                <c:pt idx="278" formatCode="#,##0">
                  <c:v>8.11</c:v>
                </c:pt>
                <c:pt idx="279" formatCode="#,##0">
                  <c:v>8.58</c:v>
                </c:pt>
                <c:pt idx="280" formatCode="#,##0">
                  <c:v>0</c:v>
                </c:pt>
                <c:pt idx="281" formatCode="#,##0">
                  <c:v>336.23</c:v>
                </c:pt>
                <c:pt idx="282" formatCode="#,##0">
                  <c:v>5.27</c:v>
                </c:pt>
                <c:pt idx="283" formatCode="#,##0">
                  <c:v>0.77</c:v>
                </c:pt>
                <c:pt idx="284" formatCode="#,##0">
                  <c:v>0.49</c:v>
                </c:pt>
                <c:pt idx="285" formatCode="#,##0">
                  <c:v>11.34</c:v>
                </c:pt>
                <c:pt idx="286" formatCode="#,##0">
                  <c:v>13.66</c:v>
                </c:pt>
                <c:pt idx="287" formatCode="#,##0">
                  <c:v>6.11</c:v>
                </c:pt>
                <c:pt idx="288" formatCode="#,##0">
                  <c:v>0</c:v>
                </c:pt>
                <c:pt idx="289" formatCode="#,##0">
                  <c:v>0</c:v>
                </c:pt>
                <c:pt idx="290" formatCode="#,##0">
                  <c:v>1.26</c:v>
                </c:pt>
                <c:pt idx="291" formatCode="#,##0">
                  <c:v>0</c:v>
                </c:pt>
                <c:pt idx="292" formatCode="#,##0">
                  <c:v>0</c:v>
                </c:pt>
                <c:pt idx="293" formatCode="#,##0">
                  <c:v>0</c:v>
                </c:pt>
                <c:pt idx="294" formatCode="#,##0">
                  <c:v>0</c:v>
                </c:pt>
                <c:pt idx="295" formatCode="#,##0">
                  <c:v>105.62</c:v>
                </c:pt>
                <c:pt idx="296" formatCode="#,##0">
                  <c:v>0</c:v>
                </c:pt>
                <c:pt idx="297" formatCode="#,##0">
                  <c:v>0</c:v>
                </c:pt>
                <c:pt idx="298" formatCode="#,##0">
                  <c:v>0</c:v>
                </c:pt>
                <c:pt idx="299" formatCode="#,##0">
                  <c:v>2.74</c:v>
                </c:pt>
                <c:pt idx="300" formatCode="#,##0">
                  <c:v>254.23</c:v>
                </c:pt>
                <c:pt idx="301" formatCode="#,##0">
                  <c:v>1812.06</c:v>
                </c:pt>
                <c:pt idx="302" formatCode="#,##0">
                  <c:v>2084.1799999999998</c:v>
                </c:pt>
                <c:pt idx="303" formatCode="#,##0">
                  <c:v>1489.47</c:v>
                </c:pt>
                <c:pt idx="304" formatCode="#,##0">
                  <c:v>2630.47</c:v>
                </c:pt>
                <c:pt idx="305" formatCode="#,##0">
                  <c:v>2732.89</c:v>
                </c:pt>
                <c:pt idx="306" formatCode="#,##0">
                  <c:v>0</c:v>
                </c:pt>
                <c:pt idx="307" formatCode="#,##0">
                  <c:v>795.97</c:v>
                </c:pt>
                <c:pt idx="308" formatCode="#,##0">
                  <c:v>4902.03</c:v>
                </c:pt>
                <c:pt idx="309" formatCode="#,##0">
                  <c:v>2159.6799999999998</c:v>
                </c:pt>
                <c:pt idx="310" formatCode="#,##0">
                  <c:v>0</c:v>
                </c:pt>
                <c:pt idx="311" formatCode="#,##0">
                  <c:v>62.1</c:v>
                </c:pt>
                <c:pt idx="312" formatCode="#,##0">
                  <c:v>0</c:v>
                </c:pt>
                <c:pt idx="313" formatCode="#,##0">
                  <c:v>0</c:v>
                </c:pt>
                <c:pt idx="314" formatCode="#,##0">
                  <c:v>0.4</c:v>
                </c:pt>
                <c:pt idx="315" formatCode="#,##0">
                  <c:v>0.36</c:v>
                </c:pt>
                <c:pt idx="316" formatCode="#,##0">
                  <c:v>20.66</c:v>
                </c:pt>
                <c:pt idx="317" formatCode="#,##0">
                  <c:v>2.71</c:v>
                </c:pt>
                <c:pt idx="318" formatCode="#,##0">
                  <c:v>16.47</c:v>
                </c:pt>
                <c:pt idx="319" formatCode="#,##0">
                  <c:v>400.99</c:v>
                </c:pt>
                <c:pt idx="320" formatCode="#,##0">
                  <c:v>3.62</c:v>
                </c:pt>
                <c:pt idx="321" formatCode="#,##0">
                  <c:v>9.2200000000000006</c:v>
                </c:pt>
                <c:pt idx="322" formatCode="#,##0">
                  <c:v>149.87</c:v>
                </c:pt>
                <c:pt idx="323" formatCode="#,##0">
                  <c:v>1283.17</c:v>
                </c:pt>
                <c:pt idx="324" formatCode="#,##0">
                  <c:v>157.78</c:v>
                </c:pt>
                <c:pt idx="325" formatCode="#,##0">
                  <c:v>11.29</c:v>
                </c:pt>
                <c:pt idx="326" formatCode="#,##0">
                  <c:v>0.91</c:v>
                </c:pt>
                <c:pt idx="327" formatCode="#,##0">
                  <c:v>10.09</c:v>
                </c:pt>
                <c:pt idx="328" formatCode="#,##0">
                  <c:v>10.64</c:v>
                </c:pt>
                <c:pt idx="329" formatCode="#,##0">
                  <c:v>0</c:v>
                </c:pt>
                <c:pt idx="330" formatCode="#,##0">
                  <c:v>0.24</c:v>
                </c:pt>
                <c:pt idx="331" formatCode="#,##0">
                  <c:v>0.25</c:v>
                </c:pt>
                <c:pt idx="332" formatCode="#,##0">
                  <c:v>0</c:v>
                </c:pt>
                <c:pt idx="333" formatCode="#,##0">
                  <c:v>0</c:v>
                </c:pt>
                <c:pt idx="334" formatCode="#,##0">
                  <c:v>0</c:v>
                </c:pt>
                <c:pt idx="335" formatCode="#,##0">
                  <c:v>0</c:v>
                </c:pt>
                <c:pt idx="336" formatCode="#,##0">
                  <c:v>36.65</c:v>
                </c:pt>
                <c:pt idx="337" formatCode="#,##0">
                  <c:v>27.88</c:v>
                </c:pt>
                <c:pt idx="338" formatCode="#,##0">
                  <c:v>0.81</c:v>
                </c:pt>
                <c:pt idx="339" formatCode="#,##0">
                  <c:v>0</c:v>
                </c:pt>
                <c:pt idx="340" formatCode="#,##0">
                  <c:v>0</c:v>
                </c:pt>
                <c:pt idx="341" formatCode="#,##0">
                  <c:v>0</c:v>
                </c:pt>
                <c:pt idx="342" formatCode="#,##0">
                  <c:v>0</c:v>
                </c:pt>
                <c:pt idx="343" formatCode="#,##0">
                  <c:v>0</c:v>
                </c:pt>
                <c:pt idx="344" formatCode="#,##0">
                  <c:v>5.77</c:v>
                </c:pt>
                <c:pt idx="345" formatCode="#,##0">
                  <c:v>0.03</c:v>
                </c:pt>
                <c:pt idx="346" formatCode="#,##0">
                  <c:v>0</c:v>
                </c:pt>
                <c:pt idx="347" formatCode="#,##0">
                  <c:v>0</c:v>
                </c:pt>
                <c:pt idx="348" formatCode="#,##0">
                  <c:v>0</c:v>
                </c:pt>
                <c:pt idx="349" formatCode="#,##0">
                  <c:v>2.27</c:v>
                </c:pt>
                <c:pt idx="350" formatCode="#,##0">
                  <c:v>0.01</c:v>
                </c:pt>
                <c:pt idx="351" formatCode="#,##0">
                  <c:v>0.08</c:v>
                </c:pt>
                <c:pt idx="352" formatCode="#,##0">
                  <c:v>0</c:v>
                </c:pt>
                <c:pt idx="353" formatCode="#,##0">
                  <c:v>0</c:v>
                </c:pt>
                <c:pt idx="354" formatCode="#,##0">
                  <c:v>0</c:v>
                </c:pt>
                <c:pt idx="355" formatCode="#,##0">
                  <c:v>0</c:v>
                </c:pt>
                <c:pt idx="356" formatCode="#,##0">
                  <c:v>0</c:v>
                </c:pt>
                <c:pt idx="357" formatCode="#,##0">
                  <c:v>0</c:v>
                </c:pt>
                <c:pt idx="358" formatCode="#,##0">
                  <c:v>2021</c:v>
                </c:pt>
                <c:pt idx="359" formatCode="#,##0">
                  <c:v>0</c:v>
                </c:pt>
                <c:pt idx="360" formatCode="#,##0">
                  <c:v>0</c:v>
                </c:pt>
                <c:pt idx="361" formatCode="#,##0">
                  <c:v>0</c:v>
                </c:pt>
                <c:pt idx="362" formatCode="#,##0">
                  <c:v>0</c:v>
                </c:pt>
                <c:pt idx="363" formatCode="#,##0">
                  <c:v>0</c:v>
                </c:pt>
                <c:pt idx="364" formatCode="#,##0">
                  <c:v>769</c:v>
                </c:pt>
              </c:numCache>
            </c:numRef>
          </c:val>
          <c:extLst>
            <c:ext xmlns:c16="http://schemas.microsoft.com/office/drawing/2014/chart" uri="{C3380CC4-5D6E-409C-BE32-E72D297353CC}">
              <c16:uniqueId val="{00000000-6B2D-43C3-9F4C-2864BA5E6342}"/>
            </c:ext>
          </c:extLst>
        </c:ser>
        <c:ser>
          <c:idx val="2"/>
          <c:order val="2"/>
          <c:tx>
            <c:strRef>
              <c:f>parágrafo_3.7!$W$2</c:f>
              <c:strCache>
                <c:ptCount val="1"/>
                <c:pt idx="0">
                  <c:v>Users short</c:v>
                </c:pt>
              </c:strCache>
            </c:strRef>
          </c:tx>
          <c:spPr>
            <a:solidFill>
              <a:srgbClr val="FF9966"/>
            </a:solidFill>
            <a:ln>
              <a:solidFill>
                <a:srgbClr val="FF9966"/>
              </a:solidFill>
            </a:ln>
            <a:effectLst/>
          </c:spPr>
          <c:invertIfNegative val="0"/>
          <c:val>
            <c:numRef>
              <c:f>parágrafo_3.7!$W$4:$W$368</c:f>
              <c:numCache>
                <c:formatCode>General</c:formatCode>
                <c:ptCount val="365"/>
                <c:pt idx="0">
                  <c:v>-350.22</c:v>
                </c:pt>
                <c:pt idx="1">
                  <c:v>-326.76</c:v>
                </c:pt>
                <c:pt idx="2">
                  <c:v>-35.090000000000003</c:v>
                </c:pt>
                <c:pt idx="3">
                  <c:v>-417.78</c:v>
                </c:pt>
                <c:pt idx="4">
                  <c:v>-236.27</c:v>
                </c:pt>
                <c:pt idx="5">
                  <c:v>-10815.4</c:v>
                </c:pt>
                <c:pt idx="6">
                  <c:v>-12071.13</c:v>
                </c:pt>
                <c:pt idx="7">
                  <c:v>-1081.9000000000001</c:v>
                </c:pt>
                <c:pt idx="8">
                  <c:v>-166.51</c:v>
                </c:pt>
                <c:pt idx="9">
                  <c:v>-4074.97</c:v>
                </c:pt>
                <c:pt idx="10">
                  <c:v>-326.42</c:v>
                </c:pt>
                <c:pt idx="11">
                  <c:v>-590.46</c:v>
                </c:pt>
                <c:pt idx="12">
                  <c:v>-153.85</c:v>
                </c:pt>
                <c:pt idx="13">
                  <c:v>-156.30000000000001</c:v>
                </c:pt>
                <c:pt idx="14">
                  <c:v>0</c:v>
                </c:pt>
                <c:pt idx="15">
                  <c:v>0</c:v>
                </c:pt>
                <c:pt idx="16">
                  <c:v>-2.3199999999999998</c:v>
                </c:pt>
                <c:pt idx="17">
                  <c:v>-691.61</c:v>
                </c:pt>
                <c:pt idx="18">
                  <c:v>-416.41</c:v>
                </c:pt>
                <c:pt idx="19">
                  <c:v>-480.86</c:v>
                </c:pt>
                <c:pt idx="20">
                  <c:v>0</c:v>
                </c:pt>
                <c:pt idx="21">
                  <c:v>-4.7</c:v>
                </c:pt>
                <c:pt idx="22">
                  <c:v>0</c:v>
                </c:pt>
                <c:pt idx="23">
                  <c:v>0</c:v>
                </c:pt>
                <c:pt idx="24">
                  <c:v>0</c:v>
                </c:pt>
                <c:pt idx="25">
                  <c:v>-167.7</c:v>
                </c:pt>
                <c:pt idx="26">
                  <c:v>-333.22</c:v>
                </c:pt>
                <c:pt idx="27">
                  <c:v>-305.44</c:v>
                </c:pt>
                <c:pt idx="28">
                  <c:v>-30.76</c:v>
                </c:pt>
                <c:pt idx="29">
                  <c:v>-0.01</c:v>
                </c:pt>
                <c:pt idx="30">
                  <c:v>-0.01</c:v>
                </c:pt>
                <c:pt idx="31">
                  <c:v>0</c:v>
                </c:pt>
                <c:pt idx="32">
                  <c:v>-0.01</c:v>
                </c:pt>
                <c:pt idx="33">
                  <c:v>-0.01</c:v>
                </c:pt>
                <c:pt idx="34">
                  <c:v>-0.01</c:v>
                </c:pt>
                <c:pt idx="35">
                  <c:v>-3.07</c:v>
                </c:pt>
                <c:pt idx="36">
                  <c:v>-32.08</c:v>
                </c:pt>
                <c:pt idx="37">
                  <c:v>-116.71</c:v>
                </c:pt>
                <c:pt idx="38">
                  <c:v>-231.85</c:v>
                </c:pt>
                <c:pt idx="39">
                  <c:v>-399.98</c:v>
                </c:pt>
                <c:pt idx="40">
                  <c:v>-848.29</c:v>
                </c:pt>
                <c:pt idx="41">
                  <c:v>-145.79</c:v>
                </c:pt>
                <c:pt idx="42">
                  <c:v>-67.400000000000006</c:v>
                </c:pt>
                <c:pt idx="43">
                  <c:v>-32.94</c:v>
                </c:pt>
                <c:pt idx="44">
                  <c:v>-2133.36</c:v>
                </c:pt>
                <c:pt idx="45">
                  <c:v>-0.06</c:v>
                </c:pt>
                <c:pt idx="46">
                  <c:v>-0.06</c:v>
                </c:pt>
                <c:pt idx="47">
                  <c:v>-7.0000000000000007E-2</c:v>
                </c:pt>
                <c:pt idx="48">
                  <c:v>-17.079999999999998</c:v>
                </c:pt>
                <c:pt idx="49">
                  <c:v>-16.36</c:v>
                </c:pt>
                <c:pt idx="50">
                  <c:v>-7.0000000000000007E-2</c:v>
                </c:pt>
                <c:pt idx="51">
                  <c:v>-70.849999999999994</c:v>
                </c:pt>
                <c:pt idx="52">
                  <c:v>-79.42</c:v>
                </c:pt>
                <c:pt idx="53">
                  <c:v>-860.68</c:v>
                </c:pt>
                <c:pt idx="54">
                  <c:v>-12.66</c:v>
                </c:pt>
                <c:pt idx="55">
                  <c:v>-1.58</c:v>
                </c:pt>
                <c:pt idx="56">
                  <c:v>-112.86</c:v>
                </c:pt>
                <c:pt idx="57">
                  <c:v>-8.68</c:v>
                </c:pt>
                <c:pt idx="58">
                  <c:v>-3.33</c:v>
                </c:pt>
                <c:pt idx="59">
                  <c:v>-13.01</c:v>
                </c:pt>
                <c:pt idx="60">
                  <c:v>-0.4</c:v>
                </c:pt>
                <c:pt idx="61">
                  <c:v>-351.73</c:v>
                </c:pt>
                <c:pt idx="62">
                  <c:v>-109.51</c:v>
                </c:pt>
                <c:pt idx="63">
                  <c:v>-0.73</c:v>
                </c:pt>
                <c:pt idx="64">
                  <c:v>-8.9600000000000009</c:v>
                </c:pt>
                <c:pt idx="65">
                  <c:v>-0.96</c:v>
                </c:pt>
                <c:pt idx="66">
                  <c:v>-1</c:v>
                </c:pt>
                <c:pt idx="67">
                  <c:v>-0.95</c:v>
                </c:pt>
                <c:pt idx="68">
                  <c:v>-183.95</c:v>
                </c:pt>
                <c:pt idx="69">
                  <c:v>-1.27</c:v>
                </c:pt>
                <c:pt idx="70">
                  <c:v>-0.94</c:v>
                </c:pt>
                <c:pt idx="71">
                  <c:v>-20.89</c:v>
                </c:pt>
                <c:pt idx="72">
                  <c:v>-1.83</c:v>
                </c:pt>
                <c:pt idx="73">
                  <c:v>-647.69000000000005</c:v>
                </c:pt>
                <c:pt idx="74">
                  <c:v>-649.64</c:v>
                </c:pt>
                <c:pt idx="75">
                  <c:v>-20.27</c:v>
                </c:pt>
                <c:pt idx="76">
                  <c:v>-375.79</c:v>
                </c:pt>
                <c:pt idx="77">
                  <c:v>-11.76</c:v>
                </c:pt>
                <c:pt idx="78">
                  <c:v>-22.88</c:v>
                </c:pt>
                <c:pt idx="79">
                  <c:v>-3.7</c:v>
                </c:pt>
                <c:pt idx="80">
                  <c:v>0</c:v>
                </c:pt>
                <c:pt idx="81">
                  <c:v>-0.4</c:v>
                </c:pt>
                <c:pt idx="82">
                  <c:v>0</c:v>
                </c:pt>
                <c:pt idx="83">
                  <c:v>-61.67</c:v>
                </c:pt>
                <c:pt idx="84">
                  <c:v>-524.82000000000005</c:v>
                </c:pt>
                <c:pt idx="85">
                  <c:v>-1261.42</c:v>
                </c:pt>
                <c:pt idx="86">
                  <c:v>-0.09</c:v>
                </c:pt>
                <c:pt idx="87">
                  <c:v>-0.35</c:v>
                </c:pt>
                <c:pt idx="88">
                  <c:v>-6.9</c:v>
                </c:pt>
                <c:pt idx="89">
                  <c:v>-0.76</c:v>
                </c:pt>
                <c:pt idx="90">
                  <c:v>-0.79</c:v>
                </c:pt>
                <c:pt idx="91">
                  <c:v>-27.51</c:v>
                </c:pt>
                <c:pt idx="92" formatCode="#,##0">
                  <c:v>-237.37</c:v>
                </c:pt>
                <c:pt idx="93" formatCode="#,##0">
                  <c:v>-1181.68</c:v>
                </c:pt>
                <c:pt idx="94" formatCode="#,##0">
                  <c:v>-6.24</c:v>
                </c:pt>
                <c:pt idx="95" formatCode="#,##0">
                  <c:v>-3.21</c:v>
                </c:pt>
                <c:pt idx="96" formatCode="#,##0">
                  <c:v>-17.36</c:v>
                </c:pt>
                <c:pt idx="97" formatCode="#,##0">
                  <c:v>-24.23</c:v>
                </c:pt>
                <c:pt idx="98" formatCode="#,##0">
                  <c:v>-7508.88</c:v>
                </c:pt>
                <c:pt idx="99" formatCode="#,##0">
                  <c:v>-2878.47</c:v>
                </c:pt>
                <c:pt idx="100" formatCode="#,##0">
                  <c:v>-82.61</c:v>
                </c:pt>
                <c:pt idx="101" formatCode="#,##0">
                  <c:v>-5.97</c:v>
                </c:pt>
                <c:pt idx="102" formatCode="#,##0">
                  <c:v>0</c:v>
                </c:pt>
                <c:pt idx="103" formatCode="#,##0">
                  <c:v>0</c:v>
                </c:pt>
                <c:pt idx="104" formatCode="#,##0">
                  <c:v>0</c:v>
                </c:pt>
                <c:pt idx="105" formatCode="#,##0">
                  <c:v>0</c:v>
                </c:pt>
                <c:pt idx="106" formatCode="#,##0">
                  <c:v>-0.65</c:v>
                </c:pt>
                <c:pt idx="107" formatCode="#,##0">
                  <c:v>-42.38</c:v>
                </c:pt>
                <c:pt idx="108" formatCode="#,##0">
                  <c:v>-0.82</c:v>
                </c:pt>
                <c:pt idx="109" formatCode="#,##0">
                  <c:v>-0.13</c:v>
                </c:pt>
                <c:pt idx="110" formatCode="#,##0">
                  <c:v>-7839.67</c:v>
                </c:pt>
                <c:pt idx="111" formatCode="#,##0">
                  <c:v>-5.88</c:v>
                </c:pt>
                <c:pt idx="112" formatCode="#,##0">
                  <c:v>-10.44</c:v>
                </c:pt>
                <c:pt idx="113" formatCode="#,##0">
                  <c:v>-3.71</c:v>
                </c:pt>
                <c:pt idx="114" formatCode="#,##0">
                  <c:v>-3.33</c:v>
                </c:pt>
                <c:pt idx="115" formatCode="#,##0">
                  <c:v>0</c:v>
                </c:pt>
                <c:pt idx="116" formatCode="#,##0">
                  <c:v>-15.68</c:v>
                </c:pt>
                <c:pt idx="117" formatCode="#,##0">
                  <c:v>-208.03</c:v>
                </c:pt>
                <c:pt idx="118" formatCode="#,##0">
                  <c:v>-2.1</c:v>
                </c:pt>
                <c:pt idx="119" formatCode="#,##0">
                  <c:v>-0.37</c:v>
                </c:pt>
                <c:pt idx="120" formatCode="#,##0">
                  <c:v>-0.43</c:v>
                </c:pt>
                <c:pt idx="121" formatCode="#,##0">
                  <c:v>-3.07</c:v>
                </c:pt>
                <c:pt idx="122" formatCode="#,##0">
                  <c:v>-0.13</c:v>
                </c:pt>
                <c:pt idx="123" formatCode="#,##0">
                  <c:v>-1959.1</c:v>
                </c:pt>
                <c:pt idx="124" formatCode="#,##0">
                  <c:v>-1985.64</c:v>
                </c:pt>
                <c:pt idx="125" formatCode="#,##0">
                  <c:v>-434.67</c:v>
                </c:pt>
                <c:pt idx="126" formatCode="#,##0">
                  <c:v>-229.47</c:v>
                </c:pt>
                <c:pt idx="127" formatCode="#,##0">
                  <c:v>-193.82</c:v>
                </c:pt>
                <c:pt idx="128" formatCode="#,##0">
                  <c:v>-14.57</c:v>
                </c:pt>
                <c:pt idx="129" formatCode="#,##0">
                  <c:v>-33.53</c:v>
                </c:pt>
                <c:pt idx="130" formatCode="#,##0">
                  <c:v>-44.2</c:v>
                </c:pt>
                <c:pt idx="131" formatCode="#,##0">
                  <c:v>-939.68</c:v>
                </c:pt>
                <c:pt idx="132" formatCode="#,##0">
                  <c:v>-1045.1300000000001</c:v>
                </c:pt>
                <c:pt idx="133" formatCode="#,##0">
                  <c:v>-388.09</c:v>
                </c:pt>
                <c:pt idx="134" formatCode="#,##0">
                  <c:v>-21.19</c:v>
                </c:pt>
                <c:pt idx="135" formatCode="#,##0">
                  <c:v>-4.76</c:v>
                </c:pt>
                <c:pt idx="136" formatCode="#,##0">
                  <c:v>-2.2799999999999998</c:v>
                </c:pt>
                <c:pt idx="137" formatCode="#,##0">
                  <c:v>-3.06</c:v>
                </c:pt>
                <c:pt idx="138" formatCode="#,##0">
                  <c:v>-442.19</c:v>
                </c:pt>
                <c:pt idx="139" formatCode="#,##0">
                  <c:v>-480.26</c:v>
                </c:pt>
                <c:pt idx="140" formatCode="#,##0">
                  <c:v>-239.03</c:v>
                </c:pt>
                <c:pt idx="141" formatCode="#,##0">
                  <c:v>-162.91999999999999</c:v>
                </c:pt>
                <c:pt idx="142" formatCode="#,##0">
                  <c:v>-435.58</c:v>
                </c:pt>
                <c:pt idx="143" formatCode="#,##0">
                  <c:v>-471.38</c:v>
                </c:pt>
                <c:pt idx="144" formatCode="#,##0">
                  <c:v>-446.98</c:v>
                </c:pt>
                <c:pt idx="145" formatCode="#,##0">
                  <c:v>-447.56</c:v>
                </c:pt>
                <c:pt idx="146" formatCode="#,##0">
                  <c:v>-475.77</c:v>
                </c:pt>
                <c:pt idx="147" formatCode="#,##0">
                  <c:v>-218.88</c:v>
                </c:pt>
                <c:pt idx="148" formatCode="#,##0">
                  <c:v>-118.97</c:v>
                </c:pt>
                <c:pt idx="149" formatCode="#,##0">
                  <c:v>-201.81</c:v>
                </c:pt>
                <c:pt idx="150" formatCode="#,##0">
                  <c:v>-178.77</c:v>
                </c:pt>
                <c:pt idx="151" formatCode="#,##0">
                  <c:v>-1188.6099999999999</c:v>
                </c:pt>
                <c:pt idx="152" formatCode="#,##0">
                  <c:v>-726.58</c:v>
                </c:pt>
                <c:pt idx="153" formatCode="#,##0">
                  <c:v>-406.54</c:v>
                </c:pt>
                <c:pt idx="154" formatCode="#,##0">
                  <c:v>-206.09</c:v>
                </c:pt>
                <c:pt idx="155" formatCode="#,##0">
                  <c:v>-142.78</c:v>
                </c:pt>
                <c:pt idx="156" formatCode="#,##0">
                  <c:v>-422.89</c:v>
                </c:pt>
                <c:pt idx="157" formatCode="#,##0">
                  <c:v>-441.11</c:v>
                </c:pt>
                <c:pt idx="158" formatCode="#,##0">
                  <c:v>-405.37</c:v>
                </c:pt>
                <c:pt idx="159" formatCode="#,##0">
                  <c:v>-422.84</c:v>
                </c:pt>
                <c:pt idx="160" formatCode="#,##0">
                  <c:v>-414.21</c:v>
                </c:pt>
                <c:pt idx="161" formatCode="#,##0">
                  <c:v>-168.18</c:v>
                </c:pt>
                <c:pt idx="162" formatCode="#,##0">
                  <c:v>-119.5</c:v>
                </c:pt>
                <c:pt idx="163" formatCode="#,##0">
                  <c:v>-1017.61</c:v>
                </c:pt>
                <c:pt idx="164" formatCode="#,##0">
                  <c:v>-811.79</c:v>
                </c:pt>
                <c:pt idx="165" formatCode="#,##0">
                  <c:v>-415.39</c:v>
                </c:pt>
                <c:pt idx="166" formatCode="#,##0">
                  <c:v>-2802.92</c:v>
                </c:pt>
                <c:pt idx="167" formatCode="#,##0">
                  <c:v>-1049.44</c:v>
                </c:pt>
                <c:pt idx="168" formatCode="#,##0">
                  <c:v>-824.39</c:v>
                </c:pt>
                <c:pt idx="169" formatCode="#,##0">
                  <c:v>-125.31</c:v>
                </c:pt>
                <c:pt idx="170" formatCode="#,##0">
                  <c:v>-660.36</c:v>
                </c:pt>
                <c:pt idx="171" formatCode="#,##0">
                  <c:v>-451.55</c:v>
                </c:pt>
                <c:pt idx="172" formatCode="#,##0">
                  <c:v>-451.45</c:v>
                </c:pt>
                <c:pt idx="173" formatCode="#,##0">
                  <c:v>-646.52</c:v>
                </c:pt>
                <c:pt idx="174" formatCode="#,##0">
                  <c:v>-538.13</c:v>
                </c:pt>
                <c:pt idx="175" formatCode="#,##0">
                  <c:v>-211.83</c:v>
                </c:pt>
                <c:pt idx="176" formatCode="#,##0">
                  <c:v>-146.52000000000001</c:v>
                </c:pt>
                <c:pt idx="177" formatCode="#,##0">
                  <c:v>-521.6</c:v>
                </c:pt>
                <c:pt idx="178" formatCode="#,##0">
                  <c:v>-2812.9</c:v>
                </c:pt>
                <c:pt idx="179" formatCode="#,##0">
                  <c:v>-2667.54</c:v>
                </c:pt>
                <c:pt idx="180" formatCode="#,##0">
                  <c:v>-443.03</c:v>
                </c:pt>
                <c:pt idx="181" formatCode="#,##0">
                  <c:v>-399.5</c:v>
                </c:pt>
                <c:pt idx="182" formatCode="#,##0">
                  <c:v>-3357.86</c:v>
                </c:pt>
                <c:pt idx="183" formatCode="#,##0">
                  <c:v>-49.12</c:v>
                </c:pt>
                <c:pt idx="184" formatCode="#,##0">
                  <c:v>-263.76</c:v>
                </c:pt>
                <c:pt idx="185" formatCode="#,##0">
                  <c:v>-282.29000000000002</c:v>
                </c:pt>
                <c:pt idx="186" formatCode="#,##0">
                  <c:v>-290.64999999999998</c:v>
                </c:pt>
                <c:pt idx="187" formatCode="#,##0">
                  <c:v>-251.28</c:v>
                </c:pt>
                <c:pt idx="188" formatCode="#,##0">
                  <c:v>-253.4</c:v>
                </c:pt>
                <c:pt idx="189" formatCode="#,##0">
                  <c:v>-106.46</c:v>
                </c:pt>
                <c:pt idx="190" formatCode="#,##0">
                  <c:v>-577.53</c:v>
                </c:pt>
                <c:pt idx="191" formatCode="#,##0">
                  <c:v>-202.79</c:v>
                </c:pt>
                <c:pt idx="192" formatCode="#,##0">
                  <c:v>-253.23</c:v>
                </c:pt>
                <c:pt idx="193" formatCode="#,##0">
                  <c:v>-270.37</c:v>
                </c:pt>
                <c:pt idx="194" formatCode="#,##0">
                  <c:v>-242.42</c:v>
                </c:pt>
                <c:pt idx="195" formatCode="#,##0">
                  <c:v>-145.61000000000001</c:v>
                </c:pt>
                <c:pt idx="196" formatCode="#,##0">
                  <c:v>-208.56</c:v>
                </c:pt>
                <c:pt idx="197" formatCode="#,##0">
                  <c:v>-1.73</c:v>
                </c:pt>
                <c:pt idx="198" formatCode="#,##0">
                  <c:v>-0.99</c:v>
                </c:pt>
                <c:pt idx="199" formatCode="#,##0">
                  <c:v>-758.55</c:v>
                </c:pt>
                <c:pt idx="200" formatCode="#,##0">
                  <c:v>-256.45</c:v>
                </c:pt>
                <c:pt idx="201" formatCode="#,##0">
                  <c:v>-244.18</c:v>
                </c:pt>
                <c:pt idx="202" formatCode="#,##0">
                  <c:v>-273.48</c:v>
                </c:pt>
                <c:pt idx="203" formatCode="#,##0">
                  <c:v>-163.13</c:v>
                </c:pt>
                <c:pt idx="204" formatCode="#,##0">
                  <c:v>-1067.8900000000001</c:v>
                </c:pt>
                <c:pt idx="205" formatCode="#,##0">
                  <c:v>-102.42</c:v>
                </c:pt>
                <c:pt idx="206" formatCode="#,##0">
                  <c:v>-200.01</c:v>
                </c:pt>
                <c:pt idx="207" formatCode="#,##0">
                  <c:v>-293.69</c:v>
                </c:pt>
                <c:pt idx="208" formatCode="#,##0">
                  <c:v>-271.05</c:v>
                </c:pt>
                <c:pt idx="209" formatCode="#,##0">
                  <c:v>-236.98</c:v>
                </c:pt>
                <c:pt idx="210" formatCode="#,##0">
                  <c:v>-142.71</c:v>
                </c:pt>
                <c:pt idx="211" formatCode="#,##0">
                  <c:v>-19.59</c:v>
                </c:pt>
                <c:pt idx="212" formatCode="#,##0">
                  <c:v>-113.1</c:v>
                </c:pt>
                <c:pt idx="213" formatCode="#,##0">
                  <c:v>-171.02</c:v>
                </c:pt>
                <c:pt idx="214" formatCode="#,##0">
                  <c:v>-178.46</c:v>
                </c:pt>
                <c:pt idx="215" formatCode="#,##0">
                  <c:v>-2684.29</c:v>
                </c:pt>
                <c:pt idx="216" formatCode="#,##0">
                  <c:v>-256.14999999999998</c:v>
                </c:pt>
                <c:pt idx="217" formatCode="#,##0">
                  <c:v>-114.03</c:v>
                </c:pt>
                <c:pt idx="218" formatCode="#,##0">
                  <c:v>-44.3</c:v>
                </c:pt>
                <c:pt idx="219" formatCode="#,##0">
                  <c:v>-228.92</c:v>
                </c:pt>
                <c:pt idx="220" formatCode="#,##0">
                  <c:v>-237.34</c:v>
                </c:pt>
                <c:pt idx="221" formatCode="#,##0">
                  <c:v>-227.17</c:v>
                </c:pt>
                <c:pt idx="222" formatCode="#,##0">
                  <c:v>-269.82</c:v>
                </c:pt>
                <c:pt idx="223" formatCode="#,##0">
                  <c:v>-259.79000000000002</c:v>
                </c:pt>
                <c:pt idx="224" formatCode="#,##0">
                  <c:v>-95.92</c:v>
                </c:pt>
                <c:pt idx="225" formatCode="#,##0">
                  <c:v>-54.4</c:v>
                </c:pt>
                <c:pt idx="226" formatCode="#,##0">
                  <c:v>-249.53</c:v>
                </c:pt>
                <c:pt idx="227" formatCode="#,##0">
                  <c:v>-234.21</c:v>
                </c:pt>
                <c:pt idx="228" formatCode="#,##0">
                  <c:v>-257.26</c:v>
                </c:pt>
                <c:pt idx="229" formatCode="#,##0">
                  <c:v>-620.9</c:v>
                </c:pt>
                <c:pt idx="230" formatCode="#,##0">
                  <c:v>-232.72</c:v>
                </c:pt>
                <c:pt idx="231" formatCode="#,##0">
                  <c:v>-95.78</c:v>
                </c:pt>
                <c:pt idx="232" formatCode="#,##0">
                  <c:v>-50.22</c:v>
                </c:pt>
                <c:pt idx="233" formatCode="#,##0">
                  <c:v>-632.25</c:v>
                </c:pt>
                <c:pt idx="234" formatCode="#,##0">
                  <c:v>-228.36</c:v>
                </c:pt>
                <c:pt idx="235" formatCode="#,##0">
                  <c:v>-257.98</c:v>
                </c:pt>
                <c:pt idx="236" formatCode="#,##0">
                  <c:v>-264.18</c:v>
                </c:pt>
                <c:pt idx="237" formatCode="#,##0">
                  <c:v>-223.82</c:v>
                </c:pt>
                <c:pt idx="238" formatCode="#,##0">
                  <c:v>-138.43</c:v>
                </c:pt>
                <c:pt idx="239" formatCode="#,##0">
                  <c:v>-53.06</c:v>
                </c:pt>
                <c:pt idx="240" formatCode="#,##0">
                  <c:v>-6220.51</c:v>
                </c:pt>
                <c:pt idx="241" formatCode="#,##0">
                  <c:v>-221.59</c:v>
                </c:pt>
                <c:pt idx="242" formatCode="#,##0">
                  <c:v>-267.95</c:v>
                </c:pt>
                <c:pt idx="243" formatCode="#,##0">
                  <c:v>-139.35</c:v>
                </c:pt>
                <c:pt idx="244" formatCode="#,##0">
                  <c:v>-138.74</c:v>
                </c:pt>
                <c:pt idx="245" formatCode="#,##0">
                  <c:v>-2744.23</c:v>
                </c:pt>
                <c:pt idx="246" formatCode="#,##0">
                  <c:v>-1013.61</c:v>
                </c:pt>
                <c:pt idx="247" formatCode="#,##0">
                  <c:v>-149.03</c:v>
                </c:pt>
                <c:pt idx="248" formatCode="#,##0">
                  <c:v>-1048.8</c:v>
                </c:pt>
                <c:pt idx="249" formatCode="#,##0">
                  <c:v>-216.29</c:v>
                </c:pt>
                <c:pt idx="250" formatCode="#,##0">
                  <c:v>-164.07</c:v>
                </c:pt>
                <c:pt idx="251" formatCode="#,##0">
                  <c:v>-161.93</c:v>
                </c:pt>
                <c:pt idx="252" formatCode="#,##0">
                  <c:v>-93.08</c:v>
                </c:pt>
                <c:pt idx="253" formatCode="#,##0">
                  <c:v>-48.22</c:v>
                </c:pt>
                <c:pt idx="254" formatCode="#,##0">
                  <c:v>-123.39</c:v>
                </c:pt>
                <c:pt idx="255" formatCode="#,##0">
                  <c:v>-141.25</c:v>
                </c:pt>
                <c:pt idx="256" formatCode="#,##0">
                  <c:v>-135.59</c:v>
                </c:pt>
                <c:pt idx="257" formatCode="#,##0">
                  <c:v>-73.03</c:v>
                </c:pt>
                <c:pt idx="258" formatCode="#,##0">
                  <c:v>-68.47</c:v>
                </c:pt>
                <c:pt idx="259" formatCode="#,##0">
                  <c:v>-94.44</c:v>
                </c:pt>
                <c:pt idx="260" formatCode="#,##0">
                  <c:v>-61.53</c:v>
                </c:pt>
                <c:pt idx="261" formatCode="#,##0">
                  <c:v>-123.8</c:v>
                </c:pt>
                <c:pt idx="262" formatCode="#,##0">
                  <c:v>-129.53</c:v>
                </c:pt>
                <c:pt idx="263" formatCode="#,##0">
                  <c:v>-152.53</c:v>
                </c:pt>
                <c:pt idx="264" formatCode="#,##0">
                  <c:v>-208.49</c:v>
                </c:pt>
                <c:pt idx="265" formatCode="#,##0">
                  <c:v>-165.99</c:v>
                </c:pt>
                <c:pt idx="266" formatCode="#,##0">
                  <c:v>-110.58</c:v>
                </c:pt>
                <c:pt idx="267" formatCode="#,##0">
                  <c:v>-53.59</c:v>
                </c:pt>
                <c:pt idx="268" formatCode="#,##0">
                  <c:v>-124.77</c:v>
                </c:pt>
                <c:pt idx="269" formatCode="#,##0">
                  <c:v>-156.81</c:v>
                </c:pt>
                <c:pt idx="270" formatCode="#,##0">
                  <c:v>-205.28</c:v>
                </c:pt>
                <c:pt idx="271" formatCode="#,##0">
                  <c:v>-210.16</c:v>
                </c:pt>
                <c:pt idx="272" formatCode="#,##0">
                  <c:v>-161.99</c:v>
                </c:pt>
                <c:pt idx="273" formatCode="#,##0">
                  <c:v>-1070.5899999999999</c:v>
                </c:pt>
                <c:pt idx="274" formatCode="#,##0">
                  <c:v>-1.22</c:v>
                </c:pt>
                <c:pt idx="275" formatCode="#,##0">
                  <c:v>-62.43</c:v>
                </c:pt>
                <c:pt idx="276" formatCode="#,##0">
                  <c:v>-87.85</c:v>
                </c:pt>
                <c:pt idx="277" formatCode="#,##0">
                  <c:v>-197.79</c:v>
                </c:pt>
                <c:pt idx="278" formatCode="#,##0">
                  <c:v>-117.83</c:v>
                </c:pt>
                <c:pt idx="279" formatCode="#,##0">
                  <c:v>-120.94</c:v>
                </c:pt>
                <c:pt idx="280" formatCode="#,##0">
                  <c:v>-48.15</c:v>
                </c:pt>
                <c:pt idx="281" formatCode="#,##0">
                  <c:v>-15.74</c:v>
                </c:pt>
                <c:pt idx="282" formatCode="#,##0">
                  <c:v>-62.89</c:v>
                </c:pt>
                <c:pt idx="283" formatCode="#,##0">
                  <c:v>-77.400000000000006</c:v>
                </c:pt>
                <c:pt idx="284" formatCode="#,##0">
                  <c:v>-119.26</c:v>
                </c:pt>
                <c:pt idx="285" formatCode="#,##0">
                  <c:v>-106.59</c:v>
                </c:pt>
                <c:pt idx="286" formatCode="#,##0">
                  <c:v>-87.28</c:v>
                </c:pt>
                <c:pt idx="287" formatCode="#,##0">
                  <c:v>-83.04</c:v>
                </c:pt>
                <c:pt idx="288" formatCode="#,##0">
                  <c:v>-17.48</c:v>
                </c:pt>
                <c:pt idx="289" formatCode="#,##0">
                  <c:v>-96.45</c:v>
                </c:pt>
                <c:pt idx="290" formatCode="#,##0">
                  <c:v>-111.74</c:v>
                </c:pt>
                <c:pt idx="291" formatCode="#,##0">
                  <c:v>-80</c:v>
                </c:pt>
                <c:pt idx="292" formatCode="#,##0">
                  <c:v>-84.37</c:v>
                </c:pt>
                <c:pt idx="293" formatCode="#,##0">
                  <c:v>-74.56</c:v>
                </c:pt>
                <c:pt idx="294" formatCode="#,##0">
                  <c:v>-63.71</c:v>
                </c:pt>
                <c:pt idx="295" formatCode="#,##0">
                  <c:v>-30.24</c:v>
                </c:pt>
                <c:pt idx="296" formatCode="#,##0">
                  <c:v>-41.6</c:v>
                </c:pt>
                <c:pt idx="297" formatCode="#,##0">
                  <c:v>-427.69</c:v>
                </c:pt>
                <c:pt idx="298" formatCode="#,##0">
                  <c:v>-63.69</c:v>
                </c:pt>
                <c:pt idx="299" formatCode="#,##0">
                  <c:v>-112.82</c:v>
                </c:pt>
                <c:pt idx="300" formatCode="#,##0">
                  <c:v>-269.93</c:v>
                </c:pt>
                <c:pt idx="301" formatCode="#,##0">
                  <c:v>-82.73</c:v>
                </c:pt>
                <c:pt idx="302" formatCode="#,##0">
                  <c:v>-15.82</c:v>
                </c:pt>
                <c:pt idx="303" formatCode="#,##0">
                  <c:v>-68.069999999999993</c:v>
                </c:pt>
                <c:pt idx="304" formatCode="#,##0">
                  <c:v>-2179.19</c:v>
                </c:pt>
                <c:pt idx="305" formatCode="#,##0">
                  <c:v>-2456.86</c:v>
                </c:pt>
                <c:pt idx="306" formatCode="#,##0">
                  <c:v>-15.35</c:v>
                </c:pt>
                <c:pt idx="307" formatCode="#,##0">
                  <c:v>-198.4</c:v>
                </c:pt>
                <c:pt idx="308" formatCode="#,##0">
                  <c:v>-58.86</c:v>
                </c:pt>
                <c:pt idx="309" formatCode="#,##0">
                  <c:v>-82.73</c:v>
                </c:pt>
                <c:pt idx="310" formatCode="#,##0">
                  <c:v>-41.41</c:v>
                </c:pt>
                <c:pt idx="311" formatCode="#,##0">
                  <c:v>-97.65</c:v>
                </c:pt>
                <c:pt idx="312" formatCode="#,##0">
                  <c:v>-70.489999999999995</c:v>
                </c:pt>
                <c:pt idx="313" formatCode="#,##0">
                  <c:v>-49.29</c:v>
                </c:pt>
                <c:pt idx="314" formatCode="#,##0">
                  <c:v>-42.35</c:v>
                </c:pt>
                <c:pt idx="315" formatCode="#,##0">
                  <c:v>-58.6</c:v>
                </c:pt>
                <c:pt idx="316" formatCode="#,##0">
                  <c:v>-28.3</c:v>
                </c:pt>
                <c:pt idx="317" formatCode="#,##0">
                  <c:v>0</c:v>
                </c:pt>
                <c:pt idx="318" formatCode="#,##0">
                  <c:v>-49.28</c:v>
                </c:pt>
                <c:pt idx="319" formatCode="#,##0">
                  <c:v>0</c:v>
                </c:pt>
                <c:pt idx="320" formatCode="#,##0">
                  <c:v>-25.35</c:v>
                </c:pt>
                <c:pt idx="321" formatCode="#,##0">
                  <c:v>-3.05</c:v>
                </c:pt>
                <c:pt idx="322" formatCode="#,##0">
                  <c:v>-1.1100000000000001</c:v>
                </c:pt>
                <c:pt idx="323" formatCode="#,##0">
                  <c:v>-19.760000000000002</c:v>
                </c:pt>
                <c:pt idx="324" formatCode="#,##0">
                  <c:v>-0.28000000000000003</c:v>
                </c:pt>
                <c:pt idx="325" formatCode="#,##0">
                  <c:v>0</c:v>
                </c:pt>
                <c:pt idx="326" formatCode="#,##0">
                  <c:v>-2.2599999999999998</c:v>
                </c:pt>
                <c:pt idx="327" formatCode="#,##0">
                  <c:v>-71.86</c:v>
                </c:pt>
                <c:pt idx="328" formatCode="#,##0">
                  <c:v>-5.39</c:v>
                </c:pt>
                <c:pt idx="329" formatCode="#,##0">
                  <c:v>-14.41</c:v>
                </c:pt>
                <c:pt idx="330" formatCode="#,##0">
                  <c:v>-50.11</c:v>
                </c:pt>
                <c:pt idx="331" formatCode="#,##0">
                  <c:v>-59.55</c:v>
                </c:pt>
                <c:pt idx="332" formatCode="#,##0">
                  <c:v>-71.569999999999993</c:v>
                </c:pt>
                <c:pt idx="333" formatCode="#,##0">
                  <c:v>-63.16</c:v>
                </c:pt>
                <c:pt idx="334" formatCode="#,##0">
                  <c:v>-73.7</c:v>
                </c:pt>
                <c:pt idx="335" formatCode="#,##0">
                  <c:v>-54.11</c:v>
                </c:pt>
                <c:pt idx="336" formatCode="#,##0">
                  <c:v>-15.6</c:v>
                </c:pt>
                <c:pt idx="337" formatCode="#,##0">
                  <c:v>-102.86</c:v>
                </c:pt>
                <c:pt idx="338" formatCode="#,##0">
                  <c:v>-879.17</c:v>
                </c:pt>
                <c:pt idx="339" formatCode="#,##0">
                  <c:v>-1189.5899999999999</c:v>
                </c:pt>
                <c:pt idx="340" formatCode="#,##0">
                  <c:v>-74.790000000000006</c:v>
                </c:pt>
                <c:pt idx="341" formatCode="#,##0">
                  <c:v>-89.64</c:v>
                </c:pt>
                <c:pt idx="342" formatCode="#,##0">
                  <c:v>-106.47</c:v>
                </c:pt>
                <c:pt idx="343" formatCode="#,##0">
                  <c:v>-125.75</c:v>
                </c:pt>
                <c:pt idx="344" formatCode="#,##0">
                  <c:v>-121.84</c:v>
                </c:pt>
                <c:pt idx="345" formatCode="#,##0">
                  <c:v>-149.97999999999999</c:v>
                </c:pt>
                <c:pt idx="346" formatCode="#,##0">
                  <c:v>-166.38</c:v>
                </c:pt>
                <c:pt idx="347" formatCode="#,##0">
                  <c:v>-662.96</c:v>
                </c:pt>
                <c:pt idx="348" formatCode="#,##0">
                  <c:v>-853.56</c:v>
                </c:pt>
                <c:pt idx="349" formatCode="#,##0">
                  <c:v>-1288.01</c:v>
                </c:pt>
                <c:pt idx="350" formatCode="#,##0">
                  <c:v>-79.11</c:v>
                </c:pt>
                <c:pt idx="351" formatCode="#,##0">
                  <c:v>-74.010000000000005</c:v>
                </c:pt>
                <c:pt idx="352" formatCode="#,##0">
                  <c:v>-195.56</c:v>
                </c:pt>
                <c:pt idx="353" formatCode="#,##0">
                  <c:v>-585.03</c:v>
                </c:pt>
                <c:pt idx="354" formatCode="#,##0">
                  <c:v>-189.72</c:v>
                </c:pt>
                <c:pt idx="355" formatCode="#,##0">
                  <c:v>-1204.74</c:v>
                </c:pt>
                <c:pt idx="356" formatCode="#,##0">
                  <c:v>-1952.43</c:v>
                </c:pt>
                <c:pt idx="357" formatCode="#,##0">
                  <c:v>-119.86</c:v>
                </c:pt>
                <c:pt idx="358" formatCode="#,##0">
                  <c:v>-70.36</c:v>
                </c:pt>
                <c:pt idx="359" formatCode="#,##0">
                  <c:v>-144.93</c:v>
                </c:pt>
                <c:pt idx="360" formatCode="#,##0">
                  <c:v>-243.07</c:v>
                </c:pt>
                <c:pt idx="361" formatCode="#,##0">
                  <c:v>-241.29</c:v>
                </c:pt>
                <c:pt idx="362" formatCode="#,##0">
                  <c:v>-199.48</c:v>
                </c:pt>
                <c:pt idx="363" formatCode="#,##0">
                  <c:v>-190.99</c:v>
                </c:pt>
                <c:pt idx="364" formatCode="#,##0">
                  <c:v>-76.61</c:v>
                </c:pt>
              </c:numCache>
            </c:numRef>
          </c:val>
          <c:extLst>
            <c:ext xmlns:c16="http://schemas.microsoft.com/office/drawing/2014/chart" uri="{C3380CC4-5D6E-409C-BE32-E72D297353CC}">
              <c16:uniqueId val="{00000001-6B2D-43C3-9F4C-2864BA5E6342}"/>
            </c:ext>
          </c:extLst>
        </c:ser>
        <c:dLbls>
          <c:showLegendKey val="0"/>
          <c:showVal val="0"/>
          <c:showCatName val="0"/>
          <c:showSerName val="0"/>
          <c:showPercent val="0"/>
          <c:showBubbleSize val="0"/>
        </c:dLbls>
        <c:gapWidth val="150"/>
        <c:overlap val="100"/>
        <c:axId val="220945480"/>
        <c:axId val="220945872"/>
      </c:barChart>
      <c:lineChart>
        <c:grouping val="standard"/>
        <c:varyColors val="0"/>
        <c:ser>
          <c:idx val="0"/>
          <c:order val="0"/>
          <c:tx>
            <c:strRef>
              <c:f>parágrafo_3.7!$U$2</c:f>
              <c:strCache>
                <c:ptCount val="1"/>
                <c:pt idx="0">
                  <c:v>Net Imbalance</c:v>
                </c:pt>
              </c:strCache>
            </c:strRef>
          </c:tx>
          <c:spPr>
            <a:ln w="6350" cap="rnd">
              <a:solidFill>
                <a:srgbClr val="000000"/>
              </a:solidFill>
              <a:round/>
            </a:ln>
            <a:effectLst/>
          </c:spPr>
          <c:marker>
            <c:symbol val="none"/>
          </c:marker>
          <c:cat>
            <c:numRef>
              <c:f>parágrafo_3.7!$B$4:$B$368</c:f>
              <c:numCache>
                <c:formatCode>[$-409]mmm\-yy;@</c:formatCode>
                <c:ptCount val="365"/>
                <c:pt idx="0">
                  <c:v>42644</c:v>
                </c:pt>
                <c:pt idx="1">
                  <c:v>42645</c:v>
                </c:pt>
                <c:pt idx="2">
                  <c:v>42646</c:v>
                </c:pt>
                <c:pt idx="3">
                  <c:v>42647</c:v>
                </c:pt>
                <c:pt idx="4">
                  <c:v>42648</c:v>
                </c:pt>
                <c:pt idx="5">
                  <c:v>42649</c:v>
                </c:pt>
                <c:pt idx="6">
                  <c:v>42650</c:v>
                </c:pt>
                <c:pt idx="7">
                  <c:v>42651</c:v>
                </c:pt>
                <c:pt idx="8">
                  <c:v>42652</c:v>
                </c:pt>
                <c:pt idx="9">
                  <c:v>42653</c:v>
                </c:pt>
                <c:pt idx="10">
                  <c:v>42654</c:v>
                </c:pt>
                <c:pt idx="11">
                  <c:v>42655</c:v>
                </c:pt>
                <c:pt idx="12">
                  <c:v>42656</c:v>
                </c:pt>
                <c:pt idx="13">
                  <c:v>42657</c:v>
                </c:pt>
                <c:pt idx="14">
                  <c:v>42658</c:v>
                </c:pt>
                <c:pt idx="15">
                  <c:v>42659</c:v>
                </c:pt>
                <c:pt idx="16">
                  <c:v>42660</c:v>
                </c:pt>
                <c:pt idx="17">
                  <c:v>42661</c:v>
                </c:pt>
                <c:pt idx="18">
                  <c:v>42662</c:v>
                </c:pt>
                <c:pt idx="19">
                  <c:v>42663</c:v>
                </c:pt>
                <c:pt idx="20">
                  <c:v>42664</c:v>
                </c:pt>
                <c:pt idx="21">
                  <c:v>42665</c:v>
                </c:pt>
                <c:pt idx="22">
                  <c:v>42666</c:v>
                </c:pt>
                <c:pt idx="23">
                  <c:v>42667</c:v>
                </c:pt>
                <c:pt idx="24">
                  <c:v>42668</c:v>
                </c:pt>
                <c:pt idx="25">
                  <c:v>42669</c:v>
                </c:pt>
                <c:pt idx="26">
                  <c:v>42670</c:v>
                </c:pt>
                <c:pt idx="27">
                  <c:v>42671</c:v>
                </c:pt>
                <c:pt idx="28">
                  <c:v>42672</c:v>
                </c:pt>
                <c:pt idx="29">
                  <c:v>42673</c:v>
                </c:pt>
                <c:pt idx="30">
                  <c:v>42674</c:v>
                </c:pt>
                <c:pt idx="31">
                  <c:v>42675</c:v>
                </c:pt>
                <c:pt idx="32">
                  <c:v>42676</c:v>
                </c:pt>
                <c:pt idx="33">
                  <c:v>42677</c:v>
                </c:pt>
                <c:pt idx="34">
                  <c:v>42678</c:v>
                </c:pt>
                <c:pt idx="35">
                  <c:v>42679</c:v>
                </c:pt>
                <c:pt idx="36">
                  <c:v>42680</c:v>
                </c:pt>
                <c:pt idx="37">
                  <c:v>42681</c:v>
                </c:pt>
                <c:pt idx="38">
                  <c:v>42682</c:v>
                </c:pt>
                <c:pt idx="39">
                  <c:v>42683</c:v>
                </c:pt>
                <c:pt idx="40">
                  <c:v>42684</c:v>
                </c:pt>
                <c:pt idx="41">
                  <c:v>42685</c:v>
                </c:pt>
                <c:pt idx="42">
                  <c:v>42686</c:v>
                </c:pt>
                <c:pt idx="43">
                  <c:v>42687</c:v>
                </c:pt>
                <c:pt idx="44">
                  <c:v>42688</c:v>
                </c:pt>
                <c:pt idx="45">
                  <c:v>42689</c:v>
                </c:pt>
                <c:pt idx="46">
                  <c:v>42690</c:v>
                </c:pt>
                <c:pt idx="47">
                  <c:v>42691</c:v>
                </c:pt>
                <c:pt idx="48">
                  <c:v>42692</c:v>
                </c:pt>
                <c:pt idx="49">
                  <c:v>42693</c:v>
                </c:pt>
                <c:pt idx="50">
                  <c:v>42694</c:v>
                </c:pt>
                <c:pt idx="51">
                  <c:v>42695</c:v>
                </c:pt>
                <c:pt idx="52">
                  <c:v>42696</c:v>
                </c:pt>
                <c:pt idx="53">
                  <c:v>42697</c:v>
                </c:pt>
                <c:pt idx="54">
                  <c:v>42698</c:v>
                </c:pt>
                <c:pt idx="55">
                  <c:v>42699</c:v>
                </c:pt>
                <c:pt idx="56">
                  <c:v>42700</c:v>
                </c:pt>
                <c:pt idx="57">
                  <c:v>42701</c:v>
                </c:pt>
                <c:pt idx="58">
                  <c:v>42702</c:v>
                </c:pt>
                <c:pt idx="59">
                  <c:v>42703</c:v>
                </c:pt>
                <c:pt idx="60">
                  <c:v>42704</c:v>
                </c:pt>
                <c:pt idx="61">
                  <c:v>42705</c:v>
                </c:pt>
                <c:pt idx="62">
                  <c:v>42706</c:v>
                </c:pt>
                <c:pt idx="63">
                  <c:v>42707</c:v>
                </c:pt>
                <c:pt idx="64">
                  <c:v>42708</c:v>
                </c:pt>
                <c:pt idx="65">
                  <c:v>42709</c:v>
                </c:pt>
                <c:pt idx="66">
                  <c:v>42710</c:v>
                </c:pt>
                <c:pt idx="67">
                  <c:v>42711</c:v>
                </c:pt>
                <c:pt idx="68">
                  <c:v>42712</c:v>
                </c:pt>
                <c:pt idx="69">
                  <c:v>42713</c:v>
                </c:pt>
                <c:pt idx="70">
                  <c:v>42714</c:v>
                </c:pt>
                <c:pt idx="71">
                  <c:v>42715</c:v>
                </c:pt>
                <c:pt idx="72">
                  <c:v>42716</c:v>
                </c:pt>
                <c:pt idx="73">
                  <c:v>42717</c:v>
                </c:pt>
                <c:pt idx="74">
                  <c:v>42718</c:v>
                </c:pt>
                <c:pt idx="75">
                  <c:v>42719</c:v>
                </c:pt>
                <c:pt idx="76">
                  <c:v>42720</c:v>
                </c:pt>
                <c:pt idx="77">
                  <c:v>42721</c:v>
                </c:pt>
                <c:pt idx="78">
                  <c:v>42722</c:v>
                </c:pt>
                <c:pt idx="79">
                  <c:v>42723</c:v>
                </c:pt>
                <c:pt idx="80">
                  <c:v>42724</c:v>
                </c:pt>
                <c:pt idx="81">
                  <c:v>42725</c:v>
                </c:pt>
                <c:pt idx="82">
                  <c:v>42726</c:v>
                </c:pt>
                <c:pt idx="83">
                  <c:v>42727</c:v>
                </c:pt>
                <c:pt idx="84">
                  <c:v>42728</c:v>
                </c:pt>
                <c:pt idx="85">
                  <c:v>42729</c:v>
                </c:pt>
                <c:pt idx="86">
                  <c:v>42730</c:v>
                </c:pt>
                <c:pt idx="87">
                  <c:v>42731</c:v>
                </c:pt>
                <c:pt idx="88">
                  <c:v>42732</c:v>
                </c:pt>
                <c:pt idx="89">
                  <c:v>42733</c:v>
                </c:pt>
                <c:pt idx="90">
                  <c:v>42734</c:v>
                </c:pt>
                <c:pt idx="91">
                  <c:v>42735</c:v>
                </c:pt>
                <c:pt idx="92">
                  <c:v>42736</c:v>
                </c:pt>
                <c:pt idx="93">
                  <c:v>42737</c:v>
                </c:pt>
                <c:pt idx="94">
                  <c:v>42738</c:v>
                </c:pt>
                <c:pt idx="95">
                  <c:v>42739</c:v>
                </c:pt>
                <c:pt idx="96">
                  <c:v>42740</c:v>
                </c:pt>
                <c:pt idx="97">
                  <c:v>42741</c:v>
                </c:pt>
                <c:pt idx="98">
                  <c:v>42742</c:v>
                </c:pt>
                <c:pt idx="99">
                  <c:v>42743</c:v>
                </c:pt>
                <c:pt idx="100">
                  <c:v>42744</c:v>
                </c:pt>
                <c:pt idx="101">
                  <c:v>42745</c:v>
                </c:pt>
                <c:pt idx="102">
                  <c:v>42746</c:v>
                </c:pt>
                <c:pt idx="103">
                  <c:v>42747</c:v>
                </c:pt>
                <c:pt idx="104">
                  <c:v>42748</c:v>
                </c:pt>
                <c:pt idx="105">
                  <c:v>42749</c:v>
                </c:pt>
                <c:pt idx="106">
                  <c:v>42750</c:v>
                </c:pt>
                <c:pt idx="107">
                  <c:v>42751</c:v>
                </c:pt>
                <c:pt idx="108">
                  <c:v>42752</c:v>
                </c:pt>
                <c:pt idx="109">
                  <c:v>42753</c:v>
                </c:pt>
                <c:pt idx="110">
                  <c:v>42754</c:v>
                </c:pt>
                <c:pt idx="111">
                  <c:v>42755</c:v>
                </c:pt>
                <c:pt idx="112">
                  <c:v>42756</c:v>
                </c:pt>
                <c:pt idx="113">
                  <c:v>42757</c:v>
                </c:pt>
                <c:pt idx="114">
                  <c:v>42758</c:v>
                </c:pt>
                <c:pt idx="115">
                  <c:v>42759</c:v>
                </c:pt>
                <c:pt idx="116">
                  <c:v>42760</c:v>
                </c:pt>
                <c:pt idx="117">
                  <c:v>42761</c:v>
                </c:pt>
                <c:pt idx="118">
                  <c:v>42762</c:v>
                </c:pt>
                <c:pt idx="119">
                  <c:v>42763</c:v>
                </c:pt>
                <c:pt idx="120">
                  <c:v>42764</c:v>
                </c:pt>
                <c:pt idx="121">
                  <c:v>42765</c:v>
                </c:pt>
                <c:pt idx="122">
                  <c:v>42766</c:v>
                </c:pt>
                <c:pt idx="123">
                  <c:v>42767</c:v>
                </c:pt>
                <c:pt idx="124">
                  <c:v>42768</c:v>
                </c:pt>
                <c:pt idx="125">
                  <c:v>42769</c:v>
                </c:pt>
                <c:pt idx="126">
                  <c:v>42770</c:v>
                </c:pt>
                <c:pt idx="127">
                  <c:v>42771</c:v>
                </c:pt>
                <c:pt idx="128">
                  <c:v>42772</c:v>
                </c:pt>
                <c:pt idx="129">
                  <c:v>42773</c:v>
                </c:pt>
                <c:pt idx="130">
                  <c:v>42774</c:v>
                </c:pt>
                <c:pt idx="131">
                  <c:v>42775</c:v>
                </c:pt>
                <c:pt idx="132">
                  <c:v>42776</c:v>
                </c:pt>
                <c:pt idx="133">
                  <c:v>42777</c:v>
                </c:pt>
                <c:pt idx="134">
                  <c:v>42778</c:v>
                </c:pt>
                <c:pt idx="135">
                  <c:v>42779</c:v>
                </c:pt>
                <c:pt idx="136">
                  <c:v>42780</c:v>
                </c:pt>
                <c:pt idx="137">
                  <c:v>42781</c:v>
                </c:pt>
                <c:pt idx="138">
                  <c:v>42782</c:v>
                </c:pt>
                <c:pt idx="139">
                  <c:v>42783</c:v>
                </c:pt>
                <c:pt idx="140">
                  <c:v>42784</c:v>
                </c:pt>
                <c:pt idx="141">
                  <c:v>42785</c:v>
                </c:pt>
                <c:pt idx="142">
                  <c:v>42786</c:v>
                </c:pt>
                <c:pt idx="143">
                  <c:v>42787</c:v>
                </c:pt>
                <c:pt idx="144">
                  <c:v>42788</c:v>
                </c:pt>
                <c:pt idx="145">
                  <c:v>42789</c:v>
                </c:pt>
                <c:pt idx="146">
                  <c:v>42790</c:v>
                </c:pt>
                <c:pt idx="147">
                  <c:v>42791</c:v>
                </c:pt>
                <c:pt idx="148">
                  <c:v>42792</c:v>
                </c:pt>
                <c:pt idx="149">
                  <c:v>42793</c:v>
                </c:pt>
                <c:pt idx="150">
                  <c:v>42794</c:v>
                </c:pt>
                <c:pt idx="151">
                  <c:v>42795</c:v>
                </c:pt>
                <c:pt idx="152">
                  <c:v>42796</c:v>
                </c:pt>
                <c:pt idx="153">
                  <c:v>42797</c:v>
                </c:pt>
                <c:pt idx="154">
                  <c:v>42798</c:v>
                </c:pt>
                <c:pt idx="155">
                  <c:v>42799</c:v>
                </c:pt>
                <c:pt idx="156">
                  <c:v>42800</c:v>
                </c:pt>
                <c:pt idx="157">
                  <c:v>42801</c:v>
                </c:pt>
                <c:pt idx="158">
                  <c:v>42802</c:v>
                </c:pt>
                <c:pt idx="159">
                  <c:v>42803</c:v>
                </c:pt>
                <c:pt idx="160">
                  <c:v>42804</c:v>
                </c:pt>
                <c:pt idx="161">
                  <c:v>42805</c:v>
                </c:pt>
                <c:pt idx="162">
                  <c:v>42806</c:v>
                </c:pt>
                <c:pt idx="163">
                  <c:v>42807</c:v>
                </c:pt>
                <c:pt idx="164">
                  <c:v>42808</c:v>
                </c:pt>
                <c:pt idx="165">
                  <c:v>42809</c:v>
                </c:pt>
                <c:pt idx="166">
                  <c:v>42810</c:v>
                </c:pt>
                <c:pt idx="167">
                  <c:v>42811</c:v>
                </c:pt>
                <c:pt idx="168">
                  <c:v>42812</c:v>
                </c:pt>
                <c:pt idx="169">
                  <c:v>42813</c:v>
                </c:pt>
                <c:pt idx="170">
                  <c:v>42814</c:v>
                </c:pt>
                <c:pt idx="171">
                  <c:v>42815</c:v>
                </c:pt>
                <c:pt idx="172">
                  <c:v>42816</c:v>
                </c:pt>
                <c:pt idx="173">
                  <c:v>42817</c:v>
                </c:pt>
                <c:pt idx="174">
                  <c:v>42818</c:v>
                </c:pt>
                <c:pt idx="175">
                  <c:v>42819</c:v>
                </c:pt>
                <c:pt idx="176">
                  <c:v>42820</c:v>
                </c:pt>
                <c:pt idx="177">
                  <c:v>42821</c:v>
                </c:pt>
                <c:pt idx="178">
                  <c:v>42822</c:v>
                </c:pt>
                <c:pt idx="179">
                  <c:v>42823</c:v>
                </c:pt>
                <c:pt idx="180">
                  <c:v>42824</c:v>
                </c:pt>
                <c:pt idx="181">
                  <c:v>42825</c:v>
                </c:pt>
                <c:pt idx="182">
                  <c:v>42826</c:v>
                </c:pt>
                <c:pt idx="183">
                  <c:v>42827</c:v>
                </c:pt>
                <c:pt idx="184">
                  <c:v>42828</c:v>
                </c:pt>
                <c:pt idx="185">
                  <c:v>42829</c:v>
                </c:pt>
                <c:pt idx="186">
                  <c:v>42830</c:v>
                </c:pt>
                <c:pt idx="187">
                  <c:v>42831</c:v>
                </c:pt>
                <c:pt idx="188">
                  <c:v>42832</c:v>
                </c:pt>
                <c:pt idx="189">
                  <c:v>42833</c:v>
                </c:pt>
                <c:pt idx="190">
                  <c:v>42834</c:v>
                </c:pt>
                <c:pt idx="191">
                  <c:v>42835</c:v>
                </c:pt>
                <c:pt idx="192">
                  <c:v>42836</c:v>
                </c:pt>
                <c:pt idx="193">
                  <c:v>42837</c:v>
                </c:pt>
                <c:pt idx="194">
                  <c:v>42838</c:v>
                </c:pt>
                <c:pt idx="195">
                  <c:v>42839</c:v>
                </c:pt>
                <c:pt idx="196">
                  <c:v>42840</c:v>
                </c:pt>
                <c:pt idx="197">
                  <c:v>42841</c:v>
                </c:pt>
                <c:pt idx="198">
                  <c:v>42842</c:v>
                </c:pt>
                <c:pt idx="199">
                  <c:v>42843</c:v>
                </c:pt>
                <c:pt idx="200">
                  <c:v>42844</c:v>
                </c:pt>
                <c:pt idx="201">
                  <c:v>42845</c:v>
                </c:pt>
                <c:pt idx="202">
                  <c:v>42846</c:v>
                </c:pt>
                <c:pt idx="203">
                  <c:v>42847</c:v>
                </c:pt>
                <c:pt idx="204">
                  <c:v>42848</c:v>
                </c:pt>
                <c:pt idx="205">
                  <c:v>42849</c:v>
                </c:pt>
                <c:pt idx="206">
                  <c:v>42850</c:v>
                </c:pt>
                <c:pt idx="207">
                  <c:v>42851</c:v>
                </c:pt>
                <c:pt idx="208">
                  <c:v>42852</c:v>
                </c:pt>
                <c:pt idx="209">
                  <c:v>42853</c:v>
                </c:pt>
                <c:pt idx="210">
                  <c:v>42854</c:v>
                </c:pt>
                <c:pt idx="211">
                  <c:v>42855</c:v>
                </c:pt>
                <c:pt idx="212">
                  <c:v>42856</c:v>
                </c:pt>
                <c:pt idx="213">
                  <c:v>42857</c:v>
                </c:pt>
                <c:pt idx="214">
                  <c:v>42858</c:v>
                </c:pt>
                <c:pt idx="215">
                  <c:v>42859</c:v>
                </c:pt>
                <c:pt idx="216">
                  <c:v>42860</c:v>
                </c:pt>
                <c:pt idx="217">
                  <c:v>42861</c:v>
                </c:pt>
                <c:pt idx="218">
                  <c:v>42862</c:v>
                </c:pt>
                <c:pt idx="219">
                  <c:v>42863</c:v>
                </c:pt>
                <c:pt idx="220">
                  <c:v>42864</c:v>
                </c:pt>
                <c:pt idx="221">
                  <c:v>42865</c:v>
                </c:pt>
                <c:pt idx="222">
                  <c:v>42866</c:v>
                </c:pt>
                <c:pt idx="223">
                  <c:v>42867</c:v>
                </c:pt>
                <c:pt idx="224">
                  <c:v>42868</c:v>
                </c:pt>
                <c:pt idx="225">
                  <c:v>42869</c:v>
                </c:pt>
                <c:pt idx="226">
                  <c:v>42870</c:v>
                </c:pt>
                <c:pt idx="227">
                  <c:v>42871</c:v>
                </c:pt>
                <c:pt idx="228">
                  <c:v>42872</c:v>
                </c:pt>
                <c:pt idx="229">
                  <c:v>42873</c:v>
                </c:pt>
                <c:pt idx="230">
                  <c:v>42874</c:v>
                </c:pt>
                <c:pt idx="231">
                  <c:v>42875</c:v>
                </c:pt>
                <c:pt idx="232">
                  <c:v>42876</c:v>
                </c:pt>
                <c:pt idx="233">
                  <c:v>42877</c:v>
                </c:pt>
                <c:pt idx="234">
                  <c:v>42878</c:v>
                </c:pt>
                <c:pt idx="235">
                  <c:v>42879</c:v>
                </c:pt>
                <c:pt idx="236">
                  <c:v>42880</c:v>
                </c:pt>
                <c:pt idx="237">
                  <c:v>42881</c:v>
                </c:pt>
                <c:pt idx="238">
                  <c:v>42882</c:v>
                </c:pt>
                <c:pt idx="239">
                  <c:v>42883</c:v>
                </c:pt>
                <c:pt idx="240">
                  <c:v>42884</c:v>
                </c:pt>
                <c:pt idx="241">
                  <c:v>42885</c:v>
                </c:pt>
                <c:pt idx="242">
                  <c:v>42886</c:v>
                </c:pt>
                <c:pt idx="243">
                  <c:v>42887</c:v>
                </c:pt>
                <c:pt idx="244">
                  <c:v>42888</c:v>
                </c:pt>
                <c:pt idx="245">
                  <c:v>42889</c:v>
                </c:pt>
                <c:pt idx="246">
                  <c:v>42890</c:v>
                </c:pt>
                <c:pt idx="247">
                  <c:v>42891</c:v>
                </c:pt>
                <c:pt idx="248">
                  <c:v>42892</c:v>
                </c:pt>
                <c:pt idx="249">
                  <c:v>42893</c:v>
                </c:pt>
                <c:pt idx="250">
                  <c:v>42894</c:v>
                </c:pt>
                <c:pt idx="251">
                  <c:v>42895</c:v>
                </c:pt>
                <c:pt idx="252">
                  <c:v>42896</c:v>
                </c:pt>
                <c:pt idx="253">
                  <c:v>42897</c:v>
                </c:pt>
                <c:pt idx="254">
                  <c:v>42898</c:v>
                </c:pt>
                <c:pt idx="255">
                  <c:v>42899</c:v>
                </c:pt>
                <c:pt idx="256">
                  <c:v>42900</c:v>
                </c:pt>
                <c:pt idx="257">
                  <c:v>42901</c:v>
                </c:pt>
                <c:pt idx="258">
                  <c:v>42902</c:v>
                </c:pt>
                <c:pt idx="259">
                  <c:v>42903</c:v>
                </c:pt>
                <c:pt idx="260">
                  <c:v>42904</c:v>
                </c:pt>
                <c:pt idx="261">
                  <c:v>42905</c:v>
                </c:pt>
                <c:pt idx="262">
                  <c:v>42906</c:v>
                </c:pt>
                <c:pt idx="263">
                  <c:v>42907</c:v>
                </c:pt>
                <c:pt idx="264">
                  <c:v>42908</c:v>
                </c:pt>
                <c:pt idx="265">
                  <c:v>42909</c:v>
                </c:pt>
                <c:pt idx="266">
                  <c:v>42910</c:v>
                </c:pt>
                <c:pt idx="267">
                  <c:v>42911</c:v>
                </c:pt>
                <c:pt idx="268">
                  <c:v>42912</c:v>
                </c:pt>
                <c:pt idx="269">
                  <c:v>42913</c:v>
                </c:pt>
                <c:pt idx="270">
                  <c:v>42914</c:v>
                </c:pt>
                <c:pt idx="271">
                  <c:v>42915</c:v>
                </c:pt>
                <c:pt idx="272">
                  <c:v>42916</c:v>
                </c:pt>
                <c:pt idx="273">
                  <c:v>42917</c:v>
                </c:pt>
                <c:pt idx="274">
                  <c:v>42918</c:v>
                </c:pt>
                <c:pt idx="275">
                  <c:v>42919</c:v>
                </c:pt>
                <c:pt idx="276">
                  <c:v>42920</c:v>
                </c:pt>
                <c:pt idx="277">
                  <c:v>42921</c:v>
                </c:pt>
                <c:pt idx="278">
                  <c:v>42922</c:v>
                </c:pt>
                <c:pt idx="279">
                  <c:v>42923</c:v>
                </c:pt>
                <c:pt idx="280">
                  <c:v>42924</c:v>
                </c:pt>
                <c:pt idx="281">
                  <c:v>42925</c:v>
                </c:pt>
                <c:pt idx="282">
                  <c:v>42926</c:v>
                </c:pt>
                <c:pt idx="283">
                  <c:v>42927</c:v>
                </c:pt>
                <c:pt idx="284">
                  <c:v>42928</c:v>
                </c:pt>
                <c:pt idx="285">
                  <c:v>42929</c:v>
                </c:pt>
                <c:pt idx="286">
                  <c:v>42930</c:v>
                </c:pt>
                <c:pt idx="287">
                  <c:v>42931</c:v>
                </c:pt>
                <c:pt idx="288">
                  <c:v>42932</c:v>
                </c:pt>
                <c:pt idx="289">
                  <c:v>42933</c:v>
                </c:pt>
                <c:pt idx="290">
                  <c:v>42934</c:v>
                </c:pt>
                <c:pt idx="291">
                  <c:v>42935</c:v>
                </c:pt>
                <c:pt idx="292">
                  <c:v>42936</c:v>
                </c:pt>
                <c:pt idx="293">
                  <c:v>42937</c:v>
                </c:pt>
                <c:pt idx="294">
                  <c:v>42938</c:v>
                </c:pt>
                <c:pt idx="295">
                  <c:v>42939</c:v>
                </c:pt>
                <c:pt idx="296">
                  <c:v>42940</c:v>
                </c:pt>
                <c:pt idx="297">
                  <c:v>42941</c:v>
                </c:pt>
                <c:pt idx="298">
                  <c:v>42942</c:v>
                </c:pt>
                <c:pt idx="299">
                  <c:v>42943</c:v>
                </c:pt>
                <c:pt idx="300">
                  <c:v>42944</c:v>
                </c:pt>
                <c:pt idx="301">
                  <c:v>42945</c:v>
                </c:pt>
                <c:pt idx="302">
                  <c:v>42946</c:v>
                </c:pt>
                <c:pt idx="303">
                  <c:v>42947</c:v>
                </c:pt>
                <c:pt idx="304">
                  <c:v>42948</c:v>
                </c:pt>
                <c:pt idx="305">
                  <c:v>42949</c:v>
                </c:pt>
                <c:pt idx="306">
                  <c:v>42950</c:v>
                </c:pt>
                <c:pt idx="307">
                  <c:v>42951</c:v>
                </c:pt>
                <c:pt idx="308">
                  <c:v>42952</c:v>
                </c:pt>
                <c:pt idx="309">
                  <c:v>42953</c:v>
                </c:pt>
                <c:pt idx="310">
                  <c:v>42954</c:v>
                </c:pt>
                <c:pt idx="311">
                  <c:v>42955</c:v>
                </c:pt>
                <c:pt idx="312">
                  <c:v>42956</c:v>
                </c:pt>
                <c:pt idx="313">
                  <c:v>42957</c:v>
                </c:pt>
                <c:pt idx="314">
                  <c:v>42958</c:v>
                </c:pt>
                <c:pt idx="315">
                  <c:v>42959</c:v>
                </c:pt>
                <c:pt idx="316">
                  <c:v>42960</c:v>
                </c:pt>
                <c:pt idx="317">
                  <c:v>42961</c:v>
                </c:pt>
                <c:pt idx="318">
                  <c:v>42962</c:v>
                </c:pt>
                <c:pt idx="319">
                  <c:v>42963</c:v>
                </c:pt>
                <c:pt idx="320">
                  <c:v>42964</c:v>
                </c:pt>
                <c:pt idx="321">
                  <c:v>42965</c:v>
                </c:pt>
                <c:pt idx="322">
                  <c:v>42966</c:v>
                </c:pt>
                <c:pt idx="323">
                  <c:v>42967</c:v>
                </c:pt>
                <c:pt idx="324">
                  <c:v>42968</c:v>
                </c:pt>
                <c:pt idx="325">
                  <c:v>42969</c:v>
                </c:pt>
                <c:pt idx="326">
                  <c:v>42970</c:v>
                </c:pt>
                <c:pt idx="327">
                  <c:v>42971</c:v>
                </c:pt>
                <c:pt idx="328">
                  <c:v>42972</c:v>
                </c:pt>
                <c:pt idx="329">
                  <c:v>42973</c:v>
                </c:pt>
                <c:pt idx="330">
                  <c:v>42974</c:v>
                </c:pt>
                <c:pt idx="331">
                  <c:v>42975</c:v>
                </c:pt>
                <c:pt idx="332">
                  <c:v>42976</c:v>
                </c:pt>
                <c:pt idx="333">
                  <c:v>42977</c:v>
                </c:pt>
                <c:pt idx="334">
                  <c:v>42978</c:v>
                </c:pt>
                <c:pt idx="335">
                  <c:v>42979</c:v>
                </c:pt>
                <c:pt idx="336">
                  <c:v>42980</c:v>
                </c:pt>
                <c:pt idx="337">
                  <c:v>42981</c:v>
                </c:pt>
                <c:pt idx="338">
                  <c:v>42982</c:v>
                </c:pt>
                <c:pt idx="339">
                  <c:v>42983</c:v>
                </c:pt>
                <c:pt idx="340">
                  <c:v>42984</c:v>
                </c:pt>
                <c:pt idx="341">
                  <c:v>42985</c:v>
                </c:pt>
                <c:pt idx="342">
                  <c:v>42986</c:v>
                </c:pt>
                <c:pt idx="343">
                  <c:v>42987</c:v>
                </c:pt>
                <c:pt idx="344">
                  <c:v>42988</c:v>
                </c:pt>
                <c:pt idx="345">
                  <c:v>42989</c:v>
                </c:pt>
                <c:pt idx="346">
                  <c:v>42990</c:v>
                </c:pt>
                <c:pt idx="347">
                  <c:v>42991</c:v>
                </c:pt>
                <c:pt idx="348">
                  <c:v>42992</c:v>
                </c:pt>
                <c:pt idx="349">
                  <c:v>42993</c:v>
                </c:pt>
                <c:pt idx="350">
                  <c:v>42994</c:v>
                </c:pt>
                <c:pt idx="351">
                  <c:v>42995</c:v>
                </c:pt>
                <c:pt idx="352">
                  <c:v>42996</c:v>
                </c:pt>
                <c:pt idx="353">
                  <c:v>42997</c:v>
                </c:pt>
                <c:pt idx="354">
                  <c:v>42998</c:v>
                </c:pt>
                <c:pt idx="355">
                  <c:v>42999</c:v>
                </c:pt>
                <c:pt idx="356">
                  <c:v>43000</c:v>
                </c:pt>
                <c:pt idx="357">
                  <c:v>43001</c:v>
                </c:pt>
                <c:pt idx="358">
                  <c:v>43002</c:v>
                </c:pt>
                <c:pt idx="359">
                  <c:v>43003</c:v>
                </c:pt>
                <c:pt idx="360">
                  <c:v>43004</c:v>
                </c:pt>
                <c:pt idx="361">
                  <c:v>43005</c:v>
                </c:pt>
                <c:pt idx="362">
                  <c:v>43006</c:v>
                </c:pt>
                <c:pt idx="363">
                  <c:v>43007</c:v>
                </c:pt>
                <c:pt idx="364">
                  <c:v>43008</c:v>
                </c:pt>
              </c:numCache>
            </c:numRef>
          </c:cat>
          <c:val>
            <c:numRef>
              <c:f>parágrafo_3.7!$U$4:$U$368</c:f>
              <c:numCache>
                <c:formatCode>#,##0</c:formatCode>
                <c:ptCount val="365"/>
                <c:pt idx="0">
                  <c:v>800.95699999999999</c:v>
                </c:pt>
                <c:pt idx="1">
                  <c:v>1742.481</c:v>
                </c:pt>
                <c:pt idx="2">
                  <c:v>-24.12</c:v>
                </c:pt>
                <c:pt idx="3">
                  <c:v>-416.41800000000001</c:v>
                </c:pt>
                <c:pt idx="4">
                  <c:v>2711.259</c:v>
                </c:pt>
                <c:pt idx="5">
                  <c:v>-9932.8880000000008</c:v>
                </c:pt>
                <c:pt idx="6">
                  <c:v>-12048.191999999999</c:v>
                </c:pt>
                <c:pt idx="7">
                  <c:v>419.464</c:v>
                </c:pt>
                <c:pt idx="8">
                  <c:v>1807.2550000000001</c:v>
                </c:pt>
                <c:pt idx="9">
                  <c:v>-4066.8249999999998</c:v>
                </c:pt>
                <c:pt idx="10">
                  <c:v>-319.35300000000001</c:v>
                </c:pt>
                <c:pt idx="11">
                  <c:v>-578.55899999999997</c:v>
                </c:pt>
                <c:pt idx="12">
                  <c:v>-147.00899999999999</c:v>
                </c:pt>
                <c:pt idx="13">
                  <c:v>-150.22</c:v>
                </c:pt>
                <c:pt idx="14">
                  <c:v>139.482</c:v>
                </c:pt>
                <c:pt idx="15">
                  <c:v>6.3150000000000004</c:v>
                </c:pt>
                <c:pt idx="16">
                  <c:v>12.454000000000001</c:v>
                </c:pt>
                <c:pt idx="17">
                  <c:v>-510.387</c:v>
                </c:pt>
                <c:pt idx="18">
                  <c:v>-416.41399999999999</c:v>
                </c:pt>
                <c:pt idx="19">
                  <c:v>-296.70499999999998</c:v>
                </c:pt>
                <c:pt idx="20">
                  <c:v>228.26900000000001</c:v>
                </c:pt>
                <c:pt idx="21">
                  <c:v>296.90300000000002</c:v>
                </c:pt>
                <c:pt idx="22">
                  <c:v>620.94799999999998</c:v>
                </c:pt>
                <c:pt idx="23">
                  <c:v>169.22200000000001</c:v>
                </c:pt>
                <c:pt idx="24">
                  <c:v>273.27300000000002</c:v>
                </c:pt>
                <c:pt idx="25">
                  <c:v>-64.043000000000006</c:v>
                </c:pt>
                <c:pt idx="26">
                  <c:v>915.83199999999999</c:v>
                </c:pt>
                <c:pt idx="27">
                  <c:v>429.79899999999998</c:v>
                </c:pt>
                <c:pt idx="28">
                  <c:v>1182.952</c:v>
                </c:pt>
                <c:pt idx="29">
                  <c:v>1066.701</c:v>
                </c:pt>
                <c:pt idx="30">
                  <c:v>871.04100000000005</c:v>
                </c:pt>
                <c:pt idx="31">
                  <c:v>3657.3609999999999</c:v>
                </c:pt>
                <c:pt idx="32">
                  <c:v>346.274</c:v>
                </c:pt>
                <c:pt idx="33">
                  <c:v>193.601</c:v>
                </c:pt>
                <c:pt idx="34">
                  <c:v>-1.0999999999999999E-2</c:v>
                </c:pt>
                <c:pt idx="35">
                  <c:v>8.07</c:v>
                </c:pt>
                <c:pt idx="36">
                  <c:v>-18.68</c:v>
                </c:pt>
                <c:pt idx="37">
                  <c:v>-106.726</c:v>
                </c:pt>
                <c:pt idx="38">
                  <c:v>-221.857</c:v>
                </c:pt>
                <c:pt idx="39">
                  <c:v>-389.99400000000003</c:v>
                </c:pt>
                <c:pt idx="40">
                  <c:v>-838.30399999999997</c:v>
                </c:pt>
                <c:pt idx="41">
                  <c:v>-135.81100000000001</c:v>
                </c:pt>
                <c:pt idx="42">
                  <c:v>-67.396000000000001</c:v>
                </c:pt>
                <c:pt idx="43">
                  <c:v>-32.351999999999997</c:v>
                </c:pt>
                <c:pt idx="44">
                  <c:v>-2133.357</c:v>
                </c:pt>
                <c:pt idx="45">
                  <c:v>-6.3E-2</c:v>
                </c:pt>
                <c:pt idx="46">
                  <c:v>-6.3E-2</c:v>
                </c:pt>
                <c:pt idx="47">
                  <c:v>22.792999999999999</c:v>
                </c:pt>
                <c:pt idx="48">
                  <c:v>-17.079999999999998</c:v>
                </c:pt>
                <c:pt idx="49">
                  <c:v>-15.781000000000001</c:v>
                </c:pt>
                <c:pt idx="50">
                  <c:v>-7.0000000000000007E-2</c:v>
                </c:pt>
                <c:pt idx="51">
                  <c:v>-28.116</c:v>
                </c:pt>
                <c:pt idx="52">
                  <c:v>-79.421000000000006</c:v>
                </c:pt>
                <c:pt idx="53">
                  <c:v>-835.31299999999999</c:v>
                </c:pt>
                <c:pt idx="54">
                  <c:v>-12.659000000000001</c:v>
                </c:pt>
                <c:pt idx="55">
                  <c:v>33.798999999999999</c:v>
                </c:pt>
                <c:pt idx="56">
                  <c:v>-112.86</c:v>
                </c:pt>
                <c:pt idx="57">
                  <c:v>1.0369999999999999</c:v>
                </c:pt>
                <c:pt idx="58">
                  <c:v>-3.3319999999999999</c:v>
                </c:pt>
                <c:pt idx="59">
                  <c:v>-13.013999999999999</c:v>
                </c:pt>
                <c:pt idx="60">
                  <c:v>35.543999999999997</c:v>
                </c:pt>
                <c:pt idx="61">
                  <c:v>-233.66900000000001</c:v>
                </c:pt>
                <c:pt idx="62">
                  <c:v>-109.29900000000001</c:v>
                </c:pt>
                <c:pt idx="63">
                  <c:v>4.782</c:v>
                </c:pt>
                <c:pt idx="64">
                  <c:v>-4.4859999999999998</c:v>
                </c:pt>
                <c:pt idx="65">
                  <c:v>894.197</c:v>
                </c:pt>
                <c:pt idx="66">
                  <c:v>395.35899999999998</c:v>
                </c:pt>
                <c:pt idx="67">
                  <c:v>358.08100000000002</c:v>
                </c:pt>
                <c:pt idx="68">
                  <c:v>-178.88399999999999</c:v>
                </c:pt>
                <c:pt idx="69">
                  <c:v>2382.1509999999998</c:v>
                </c:pt>
                <c:pt idx="70">
                  <c:v>8.2260000000000009</c:v>
                </c:pt>
                <c:pt idx="71">
                  <c:v>-11.805</c:v>
                </c:pt>
                <c:pt idx="72">
                  <c:v>744.03700000000003</c:v>
                </c:pt>
                <c:pt idx="73">
                  <c:v>-647.68799999999999</c:v>
                </c:pt>
                <c:pt idx="74">
                  <c:v>-649.63699999999994</c:v>
                </c:pt>
                <c:pt idx="75">
                  <c:v>-20.265000000000001</c:v>
                </c:pt>
                <c:pt idx="76">
                  <c:v>-375.79399999999998</c:v>
                </c:pt>
                <c:pt idx="77">
                  <c:v>-10.092000000000001</c:v>
                </c:pt>
                <c:pt idx="78">
                  <c:v>-21.056000000000001</c:v>
                </c:pt>
                <c:pt idx="79">
                  <c:v>158.215</c:v>
                </c:pt>
                <c:pt idx="80">
                  <c:v>253.61799999999999</c:v>
                </c:pt>
                <c:pt idx="81">
                  <c:v>-0.39800000000000002</c:v>
                </c:pt>
                <c:pt idx="82">
                  <c:v>208.34100000000001</c:v>
                </c:pt>
                <c:pt idx="83">
                  <c:v>1435.6130000000001</c:v>
                </c:pt>
                <c:pt idx="84">
                  <c:v>-111.715</c:v>
                </c:pt>
                <c:pt idx="85">
                  <c:v>-1258.5930000000001</c:v>
                </c:pt>
                <c:pt idx="86">
                  <c:v>1465.0129999999999</c:v>
                </c:pt>
                <c:pt idx="87">
                  <c:v>-0.35</c:v>
                </c:pt>
                <c:pt idx="88">
                  <c:v>1609.4390000000001</c:v>
                </c:pt>
                <c:pt idx="89">
                  <c:v>901.31399999999996</c:v>
                </c:pt>
                <c:pt idx="90">
                  <c:v>442.827</c:v>
                </c:pt>
                <c:pt idx="91">
                  <c:v>840.9</c:v>
                </c:pt>
                <c:pt idx="92">
                  <c:v>63.369</c:v>
                </c:pt>
                <c:pt idx="93">
                  <c:v>-1106.2080000000001</c:v>
                </c:pt>
                <c:pt idx="94">
                  <c:v>-4.7140000000000004</c:v>
                </c:pt>
                <c:pt idx="95">
                  <c:v>579.89</c:v>
                </c:pt>
                <c:pt idx="96">
                  <c:v>84.826999999999998</c:v>
                </c:pt>
                <c:pt idx="97">
                  <c:v>-22.047000000000001</c:v>
                </c:pt>
                <c:pt idx="98">
                  <c:v>-7507.0529999999999</c:v>
                </c:pt>
                <c:pt idx="99">
                  <c:v>-2868.9609999999998</c:v>
                </c:pt>
                <c:pt idx="100">
                  <c:v>-81.661000000000001</c:v>
                </c:pt>
                <c:pt idx="101">
                  <c:v>20.718</c:v>
                </c:pt>
                <c:pt idx="102">
                  <c:v>166.63200000000001</c:v>
                </c:pt>
                <c:pt idx="103">
                  <c:v>45.023000000000003</c:v>
                </c:pt>
                <c:pt idx="104">
                  <c:v>409.178</c:v>
                </c:pt>
                <c:pt idx="105">
                  <c:v>495.94400000000002</c:v>
                </c:pt>
                <c:pt idx="106">
                  <c:v>-0.129</c:v>
                </c:pt>
                <c:pt idx="107">
                  <c:v>-41.942999999999998</c:v>
                </c:pt>
                <c:pt idx="108">
                  <c:v>-2.8000000000000001E-2</c:v>
                </c:pt>
                <c:pt idx="109">
                  <c:v>9.9969999999999999</c:v>
                </c:pt>
                <c:pt idx="110">
                  <c:v>-7839.348</c:v>
                </c:pt>
                <c:pt idx="111">
                  <c:v>-7.7210000000000001</c:v>
                </c:pt>
                <c:pt idx="112">
                  <c:v>-13.414999999999999</c:v>
                </c:pt>
                <c:pt idx="113">
                  <c:v>-5.9189999999999996</c:v>
                </c:pt>
                <c:pt idx="114">
                  <c:v>21.547999999999998</c:v>
                </c:pt>
                <c:pt idx="115">
                  <c:v>-1.2450000000000001</c:v>
                </c:pt>
                <c:pt idx="116">
                  <c:v>335.51900000000001</c:v>
                </c:pt>
                <c:pt idx="117">
                  <c:v>-55.136000000000003</c:v>
                </c:pt>
                <c:pt idx="118">
                  <c:v>890.11199999999997</c:v>
                </c:pt>
                <c:pt idx="119">
                  <c:v>171.75200000000001</c:v>
                </c:pt>
                <c:pt idx="120">
                  <c:v>97.491</c:v>
                </c:pt>
                <c:pt idx="121">
                  <c:v>757.44100000000003</c:v>
                </c:pt>
                <c:pt idx="122">
                  <c:v>46.835000000000001</c:v>
                </c:pt>
                <c:pt idx="123">
                  <c:v>236.18600000000001</c:v>
                </c:pt>
                <c:pt idx="124">
                  <c:v>503.99299999999999</c:v>
                </c:pt>
                <c:pt idx="125">
                  <c:v>-432.42099999999999</c:v>
                </c:pt>
                <c:pt idx="126">
                  <c:v>39.79</c:v>
                </c:pt>
                <c:pt idx="127">
                  <c:v>-189.91900000000001</c:v>
                </c:pt>
                <c:pt idx="128">
                  <c:v>-12.125999999999999</c:v>
                </c:pt>
                <c:pt idx="129">
                  <c:v>-31.981000000000002</c:v>
                </c:pt>
                <c:pt idx="130">
                  <c:v>-42.936</c:v>
                </c:pt>
                <c:pt idx="131">
                  <c:v>-938.63</c:v>
                </c:pt>
                <c:pt idx="132">
                  <c:v>-1030.8309999999999</c:v>
                </c:pt>
                <c:pt idx="133">
                  <c:v>-388.089</c:v>
                </c:pt>
                <c:pt idx="134">
                  <c:v>-21.189</c:v>
                </c:pt>
                <c:pt idx="135">
                  <c:v>14.257999999999999</c:v>
                </c:pt>
                <c:pt idx="136">
                  <c:v>1234.5550000000001</c:v>
                </c:pt>
                <c:pt idx="137">
                  <c:v>19.143999999999998</c:v>
                </c:pt>
                <c:pt idx="138">
                  <c:v>-442.18599999999998</c:v>
                </c:pt>
                <c:pt idx="139">
                  <c:v>-480.262</c:v>
                </c:pt>
                <c:pt idx="140">
                  <c:v>-225.45</c:v>
                </c:pt>
                <c:pt idx="141">
                  <c:v>-157.32</c:v>
                </c:pt>
                <c:pt idx="142">
                  <c:v>-435.58300000000003</c:v>
                </c:pt>
                <c:pt idx="143">
                  <c:v>-468.40199999999999</c:v>
                </c:pt>
                <c:pt idx="144">
                  <c:v>-424.78500000000003</c:v>
                </c:pt>
                <c:pt idx="145">
                  <c:v>-424.50700000000001</c:v>
                </c:pt>
                <c:pt idx="146">
                  <c:v>-471.47500000000002</c:v>
                </c:pt>
                <c:pt idx="147">
                  <c:v>-213.131</c:v>
                </c:pt>
                <c:pt idx="148">
                  <c:v>-113.21299999999999</c:v>
                </c:pt>
                <c:pt idx="149">
                  <c:v>492.49400000000003</c:v>
                </c:pt>
                <c:pt idx="150">
                  <c:v>-178.76599999999999</c:v>
                </c:pt>
                <c:pt idx="151">
                  <c:v>-1188.6130000000001</c:v>
                </c:pt>
                <c:pt idx="152">
                  <c:v>-726.57899999999995</c:v>
                </c:pt>
                <c:pt idx="153">
                  <c:v>-404.71199999999999</c:v>
                </c:pt>
                <c:pt idx="154">
                  <c:v>-206.08500000000001</c:v>
                </c:pt>
                <c:pt idx="155">
                  <c:v>-141.02199999999999</c:v>
                </c:pt>
                <c:pt idx="156">
                  <c:v>-420.39699999999999</c:v>
                </c:pt>
                <c:pt idx="157">
                  <c:v>-438.56900000000002</c:v>
                </c:pt>
                <c:pt idx="158">
                  <c:v>-402.45499999999998</c:v>
                </c:pt>
                <c:pt idx="159">
                  <c:v>-321.99200000000002</c:v>
                </c:pt>
                <c:pt idx="160">
                  <c:v>215.697</c:v>
                </c:pt>
                <c:pt idx="161">
                  <c:v>344.488</c:v>
                </c:pt>
                <c:pt idx="162">
                  <c:v>-112.688</c:v>
                </c:pt>
                <c:pt idx="163">
                  <c:v>-1014.788</c:v>
                </c:pt>
                <c:pt idx="164">
                  <c:v>-806.23500000000001</c:v>
                </c:pt>
                <c:pt idx="165">
                  <c:v>-415.39100000000002</c:v>
                </c:pt>
                <c:pt idx="166">
                  <c:v>-2802.85</c:v>
                </c:pt>
                <c:pt idx="167">
                  <c:v>-1048.6279999999999</c:v>
                </c:pt>
                <c:pt idx="168">
                  <c:v>-819.322</c:v>
                </c:pt>
                <c:pt idx="169">
                  <c:v>-116.59699999999999</c:v>
                </c:pt>
                <c:pt idx="170">
                  <c:v>-659.10799999999995</c:v>
                </c:pt>
                <c:pt idx="171">
                  <c:v>-450.67599999999999</c:v>
                </c:pt>
                <c:pt idx="172">
                  <c:v>-447.10700000000003</c:v>
                </c:pt>
                <c:pt idx="173">
                  <c:v>-644.96600000000001</c:v>
                </c:pt>
                <c:pt idx="174">
                  <c:v>-537.41700000000003</c:v>
                </c:pt>
                <c:pt idx="175">
                  <c:v>-211.82900000000001</c:v>
                </c:pt>
                <c:pt idx="176">
                  <c:v>-146.52099999999999</c:v>
                </c:pt>
                <c:pt idx="177">
                  <c:v>-521.60299999999995</c:v>
                </c:pt>
                <c:pt idx="178">
                  <c:v>-2812.9009999999998</c:v>
                </c:pt>
                <c:pt idx="179">
                  <c:v>-2667.5390000000002</c:v>
                </c:pt>
                <c:pt idx="180">
                  <c:v>-443.03100000000001</c:v>
                </c:pt>
                <c:pt idx="181">
                  <c:v>-391.81299999999999</c:v>
                </c:pt>
                <c:pt idx="182">
                  <c:v>-3355.3159999999998</c:v>
                </c:pt>
                <c:pt idx="183">
                  <c:v>991.63199999999995</c:v>
                </c:pt>
                <c:pt idx="184">
                  <c:v>75.751000000000005</c:v>
                </c:pt>
                <c:pt idx="185">
                  <c:v>-282.291</c:v>
                </c:pt>
                <c:pt idx="186">
                  <c:v>-70.715000000000003</c:v>
                </c:pt>
                <c:pt idx="187">
                  <c:v>-249.51300000000001</c:v>
                </c:pt>
                <c:pt idx="188">
                  <c:v>-253.40299999999999</c:v>
                </c:pt>
                <c:pt idx="189">
                  <c:v>-105.93</c:v>
                </c:pt>
                <c:pt idx="190">
                  <c:v>-576.83699999999999</c:v>
                </c:pt>
                <c:pt idx="191">
                  <c:v>-202.786</c:v>
                </c:pt>
                <c:pt idx="192">
                  <c:v>-253.22800000000001</c:v>
                </c:pt>
                <c:pt idx="193">
                  <c:v>-270.37299999999999</c:v>
                </c:pt>
                <c:pt idx="194">
                  <c:v>-67.537000000000006</c:v>
                </c:pt>
                <c:pt idx="195">
                  <c:v>-145.60499999999999</c:v>
                </c:pt>
                <c:pt idx="196">
                  <c:v>-208.52099999999999</c:v>
                </c:pt>
                <c:pt idx="197">
                  <c:v>796.58</c:v>
                </c:pt>
                <c:pt idx="198">
                  <c:v>1225.92</c:v>
                </c:pt>
                <c:pt idx="199">
                  <c:v>-153.55199999999999</c:v>
                </c:pt>
                <c:pt idx="200">
                  <c:v>-256.44600000000003</c:v>
                </c:pt>
                <c:pt idx="201">
                  <c:v>-244.17699999999999</c:v>
                </c:pt>
                <c:pt idx="202">
                  <c:v>-273.47500000000002</c:v>
                </c:pt>
                <c:pt idx="203">
                  <c:v>-163.13</c:v>
                </c:pt>
                <c:pt idx="204">
                  <c:v>-1066.9949999999999</c:v>
                </c:pt>
                <c:pt idx="205">
                  <c:v>-73.19</c:v>
                </c:pt>
                <c:pt idx="206">
                  <c:v>-196.715</c:v>
                </c:pt>
                <c:pt idx="207">
                  <c:v>-291.77</c:v>
                </c:pt>
                <c:pt idx="208">
                  <c:v>-268.49</c:v>
                </c:pt>
                <c:pt idx="209">
                  <c:v>-235.74</c:v>
                </c:pt>
                <c:pt idx="210">
                  <c:v>-139.83500000000001</c:v>
                </c:pt>
                <c:pt idx="211">
                  <c:v>23.812000000000001</c:v>
                </c:pt>
                <c:pt idx="212">
                  <c:v>-112.33499999999999</c:v>
                </c:pt>
                <c:pt idx="213">
                  <c:v>-167.78899999999999</c:v>
                </c:pt>
                <c:pt idx="214">
                  <c:v>-176.62700000000001</c:v>
                </c:pt>
                <c:pt idx="215">
                  <c:v>-2635.6550000000002</c:v>
                </c:pt>
                <c:pt idx="216">
                  <c:v>-254.20599999999999</c:v>
                </c:pt>
                <c:pt idx="217">
                  <c:v>-108.63200000000001</c:v>
                </c:pt>
                <c:pt idx="218">
                  <c:v>-39.643000000000001</c:v>
                </c:pt>
                <c:pt idx="219">
                  <c:v>-219.78200000000001</c:v>
                </c:pt>
                <c:pt idx="220">
                  <c:v>-228.98599999999999</c:v>
                </c:pt>
                <c:pt idx="221">
                  <c:v>-219.762</c:v>
                </c:pt>
                <c:pt idx="222">
                  <c:v>-263.07900000000001</c:v>
                </c:pt>
                <c:pt idx="223">
                  <c:v>-253.119</c:v>
                </c:pt>
                <c:pt idx="224">
                  <c:v>-6.0759999999999996</c:v>
                </c:pt>
                <c:pt idx="225">
                  <c:v>-47.622999999999998</c:v>
                </c:pt>
                <c:pt idx="226">
                  <c:v>-242.53100000000001</c:v>
                </c:pt>
                <c:pt idx="227">
                  <c:v>-227.32599999999999</c:v>
                </c:pt>
                <c:pt idx="228">
                  <c:v>-251.011</c:v>
                </c:pt>
                <c:pt idx="229">
                  <c:v>-619.65700000000004</c:v>
                </c:pt>
                <c:pt idx="230">
                  <c:v>-232.309</c:v>
                </c:pt>
                <c:pt idx="231">
                  <c:v>-94.747</c:v>
                </c:pt>
                <c:pt idx="232">
                  <c:v>165.79900000000001</c:v>
                </c:pt>
                <c:pt idx="233">
                  <c:v>-630.779</c:v>
                </c:pt>
                <c:pt idx="234">
                  <c:v>-227.774</c:v>
                </c:pt>
                <c:pt idx="235">
                  <c:v>-257.98200000000003</c:v>
                </c:pt>
                <c:pt idx="236">
                  <c:v>-264.18400000000003</c:v>
                </c:pt>
                <c:pt idx="237">
                  <c:v>-223.816</c:v>
                </c:pt>
                <c:pt idx="238">
                  <c:v>-138.02500000000001</c:v>
                </c:pt>
                <c:pt idx="239">
                  <c:v>-52.499000000000002</c:v>
                </c:pt>
                <c:pt idx="240">
                  <c:v>-6219.4750000000004</c:v>
                </c:pt>
                <c:pt idx="241">
                  <c:v>1222.2339999999999</c:v>
                </c:pt>
                <c:pt idx="242">
                  <c:v>-115.89100000000001</c:v>
                </c:pt>
                <c:pt idx="243">
                  <c:v>329.98099999999999</c:v>
                </c:pt>
                <c:pt idx="244">
                  <c:v>-138.738</c:v>
                </c:pt>
                <c:pt idx="245">
                  <c:v>-2744.2260000000001</c:v>
                </c:pt>
                <c:pt idx="246">
                  <c:v>-1013.564</c:v>
                </c:pt>
                <c:pt idx="247">
                  <c:v>249.78100000000001</c:v>
                </c:pt>
                <c:pt idx="248">
                  <c:v>-1048.796</c:v>
                </c:pt>
                <c:pt idx="249">
                  <c:v>-216.28700000000001</c:v>
                </c:pt>
                <c:pt idx="250">
                  <c:v>-164.06899999999999</c:v>
                </c:pt>
                <c:pt idx="251">
                  <c:v>-160.75299999999999</c:v>
                </c:pt>
                <c:pt idx="252">
                  <c:v>-93.082999999999998</c:v>
                </c:pt>
                <c:pt idx="253">
                  <c:v>-41.570999999999998</c:v>
                </c:pt>
                <c:pt idx="254">
                  <c:v>-123.389</c:v>
                </c:pt>
                <c:pt idx="255">
                  <c:v>-140.542</c:v>
                </c:pt>
                <c:pt idx="256">
                  <c:v>-105.616</c:v>
                </c:pt>
                <c:pt idx="257">
                  <c:v>2191.9650000000001</c:v>
                </c:pt>
                <c:pt idx="258">
                  <c:v>66.335999999999999</c:v>
                </c:pt>
                <c:pt idx="259">
                  <c:v>495.37099999999998</c:v>
                </c:pt>
                <c:pt idx="260">
                  <c:v>-36.234000000000002</c:v>
                </c:pt>
                <c:pt idx="261">
                  <c:v>-1.6930000000000001</c:v>
                </c:pt>
                <c:pt idx="262">
                  <c:v>-127.96599999999999</c:v>
                </c:pt>
                <c:pt idx="263">
                  <c:v>-151.428</c:v>
                </c:pt>
                <c:pt idx="264">
                  <c:v>-208.001</c:v>
                </c:pt>
                <c:pt idx="265">
                  <c:v>-163.25700000000001</c:v>
                </c:pt>
                <c:pt idx="266">
                  <c:v>-110.577</c:v>
                </c:pt>
                <c:pt idx="267">
                  <c:v>-53.59</c:v>
                </c:pt>
                <c:pt idx="268">
                  <c:v>-124.773</c:v>
                </c:pt>
                <c:pt idx="269">
                  <c:v>-156.81200000000001</c:v>
                </c:pt>
                <c:pt idx="270">
                  <c:v>2241.902</c:v>
                </c:pt>
                <c:pt idx="271">
                  <c:v>909.226</c:v>
                </c:pt>
                <c:pt idx="272">
                  <c:v>2615.922</c:v>
                </c:pt>
                <c:pt idx="273">
                  <c:v>-969.16600000000005</c:v>
                </c:pt>
                <c:pt idx="274">
                  <c:v>155.327</c:v>
                </c:pt>
                <c:pt idx="275">
                  <c:v>-51.1</c:v>
                </c:pt>
                <c:pt idx="276">
                  <c:v>-78.381</c:v>
                </c:pt>
                <c:pt idx="277">
                  <c:v>-187.84299999999999</c:v>
                </c:pt>
                <c:pt idx="278">
                  <c:v>-109.726</c:v>
                </c:pt>
                <c:pt idx="279">
                  <c:v>-112.36</c:v>
                </c:pt>
                <c:pt idx="280">
                  <c:v>-48.145000000000003</c:v>
                </c:pt>
                <c:pt idx="281">
                  <c:v>320.49200000000002</c:v>
                </c:pt>
                <c:pt idx="282">
                  <c:v>-57.622999999999998</c:v>
                </c:pt>
                <c:pt idx="283">
                  <c:v>-76.632999999999996</c:v>
                </c:pt>
                <c:pt idx="284">
                  <c:v>-118.773</c:v>
                </c:pt>
                <c:pt idx="285">
                  <c:v>-95.253</c:v>
                </c:pt>
                <c:pt idx="286">
                  <c:v>-73.620999999999995</c:v>
                </c:pt>
                <c:pt idx="287">
                  <c:v>-76.930999999999997</c:v>
                </c:pt>
                <c:pt idx="288">
                  <c:v>-17.475000000000001</c:v>
                </c:pt>
                <c:pt idx="289">
                  <c:v>-96.45</c:v>
                </c:pt>
                <c:pt idx="290">
                  <c:v>-110.479</c:v>
                </c:pt>
                <c:pt idx="291">
                  <c:v>-80.001999999999995</c:v>
                </c:pt>
                <c:pt idx="292">
                  <c:v>-84.367000000000004</c:v>
                </c:pt>
                <c:pt idx="293">
                  <c:v>-74.563000000000002</c:v>
                </c:pt>
                <c:pt idx="294">
                  <c:v>-63.704999999999998</c:v>
                </c:pt>
                <c:pt idx="295">
                  <c:v>75.379000000000005</c:v>
                </c:pt>
                <c:pt idx="296">
                  <c:v>-41.597000000000001</c:v>
                </c:pt>
                <c:pt idx="297">
                  <c:v>-427.69</c:v>
                </c:pt>
                <c:pt idx="298">
                  <c:v>-63.692999999999998</c:v>
                </c:pt>
                <c:pt idx="299">
                  <c:v>-110.084</c:v>
                </c:pt>
                <c:pt idx="300">
                  <c:v>-15.702999999999999</c:v>
                </c:pt>
                <c:pt idx="301">
                  <c:v>1729.3320000000001</c:v>
                </c:pt>
                <c:pt idx="302">
                  <c:v>2068.3629999999998</c:v>
                </c:pt>
                <c:pt idx="303">
                  <c:v>1421.402</c:v>
                </c:pt>
                <c:pt idx="304">
                  <c:v>451.27499999999998</c:v>
                </c:pt>
                <c:pt idx="305">
                  <c:v>276.02100000000002</c:v>
                </c:pt>
                <c:pt idx="306">
                  <c:v>-15.345000000000001</c:v>
                </c:pt>
                <c:pt idx="307">
                  <c:v>597.57000000000005</c:v>
                </c:pt>
                <c:pt idx="308">
                  <c:v>4843.1670000000004</c:v>
                </c:pt>
                <c:pt idx="309">
                  <c:v>2076.9490000000001</c:v>
                </c:pt>
                <c:pt idx="310">
                  <c:v>-41.411000000000001</c:v>
                </c:pt>
                <c:pt idx="311">
                  <c:v>-35.557000000000002</c:v>
                </c:pt>
                <c:pt idx="312">
                  <c:v>-70.494</c:v>
                </c:pt>
                <c:pt idx="313">
                  <c:v>-49.286000000000001</c:v>
                </c:pt>
                <c:pt idx="314">
                  <c:v>-41.954000000000001</c:v>
                </c:pt>
                <c:pt idx="315">
                  <c:v>-58.241999999999997</c:v>
                </c:pt>
                <c:pt idx="316">
                  <c:v>-7.6449999999999996</c:v>
                </c:pt>
                <c:pt idx="317">
                  <c:v>2.7080000000000002</c:v>
                </c:pt>
                <c:pt idx="318">
                  <c:v>-32.807000000000002</c:v>
                </c:pt>
                <c:pt idx="319">
                  <c:v>400.99</c:v>
                </c:pt>
                <c:pt idx="320">
                  <c:v>-21.734000000000002</c:v>
                </c:pt>
                <c:pt idx="321">
                  <c:v>6.165</c:v>
                </c:pt>
                <c:pt idx="322">
                  <c:v>148.76900000000001</c:v>
                </c:pt>
                <c:pt idx="323">
                  <c:v>1263.4159999999999</c:v>
                </c:pt>
                <c:pt idx="324">
                  <c:v>157.49700000000001</c:v>
                </c:pt>
                <c:pt idx="325">
                  <c:v>11.285</c:v>
                </c:pt>
                <c:pt idx="326">
                  <c:v>-1.35</c:v>
                </c:pt>
                <c:pt idx="327">
                  <c:v>-61.768000000000001</c:v>
                </c:pt>
                <c:pt idx="328">
                  <c:v>5.2519999999999998</c:v>
                </c:pt>
                <c:pt idx="329">
                  <c:v>-14.414</c:v>
                </c:pt>
                <c:pt idx="330">
                  <c:v>-49.863999999999997</c:v>
                </c:pt>
                <c:pt idx="331">
                  <c:v>-59.301000000000002</c:v>
                </c:pt>
                <c:pt idx="332">
                  <c:v>-71.569999999999993</c:v>
                </c:pt>
                <c:pt idx="333">
                  <c:v>-63.16</c:v>
                </c:pt>
                <c:pt idx="334">
                  <c:v>-73.698999999999998</c:v>
                </c:pt>
                <c:pt idx="335">
                  <c:v>-54.106999999999999</c:v>
                </c:pt>
                <c:pt idx="336">
                  <c:v>21.05</c:v>
                </c:pt>
                <c:pt idx="337">
                  <c:v>-74.98</c:v>
                </c:pt>
                <c:pt idx="338">
                  <c:v>-878.35500000000002</c:v>
                </c:pt>
                <c:pt idx="339">
                  <c:v>-1189.5930000000001</c:v>
                </c:pt>
                <c:pt idx="340">
                  <c:v>-74.792000000000002</c:v>
                </c:pt>
                <c:pt idx="341">
                  <c:v>-89.635999999999996</c:v>
                </c:pt>
                <c:pt idx="342">
                  <c:v>-106.474</c:v>
                </c:pt>
                <c:pt idx="343">
                  <c:v>-125.747</c:v>
                </c:pt>
                <c:pt idx="344">
                  <c:v>-116.06699999999999</c:v>
                </c:pt>
                <c:pt idx="345">
                  <c:v>-149.94499999999999</c:v>
                </c:pt>
                <c:pt idx="346">
                  <c:v>-166.381</c:v>
                </c:pt>
                <c:pt idx="347">
                  <c:v>-662.95500000000004</c:v>
                </c:pt>
                <c:pt idx="348">
                  <c:v>-853.56100000000004</c:v>
                </c:pt>
                <c:pt idx="349">
                  <c:v>-1285.741</c:v>
                </c:pt>
                <c:pt idx="350">
                  <c:v>-79.099000000000004</c:v>
                </c:pt>
                <c:pt idx="351">
                  <c:v>-73.933999999999997</c:v>
                </c:pt>
                <c:pt idx="352">
                  <c:v>-195.559</c:v>
                </c:pt>
                <c:pt idx="353">
                  <c:v>-585.03200000000004</c:v>
                </c:pt>
                <c:pt idx="354">
                  <c:v>-189.715</c:v>
                </c:pt>
                <c:pt idx="355">
                  <c:v>-1204.742</c:v>
                </c:pt>
                <c:pt idx="356">
                  <c:v>-1952.4290000000001</c:v>
                </c:pt>
                <c:pt idx="357">
                  <c:v>-119.855</c:v>
                </c:pt>
                <c:pt idx="358">
                  <c:v>1950.64</c:v>
                </c:pt>
                <c:pt idx="359">
                  <c:v>-144.929</c:v>
                </c:pt>
                <c:pt idx="360">
                  <c:v>-243.07400000000001</c:v>
                </c:pt>
                <c:pt idx="361">
                  <c:v>-241.28800000000001</c:v>
                </c:pt>
                <c:pt idx="362">
                  <c:v>-199.47900000000001</c:v>
                </c:pt>
                <c:pt idx="363">
                  <c:v>-190.99299999999999</c:v>
                </c:pt>
                <c:pt idx="364">
                  <c:v>692.39300000000003</c:v>
                </c:pt>
              </c:numCache>
            </c:numRef>
          </c:val>
          <c:smooth val="0"/>
          <c:extLst>
            <c:ext xmlns:c16="http://schemas.microsoft.com/office/drawing/2014/chart" uri="{C3380CC4-5D6E-409C-BE32-E72D297353CC}">
              <c16:uniqueId val="{00000002-6B2D-43C3-9F4C-2864BA5E6342}"/>
            </c:ext>
          </c:extLst>
        </c:ser>
        <c:dLbls>
          <c:showLegendKey val="0"/>
          <c:showVal val="0"/>
          <c:showCatName val="0"/>
          <c:showSerName val="0"/>
          <c:showPercent val="0"/>
          <c:showBubbleSize val="0"/>
        </c:dLbls>
        <c:marker val="1"/>
        <c:smooth val="0"/>
        <c:axId val="220945480"/>
        <c:axId val="220945872"/>
      </c:lineChart>
      <c:dateAx>
        <c:axId val="220945480"/>
        <c:scaling>
          <c:orientation val="minMax"/>
        </c:scaling>
        <c:delete val="0"/>
        <c:axPos val="b"/>
        <c:numFmt formatCode="[$]mmm/yy;@"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rgbClr val="000000"/>
                </a:solidFill>
                <a:latin typeface="+mn-lt"/>
                <a:ea typeface="+mn-ea"/>
                <a:cs typeface="+mn-cs"/>
              </a:defRPr>
            </a:pPr>
            <a:endParaRPr lang="es-ES"/>
          </a:p>
        </c:txPr>
        <c:crossAx val="220945872"/>
        <c:crosses val="autoZero"/>
        <c:auto val="1"/>
        <c:lblOffset val="100"/>
        <c:baseTimeUnit val="days"/>
        <c:majorUnit val="1"/>
        <c:majorTimeUnit val="months"/>
      </c:dateAx>
      <c:valAx>
        <c:axId val="220945872"/>
        <c:scaling>
          <c:orientation val="minMax"/>
          <c:min val="-14000"/>
        </c:scaling>
        <c:delete val="0"/>
        <c:axPos val="l"/>
        <c:majorGridlines>
          <c:spPr>
            <a:ln w="9525" cap="flat" cmpd="sng" algn="ctr">
              <a:solidFill>
                <a:srgbClr val="D9D9D9"/>
              </a:solidFill>
              <a:prstDash val="sysDash"/>
              <a:round/>
            </a:ln>
            <a:effectLst/>
          </c:spPr>
        </c:majorGridlines>
        <c:title>
          <c:tx>
            <c:rich>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r>
                  <a:rPr lang="pt-PT" sz="700"/>
                  <a:t>MWh</a:t>
                </a:r>
              </a:p>
            </c:rich>
          </c:tx>
          <c:layout>
            <c:manualLayout>
              <c:xMode val="edge"/>
              <c:yMode val="edge"/>
              <c:x val="3.5273368606701938E-2"/>
              <c:y val="3.7890799061842111E-2"/>
            </c:manualLayout>
          </c:layout>
          <c:overlay val="0"/>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000000"/>
                </a:solidFill>
                <a:latin typeface="+mn-lt"/>
                <a:ea typeface="+mn-ea"/>
                <a:cs typeface="+mn-cs"/>
              </a:defRPr>
            </a:pPr>
            <a:endParaRPr lang="es-ES"/>
          </a:p>
        </c:txPr>
        <c:crossAx val="220945480"/>
        <c:crosses val="autoZero"/>
        <c:crossBetween val="between"/>
        <c:majorUnit val="4000"/>
      </c:valAx>
      <c:spPr>
        <a:noFill/>
        <a:ln>
          <a:noFill/>
        </a:ln>
        <a:effectLst/>
      </c:spPr>
    </c:plotArea>
    <c:legend>
      <c:legendPos val="b"/>
      <c:layout>
        <c:manualLayout>
          <c:xMode val="edge"/>
          <c:yMode val="edge"/>
          <c:x val="0.25233068088711136"/>
          <c:y val="0.92911251224061242"/>
          <c:w val="0.49533845306373742"/>
          <c:h val="7.088748775938758E-2"/>
        </c:manualLayout>
      </c:layout>
      <c:overlay val="0"/>
      <c:spPr>
        <a:noFill/>
        <a:ln>
          <a:noFill/>
        </a:ln>
        <a:effectLst/>
      </c:spPr>
      <c:txPr>
        <a:bodyPr rot="0" spcFirstLastPara="1" vertOverflow="ellipsis" vert="horz" wrap="square" anchor="ctr" anchorCtr="1"/>
        <a:lstStyle/>
        <a:p>
          <a:pPr>
            <a:defRPr sz="700" b="0" i="0" u="none" strike="noStrike" kern="1200" baseline="0">
              <a:solidFill>
                <a:srgbClr val="000000"/>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0.00782</cdr:x>
      <cdr:y>0.02275</cdr:y>
    </cdr:from>
    <cdr:to>
      <cdr:x>0.07271</cdr:x>
      <cdr:y>0.06228</cdr:y>
    </cdr:to>
    <cdr:sp macro="" textlink="">
      <cdr:nvSpPr>
        <cdr:cNvPr id="2" name="ZoneTexte 1"/>
        <cdr:cNvSpPr txBox="1"/>
      </cdr:nvSpPr>
      <cdr:spPr>
        <a:xfrm xmlns:a="http://schemas.openxmlformats.org/drawingml/2006/main">
          <a:off x="72710" y="138149"/>
          <a:ext cx="603492" cy="2399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MWh</a:t>
          </a:r>
        </a:p>
      </cdr:txBody>
    </cdr:sp>
  </cdr:relSizeAnchor>
  <cdr:relSizeAnchor xmlns:cdr="http://schemas.openxmlformats.org/drawingml/2006/chartDrawing">
    <cdr:from>
      <cdr:x>0.64034</cdr:x>
      <cdr:y>0.02754</cdr:y>
    </cdr:from>
    <cdr:to>
      <cdr:x>0.71071</cdr:x>
      <cdr:y>0.05868</cdr:y>
    </cdr:to>
    <cdr:sp macro="" textlink="">
      <cdr:nvSpPr>
        <cdr:cNvPr id="3" name="ZoneTexte 2"/>
        <cdr:cNvSpPr txBox="1"/>
      </cdr:nvSpPr>
      <cdr:spPr>
        <a:xfrm xmlns:a="http://schemas.openxmlformats.org/drawingml/2006/main">
          <a:off x="5954943" y="167233"/>
          <a:ext cx="654389" cy="189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€/MWh</a:t>
          </a:r>
        </a:p>
      </cdr:txBody>
    </cdr:sp>
  </cdr:relSizeAnchor>
</c:userShapes>
</file>

<file path=word/drawings/drawing2.xml><?xml version="1.0" encoding="utf-8"?>
<c:userShapes xmlns:c="http://schemas.openxmlformats.org/drawingml/2006/chart">
  <cdr:relSizeAnchor xmlns:cdr="http://schemas.openxmlformats.org/drawingml/2006/chartDrawing">
    <cdr:from>
      <cdr:x>0.57848</cdr:x>
      <cdr:y>0.32364</cdr:y>
    </cdr:from>
    <cdr:to>
      <cdr:x>0.64315</cdr:x>
      <cdr:y>0.4047</cdr:y>
    </cdr:to>
    <cdr:sp macro="" textlink="">
      <cdr:nvSpPr>
        <cdr:cNvPr id="2" name="Text Box 53"/>
        <cdr:cNvSpPr txBox="1"/>
      </cdr:nvSpPr>
      <cdr:spPr>
        <a:xfrm xmlns:a="http://schemas.openxmlformats.org/drawingml/2006/main">
          <a:off x="3124200" y="735330"/>
          <a:ext cx="349250" cy="18415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p xmlns:a="http://schemas.openxmlformats.org/drawingml/2006/main">
          <a:pPr>
            <a:spcAft>
              <a:spcPts val="0"/>
            </a:spcAft>
          </a:pPr>
          <a:r>
            <a:rPr lang="pt-PT" sz="700">
              <a:effectLst/>
              <a:latin typeface="Calibri" panose="020F0502020204030204" pitchFamily="34" charset="0"/>
              <a:ea typeface="Calibri" panose="020F0502020204030204" pitchFamily="34" charset="0"/>
              <a:cs typeface="Times New Roman" panose="02020603050405020304" pitchFamily="18" charset="0"/>
            </a:rPr>
            <a:t>28/Apr</a:t>
          </a:r>
          <a:endParaRPr lang="pt-PT"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0.67372</cdr:x>
      <cdr:y>0.25154</cdr:y>
    </cdr:from>
    <cdr:to>
      <cdr:x>0.73839</cdr:x>
      <cdr:y>0.33259</cdr:y>
    </cdr:to>
    <cdr:sp macro="" textlink="">
      <cdr:nvSpPr>
        <cdr:cNvPr id="3" name="Text Box 53"/>
        <cdr:cNvSpPr txBox="1"/>
      </cdr:nvSpPr>
      <cdr:spPr>
        <a:xfrm xmlns:a="http://schemas.openxmlformats.org/drawingml/2006/main">
          <a:off x="3638550" y="571500"/>
          <a:ext cx="349250" cy="1841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36000" tIns="36000" rIns="36000" bIns="36000" numCol="1" spcCol="0" rtlCol="0" fromWordArt="0" anchor="t" anchorCtr="0" forceAA="0" compatLnSpc="1">
          <a:prstTxWarp prst="textNoShape">
            <a:avLst/>
          </a:prstTxWarp>
          <a:noAutofit/>
        </a:bodyPr>
        <a:lstStyle xmlns:a="http://schemas.openxmlformats.org/drawingml/2006/main"/>
        <a:p xmlns:a="http://schemas.openxmlformats.org/drawingml/2006/main">
          <a:pPr>
            <a:spcAft>
              <a:spcPts val="0"/>
            </a:spcAft>
          </a:pPr>
          <a:r>
            <a:rPr lang="pt-PT" sz="700">
              <a:effectLst/>
              <a:latin typeface="Calibri" panose="020F0502020204030204" pitchFamily="34" charset="0"/>
              <a:ea typeface="Calibri" panose="020F0502020204030204" pitchFamily="34" charset="0"/>
              <a:cs typeface="Times New Roman" panose="02020603050405020304" pitchFamily="18" charset="0"/>
            </a:rPr>
            <a:t>08/Jun</a:t>
          </a:r>
          <a:endParaRPr lang="pt-PT"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0.50978</cdr:x>
      <cdr:y>0.17879</cdr:y>
    </cdr:from>
    <cdr:to>
      <cdr:x>0.70316</cdr:x>
      <cdr:y>0.28606</cdr:y>
    </cdr:to>
    <cdr:sp macro="" textlink="">
      <cdr:nvSpPr>
        <cdr:cNvPr id="2" name="Line Callout 1 (Border and Accent Bar) 1"/>
        <cdr:cNvSpPr/>
      </cdr:nvSpPr>
      <cdr:spPr>
        <a:xfrm xmlns:a="http://schemas.openxmlformats.org/drawingml/2006/main">
          <a:off x="2630169" y="415637"/>
          <a:ext cx="997720" cy="249381"/>
        </a:xfrm>
        <a:prstGeom xmlns:a="http://schemas.openxmlformats.org/drawingml/2006/main" prst="accentBorderCallout1">
          <a:avLst>
            <a:gd name="adj1" fmla="val 30085"/>
            <a:gd name="adj2" fmla="val -4077"/>
            <a:gd name="adj3" fmla="val 89761"/>
            <a:gd name="adj4" fmla="val -11592"/>
          </a:avLst>
        </a:prstGeom>
        <a:solidFill xmlns:a="http://schemas.openxmlformats.org/drawingml/2006/main">
          <a:schemeClr val="accent1">
            <a:lumMod val="20000"/>
            <a:lumOff val="8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lIns="0" tIns="0" rIns="0" bIns="0">
          <a:noAutofit/>
        </a:bodyPr>
        <a:lstStyle xmlns:a="http://schemas.openxmlformats.org/drawingml/2006/main"/>
        <a:p xmlns:a="http://schemas.openxmlformats.org/drawingml/2006/main">
          <a:r>
            <a:rPr lang="pt-PT" sz="700" b="1">
              <a:solidFill>
                <a:schemeClr val="accent1">
                  <a:lumMod val="75000"/>
                </a:schemeClr>
              </a:solidFill>
            </a:rPr>
            <a:t>  Highest OLP</a:t>
          </a:r>
          <a:r>
            <a:rPr lang="pt-PT" sz="700" b="1" baseline="0">
              <a:solidFill>
                <a:schemeClr val="accent1">
                  <a:lumMod val="75000"/>
                </a:schemeClr>
              </a:solidFill>
            </a:rPr>
            <a:t>: +39,9 GWh</a:t>
          </a:r>
        </a:p>
        <a:p xmlns:a="http://schemas.openxmlformats.org/drawingml/2006/main">
          <a:r>
            <a:rPr lang="pt-PT" sz="700" b="1" baseline="0">
              <a:solidFill>
                <a:schemeClr val="accent1">
                  <a:lumMod val="75000"/>
                </a:schemeClr>
              </a:solidFill>
            </a:rPr>
            <a:t>  (13.Mar.2017)</a:t>
          </a:r>
          <a:endParaRPr lang="pt-PT" b="1">
            <a:solidFill>
              <a:schemeClr val="accent1">
                <a:lumMod val="75000"/>
              </a:schemeClr>
            </a:solidFill>
          </a:endParaRPr>
        </a:p>
      </cdr:txBody>
    </cdr:sp>
  </cdr:relSizeAnchor>
  <cdr:relSizeAnchor xmlns:cdr="http://schemas.openxmlformats.org/drawingml/2006/chartDrawing">
    <cdr:from>
      <cdr:x>0.11619</cdr:x>
      <cdr:y>0.692</cdr:y>
    </cdr:from>
    <cdr:to>
      <cdr:x>0.30957</cdr:x>
      <cdr:y>0.80225</cdr:y>
    </cdr:to>
    <cdr:sp macro="" textlink="">
      <cdr:nvSpPr>
        <cdr:cNvPr id="3" name="Line Callout 1 (Border and Accent Bar) 2"/>
        <cdr:cNvSpPr/>
      </cdr:nvSpPr>
      <cdr:spPr>
        <a:xfrm xmlns:a="http://schemas.openxmlformats.org/drawingml/2006/main">
          <a:off x="599493" y="1608708"/>
          <a:ext cx="997720" cy="256302"/>
        </a:xfrm>
        <a:prstGeom xmlns:a="http://schemas.openxmlformats.org/drawingml/2006/main" prst="accentBorderCallout1">
          <a:avLst>
            <a:gd name="adj1" fmla="val 30085"/>
            <a:gd name="adj2" fmla="val -4077"/>
            <a:gd name="adj3" fmla="val -9990"/>
            <a:gd name="adj4" fmla="val -21042"/>
          </a:avLst>
        </a:prstGeom>
        <a:solidFill xmlns:a="http://schemas.openxmlformats.org/drawingml/2006/main">
          <a:schemeClr val="accent1">
            <a:lumMod val="20000"/>
            <a:lumOff val="8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0" tIns="0" rIns="0" bIns="0">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pt-PT" sz="700" b="1">
              <a:solidFill>
                <a:schemeClr val="accent1">
                  <a:lumMod val="75000"/>
                </a:schemeClr>
              </a:solidFill>
            </a:rPr>
            <a:t>  Lowest OLP</a:t>
          </a:r>
          <a:r>
            <a:rPr lang="pt-PT" sz="700" b="1" baseline="0">
              <a:solidFill>
                <a:schemeClr val="accent1">
                  <a:lumMod val="75000"/>
                </a:schemeClr>
              </a:solidFill>
            </a:rPr>
            <a:t>: -45,6 GWh</a:t>
          </a:r>
        </a:p>
        <a:p xmlns:a="http://schemas.openxmlformats.org/drawingml/2006/main">
          <a:r>
            <a:rPr lang="pt-PT" sz="700" b="1" baseline="0">
              <a:solidFill>
                <a:schemeClr val="accent1">
                  <a:lumMod val="75000"/>
                </a:schemeClr>
              </a:solidFill>
            </a:rPr>
            <a:t>  (01.Oct.2016)</a:t>
          </a:r>
          <a:endParaRPr lang="pt-PT" b="1">
            <a:solidFill>
              <a:schemeClr val="accent1">
                <a:lumMod val="75000"/>
              </a:schemeClr>
            </a:solidFill>
          </a:endParaRP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F3D41B9307424E97550A0941C2133A" ma:contentTypeVersion="20" ma:contentTypeDescription="Create a new document." ma:contentTypeScope="" ma:versionID="8a138fd03daf57ca20dcf4fab3c9cfa1">
  <xsd:schema xmlns:xsd="http://www.w3.org/2001/XMLSchema" xmlns:xs="http://www.w3.org/2001/XMLSchema" xmlns:p="http://schemas.microsoft.com/office/2006/metadata/properties" xmlns:ns2="985daa2e-53d8-4475-82b8-9c7d25324e34" xmlns:ns3="b0ffe00a-fb60-48d1-8495-caaf10e9f4ce" targetNamespace="http://schemas.microsoft.com/office/2006/metadata/properties" ma:root="true" ma:fieldsID="d686864e7a7a85956191f40130697333" ns2:_="" ns3:_="">
    <xsd:import namespace="985daa2e-53d8-4475-82b8-9c7d25324e34"/>
    <xsd:import namespace="b0ffe00a-fb60-48d1-8495-caaf10e9f4ce"/>
    <xsd:element name="properties">
      <xsd:complexType>
        <xsd:sequence>
          <xsd:element name="documentManagement">
            <xsd:complexType>
              <xsd:all>
                <xsd:element ref="ns2:_dlc_DocId" minOccurs="0"/>
                <xsd:element ref="ns2:_dlc_DocIdUrl" minOccurs="0"/>
                <xsd:element ref="ns2:_dlc_DocIdPersistId" minOccurs="0"/>
                <xsd:element ref="ns2:ACER_Abstract" minOccurs="0"/>
                <xsd:element ref="ns3:AcerDocumen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5daa2e-53d8-4475-82b8-9c7d25324e3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ER_Abstract" ma:index="11" nillable="true" ma:displayName="Abstract" ma:description="" ma:internalName="ACER_Abstrac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ffe00a-fb60-48d1-8495-caaf10e9f4ce" elementFormDefault="qualified">
    <xsd:import namespace="http://schemas.microsoft.com/office/2006/documentManagement/types"/>
    <xsd:import namespace="http://schemas.microsoft.com/office/infopath/2007/PartnerControls"/>
    <xsd:element name="AcerDocumentName" ma:index="12" nillable="true" ma:displayName="Document name" ma:hidden="true" ma:internalName="AcerDocumentNam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cerDocumentName xmlns="b0ffe00a-fb60-48d1-8495-caaf10e9f4ce">WP2_Balancing_v1.docx</AcerDocumentName>
    <ACER_Abstract xmlns="985daa2e-53d8-4475-82b8-9c7d25324e34" xsi:nil="true"/>
    <_dlc_DocId xmlns="985daa2e-53d8-4475-82b8-9c7d25324e34">ACER-2018-80037</_dlc_DocId>
    <_dlc_DocIdUrl xmlns="985daa2e-53d8-4475-82b8-9c7d25324e34">
      <Url>https://extranet.acer.europa.eu/Events/47th-IG-Meeting/_layouts/15/DocIdRedir.aspx?ID=ACER-2018-80037</Url>
      <Description>ACER-2018-80037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DocumentWithSurveyEventReceiver</Name>
    <Synchronization>Asynchronous</Synchronization>
    <Type>10002</Type>
    <SequenceNumber>11001</SequenceNumber>
    <Assembly>Acer.DocSurvey.DataModel, Version=1.0.0.0, Culture=neutral, PublicKeyToken=4521b098f10fe6ff</Assembly>
    <Class>Acer.DocSurvey.DataModel.EventReceivers.DocumentWithSurveyEventReceiver</Class>
    <Data/>
    <Filter/>
  </Receiver>
</spe:Receivers>
</file>

<file path=customXml/itemProps1.xml><?xml version="1.0" encoding="utf-8"?>
<ds:datastoreItem xmlns:ds="http://schemas.openxmlformats.org/officeDocument/2006/customXml" ds:itemID="{CF5101E0-9BF4-40BC-9EAF-42D37D43786A}"/>
</file>

<file path=customXml/itemProps2.xml><?xml version="1.0" encoding="utf-8"?>
<ds:datastoreItem xmlns:ds="http://schemas.openxmlformats.org/officeDocument/2006/customXml" ds:itemID="{4C229141-FFDA-486A-80F4-177E99607D3B}"/>
</file>

<file path=customXml/itemProps3.xml><?xml version="1.0" encoding="utf-8"?>
<ds:datastoreItem xmlns:ds="http://schemas.openxmlformats.org/officeDocument/2006/customXml" ds:itemID="{59C67BAF-E64D-487E-97F1-A2A5BB7C7795}"/>
</file>

<file path=customXml/itemProps4.xml><?xml version="1.0" encoding="utf-8"?>
<ds:datastoreItem xmlns:ds="http://schemas.openxmlformats.org/officeDocument/2006/customXml" ds:itemID="{7FE1899C-BC3C-4B48-8CAC-4AD4B9377C45}"/>
</file>

<file path=customXml/itemProps5.xml><?xml version="1.0" encoding="utf-8"?>
<ds:datastoreItem xmlns:ds="http://schemas.openxmlformats.org/officeDocument/2006/customXml" ds:itemID="{5977F310-435B-494F-9F1A-0AC877281FC6}"/>
</file>

<file path=docProps/app.xml><?xml version="1.0" encoding="utf-8"?>
<Properties xmlns="http://schemas.openxmlformats.org/officeDocument/2006/extended-properties" xmlns:vt="http://schemas.openxmlformats.org/officeDocument/2006/docPropsVTypes">
  <Template>Normal</Template>
  <TotalTime>3</TotalTime>
  <Pages>70</Pages>
  <Words>13187</Words>
  <Characters>71451</Characters>
  <Application>Microsoft Office Word</Application>
  <DocSecurity>0</DocSecurity>
  <Lines>595</Lines>
  <Paragraphs>168</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OFFRES ET ALLOCATION DE CAPACITES</vt:lpstr>
      <vt:lpstr>OFFRES ET ALLOCATION DE CAPACITES</vt:lpstr>
      <vt:lpstr>OFFRES ET ALLOCATION DE CAPACITES</vt:lpstr>
    </vt:vector>
  </TitlesOfParts>
  <Company>GDF SUEZ</Company>
  <LinksUpToDate>false</LinksUpToDate>
  <CharactersWithSpaces>84470</CharactersWithSpaces>
  <SharedDoc>false</SharedDoc>
  <HLinks>
    <vt:vector size="54" baseType="variant">
      <vt:variant>
        <vt:i4>1769521</vt:i4>
      </vt:variant>
      <vt:variant>
        <vt:i4>50</vt:i4>
      </vt:variant>
      <vt:variant>
        <vt:i4>0</vt:i4>
      </vt:variant>
      <vt:variant>
        <vt:i4>5</vt:i4>
      </vt:variant>
      <vt:variant>
        <vt:lpwstr/>
      </vt:variant>
      <vt:variant>
        <vt:lpwstr>_Toc208894204</vt:lpwstr>
      </vt:variant>
      <vt:variant>
        <vt:i4>1769521</vt:i4>
      </vt:variant>
      <vt:variant>
        <vt:i4>44</vt:i4>
      </vt:variant>
      <vt:variant>
        <vt:i4>0</vt:i4>
      </vt:variant>
      <vt:variant>
        <vt:i4>5</vt:i4>
      </vt:variant>
      <vt:variant>
        <vt:lpwstr/>
      </vt:variant>
      <vt:variant>
        <vt:lpwstr>_Toc208894203</vt:lpwstr>
      </vt:variant>
      <vt:variant>
        <vt:i4>1769521</vt:i4>
      </vt:variant>
      <vt:variant>
        <vt:i4>38</vt:i4>
      </vt:variant>
      <vt:variant>
        <vt:i4>0</vt:i4>
      </vt:variant>
      <vt:variant>
        <vt:i4>5</vt:i4>
      </vt:variant>
      <vt:variant>
        <vt:lpwstr/>
      </vt:variant>
      <vt:variant>
        <vt:lpwstr>_Toc208894202</vt:lpwstr>
      </vt:variant>
      <vt:variant>
        <vt:i4>1769521</vt:i4>
      </vt:variant>
      <vt:variant>
        <vt:i4>32</vt:i4>
      </vt:variant>
      <vt:variant>
        <vt:i4>0</vt:i4>
      </vt:variant>
      <vt:variant>
        <vt:i4>5</vt:i4>
      </vt:variant>
      <vt:variant>
        <vt:lpwstr/>
      </vt:variant>
      <vt:variant>
        <vt:lpwstr>_Toc208894201</vt:lpwstr>
      </vt:variant>
      <vt:variant>
        <vt:i4>1769521</vt:i4>
      </vt:variant>
      <vt:variant>
        <vt:i4>26</vt:i4>
      </vt:variant>
      <vt:variant>
        <vt:i4>0</vt:i4>
      </vt:variant>
      <vt:variant>
        <vt:i4>5</vt:i4>
      </vt:variant>
      <vt:variant>
        <vt:lpwstr/>
      </vt:variant>
      <vt:variant>
        <vt:lpwstr>_Toc208894200</vt:lpwstr>
      </vt:variant>
      <vt:variant>
        <vt:i4>1179698</vt:i4>
      </vt:variant>
      <vt:variant>
        <vt:i4>20</vt:i4>
      </vt:variant>
      <vt:variant>
        <vt:i4>0</vt:i4>
      </vt:variant>
      <vt:variant>
        <vt:i4>5</vt:i4>
      </vt:variant>
      <vt:variant>
        <vt:lpwstr/>
      </vt:variant>
      <vt:variant>
        <vt:lpwstr>_Toc208894199</vt:lpwstr>
      </vt:variant>
      <vt:variant>
        <vt:i4>1179698</vt:i4>
      </vt:variant>
      <vt:variant>
        <vt:i4>14</vt:i4>
      </vt:variant>
      <vt:variant>
        <vt:i4>0</vt:i4>
      </vt:variant>
      <vt:variant>
        <vt:i4>5</vt:i4>
      </vt:variant>
      <vt:variant>
        <vt:lpwstr/>
      </vt:variant>
      <vt:variant>
        <vt:lpwstr>_Toc208894198</vt:lpwstr>
      </vt:variant>
      <vt:variant>
        <vt:i4>1179698</vt:i4>
      </vt:variant>
      <vt:variant>
        <vt:i4>8</vt:i4>
      </vt:variant>
      <vt:variant>
        <vt:i4>0</vt:i4>
      </vt:variant>
      <vt:variant>
        <vt:i4>5</vt:i4>
      </vt:variant>
      <vt:variant>
        <vt:lpwstr/>
      </vt:variant>
      <vt:variant>
        <vt:lpwstr>_Toc208894197</vt:lpwstr>
      </vt:variant>
      <vt:variant>
        <vt:i4>1179698</vt:i4>
      </vt:variant>
      <vt:variant>
        <vt:i4>2</vt:i4>
      </vt:variant>
      <vt:variant>
        <vt:i4>0</vt:i4>
      </vt:variant>
      <vt:variant>
        <vt:i4>5</vt:i4>
      </vt:variant>
      <vt:variant>
        <vt:lpwstr/>
      </vt:variant>
      <vt:variant>
        <vt:lpwstr>_Toc208894196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OFFRES ET ALLOCATION DE CAPACITES</dc:title>
  <dc:creator>Dutertre</dc:creator>
  <cp:lastModifiedBy>Alonso Borrego, Nuria</cp:lastModifiedBy>
  <cp:revision>3</cp:revision>
  <cp:lastPrinted>2018-05-24T07:54:00Z</cp:lastPrinted>
  <dcterms:created xsi:type="dcterms:W3CDTF">2018-06-15T11:16:00Z</dcterms:created>
  <dcterms:modified xsi:type="dcterms:W3CDTF">2018-06-21T14:55:00Z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0x01010049F3D41B9307424E97550A0941C2133A</vt:lpwstr>
  </property>
  <property fmtid="{D5CDD505-2E9C-101B-9397-08002B2CF9AE}" pid="4" name="_dlc_DocIdItemGuid">
    <vt:lpwstr>7ffbe22c-ec86-498f-9b6c-6d6b773850a7</vt:lpwstr>
  </property>
</Properties>
</file>